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7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28"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2021, 56,895,944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MARCH 31,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680" w:type="dxa"/>
            <w:vAlign w:val="bottom"/>
            <w:gridSpan w:val="19"/>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 xml:space="preserve">Condensed Consolidated Balance Sheets – March </w:t>
              </w:r>
            </w:hyperlink>
            <w:r>
              <w:rPr>
                <w:rFonts w:ascii="Arial" w:cs="Arial" w:eastAsia="Arial" w:hAnsi="Arial"/>
                <w:sz w:val="18"/>
                <w:szCs w:val="18"/>
                <w:color w:val="0000FF"/>
                <w:w w:val="88"/>
              </w:rPr>
              <w:t xml:space="preserve">31, </w:t>
            </w:r>
            <w:hyperlink w:anchor="page4">
              <w:r>
                <w:rPr>
                  <w:rFonts w:ascii="Arial" w:cs="Arial" w:eastAsia="Arial" w:hAnsi="Arial"/>
                  <w:sz w:val="18"/>
                  <w:szCs w:val="18"/>
                  <w:color w:val="0000FF"/>
                  <w:w w:val="88"/>
                </w:rPr>
                <w:t xml:space="preserve">2021 and December 31, </w:t>
              </w:r>
            </w:hyperlink>
            <w:r>
              <w:rPr>
                <w:rFonts w:ascii="Arial" w:cs="Arial" w:eastAsia="Arial" w:hAnsi="Arial"/>
                <w:sz w:val="18"/>
                <w:szCs w:val="18"/>
                <w:color w:val="0000FF"/>
                <w:w w:val="88"/>
              </w:rPr>
              <w:t>2020</w:t>
            </w:r>
          </w:p>
        </w:tc>
        <w:tc>
          <w:tcPr>
            <w:tcW w:w="2560" w:type="dxa"/>
            <w:vAlign w:val="bottom"/>
            <w:gridSpan w:val="6"/>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Income </w:t>
              </w:r>
            </w:hyperlink>
            <w:r>
              <w:rPr>
                <w:rFonts w:ascii="Arial" w:cs="Arial" w:eastAsia="Arial" w:hAnsi="Arial"/>
                <w:sz w:val="18"/>
                <w:szCs w:val="18"/>
                <w:color w:val="0000FF"/>
              </w:rPr>
              <w:t xml:space="preserve">(Loss) </w:t>
            </w:r>
            <w:hyperlink w:anchor="page4">
              <w:r>
                <w:rPr>
                  <w:rFonts w:ascii="Arial" w:cs="Arial" w:eastAsia="Arial" w:hAnsi="Arial"/>
                  <w:sz w:val="18"/>
                  <w:szCs w:val="18"/>
                  <w:color w:val="0000FF"/>
                </w:rPr>
                <w:t xml:space="preserve">– Three Months Ended March </w:t>
              </w:r>
            </w:hyperlink>
            <w:r>
              <w:rPr>
                <w:rFonts w:ascii="Arial" w:cs="Arial" w:eastAsia="Arial" w:hAnsi="Arial"/>
                <w:sz w:val="18"/>
                <w:szCs w:val="18"/>
                <w:color w:val="0000FF"/>
              </w:rPr>
              <w:t xml:space="preserve">31, </w:t>
            </w:r>
            <w:hyperlink w:anchor="page4">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Condensed Consolidated Statements of Comprehensive Income (Loss) – Three Months Ended March 31, 2021 and</w:t>
              </w:r>
            </w:hyperlink>
          </w:p>
        </w:tc>
        <w:tc>
          <w:tcPr>
            <w:tcW w:w="840" w:type="dxa"/>
            <w:vAlign w:val="bottom"/>
            <w:gridSpan w:val="4"/>
            <w:vMerge w:val="restart"/>
          </w:tcPr>
          <w:p>
            <w:pPr>
              <w:jc w:val="center"/>
              <w:ind w:left="5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2020</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940" w:type="dxa"/>
            <w:vAlign w:val="bottom"/>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Shareholders’ Equity - Three Months </w:t>
              </w:r>
            </w:hyperlink>
            <w:r>
              <w:rPr>
                <w:rFonts w:ascii="Arial" w:cs="Arial" w:eastAsia="Arial" w:hAnsi="Arial"/>
                <w:sz w:val="18"/>
                <w:szCs w:val="18"/>
                <w:color w:val="0000FF"/>
                <w:w w:val="89"/>
              </w:rPr>
              <w:t xml:space="preserve">Ended </w:t>
            </w:r>
            <w:hyperlink w:anchor="page6">
              <w:r>
                <w:rPr>
                  <w:rFonts w:ascii="Arial" w:cs="Arial" w:eastAsia="Arial" w:hAnsi="Arial"/>
                  <w:sz w:val="18"/>
                  <w:szCs w:val="18"/>
                  <w:color w:val="0000FF"/>
                  <w:w w:val="89"/>
                </w:rPr>
                <w:t xml:space="preserve">March 31, 2021 and </w:t>
              </w:r>
            </w:hyperlink>
            <w:r>
              <w:rPr>
                <w:rFonts w:ascii="Arial" w:cs="Arial" w:eastAsia="Arial" w:hAnsi="Arial"/>
                <w:sz w:val="18"/>
                <w:szCs w:val="18"/>
                <w:color w:val="0000FF"/>
                <w:w w:val="89"/>
              </w:rPr>
              <w:t>2020</w:t>
            </w:r>
          </w:p>
        </w:tc>
        <w:tc>
          <w:tcPr>
            <w:tcW w:w="620" w:type="dxa"/>
            <w:vAlign w:val="bottom"/>
            <w:gridSpan w:val="2"/>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940" w:type="dxa"/>
            <w:vAlign w:val="bottom"/>
            <w:gridSpan w:val="16"/>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 xml:space="preserve">Condensed Consolidated Statements of Cash Flows – Three Months Ended </w:t>
              </w:r>
            </w:hyperlink>
            <w:r>
              <w:rPr>
                <w:rFonts w:ascii="Arial" w:cs="Arial" w:eastAsia="Arial" w:hAnsi="Arial"/>
                <w:sz w:val="18"/>
                <w:szCs w:val="18"/>
                <w:color w:val="0000FF"/>
                <w:w w:val="97"/>
              </w:rPr>
              <w:t xml:space="preserve">March 31, </w:t>
            </w:r>
            <w:hyperlink w:anchor="page7">
              <w:r>
                <w:rPr>
                  <w:rFonts w:ascii="Arial" w:cs="Arial" w:eastAsia="Arial" w:hAnsi="Arial"/>
                  <w:sz w:val="18"/>
                  <w:szCs w:val="18"/>
                  <w:color w:val="0000FF"/>
                  <w:w w:val="97"/>
                </w:rPr>
                <w:t xml:space="preserve">2021 and </w:t>
              </w:r>
            </w:hyperlink>
            <w:r>
              <w:rPr>
                <w:rFonts w:ascii="Arial" w:cs="Arial" w:eastAsia="Arial" w:hAnsi="Arial"/>
                <w:sz w:val="18"/>
                <w:szCs w:val="18"/>
                <w:color w:val="0000FF"/>
                <w:w w:val="97"/>
              </w:rPr>
              <w:t>2020</w:t>
            </w:r>
          </w:p>
        </w:tc>
        <w:tc>
          <w:tcPr>
            <w:tcW w:w="620" w:type="dxa"/>
            <w:vAlign w:val="bottom"/>
            <w:gridSpan w:val="2"/>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980" w:type="dxa"/>
            <w:vAlign w:val="bottom"/>
            <w:gridSpan w:val="9"/>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3300" w:type="dxa"/>
            <w:vAlign w:val="bottom"/>
            <w:gridSpan w:val="5"/>
          </w:tcPr>
          <w:p>
            <w:pPr>
              <w:spacing w:after="0"/>
              <w:rPr>
                <w:sz w:val="18"/>
                <w:szCs w:val="18"/>
                <w:color w:val="auto"/>
              </w:rPr>
            </w:pPr>
          </w:p>
        </w:tc>
        <w:tc>
          <w:tcPr>
            <w:tcW w:w="1280" w:type="dxa"/>
            <w:vAlign w:val="bottom"/>
            <w:gridSpan w:val="4"/>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Quantitative and Qualitative Disclosures About Market Risk</w:t>
              </w:r>
            </w:hyperlink>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Controls and Procedures</w:t>
              </w:r>
            </w:hyperlink>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9"/>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 – OTHER INFORMATION</w:t>
              </w:r>
            </w:hyperlink>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Legal Proceedings</w:t>
              </w:r>
            </w:hyperlink>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Exhibits</w:t>
              </w:r>
            </w:hyperlink>
          </w:p>
        </w:tc>
        <w:tc>
          <w:tcPr>
            <w:tcW w:w="3740" w:type="dxa"/>
            <w:vAlign w:val="bottom"/>
            <w:tcBorders>
              <w:top w:val="single" w:sz="8" w:color="0000FF"/>
            </w:tcBorders>
            <w:gridSpan w:val="8"/>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SIGNATURES</w:t>
              </w:r>
            </w:hyperlink>
          </w:p>
        </w:tc>
        <w:tc>
          <w:tcPr>
            <w:tcW w:w="856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47</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445"/>
        <w:spacing w:after="0" w:line="243" w:lineRule="auto"/>
        <w:rPr>
          <w:sz w:val="20"/>
          <w:szCs w:val="20"/>
          <w:color w:val="auto"/>
        </w:rPr>
      </w:pPr>
      <w:r>
        <w:rPr>
          <w:rFonts w:ascii="Arial" w:cs="Arial" w:eastAsia="Arial" w:hAnsi="Arial"/>
          <w:sz w:val="16"/>
          <w:szCs w:val="16"/>
          <w:color w:val="auto"/>
        </w:rPr>
        <w:t>We own or have rights to various copyrights, trademarks, and trade names used in our business in the U.S. and/or other countries, including the following: Jazz Pharmaceuticals</w:t>
      </w:r>
      <w:r>
        <w:rPr>
          <w:rFonts w:ascii="Arial" w:cs="Arial" w:eastAsia="Arial" w:hAnsi="Arial"/>
          <w:sz w:val="20"/>
          <w:szCs w:val="20"/>
          <w:color w:val="auto"/>
          <w:vertAlign w:val="superscript"/>
        </w:rPr>
        <w:t>®</w:t>
      </w:r>
      <w:r>
        <w:rPr>
          <w:rFonts w:ascii="Arial" w:cs="Arial" w:eastAsia="Arial" w:hAnsi="Arial"/>
          <w:sz w:val="16"/>
          <w:szCs w:val="16"/>
          <w:color w:val="auto"/>
        </w:rPr>
        <w:t>,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sodium), 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Erwinaze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(asparaginase </w:t>
      </w:r>
      <w:r>
        <w:rPr>
          <w:rFonts w:ascii="Arial" w:cs="Arial" w:eastAsia="Arial" w:hAnsi="Arial"/>
          <w:sz w:val="16"/>
          <w:szCs w:val="16"/>
          <w:i w:val="1"/>
          <w:iCs w:val="1"/>
          <w:color w:val="auto"/>
        </w:rPr>
        <w:t>Erwinia chrysanthemi</w:t>
      </w:r>
      <w:r>
        <w:rPr>
          <w:rFonts w:ascii="Arial" w:cs="Arial" w:eastAsia="Arial" w:hAnsi="Arial"/>
          <w:sz w:val="16"/>
          <w:szCs w:val="16"/>
          <w:color w:val="auto"/>
        </w:rPr>
        <w:t>), Erwinase</w:t>
      </w:r>
      <w:r>
        <w:rPr>
          <w:rFonts w:ascii="Arial" w:cs="Arial" w:eastAsia="Arial" w:hAnsi="Arial"/>
          <w:sz w:val="20"/>
          <w:szCs w:val="20"/>
          <w:color w:val="auto"/>
          <w:vertAlign w:val="superscript"/>
        </w:rPr>
        <w:t>®</w:t>
      </w:r>
      <w:r>
        <w:rPr>
          <w:rFonts w:ascii="Arial" w:cs="Arial" w:eastAsia="Arial" w:hAnsi="Arial"/>
          <w:sz w:val="16"/>
          <w:szCs w:val="16"/>
          <w:color w:val="auto"/>
        </w:rPr>
        <w:t>, CombiPlex</w:t>
      </w:r>
      <w:r>
        <w:rPr>
          <w:rFonts w:ascii="Arial" w:cs="Arial" w:eastAsia="Arial" w:hAnsi="Arial"/>
          <w:sz w:val="20"/>
          <w:szCs w:val="20"/>
          <w:color w:val="auto"/>
          <w:vertAlign w:val="superscript"/>
        </w:rPr>
        <w:t>®</w:t>
      </w:r>
      <w:r>
        <w:rPr>
          <w:rFonts w:ascii="Arial" w:cs="Arial" w:eastAsia="Arial" w:hAnsi="Arial"/>
          <w:sz w:val="16"/>
          <w:szCs w:val="16"/>
          <w:color w:val="auto"/>
        </w:rPr>
        <w:t>, 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1" w:lineRule="exact"/>
        <w:rPr>
          <w:sz w:val="20"/>
          <w:szCs w:val="20"/>
          <w:color w:val="auto"/>
        </w:rPr>
      </w:pPr>
    </w:p>
    <w:p>
      <w:pPr>
        <w:jc w:val="both"/>
        <w:ind w:right="440"/>
        <w:spacing w:after="0" w:line="274"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liposomal 44 mg/100 mg powder for concentrate for solution for infusion, Zepzelca™ (lurbinectedin), and Xywav™ (calcium, magnesium, potassium, and sodium oxybates) oral solution.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396,490</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95,396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2,839,568</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2,108,046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254,916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77,738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246,322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653,745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101,148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2,694,858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2,633,670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1,159,894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3,797,689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6,756,470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Three Months Ended</w:t>
      </w:r>
    </w:p>
    <w:p>
      <w:pPr>
        <w:jc w:val="center"/>
        <w:ind w:left="82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603,531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530,205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534,726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208,400</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86,107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62,847</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202,250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445,462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724,400</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(189,674)</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 and equity in gain of investees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(209,302)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gain of investees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121,832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(157,833)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56,468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55,956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(157,833)</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(29,990)</w:t>
            </w:r>
          </w:p>
        </w:tc>
      </w:tr>
      <w:tr>
        <w:trPr>
          <w:trHeight w:val="230"/>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4"/>
              </w:rPr>
              <w:t>Unrealized gain (loss) on hedging activities, net of income tax provision (benefit) of $163 and ($579), respectively</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(34,043)</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(191,876)</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center"/>
              <w:ind w:right="14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960" w:type="dxa"/>
            <w:vAlign w:val="bottom"/>
          </w:tcPr>
          <w:p>
            <w:pPr>
              <w:spacing w:after="0"/>
              <w:rPr>
                <w:sz w:val="24"/>
                <w:szCs w:val="2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center"/>
              <w:ind w:right="14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Shares repurchased</w:t>
            </w:r>
          </w:p>
        </w:tc>
        <w:tc>
          <w:tcPr>
            <w:tcW w:w="780" w:type="dxa"/>
            <w:vAlign w:val="bottom"/>
          </w:tcPr>
          <w:p>
            <w:pPr>
              <w:ind w:left="340"/>
              <w:spacing w:after="0"/>
              <w:rPr>
                <w:sz w:val="20"/>
                <w:szCs w:val="20"/>
                <w:color w:val="auto"/>
              </w:rPr>
            </w:pPr>
            <w:r>
              <w:rPr>
                <w:rFonts w:ascii="Arial" w:cs="Arial" w:eastAsia="Arial" w:hAnsi="Arial"/>
                <w:sz w:val="14"/>
                <w:szCs w:val="14"/>
                <w:color w:val="auto"/>
                <w:w w:val="94"/>
              </w:rPr>
              <w:t>(1,131)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(139,053)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211"/>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2,294,474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770,929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2,808,500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121,832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(157,833)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62,847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28,654</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Impairment charge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136,139</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202,250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(63,976)</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Provision for losses on accounts receivable and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deferred 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1,793</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(17,843)</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(12,198)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272,969</w:t>
            </w: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maturity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(202,250)</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Acquisition of intangible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employee equity incentive and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13,264</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employee withholding taxes related to share-based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(13,547)</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(8,347)</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repurchases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(139,053)</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(147,683)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64,258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637,344</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2,097,533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701,602</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dedicated to developing and commercializing life-changing medicines that transform the lives of patients with serious diseases – often with limited or no options. We have a diverse portfolio of marketed medicines and novel product candidates, from early- to late-stage development, in key therapeutic areas. Our focus is in neuroscience, including sleep medicine and movement disorders, and in oncology, including hematologic malignancies and solid tumors. We actively explore new options for patients including novel compounds, small molecules, biologics and innovative delivery technologies.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740" w:right="80" w:hanging="327"/>
        <w:spacing w:after="0" w:line="312"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Xyrem® (sodium oxybate) oral solution</w:t>
      </w:r>
      <w:r>
        <w:rPr>
          <w:rFonts w:ascii="Arial" w:cs="Arial" w:eastAsia="Arial" w:hAnsi="Arial"/>
          <w:sz w:val="17"/>
          <w:szCs w:val="17"/>
          <w:color w:val="auto"/>
        </w:rPr>
        <w:t>, a product approved by the U.S. Food and Drug Administration, or FDA, and marketed in the U.S.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both cataplexy and excessive daytime sleepiness, or EDS, in narcolepsy patients seven years of age and older;</w:t>
      </w:r>
    </w:p>
    <w:p>
      <w:pPr>
        <w:spacing w:after="0" w:line="31" w:lineRule="exact"/>
        <w:rPr>
          <w:rFonts w:ascii="Arial" w:cs="Arial" w:eastAsia="Arial" w:hAnsi="Arial"/>
          <w:sz w:val="17"/>
          <w:szCs w:val="17"/>
          <w:color w:val="auto"/>
        </w:rPr>
      </w:pPr>
    </w:p>
    <w:p>
      <w:pPr>
        <w:ind w:left="740" w:right="260" w:hanging="327"/>
        <w:spacing w:after="0" w:line="26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w:t>
      </w:r>
    </w:p>
    <w:p>
      <w:pPr>
        <w:spacing w:after="0" w:line="67" w:lineRule="exact"/>
        <w:rPr>
          <w:rFonts w:ascii="Arial" w:cs="Arial" w:eastAsia="Arial" w:hAnsi="Arial"/>
          <w:sz w:val="18"/>
          <w:szCs w:val="18"/>
          <w:color w:val="auto"/>
        </w:rPr>
      </w:pPr>
    </w:p>
    <w:p>
      <w:pPr>
        <w:ind w:left="740" w:right="80" w:hanging="327"/>
        <w:spacing w:after="0" w:line="282"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w:t>
      </w:r>
    </w:p>
    <w:p>
      <w:pPr>
        <w:spacing w:after="0" w:line="53" w:lineRule="exact"/>
        <w:rPr>
          <w:rFonts w:ascii="Arial" w:cs="Arial" w:eastAsia="Arial" w:hAnsi="Arial"/>
          <w:sz w:val="18"/>
          <w:szCs w:val="18"/>
          <w:color w:val="auto"/>
        </w:rPr>
      </w:pPr>
    </w:p>
    <w:p>
      <w:pPr>
        <w:ind w:left="740" w:right="180" w:hanging="327"/>
        <w:spacing w:after="0" w:line="312" w:lineRule="auto"/>
        <w:tabs>
          <w:tab w:leader="none" w:pos="73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Zepzelca™ (lurbinectedin)</w:t>
      </w:r>
      <w:r>
        <w:rPr>
          <w:rFonts w:ascii="Arial" w:cs="Arial" w:eastAsia="Arial" w:hAnsi="Arial"/>
          <w:sz w:val="17"/>
          <w:szCs w:val="17"/>
          <w:color w:val="auto"/>
        </w:rPr>
        <w:t>, a product approved by FDA in June 2020 and launched in the U.S. in July 2020 for the treatment of adult patients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metastatic small cell lung cancer, or SCLC, with disease progression on or after platinum-based chemotherapy;</w:t>
      </w:r>
    </w:p>
    <w:p>
      <w:pPr>
        <w:spacing w:after="0" w:line="31" w:lineRule="exact"/>
        <w:rPr>
          <w:rFonts w:ascii="Arial" w:cs="Arial" w:eastAsia="Arial" w:hAnsi="Arial"/>
          <w:sz w:val="17"/>
          <w:szCs w:val="17"/>
          <w:color w:val="auto"/>
        </w:rPr>
      </w:pPr>
    </w:p>
    <w:p>
      <w:pPr>
        <w:ind w:left="740" w:right="240" w:hanging="327"/>
        <w:spacing w:after="0" w:line="266"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Vyxeos® (daunorubicin and cytarabine) liposome for injection</w:t>
      </w:r>
      <w:r>
        <w:rPr>
          <w:rFonts w:ascii="Arial" w:cs="Arial" w:eastAsia="Arial" w:hAnsi="Arial"/>
          <w:sz w:val="18"/>
          <w:szCs w:val="18"/>
          <w:color w:val="auto"/>
        </w:rPr>
        <w:t>, a product approved in the U.S. and in Europe (where it is marketed as</w:t>
      </w:r>
      <w:r>
        <w:rPr>
          <w:rFonts w:ascii="Arial" w:cs="Arial" w:eastAsia="Arial" w:hAnsi="Arial"/>
          <w:sz w:val="18"/>
          <w:szCs w:val="18"/>
          <w:b w:val="1"/>
          <w:bCs w:val="1"/>
          <w:color w:val="auto"/>
        </w:rPr>
        <w:t xml:space="preserve"> </w:t>
      </w:r>
      <w:r>
        <w:rPr>
          <w:rFonts w:ascii="Arial" w:cs="Arial" w:eastAsia="Arial" w:hAnsi="Arial"/>
          <w:sz w:val="18"/>
          <w:szCs w:val="18"/>
          <w:color w:val="auto"/>
        </w:rPr>
        <w:t>Vyxeos® liposomal 44 mg/100 mg powder for concentrate for solution for infusion) for the treatment of adults with newly-diagnosed therapy-related acute myeloid leukemia, or AML, or AML with myelodysplasia-related changes;</w:t>
      </w:r>
    </w:p>
    <w:p>
      <w:pPr>
        <w:spacing w:after="0" w:line="67" w:lineRule="exact"/>
        <w:rPr>
          <w:rFonts w:ascii="Arial" w:cs="Arial" w:eastAsia="Arial" w:hAnsi="Arial"/>
          <w:sz w:val="18"/>
          <w:szCs w:val="18"/>
          <w:color w:val="auto"/>
        </w:rPr>
      </w:pPr>
    </w:p>
    <w:p>
      <w:pPr>
        <w:ind w:left="740" w:right="20" w:hanging="327"/>
        <w:spacing w:after="0" w:line="261"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 Europe (where it is marketed as Defitelio® (defibrotide)) for the treatment of severe VOD in adults and children undergoing HSCT therapy; and</w:t>
      </w:r>
    </w:p>
    <w:p>
      <w:pPr>
        <w:spacing w:after="0" w:line="71" w:lineRule="exact"/>
        <w:rPr>
          <w:rFonts w:ascii="Arial" w:cs="Arial" w:eastAsia="Arial" w:hAnsi="Arial"/>
          <w:sz w:val="18"/>
          <w:szCs w:val="18"/>
          <w:color w:val="auto"/>
        </w:rPr>
      </w:pPr>
    </w:p>
    <w:p>
      <w:pPr>
        <w:ind w:left="740" w:right="140" w:hanging="327"/>
        <w:spacing w:after="0" w:line="347"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Erwinaze® (asparaginase Erwinia chrysanthemi)</w:t>
      </w:r>
      <w:r>
        <w:rPr>
          <w:rFonts w:ascii="Arial" w:cs="Arial" w:eastAsia="Arial" w:hAnsi="Arial"/>
          <w:sz w:val="16"/>
          <w:szCs w:val="16"/>
          <w:color w:val="auto"/>
        </w:rPr>
        <w:t>, a treatment approved in the U.S. and in certain markets in Europe (where it is marketed as</w:t>
      </w:r>
      <w:r>
        <w:rPr>
          <w:rFonts w:ascii="Arial" w:cs="Arial" w:eastAsia="Arial" w:hAnsi="Arial"/>
          <w:sz w:val="16"/>
          <w:szCs w:val="16"/>
          <w:b w:val="1"/>
          <w:bCs w:val="1"/>
          <w:color w:val="auto"/>
        </w:rPr>
        <w:t xml:space="preserve"> </w:t>
      </w:r>
      <w:r>
        <w:rPr>
          <w:rFonts w:ascii="Arial" w:cs="Arial" w:eastAsia="Arial" w:hAnsi="Arial"/>
          <w:sz w:val="16"/>
          <w:szCs w:val="16"/>
          <w:color w:val="auto"/>
        </w:rPr>
        <w:t>Erwinase®) for patients with acute lymphoblastic leukemia, or ALL, who have developed hypersensitivity to E. coli-derived asparaginase.</w:t>
      </w:r>
    </w:p>
    <w:p>
      <w:pPr>
        <w:spacing w:after="0" w:line="12"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“we,” “us,” and “our” refer to Jazz Pharmaceuticals plc and its consolidated subsidiaries. Throughout this report, all references to “ordinary shares” refer to Jazz Pharmaceuticals plc’s ordinary shares.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10-K for the year ended December 31, 2020.</w:t>
      </w:r>
    </w:p>
    <w:p>
      <w:pPr>
        <w:spacing w:after="0" w:line="97" w:lineRule="exact"/>
        <w:rPr>
          <w:sz w:val="20"/>
          <w:szCs w:val="20"/>
          <w:color w:val="auto"/>
        </w:rPr>
      </w:pPr>
    </w:p>
    <w:p>
      <w:pPr>
        <w:ind w:right="18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months ended March 31, 2021 are not necessarily indicative of the results to be expected for the year ending December 31, 2021, for any other interim period or for any future period.</w:t>
      </w:r>
    </w:p>
    <w:p>
      <w:pPr>
        <w:spacing w:after="0" w:line="63"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10-K for the year ended December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December 2019, the Financial Accounting Standards Board, or FASB, issued ASU No. 2019-12, "Income Taxes (Topic 740): Simplifying the Accounting for Income Taxes", which simplifies the accounting for income taxes by removing certain exceptions to the general principles in the existing guidance for income taxes and making other minor improvements. We adopted this standard on January 1, 2021 and adoption did not have a material impact on our consolidated financial statements.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w:t>
      </w:r>
      <w:r>
        <w:rPr>
          <w:rFonts w:ascii="Arial" w:cs="Arial" w:eastAsia="Arial" w:hAnsi="Arial"/>
          <w:sz w:val="18"/>
          <w:szCs w:val="18"/>
          <w:color w:val="auto"/>
        </w:rPr>
        <w:t>y</w:t>
      </w:r>
    </w:p>
    <w:p>
      <w:pPr>
        <w:spacing w:after="0" w:line="117" w:lineRule="exact"/>
        <w:rPr>
          <w:sz w:val="20"/>
          <w:szCs w:val="20"/>
          <w:color w:val="auto"/>
        </w:rPr>
      </w:pPr>
    </w:p>
    <w:p>
      <w:pPr>
        <w:ind w:right="160" w:firstLine="445"/>
        <w:spacing w:after="0" w:line="279" w:lineRule="auto"/>
        <w:rPr>
          <w:sz w:val="20"/>
          <w:szCs w:val="20"/>
          <w:color w:val="auto"/>
        </w:rPr>
      </w:pPr>
      <w:r>
        <w:rPr>
          <w:rFonts w:ascii="Arial" w:cs="Arial" w:eastAsia="Arial" w:hAnsi="Arial"/>
          <w:sz w:val="17"/>
          <w:szCs w:val="17"/>
          <w:color w:val="auto"/>
        </w:rPr>
        <w:t>In the three months ended March 31,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 insurance premium payable to the protected cell for the three months ended March 31, 2021 and the protected cell’s assets and liabilities as of March 31, 2021 were immaterial.</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With the global impact of the COVID-19 pandemic, we have developed a comprehensive response strategy including establishing cross-functional response teams and implementing business continuity plans to manage the impact of the COVID-19 pandemic on our employees, patients and our business. Since the second quarter of 2020, we have been experiencing financial and other impacts of the pandemic, and given the global economic slowdown, the overall disruption of global healthcare systems and the other risks and uncertainties associated with the pandemic, we expect that our business, financial condition, results of operations and growth prospects will continue to be adversely affected in future quarters.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The extent of the impact on our ability to generate sales of and revenues from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as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w:t>
      </w:r>
    </w:p>
    <w:p>
      <w:pPr>
        <w:spacing w:after="0" w:line="60"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Our business has been substantially dependent on Xyrem and while we expect that our business will continue to be substantially dependent on oxybate product sales from both Xyrem and Xywav, there is no guarantee that we can maintain oxybate sales at or near historical levels, or that oxybate sales will continue to grow. Our ability to maintain or increase oxybate sales is subject to a number of risks and uncertainties including, without limitation, those related to the introduction of authorized generic and generic versions of sodium oxybate and/or new products for treatment of cataplexy and/or EDS in narcolepsy in the U.S. market, the current and potential impacts of the ongoing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payers, including our ability to obtain and maintain adequate coverage and reimbursement for Xywav, challenges to our intellectual property around Xyrem and Xywav, and continued acceptance of Xyrem by physicians and patients and acceptance of Xywav by payers, physicians and patients.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In addition to risks related specifically to Xyrem and Xywav, we are subject to other challenges and risks related to successfully commercializing a portfolio of oncology products and other neuroscience products, including Sunosi, Defitelio, Erwinaze, Vyxeos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candidates; effectively commercializing our recently approved products such as Sunosi, Zepzelca and Xywav; obtaining and maintaining adequate coverage and reimbursement for our products; increasing scrutiny of pharmaceutical product pricing and resulting changes in healthcare laws and policy; market acceptance;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pending acquisition of GW Pharmaceuticals plc, or GW, may not be completed on the currently contemplated timeline or terms, or at all, and even if consummated, the anticipated benefits of the pending acquisition to us may not be realized fully within the expected timeframe or at all or may take longer to realize or cost more than expected, which could materially and adversely affect our business, financial condition, results of operations and growth prospects. Moreover, to the extent the COVID-19 pandemic continues to adversely affect our business and results of operations, it may also have the effect of heightening many of the other risks and uncertainties discussed above. We discuss many of these risks, uncertainties and other risk factors in greater detail under Part I, Item 1A in our Annual Report on Form 10-K for the year ended December 31, 2020.</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March 31, 2021, we had foreign exchange forward contracts with notional amounts totaling $425.1 million. As of March 31, 2021, the outstanding foreign exchange forward contracts had a net liability fair value of $10.7 million. As of March 31, 2021, we had interest rate swap contracts with notional amounts totaling</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$300.0 million. These outstanding interest rate swap contracts had a net liability fair value of $1.5 million as of March 31, 2021. The counterparties to these contracts are large multinational commercial banks, and we believe the risk of nonperformance is not significant.</w:t>
      </w:r>
    </w:p>
    <w:p>
      <w:pPr>
        <w:spacing w:after="0" w:line="77"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March 31, 2021 and December 31, 2020, allowances on receivables were not material. As of March 31, 2021, two customers accounted for 81% of gross accounts receivable, Express Scripts Specialty Distribution Services, Inc. and its affiliates, or ESSDS, which accounted for 67% of gross accounts receivable, and McKesson Corporation and affiliates, or McKesson, which accounted for 14% of gross accounts receivable. As of December 31, 2020, two customers accounted for 80% of gross accounts receivable, ESSDS, which accounted for 68% of gross accounts receivable, and McKesson, which accounted for 12% of gross accounts receivable.</w:t>
      </w:r>
    </w:p>
    <w:p>
      <w:pPr>
        <w:spacing w:after="0" w:line="60"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Xyrem, the API is manufactured for us by a single source supplier and the finished product is manufactured both by us in our facility in Athlone, Ireland and by our U.S.-based Xyrem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This new standard will be effective for us for fiscal years beginning after December 15, 2021, including interim periods within those fiscal years. Early adoption is permitted, but no earlier than the fiscal year beginning after December 15, 2020. We may elect to apply the amendments on a retrospective or modified retrospective basis. We are currently evaluating the timing, method of adoption and overall impact of this standard on our consolidated financial statements.</w:t>
      </w:r>
    </w:p>
    <w:p>
      <w:pPr>
        <w:spacing w:after="0" w:line="296" w:lineRule="exact"/>
        <w:rPr>
          <w:sz w:val="20"/>
          <w:szCs w:val="20"/>
          <w:color w:val="auto"/>
        </w:rPr>
      </w:pPr>
    </w:p>
    <w:p>
      <w:pPr>
        <w:ind w:left="220" w:right="8940" w:hanging="212"/>
        <w:spacing w:after="0" w:line="425" w:lineRule="auto"/>
        <w:tabs>
          <w:tab w:leader="none" w:pos="19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 Agreement </w:t>
      </w:r>
      <w:r>
        <w:rPr>
          <w:rFonts w:ascii="Arial" w:cs="Arial" w:eastAsia="Arial" w:hAnsi="Arial"/>
          <w:sz w:val="16"/>
          <w:szCs w:val="16"/>
          <w:b w:val="1"/>
          <w:bCs w:val="1"/>
          <w:i w:val="1"/>
          <w:iCs w:val="1"/>
          <w:color w:val="auto"/>
        </w:rPr>
        <w:t>GW Transaction Agreement</w:t>
      </w:r>
    </w:p>
    <w:p>
      <w:pPr>
        <w:ind w:right="40" w:firstLine="441"/>
        <w:spacing w:after="0" w:line="257" w:lineRule="auto"/>
        <w:rPr>
          <w:sz w:val="20"/>
          <w:szCs w:val="20"/>
          <w:color w:val="auto"/>
        </w:rPr>
      </w:pPr>
      <w:r>
        <w:rPr>
          <w:rFonts w:ascii="Arial" w:cs="Arial" w:eastAsia="Arial" w:hAnsi="Arial"/>
          <w:sz w:val="18"/>
          <w:szCs w:val="18"/>
          <w:color w:val="auto"/>
        </w:rPr>
        <w:t>On February 3, 2021, we announced that we have entered into a definitive transaction agreement, or the GW Transaction Agreement, with GW under which a wholly-owned subsidiary of ours, Jazz Pharmaceuticals UK Holdings Limited, or Acquisition Sub, agreed to acquire GW. The GW Transaction Agreement provides, among other things, that subject to the satisfaction or waiver of the conditions set forth in the GW Transaction Agreement, Acquisition Sub will acquire the entire issued share capital of GW pursuant to a scheme of arrangement under Part 26 of the United Kingdom Companies Act 2006, or Scheme of Arrangement, which we refer to as the GW Acquisition.</w:t>
      </w:r>
    </w:p>
    <w:p>
      <w:pPr>
        <w:spacing w:after="0" w:line="80" w:lineRule="exact"/>
        <w:rPr>
          <w:sz w:val="20"/>
          <w:szCs w:val="20"/>
          <w:color w:val="auto"/>
        </w:rPr>
      </w:pPr>
    </w:p>
    <w:p>
      <w:pPr>
        <w:jc w:val="both"/>
        <w:ind w:right="220" w:firstLine="441"/>
        <w:spacing w:after="0" w:line="251" w:lineRule="auto"/>
        <w:rPr>
          <w:sz w:val="20"/>
          <w:szCs w:val="20"/>
          <w:color w:val="auto"/>
        </w:rPr>
      </w:pPr>
      <w:r>
        <w:rPr>
          <w:rFonts w:ascii="Arial" w:cs="Arial" w:eastAsia="Arial" w:hAnsi="Arial"/>
          <w:sz w:val="17"/>
          <w:szCs w:val="17"/>
          <w:color w:val="auto"/>
        </w:rPr>
        <w:t>Under the GW Transaction Agreement, at the effective time of the Scheme of Arrangement, all GW ordinary shares issued and outstanding will be transferred to Acquisition Sub, and the holders of GW ordinary shares will have the right to receive, for each such share, (a) $16.66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in cash and (b) an amount of our ordinary shares determined based on the exchange ratio, which exchange ratio will be determined as follows:</w:t>
      </w:r>
    </w:p>
    <w:p>
      <w:pPr>
        <w:spacing w:after="0" w:line="83" w:lineRule="exact"/>
        <w:rPr>
          <w:sz w:val="20"/>
          <w:szCs w:val="20"/>
          <w:color w:val="auto"/>
        </w:rPr>
      </w:pPr>
    </w:p>
    <w:p>
      <w:pPr>
        <w:ind w:left="740" w:right="200" w:hanging="327"/>
        <w:spacing w:after="0" w:line="266"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volume-weighted weighted average sales price of our ordinary shares, as determined in accordance with the GW Transaction Agreement, or the Defined VWAP, is greater than $139.72 but less than $170.76, the exchange ratio will be an amount equal to the quotient obtained by dividing (x) $1.66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by (y) the Defined VWAP;</w:t>
      </w:r>
    </w:p>
    <w:p>
      <w:pPr>
        <w:spacing w:after="0" w:line="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Defined VWAP is equal to or less than $139.72, the exchange ratio will be 0.011929; or</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Defined VWAP is an amount equal to or greater than $170.76, the exchange ratio will be 0.009760.</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Because each American Depositary Share in GW, or GW ADSs, represents a beneficial interest in 12 GW ordinary shares, holders of GW ADSs will be entitled to receive 12 times the foregoing cash and share amounts, or (1) $200.00 in cash and (2) $20.00 in the form of our ordinary shares with the actual number of our ordinary shares being determined based on the exchange ratio set out above. The total consideration to be paid by us for the entire issued share capital of GW is approximately $7.2 billion.</w:t>
      </w:r>
    </w:p>
    <w:p>
      <w:pPr>
        <w:spacing w:after="0" w:line="79"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7"/>
          <w:szCs w:val="17"/>
          <w:color w:val="auto"/>
        </w:rPr>
        <w:t>The GW Transaction Agreement contains customary representations and warranties given by GW and us, covenants regarding the conduct of GW’s business prior to the consummation of the GW Acquisition, termination rights and other customary provisions. The GW Acquisition is expected to close in the first half of May 2021, subject to the satisfaction or waiver of the conditions set forth in the GW Transaction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2,432,533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2,432,533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2,097,533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Cash and</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1"/>
                <w:szCs w:val="11"/>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$1.2 million and $4.4 million in the three months ended March 31, 2021 and 2020,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that were measured at fair value on a recurring basis and were categorized using the fair value hierarchy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Active</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285,677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255,652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285,677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1,295,488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1,581,165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1,627,559</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As of March 31, 2021, our available-for-sale securities included time deposits and money market funds and their carrying values were approximately equal to their fair values. Time deposits were measured at fair value using Level 2 inputs and money market funds were measured using quoted prices in active markets, which represent Level 1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340" w:firstLine="445"/>
        <w:spacing w:after="0" w:line="263" w:lineRule="auto"/>
        <w:rPr>
          <w:sz w:val="20"/>
          <w:szCs w:val="20"/>
          <w:color w:val="auto"/>
        </w:rPr>
      </w:pPr>
      <w:r>
        <w:rPr>
          <w:rFonts w:ascii="Arial" w:cs="Arial" w:eastAsia="Arial" w:hAnsi="Arial"/>
          <w:sz w:val="18"/>
          <w:szCs w:val="18"/>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2021 or 2020.</w:t>
      </w:r>
    </w:p>
    <w:p>
      <w:pPr>
        <w:spacing w:after="0" w:line="117" w:lineRule="exact"/>
        <w:rPr>
          <w:sz w:val="20"/>
          <w:szCs w:val="20"/>
          <w:color w:val="auto"/>
        </w:rPr>
      </w:pPr>
    </w:p>
    <w:p>
      <w:pPr>
        <w:jc w:val="both"/>
        <w:ind w:right="360" w:firstLine="445"/>
        <w:spacing w:after="0" w:line="263" w:lineRule="auto"/>
        <w:rPr>
          <w:sz w:val="20"/>
          <w:szCs w:val="20"/>
          <w:color w:val="auto"/>
        </w:rPr>
      </w:pPr>
      <w:r>
        <w:rPr>
          <w:rFonts w:ascii="Arial" w:cs="Arial" w:eastAsia="Arial" w:hAnsi="Arial"/>
          <w:sz w:val="18"/>
          <w:szCs w:val="18"/>
          <w:color w:val="auto"/>
        </w:rPr>
        <w:t>As of March 31, 2021, the carrying amount of investments measured using the measurement alternative for equity investments without a readily determinable fair value was $4.5 million. The carrying amount, which is recorded within other non-current assets, represents the purchase price paid in 2018.</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As of March 31, 2021, the estimated fair values of our 1.875% exchangeable senior notes due 2021, or the 2021 Notes, our 1.50% exchangeable senior notes due 2024, or the 2024 Notes, and our 2.00% exchangeable senior notes due 2026, or the 2026 Notes, were approximately $224 million, $625 million and $1.3 billion, respectively. The fair values of the 2021 Notes, the 2024 Notes and the 2026 Notes, which we refer to collectively as the Exchangeable Senior Notes, were estimated using quoted market prices obtained from brokers (Level 2). The estimated fair value of our borrowing under our term loan was approximately equal to its book value based on the borrowing rates currently available for variable rate loans (Level 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We are exposed to certain risks arising from operating internationally, including fluctuations in interest rates on our outstanding term loan borrowings and fluctuations in foreign exchange rates primarily related to the translation of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4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which are effective until July 2021. These agreements hedge contractual term loan interest rates. As of March 31, 2021 and December 31, 2020, the interest rate swap agreements had a notional amount of $300.0 million. As a result of these agreements, the interest rate on a portion of our term loan borrowings was fixed at 1.895%, plus the borrowing spread, until July 12, 2021.</w:t>
      </w:r>
    </w:p>
    <w:p>
      <w:pPr>
        <w:spacing w:after="0" w:line="7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as, and that qualify as, cash flow hedges is recorded in accumulated other comprehensive loss and is subsequently reclassified into earnings in the period that the hedged forecasted transaction affects earnings. The impact on accumulated other comprehensive income (loss) and earnings from derivative instruments that qualified as cash flow hedges for the three months ended March 31, 2021 and 2020 was as follows (in thousands):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center"/>
              <w:ind w:left="521"/>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r>
      <w:tr>
        <w:trPr>
          <w:trHeight w:val="186"/>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6"/>
                <w:szCs w:val="16"/>
                <w:color w:val="auto"/>
              </w:rPr>
            </w:pPr>
          </w:p>
        </w:tc>
      </w:tr>
      <w:tr>
        <w:trPr>
          <w:trHeight w:val="184"/>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Interest Rate Contracts:</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Loss recognized in accumulated other comprehensive loss, net of tax</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Loss reclassified from accumulated other comprehensive loss to interest expense, net of tax</w:t>
            </w:r>
          </w:p>
        </w:tc>
        <w:tc>
          <w:tcPr>
            <w:tcW w:w="40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147" w:lineRule="exact"/>
        <w:rPr>
          <w:sz w:val="20"/>
          <w:szCs w:val="20"/>
          <w:color w:val="auto"/>
        </w:rPr>
      </w:pPr>
    </w:p>
    <w:p>
      <w:pPr>
        <w:ind w:right="340" w:firstLine="445"/>
        <w:spacing w:after="0" w:line="308" w:lineRule="auto"/>
        <w:rPr>
          <w:sz w:val="20"/>
          <w:szCs w:val="20"/>
          <w:color w:val="auto"/>
        </w:rPr>
      </w:pPr>
      <w:r>
        <w:rPr>
          <w:rFonts w:ascii="Arial" w:cs="Arial" w:eastAsia="Arial" w:hAnsi="Arial"/>
          <w:sz w:val="16"/>
          <w:szCs w:val="16"/>
          <w:color w:val="auto"/>
        </w:rPr>
        <w:t>A</w:t>
      </w:r>
      <w:r>
        <w:rPr>
          <w:rFonts w:ascii="Arial" w:cs="Arial" w:eastAsia="Arial" w:hAnsi="Arial"/>
          <w:sz w:val="17"/>
          <w:szCs w:val="17"/>
          <w:color w:val="auto"/>
        </w:rPr>
        <w:t>ssuming no change in London Inter-Bank Offered Rate, or LIBOR, based interest rates from market rates as of March 31, 2021, $1.3 million of</w:t>
      </w:r>
      <w:r>
        <w:rPr>
          <w:rFonts w:ascii="Arial" w:cs="Arial" w:eastAsia="Arial" w:hAnsi="Arial"/>
          <w:sz w:val="16"/>
          <w:szCs w:val="16"/>
          <w:color w:val="auto"/>
        </w:rPr>
        <w:t xml:space="preserve"> </w:t>
      </w:r>
      <w:r>
        <w:rPr>
          <w:rFonts w:ascii="Arial" w:cs="Arial" w:eastAsia="Arial" w:hAnsi="Arial"/>
          <w:sz w:val="17"/>
          <w:szCs w:val="17"/>
          <w:color w:val="auto"/>
        </w:rPr>
        <w:t>losses, net of tax, recognized in accumulated other comprehensive loss will be reclassified to earnings over the next 12 months.</w:t>
      </w:r>
    </w:p>
    <w:p>
      <w:pPr>
        <w:spacing w:after="0" w:line="38"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March 31, 2021 and December 31, 2020, the notional amount of foreign exchange contracts where hedge accounting is not applied was $425.1 million and $357.4 million, respectively.</w:t>
      </w:r>
    </w:p>
    <w:p>
      <w:pPr>
        <w:spacing w:after="0" w:line="80"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 foreign exchange gain (loss) in our condensed consolidated statements of income (loss) included the following losses associated with foreign exchange contracts not designated as hedging instruments (in thousands):</w:t>
      </w:r>
    </w:p>
    <w:p>
      <w:pPr>
        <w:spacing w:after="0" w:line="138"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Foreign Exchange Forward Contracts:</w:t>
            </w: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r>
    </w:tbl>
    <w:p>
      <w:pPr>
        <w:spacing w:after="0" w:line="148"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The cash flow effects of our derivative contracts for the three months ended March 31, 2021 and 2020 are included within net cash provided by operating activities in the condensed consolidated statements of cash flows.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875"/>
              <w:spacing w:after="0"/>
              <w:rPr>
                <w:sz w:val="20"/>
                <w:szCs w:val="20"/>
                <w:color w:val="auto"/>
              </w:rPr>
            </w:pPr>
            <w:r>
              <w:rPr>
                <w:rFonts w:ascii="Arial" w:cs="Arial" w:eastAsia="Arial" w:hAnsi="Arial"/>
                <w:sz w:val="14"/>
                <w:szCs w:val="14"/>
                <w:b w:val="1"/>
                <w:bCs w:val="1"/>
                <w:color w:val="auto"/>
              </w:rPr>
              <w:t>Liability Derivatives</w:t>
            </w:r>
          </w:p>
        </w:tc>
        <w:tc>
          <w:tcPr>
            <w:tcW w:w="40" w:type="dxa"/>
            <w:vAlign w:val="bottom"/>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r>
      <w:tr>
        <w:trPr>
          <w:trHeight w:val="211"/>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Interest rate contracts</w:t>
            </w:r>
          </w:p>
        </w:tc>
        <w:tc>
          <w:tcPr>
            <w:tcW w:w="4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1,527</w:t>
            </w:r>
          </w:p>
        </w:tc>
        <w:tc>
          <w:tcPr>
            <w:tcW w:w="40" w:type="dxa"/>
            <w:vAlign w:val="bottom"/>
          </w:tcPr>
          <w:p>
            <w:pPr>
              <w:spacing w:after="0"/>
              <w:rPr>
                <w:sz w:val="19"/>
                <w:szCs w:val="19"/>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5"/>
              </w:rPr>
              <w:t>Other current assets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3"/>
          </w:tcPr>
          <w:p>
            <w:pPr>
              <w:jc w:val="center"/>
              <w:ind w:right="140"/>
              <w:spacing w:after="0"/>
              <w:rPr>
                <w:sz w:val="20"/>
                <w:szCs w:val="20"/>
                <w:color w:val="auto"/>
              </w:rPr>
            </w:pPr>
            <w:r>
              <w:rPr>
                <w:rFonts w:ascii="Arial" w:cs="Arial" w:eastAsia="Arial" w:hAnsi="Arial"/>
                <w:sz w:val="18"/>
                <w:szCs w:val="18"/>
                <w:color w:val="auto"/>
                <w:w w:val="94"/>
              </w:rPr>
              <w:t>Accrued liabilities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40" w:type="dxa"/>
            <w:vAlign w:val="bottom"/>
          </w:tcPr>
          <w:p>
            <w:pPr>
              <w:spacing w:after="0"/>
              <w:rPr>
                <w:sz w:val="19"/>
                <w:szCs w:val="19"/>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4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7"/>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bottom w:val="single" w:sz="8" w:color="auto"/>
            </w:tcBorders>
            <w:gridSpan w:val="6"/>
          </w:tcPr>
          <w:p>
            <w:pPr>
              <w:jc w:val="right"/>
              <w:ind w:right="937"/>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20" w:type="dxa"/>
            <w:vAlign w:val="bottom"/>
            <w:tcBorders>
              <w:bottom w:val="single" w:sz="8" w:color="auto"/>
            </w:tcBorders>
            <w:gridSpan w:val="6"/>
          </w:tcPr>
          <w:p>
            <w:pPr>
              <w:jc w:val="right"/>
              <w:ind w:right="835"/>
              <w:spacing w:after="0"/>
              <w:rPr>
                <w:sz w:val="20"/>
                <w:szCs w:val="20"/>
                <w:color w:val="auto"/>
              </w:rPr>
            </w:pPr>
            <w:r>
              <w:rPr>
                <w:rFonts w:ascii="Arial" w:cs="Arial" w:eastAsia="Arial" w:hAnsi="Arial"/>
                <w:sz w:val="14"/>
                <w:szCs w:val="14"/>
                <w:b w:val="1"/>
                <w:bCs w:val="1"/>
                <w:color w:val="auto"/>
              </w:rPr>
              <w:t>Liability Derivatives</w:t>
            </w:r>
          </w:p>
        </w:tc>
        <w:tc>
          <w:tcPr>
            <w:tcW w:w="40" w:type="dxa"/>
            <w:vAlign w:val="bottom"/>
            <w:tcBorders>
              <w:bottom w:val="single" w:sz="8" w:color="auto"/>
            </w:tcBorders>
          </w:tcPr>
          <w:p>
            <w:pPr>
              <w:spacing w:after="0"/>
              <w:rPr>
                <w:sz w:val="16"/>
                <w:szCs w:val="16"/>
                <w:color w:val="auto"/>
              </w:rPr>
            </w:pPr>
          </w:p>
        </w:tc>
      </w:tr>
      <w:tr>
        <w:trPr>
          <w:trHeight w:val="183"/>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17"/>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Balance Sheet Location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5"/>
                <w:szCs w:val="15"/>
                <w:color w:val="auto"/>
              </w:rPr>
            </w:pPr>
          </w:p>
        </w:tc>
      </w:tr>
      <w:tr>
        <w:trPr>
          <w:trHeight w:val="211"/>
        </w:trPr>
        <w:tc>
          <w:tcPr>
            <w:tcW w:w="4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4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4"/>
              </w:rPr>
              <w:t>Other current assets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Accrued liabilities</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2,835</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w w:val="94"/>
              </w:rPr>
              <w:t>Other current assets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3"/>
          </w:tcPr>
          <w:p>
            <w:pPr>
              <w:jc w:val="center"/>
              <w:ind w:right="80"/>
              <w:spacing w:after="0"/>
              <w:rPr>
                <w:sz w:val="20"/>
                <w:szCs w:val="20"/>
                <w:color w:val="auto"/>
              </w:rPr>
            </w:pPr>
            <w:r>
              <w:rPr>
                <w:rFonts w:ascii="Arial" w:cs="Arial" w:eastAsia="Arial" w:hAnsi="Arial"/>
                <w:sz w:val="18"/>
                <w:szCs w:val="18"/>
                <w:color w:val="auto"/>
                <w:w w:val="96"/>
              </w:rPr>
              <w:t>Accrued liabilities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4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March 31, 2021</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2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Net Amounts of</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Sheet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Gross Amounts of</w:t>
            </w:r>
          </w:p>
        </w:tc>
        <w:tc>
          <w:tcPr>
            <w:tcW w:w="2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1"/>
                <w:szCs w:val="11"/>
                <w:color w:val="auto"/>
              </w:rPr>
            </w:pPr>
          </w:p>
        </w:tc>
        <w:tc>
          <w:tcPr>
            <w:tcW w:w="12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Cash Collateral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88"/>
        </w:trPr>
        <w:tc>
          <w:tcPr>
            <w:tcW w:w="3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Instruments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(Pledged)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20" w:type="dxa"/>
            <w:vAlign w:val="bottom"/>
            <w:gridSpan w:val="12"/>
          </w:tcPr>
          <w:p>
            <w:pPr>
              <w:jc w:val="center"/>
              <w:ind w:right="160"/>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Amounts of</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Sheet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Gross Amounts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1"/>
                <w:szCs w:val="11"/>
                <w:color w:val="auto"/>
              </w:rPr>
            </w:pPr>
          </w:p>
        </w:tc>
        <w:tc>
          <w:tcPr>
            <w:tcW w:w="12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Cash Collateral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20" w:type="dxa"/>
            <w:vAlign w:val="bottom"/>
          </w:tcPr>
          <w:p>
            <w:pPr>
              <w:spacing w:after="0"/>
              <w:rPr>
                <w:sz w:val="11"/>
                <w:szCs w:val="11"/>
                <w:color w:val="auto"/>
              </w:rPr>
            </w:pP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Presented in the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Recognized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Financial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Assets/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(Pledged)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(2,207)</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94"/>
              </w:rPr>
              <w:t>(3,625)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9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23,415</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52,117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39,943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115,475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gridSpan w:val="9"/>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Balance at December 31, 2020</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gridSpan w:val="16"/>
            <w:vMerge w:val="restart"/>
          </w:tcPr>
          <w:p>
            <w:pPr>
              <w:ind w:left="460"/>
              <w:spacing w:after="0"/>
              <w:rPr>
                <w:sz w:val="20"/>
                <w:szCs w:val="20"/>
                <w:color w:val="auto"/>
              </w:rPr>
            </w:pPr>
            <w:r>
              <w:rPr>
                <w:rFonts w:ascii="Arial" w:cs="Arial" w:eastAsia="Arial" w:hAnsi="Arial"/>
                <w:sz w:val="18"/>
                <w:szCs w:val="18"/>
                <w:color w:val="auto"/>
                <w:w w:val="99"/>
              </w:rPr>
              <w:t>The gross carrying amounts and net book values of our intangible assets were as follows (in thousands):</w:t>
            </w: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760" w:type="dxa"/>
            <w:vAlign w:val="bottom"/>
            <w:gridSpan w:val="16"/>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3,326,448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(1,218,402)</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2,108,046</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3,379,162</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(1,184,111)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60" w:type="dxa"/>
            <w:vAlign w:val="bottom"/>
            <w:gridSpan w:val="5"/>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(2,917)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3,341,902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(1,233,856)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2,108,046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2,195,051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The decrease in the gross carrying amount of intangible assets as of March 31, 2021 compared to December 31, 2020 reflects the negative impact of foreign currency translation adjustments due to the weakening of the euro against the U.S. dollar.</w:t>
      </w:r>
    </w:p>
    <w:p>
      <w:pPr>
        <w:spacing w:after="0" w:line="6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Based on finite-lived intangible assets recorded as of March 31, 2021, and assuming the underlying assets will not be impaired and that we will not change the expected lives of the assets, future amortization expenses were estimated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Estimated Amortization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152,570</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172,486</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172,486</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172,486</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1,265,532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2,108,046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47,440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47,555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22,781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193,852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195,523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1"/>
                <w:szCs w:val="21"/>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102,601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returns reserve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Royalties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and professional services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Inventory-related accruals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accruals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collaboration expenses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construction-in-progress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2021 Notes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212,929</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2024 Notes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(95,275)</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479,725</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2026 Notes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820,482</w:t>
            </w:r>
          </w:p>
        </w:tc>
      </w:tr>
      <w:tr>
        <w:trPr>
          <w:trHeight w:val="270"/>
        </w:trPr>
        <w:tc>
          <w:tcPr>
            <w:tcW w:w="778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2,101,646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2,094,838</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1,853,033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1,848,516</w:t>
            </w:r>
          </w:p>
        </w:tc>
      </w:tr>
      <w:tr>
        <w:trPr>
          <w:trHeight w:val="21"/>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58"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As of March 31, 2021, the carrying values of the equity component of the 2021 Notes, 2024 Notes and the 2026 Notes, net of equity issuance costs, were $114.4 million, $149.8 million and $176.3 million,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maturities with respect to our long-term debt principal balances outstanding as of March 31, 2021 were as follows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243,852</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517,494</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2,369,733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lease expense for the three months ended March 31, 2021 and 2020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r>
      <w:tr>
        <w:trPr>
          <w:trHeight w:val="186"/>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84"/>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54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Classification</w:t>
            </w: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760" w:type="dxa"/>
            <w:vAlign w:val="bottom"/>
            <w:tcBorders>
              <w:bottom w:val="single" w:sz="8" w:color="CCEEFF"/>
            </w:tcBorders>
            <w:vMerge w:val="continue"/>
          </w:tcPr>
          <w:p>
            <w:pPr>
              <w:spacing w:after="0"/>
              <w:rPr>
                <w:sz w:val="16"/>
                <w:szCs w:val="16"/>
                <w:color w:val="auto"/>
              </w:rPr>
            </w:pPr>
          </w:p>
        </w:tc>
        <w:tc>
          <w:tcPr>
            <w:tcW w:w="54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5480" w:type="dxa"/>
            <w:vAlign w:val="bottom"/>
          </w:tcPr>
          <w:p>
            <w:pPr>
              <w:ind w:left="52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125,738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3"/>
                <w:szCs w:val="23"/>
                <w:color w:val="auto"/>
              </w:rPr>
            </w:pPr>
          </w:p>
        </w:tc>
        <w:tc>
          <w:tcPr>
            <w:tcW w:w="5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548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5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liabilities</w:t>
            </w:r>
          </w:p>
        </w:tc>
        <w:tc>
          <w:tcPr>
            <w:tcW w:w="5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Operating lease liabilities, less current portion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vMerge w:val="restart"/>
          </w:tcPr>
          <w:p>
            <w:pPr>
              <w:spacing w:after="0"/>
              <w:rPr>
                <w:sz w:val="20"/>
                <w:szCs w:val="20"/>
                <w:color w:val="auto"/>
              </w:rPr>
            </w:pPr>
            <w:r>
              <w:rPr>
                <w:rFonts w:ascii="Arial" w:cs="Arial" w:eastAsia="Arial" w:hAnsi="Arial"/>
                <w:sz w:val="14"/>
                <w:szCs w:val="14"/>
                <w:b w:val="1"/>
                <w:bCs w:val="1"/>
                <w:color w:val="auto"/>
              </w:rPr>
              <w:t>Lease Term and Discount Rate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9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9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 (years)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960" w:type="dxa"/>
            <w:vAlign w:val="bottom"/>
          </w:tcPr>
          <w:p>
            <w:pPr>
              <w:ind w:left="44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gridSpan w:val="6"/>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07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6,293</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operating lease liabilities were as follows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9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22,265</w:t>
            </w: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22,352</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24,192</w:t>
            </w: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w:t>
            </w:r>
          </w:p>
        </w:tc>
      </w:tr>
      <w:tr>
        <w:trPr>
          <w:trHeight w:val="230"/>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86,495</w:t>
            </w:r>
          </w:p>
        </w:tc>
      </w:tr>
      <w:tr>
        <w:trPr>
          <w:trHeight w:val="223"/>
        </w:trPr>
        <w:tc>
          <w:tcPr>
            <w:tcW w:w="9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189,718</w:t>
            </w:r>
          </w:p>
        </w:tc>
      </w:tr>
      <w:tr>
        <w:trPr>
          <w:trHeight w:val="230"/>
        </w:trPr>
        <w:tc>
          <w:tcPr>
            <w:tcW w:w="9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(39,650)</w:t>
            </w:r>
          </w:p>
        </w:tc>
      </w:tr>
      <w:tr>
        <w:trPr>
          <w:trHeight w:val="248"/>
        </w:trPr>
        <w:tc>
          <w:tcPr>
            <w:tcW w:w="9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March 31, 2021 and December 31, 2020.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As of March 31, 2021, we had $88.8 million of noncancelable purchase commitments due within one year, primarily related to agreements with third party manufacturers and marketing campaigns.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From June 2020 to March 2021, a number of class action lawsuits were filed on behalf of purported direct and indirect Xyrem purchasers, alleging that the patent litigation settlement agreements we entered with Hikma and other ANDA filers violate state and federal antitrust and consumer protection laws, as follows: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80"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880" w:firstLine="445"/>
        <w:spacing w:after="0" w:line="277"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Pharmaceuticals plc, and Roxane Laboratories, Inc., West-Ward Pharmaceuticals Corp., Hikma Labs Inc., Hikma Pharmaceuticals USA Inc., and Hikma Pharmaceuticals plc, or, collectively, the City of Providence Defendants.</w:t>
      </w:r>
    </w:p>
    <w:p>
      <w:pPr>
        <w:spacing w:after="0" w:line="62"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the Self-Insured Schools Lawsuit).</w:t>
      </w:r>
    </w:p>
    <w:p>
      <w:pPr>
        <w:spacing w:after="0" w:line="87"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December 2020, these cases were centralized and transferred to the United States District Court for the Northern District of California, where the multidistrict litigation will proceed for the purpose of discovery and pre-trial proceedings. In January 2021, the Court issued a Case Management Order that schedules this case for trial in February 2023.</w:t>
      </w:r>
    </w:p>
    <w:p>
      <w:pPr>
        <w:spacing w:after="0" w:line="76"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right="120" w:firstLine="445"/>
        <w:spacing w:after="0" w:line="275"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New York by James Farrell, referred to as the Farrell Lawsuit, and an additional suit was filed in New York state court by Brian Levy, or the Levy Lawsuit. In addition to Jazz Pharmaceuticals plc, Jazz Pharmaceuticals UK Holdings Ltd., GW Pharmaceuticals plc, and the GW Board of Directors are named as defendants in the Farrell Lawsuit. In the Levy Lawsuit, GW Pharmaceuticals plc, the GW Board of Directors,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84"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Jazz does not believe any of GW’s supplemental disclosures were material or required by law, and further believes that the claims in the Transaction Litigation are meritless. Jazz will continue to defend itself in the remaining Transaction Litigation.</w:t>
      </w:r>
    </w:p>
    <w:p>
      <w:pPr>
        <w:spacing w:after="0" w:line="6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November 2016, our board of directors authorized a share repurchase program and as of March 31,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During the three months ended March 31, 2021, we did not repurchase any of our ordinary shares. As of March 31, 2021, the remaining amount authorized under the share repurchase program was $431.2 million.</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other comprehensive income (loss) as of March 31, 2021 and December 31, 2020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(46,236)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During the three months ended March 31, 2021, other comprehensive loss reflects foreign currency translation adjustments, primarily due to the weakening of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Ordinary Share</w:t>
      </w:r>
    </w:p>
    <w:p>
      <w:pPr>
        <w:spacing w:after="0" w:line="121" w:lineRule="exact"/>
        <w:rPr>
          <w:sz w:val="20"/>
          <w:szCs w:val="20"/>
          <w:color w:val="auto"/>
        </w:rPr>
      </w:pPr>
    </w:p>
    <w:p>
      <w:pPr>
        <w:ind w:right="30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3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121,832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(157,833)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Weighted-average ordinary shares used in per share calculations - basic</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55,956</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employee equity incentive and purchase plans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Exchangeable Senior Notes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ordinary shares used in per share calculations - diluted</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ind w:right="795"/>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the assumed issuance of ordinary shares under our employee stock purchase plan, or ESPP, and the assumed issuance of ordinary shares upon exchange of the Exchangeable Senior Notes. The potential issue of ordinary shares issuable upon exchange of the Exchangeable Senior Notes had no effect on diluted net income (loss) per ordinary share for the three months ended March 31, 2020 because the average price of our ordinary shares for the three months ended March 31, 2020 did not exceed the effective exchange prices per ordinary share of the Exchangeable Senior Notes.</w:t>
      </w:r>
    </w:p>
    <w:p>
      <w:pPr>
        <w:spacing w:after="0" w:line="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5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8860" w:type="dxa"/>
            <w:vAlign w:val="bottom"/>
            <w:gridSpan w:val="2"/>
          </w:tcPr>
          <w:p>
            <w:pPr>
              <w:ind w:left="20"/>
              <w:spacing w:after="0"/>
              <w:rPr>
                <w:sz w:val="20"/>
                <w:szCs w:val="20"/>
                <w:color w:val="auto"/>
              </w:rPr>
            </w:pPr>
            <w:r>
              <w:rPr>
                <w:rFonts w:ascii="Arial" w:cs="Arial" w:eastAsia="Arial" w:hAnsi="Arial"/>
                <w:sz w:val="18"/>
                <w:szCs w:val="18"/>
                <w:color w:val="auto"/>
              </w:rPr>
              <w:t>Options, RSUs and ESPP</w:t>
            </w:r>
          </w:p>
        </w:tc>
        <w:tc>
          <w:tcPr>
            <w:tcW w:w="58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2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335,550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407,875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Oxybate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410,966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407,875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Sunosi</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422,572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Zepzelca</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32,720</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47,432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37,732</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Oncology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178,176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117,884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603,531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530,205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607,581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534,726</w:t>
            </w:r>
          </w:p>
        </w:tc>
      </w:tr>
      <w:tr>
        <w:trPr>
          <w:trHeight w:val="21"/>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1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548,292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477,789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41,556</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607,581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534,726</w:t>
            </w:r>
          </w:p>
        </w:tc>
      </w:tr>
      <w:tr>
        <w:trPr>
          <w:trHeight w:val="21"/>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49"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13 %</w:t>
            </w:r>
          </w:p>
        </w:tc>
      </w:tr>
    </w:tbl>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180" w:firstLine="445"/>
        <w:spacing w:after="0" w:line="275" w:lineRule="auto"/>
        <w:rPr>
          <w:sz w:val="20"/>
          <w:szCs w:val="20"/>
          <w:color w:val="auto"/>
        </w:rPr>
      </w:pPr>
      <w:r>
        <w:rPr>
          <w:rFonts w:ascii="Arial" w:cs="Arial" w:eastAsia="Arial" w:hAnsi="Arial"/>
          <w:sz w:val="17"/>
          <w:szCs w:val="17"/>
          <w:color w:val="auto"/>
        </w:rPr>
        <w:t>The deferred revenue balance as of March 31, 2021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$0.6 million during the three months ended March 31, 2021, relating to these upfront payments. The deferred revenue balances are being recognized over an average of four years representing the period over which we expect to perform our research and developments obligations under each agreement.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three months ended March 31, 2021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Share-based compensation expense related to share options, RSUs and grants under our ESPP was as follows (in thousands):</w:t>
      </w:r>
    </w:p>
    <w:p>
      <w:pPr>
        <w:spacing w:after="0" w:line="12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34,485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28,654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27,898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25,533</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33"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Three Months Ended</w:t>
      </w:r>
    </w:p>
    <w:p>
      <w:pPr>
        <w:jc w:val="center"/>
        <w:ind w:left="75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6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3"/>
              <w:spacing w:after="0"/>
              <w:rPr>
                <w:sz w:val="20"/>
                <w:szCs w:val="20"/>
                <w:color w:val="auto"/>
              </w:rPr>
            </w:pPr>
            <w:r>
              <w:rPr>
                <w:rFonts w:ascii="Arial" w:cs="Arial" w:eastAsia="Arial" w:hAnsi="Arial"/>
                <w:sz w:val="18"/>
                <w:szCs w:val="18"/>
                <w:color w:val="auto"/>
              </w:rPr>
              <w:t>33.65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0.4-0.8%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0.8-1.6%</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15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169.87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114.19</w:t>
            </w:r>
          </w:p>
        </w:tc>
      </w:tr>
    </w:tbl>
    <w:p>
      <w:pPr>
        <w:spacing w:after="0" w:line="14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62" w:lineRule="exact"/>
        <w:rPr>
          <w:sz w:val="20"/>
          <w:szCs w:val="20"/>
          <w:color w:val="auto"/>
        </w:rPr>
      </w:pPr>
    </w:p>
    <w:p>
      <w:pPr>
        <w:ind w:right="420" w:firstLine="445"/>
        <w:spacing w:after="0" w:line="308" w:lineRule="auto"/>
        <w:rPr>
          <w:sz w:val="20"/>
          <w:szCs w:val="20"/>
          <w:color w:val="auto"/>
        </w:rPr>
      </w:pPr>
      <w:r>
        <w:rPr>
          <w:rFonts w:ascii="Arial" w:cs="Arial" w:eastAsia="Arial" w:hAnsi="Arial"/>
          <w:sz w:val="17"/>
          <w:szCs w:val="17"/>
          <w:color w:val="auto"/>
        </w:rPr>
        <w:t>As of March 31, 2021, compensation cost not yet recognized related to unvested share options and RSUs was $52.0 million and $275.1 million, respectively, which is expected to be recognized over a weighted-average period of 2.2 years and 3.2 years, respectively.</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income tax provision was $18.0 million in the three months ended March 31, 2021, compared to an income tax benefit of $51.3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2020. The effective tax rate was 13.3% in the three months ended March 31, 2021 compared to 24.5% for the same period in 2020.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the effective tax rate for the three months ended March 31, 2021 compared to the same period in 2020 was primarily due to the impact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defibrotide acquired in-process research and development, or IPR&amp;D, asset impairment charge and the acquired IPR&amp;D expense relating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 million upfront payment to Pharma Mar, S.A., or PharmaMar, for the exclusive U.S. commercialization and development rights to Zepzelca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2020, and changes in income mix among the various jurisdictions in which we operate. The effective tax rate for the three months ended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higher than the Irish statutory rate of 12.5% primarily due to the impact of various expenses not deductible for tax purposes, income taxable at a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than the Irish statutory rate and uncertain tax positions, partially offset by deductions available in respect of subsidiary equity and originating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credits. We do not provide for Irish income taxes on undistributed earnings of our foreign operations that are intended to be indefinitely reinvested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0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net deferred tax asset is comprised primarily of U.S. federal and state tax credits, U.S. federal and state and foreign net operating loss carryforwards and other temporary differences, and is net of deferred tax liabilities related to acquired intangible assets.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and the U.S. (both at the federal level and in various state jurisdictions). For Ireland we are no longer subject to income tax audits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2016 and earlier may still be adjusted upon examination by the tax authorities. During the three months ended March 31, 2021, certain of our subsidiaries were under examination by the French tax authorities for the years ended December 31, 2012, 2013 and 2015 through 2019. Due to the subjective nature of the transfer pricing issues involved, the Company reached an agreement with the French tax authorities to settle the audits for all open years. The settlement agreement in respect of 2012 and 2013 has been finalized and the Company paid incremental taxes, interest and penalties of $18.6 million during the three months ended March 31, 2021 to close the audit of those periods. Settlements in respect of 2015 through 2019 are also expected to be finalized and paid in 2021, and $1.1 million has been accrued in this respect. Certain of our Italian subsidiaries are currently under examination by the Italian tax authorities for the year ended December 31, 2017. Certain of our Luxembourg subsidiaries are currently under examination by the Luxembourg tax authorities for the years ended December 31, 2017 and 2018. Our German subsidiary is currently under examination by the German tax authorities for the years ended 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Pending GW Acquisition</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respective obligations of GW and us to consummate the GW Acquisition are subject to the satisfaction or waiver of a number of customary conditions, including obtaining certain regulatory approvals and obtaining sanction of the Scheme of Arrangement by the High Court of Justice of England and Wales. Certain conditions have been satisfied, including expiration of the applicable waiting period under the Hart-Scott-Rodino Antitrust Improvements Act of 1976 and the approval by GW’s shareholders of the Scheme of Arrangement. The GW Acquisition is not subject to approval by our shareholders, nor is the GW Acquisition subject to a financing contingency. The GW Acquisition is expected to close in the first half of May 2021, subject to the satisfaction or waiver of the conditions set forth in the GW Transaction Agreement.</w:t>
      </w:r>
    </w:p>
    <w:p>
      <w:pPr>
        <w:spacing w:after="0" w:line="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 February 3, 2021, in connection with the execution of the GW Transaction Agreement, we entered into a commitment letter with BofA Securities, Inc., Bank of America, N.A. and JPMorgan Chase Bank, N.A. pursuant to which these commitment parties have committed to provide us with a senior secured revolving credit facility in an aggregate principal amount of up to $500.0 million, a senior secured term loan B facility in an aggregate principal amount of up to $3.15 billion and a senior secured bridge loan facility in an aggregate principal amount of up to $2.2 billion to, among other things, finance our obligations in respect of the GW Acquisition. The effectiveness of such credit facilities is subject to the occurrence of customary closing conditions, including the consummation of the GW Acquisition.</w:t>
      </w:r>
    </w:p>
    <w:p>
      <w:pPr>
        <w:spacing w:after="0" w:line="8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 April 20, 2021, we and certain of our wholly-owned subsidiaries, entered into Amendment No. 3 to our Credit Agreement, dated as of June 18, 2015, or the Existing Credit Agreement, with the lenders party thereto and Bank of America, N.A., as administrative agent, collateral agent, letter of credit issuer and swing line lender. The Amendment No. 3 amended the Existing Credit Agreement to permit the issuance of senior secured notes and made certain related changes as set forth therein.</w:t>
      </w:r>
    </w:p>
    <w:p>
      <w:pPr>
        <w:spacing w:after="0" w:line="7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On April 29, 2021, our wholly-owned subsidiary, Jazz Securities Designated Activity Company, issued $1.5 billion in aggregate principal amount of 4.375% senior secured notes due 2029.</w:t>
      </w:r>
    </w:p>
    <w:p>
      <w:pPr>
        <w:spacing w:after="0" w:line="62"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Concurrently with the closing of the GW Acquisition, we expect to enter into new senior secured credit facilities, which is expected to consist of a $500.0 million revolving credit facility and a term loan B facility in an aggregate amount of approximately $3.85 billion. We expect to use term loan B borrowings under new senior secured credit facilities and the net proceeds from the senior secured notes, together with cash on hand to fund the cash consideration payable in connection with the GW Acquisition. The senior secured notes have a mandatory redemption clause that will be triggered under certain circumstances, including failure to complete the GW Acquisition within the time period outlined in the GW Transaction Agreement or the termination of the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summarized under “Cautionary Note Regarding Forward-Looking Statements” that appears at the end of this discussion and as discussed in more detail under “Risk Factors” in Part I, Item 1A of our Annual Report on Form 10-K for the year ended December 31, 2020.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Jazz Pharmaceuticals plc is an innovative global biopharmaceutical company dedicated to developing and commercializing life-changing medicines that transform the lives of patients with serious diseases – often with limited or no options. We have a diverse portfolio of marketed medicines and novel product candidates, in early- to late-stage development, across key therapeutic areas. Our focus is in neuroscience, including sleep and movement disorders, and in oncology, including hematologic malignancies and solid tumors. We actively explore new options for patients including novel compounds, small molecules, biologics and innovative delivery technologies.</w:t>
      </w:r>
    </w:p>
    <w:p>
      <w:pPr>
        <w:spacing w:after="0" w:line="80"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Our continued growth is rooted in executing commercial launches; delivering positive clinical results; effectively deploying capital to strengthen the prospects of achieving our short- and long-term goals through strategic and capital-efficient corporate development; and delivering strong financial performance.</w:t>
      </w:r>
    </w:p>
    <w:p>
      <w:pPr>
        <w:spacing w:after="0" w:line="76"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In our core therapeutic areas, we follow a similar approach to bring new medicines to patients and to create sustainable shareholder value. Most critically, we focus on patient populations with high unmet needs. We identify and develop differentiated therapies for these patients that we can support with an efficient sales force and that we expect will be long-lived, durable assets. In addition, we leverage our integrated capabilities and global infrastructure to effectively reach patients around the world.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 Achievements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marketed products are approved in countries around the world to improve patient care.</w:t>
      </w:r>
    </w:p>
    <w:p>
      <w:pPr>
        <w:sectPr>
          <w:pgSz w:w="11900" w:h="16838" w:orient="portrait"/>
          <w:cols w:equalWidth="0" w:num="1">
            <w:col w:w="11220"/>
          </w:cols>
          <w:pgMar w:left="320" w:top="125" w:right="35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Product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NEUROSCIENCE</w:t>
      </w:r>
    </w:p>
    <w:p>
      <w:pPr>
        <w:spacing w:after="0" w:line="103"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Xywav™ (calcium, magnesium, potassium, and sodium oxybates)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Zepzelca™ (lurbinectedin)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2020" w:type="dxa"/>
            <w:vAlign w:val="bottom"/>
          </w:tcPr>
          <w:p>
            <w:pPr>
              <w:spacing w:after="0"/>
              <w:rPr>
                <w:sz w:val="20"/>
                <w:szCs w:val="20"/>
                <w:color w:val="auto"/>
              </w:rPr>
            </w:pPr>
            <w:r>
              <w:rPr>
                <w:rFonts w:ascii="Arial" w:cs="Arial" w:eastAsia="Arial" w:hAnsi="Arial"/>
                <w:sz w:val="18"/>
                <w:szCs w:val="18"/>
                <w:b w:val="1"/>
                <w:bCs w:val="1"/>
                <w:color w:val="auto"/>
                <w:w w:val="93"/>
              </w:rPr>
              <w:t>Initial U.S. Approval Date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cataplexy or excessive daytime</w:t>
            </w:r>
          </w:p>
        </w:tc>
        <w:tc>
          <w:tcPr>
            <w:tcW w:w="2020" w:type="dxa"/>
            <w:vAlign w:val="bottom"/>
            <w:vMerge w:val="restart"/>
          </w:tcPr>
          <w:p>
            <w:pPr>
              <w:spacing w:after="0"/>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r>
        <w:trPr>
          <w:trHeight w:val="176"/>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0"/>
              </w:rPr>
              <w:t>sleepiness, or EDS, in patients seven years of age</w:t>
            </w: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spacing w:after="0"/>
              <w:rPr>
                <w:sz w:val="20"/>
                <w:szCs w:val="20"/>
                <w:color w:val="auto"/>
              </w:rPr>
            </w:pPr>
            <w:r>
              <w:rPr>
                <w:rFonts w:ascii="Arial" w:cs="Arial" w:eastAsia="Arial" w:hAnsi="Arial"/>
                <w:sz w:val="18"/>
                <w:szCs w:val="18"/>
                <w:color w:val="auto"/>
              </w:rPr>
              <w:t>and older with narcolepsy.</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4"/>
              </w:rPr>
              <w:t>Treatment of cataplexy or EDS in patients seven</w:t>
            </w:r>
          </w:p>
        </w:tc>
        <w:tc>
          <w:tcPr>
            <w:tcW w:w="2020" w:type="dxa"/>
            <w:vAlign w:val="bottom"/>
            <w:vMerge w:val="restart"/>
          </w:tcPr>
          <w:p>
            <w:pPr>
              <w:spacing w:after="0"/>
              <w:rPr>
                <w:sz w:val="20"/>
                <w:szCs w:val="20"/>
                <w:color w:val="auto"/>
              </w:rPr>
            </w:pPr>
            <w:r>
              <w:rPr>
                <w:rFonts w:ascii="Arial" w:cs="Arial" w:eastAsia="Arial" w:hAnsi="Arial"/>
                <w:sz w:val="18"/>
                <w:szCs w:val="18"/>
                <w:color w:val="auto"/>
              </w:rPr>
              <w:t>July 2002</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years of age and older with narcolepsy.</w:t>
            </w: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80" w:type="dxa"/>
            <w:vAlign w:val="bottom"/>
            <w:gridSpan w:val="2"/>
            <w:vMerge w:val="continue"/>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6"/>
              </w:rPr>
              <w:t>Improve wakefulness in adult patients with EDS</w:t>
            </w:r>
          </w:p>
        </w:tc>
        <w:tc>
          <w:tcPr>
            <w:tcW w:w="2020" w:type="dxa"/>
            <w:vAlign w:val="bottom"/>
            <w:vMerge w:val="restart"/>
          </w:tcPr>
          <w:p>
            <w:pPr>
              <w:spacing w:after="0"/>
              <w:rPr>
                <w:sz w:val="20"/>
                <w:szCs w:val="20"/>
                <w:color w:val="auto"/>
              </w:rPr>
            </w:pPr>
            <w:r>
              <w:rPr>
                <w:rFonts w:ascii="Arial" w:cs="Arial" w:eastAsia="Arial" w:hAnsi="Arial"/>
                <w:sz w:val="18"/>
                <w:szCs w:val="18"/>
                <w:color w:val="auto"/>
              </w:rPr>
              <w:t>March 2019</w:t>
            </w: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7"/>
              </w:rPr>
              <w:t>associated with narcolepsy or obstructive sleep</w:t>
            </w: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apnea, or OSA.</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680" w:type="dxa"/>
            <w:vAlign w:val="bottom"/>
            <w:gridSpan w:val="2"/>
          </w:tcPr>
          <w:p>
            <w:pPr>
              <w:spacing w:after="0"/>
              <w:rPr>
                <w:sz w:val="20"/>
                <w:szCs w:val="20"/>
                <w:color w:val="auto"/>
              </w:rPr>
            </w:pPr>
            <w:r>
              <w:rPr>
                <w:rFonts w:ascii="Arial" w:cs="Arial" w:eastAsia="Arial" w:hAnsi="Arial"/>
                <w:sz w:val="18"/>
                <w:szCs w:val="18"/>
                <w:color w:val="auto"/>
                <w:w w:val="95"/>
              </w:rPr>
              <w:t>Treatment of adult patients with metastatic small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rPr>
              <w:t>cell lung cancer, or SCLC, with disease</w:t>
            </w:r>
          </w:p>
        </w:tc>
        <w:tc>
          <w:tcPr>
            <w:tcW w:w="2020" w:type="dxa"/>
            <w:vAlign w:val="bottom"/>
            <w:vMerge w:val="restart"/>
          </w:tcPr>
          <w:p>
            <w:pPr>
              <w:spacing w:after="0"/>
              <w:rPr>
                <w:sz w:val="20"/>
                <w:szCs w:val="20"/>
                <w:color w:val="auto"/>
              </w:rPr>
            </w:pPr>
            <w:r>
              <w:rPr>
                <w:rFonts w:ascii="Arial" w:cs="Arial" w:eastAsia="Arial" w:hAnsi="Arial"/>
                <w:sz w:val="18"/>
                <w:szCs w:val="18"/>
                <w:color w:val="auto"/>
              </w:rPr>
              <w:t>June 2020</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line="176" w:lineRule="exact"/>
              <w:rPr>
                <w:sz w:val="20"/>
                <w:szCs w:val="20"/>
                <w:color w:val="auto"/>
              </w:rPr>
            </w:pPr>
            <w:r>
              <w:rPr>
                <w:rFonts w:ascii="Arial" w:cs="Arial" w:eastAsia="Arial" w:hAnsi="Arial"/>
                <w:sz w:val="18"/>
                <w:szCs w:val="18"/>
                <w:color w:val="auto"/>
              </w:rPr>
              <w:t>progression on or after platinum-based</w:t>
            </w: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3680" w:type="dxa"/>
            <w:vAlign w:val="bottom"/>
            <w:gridSpan w:val="2"/>
            <w:vMerge w:val="continue"/>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680" w:type="dxa"/>
            <w:vAlign w:val="bottom"/>
            <w:gridSpan w:val="2"/>
          </w:tcPr>
          <w:p>
            <w:pPr>
              <w:spacing w:after="0"/>
              <w:rPr>
                <w:sz w:val="20"/>
                <w:szCs w:val="20"/>
                <w:color w:val="auto"/>
              </w:rPr>
            </w:pPr>
            <w:r>
              <w:rPr>
                <w:rFonts w:ascii="Arial" w:cs="Arial" w:eastAsia="Arial" w:hAnsi="Arial"/>
                <w:sz w:val="18"/>
                <w:szCs w:val="18"/>
                <w:color w:val="auto"/>
              </w:rPr>
              <w:t>chemotherapy.</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-1764030</wp:posOffset>
            </wp:positionV>
            <wp:extent cx="711517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-1249680</wp:posOffset>
            </wp:positionV>
            <wp:extent cx="711517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-623570</wp:posOffset>
            </wp:positionV>
            <wp:extent cx="711517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U.S., Other Markets</w:t>
      </w:r>
    </w:p>
    <w:p>
      <w:pPr>
        <w:spacing w:after="0" w:line="19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U.S., Europe, United Kingdom (UK)</w:t>
      </w:r>
    </w:p>
    <w:p>
      <w:pPr>
        <w:spacing w:after="0" w:line="200" w:lineRule="exact"/>
        <w:rPr>
          <w:sz w:val="20"/>
          <w:szCs w:val="20"/>
          <w:color w:val="auto"/>
        </w:rPr>
      </w:pPr>
    </w:p>
    <w:p>
      <w:pPr>
        <w:spacing w:after="0" w:line="29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U.S. (licensed from Pharma Mar, S.A., or PharmaMar)</w:t>
      </w:r>
    </w:p>
    <w:p>
      <w:pPr>
        <w:spacing w:after="0" w:line="137" w:lineRule="exact"/>
        <w:rPr>
          <w:sz w:val="20"/>
          <w:szCs w:val="20"/>
          <w:color w:val="auto"/>
        </w:rPr>
      </w:pPr>
    </w:p>
    <w:p>
      <w:pPr>
        <w:sectPr>
          <w:pgSz w:w="11900" w:h="16838" w:orient="portrait"/>
          <w:cols w:equalWidth="0" w:num="3">
            <w:col w:w="2420" w:space="400"/>
            <w:col w:w="5700" w:space="340"/>
            <w:col w:w="236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7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w:t>
            </w:r>
          </w:p>
        </w:tc>
        <w:tc>
          <w:tcPr>
            <w:tcW w:w="37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4"/>
              </w:rPr>
              <w:t>Newly-diagnosed therapy-related acute myeloid</w:t>
            </w:r>
          </w:p>
        </w:tc>
        <w:tc>
          <w:tcPr>
            <w:tcW w:w="4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70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cytarabine) liposome for injection</w:t>
            </w:r>
          </w:p>
        </w:tc>
        <w:tc>
          <w:tcPr>
            <w:tcW w:w="3740" w:type="dxa"/>
            <w:vAlign w:val="bottom"/>
            <w:vMerge w:val="continue"/>
            <w:shd w:val="clear" w:color="auto" w:fill="CCEEFF"/>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shd w:val="clear" w:color="auto" w:fill="CCEEFF"/>
          </w:tcPr>
          <w:p>
            <w:pPr>
              <w:spacing w:after="0"/>
              <w:rPr>
                <w:sz w:val="9"/>
                <w:szCs w:val="9"/>
                <w:color w:val="auto"/>
              </w:rPr>
            </w:pPr>
          </w:p>
        </w:tc>
        <w:tc>
          <w:tcPr>
            <w:tcW w:w="3740" w:type="dxa"/>
            <w:vAlign w:val="bottom"/>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leukemia (t-AML) or AML with myelodysplasia-</w:t>
            </w:r>
          </w:p>
        </w:tc>
        <w:tc>
          <w:tcPr>
            <w:tcW w:w="4780" w:type="dxa"/>
            <w:vAlign w:val="bottom"/>
            <w:vMerge w:val="restart"/>
            <w:shd w:val="clear" w:color="auto" w:fill="CCEEFF"/>
          </w:tcPr>
          <w:p>
            <w:pPr>
              <w:ind w:left="2420"/>
              <w:spacing w:after="0" w:line="176"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68"/>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740" w:type="dxa"/>
            <w:vAlign w:val="bottom"/>
            <w:vMerge w:val="continue"/>
            <w:shd w:val="clear" w:color="auto" w:fill="CCEEFF"/>
          </w:tcPr>
          <w:p>
            <w:pPr>
              <w:spacing w:after="0"/>
              <w:rPr>
                <w:sz w:val="5"/>
                <w:szCs w:val="5"/>
                <w:color w:val="auto"/>
              </w:rPr>
            </w:pPr>
          </w:p>
        </w:tc>
        <w:tc>
          <w:tcPr>
            <w:tcW w:w="4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00" w:type="dxa"/>
            <w:vAlign w:val="bottom"/>
            <w:vMerge w:val="continue"/>
            <w:shd w:val="clear" w:color="auto" w:fill="CCEEFF"/>
          </w:tcPr>
          <w:p>
            <w:pPr>
              <w:spacing w:after="0"/>
              <w:rPr>
                <w:sz w:val="15"/>
                <w:szCs w:val="15"/>
                <w:color w:val="auto"/>
              </w:rPr>
            </w:pPr>
          </w:p>
        </w:tc>
        <w:tc>
          <w:tcPr>
            <w:tcW w:w="37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related changes (AML-MRC) in adults and</w:t>
            </w:r>
          </w:p>
        </w:tc>
        <w:tc>
          <w:tcPr>
            <w:tcW w:w="4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pediatric patients one year and older.</w:t>
            </w:r>
          </w:p>
        </w:tc>
        <w:tc>
          <w:tcPr>
            <w:tcW w:w="47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August 2017</w:t>
            </w: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4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Vyxeos</w:t>
            </w:r>
            <w:r>
              <w:rPr>
                <w:rFonts w:ascii="Arial" w:cs="Arial" w:eastAsia="Arial" w:hAnsi="Arial"/>
                <w:sz w:val="23"/>
                <w:szCs w:val="23"/>
                <w:color w:val="auto"/>
                <w:w w:val="97"/>
                <w:vertAlign w:val="superscript"/>
              </w:rPr>
              <w:t>®</w:t>
            </w:r>
            <w:r>
              <w:rPr>
                <w:rFonts w:ascii="Arial" w:cs="Arial" w:eastAsia="Arial" w:hAnsi="Arial"/>
                <w:sz w:val="18"/>
                <w:szCs w:val="18"/>
                <w:color w:val="auto"/>
                <w:w w:val="97"/>
              </w:rPr>
              <w:t xml:space="preserve"> liposomal 44 mg/100 mg</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Adults with newly-diagnosed, therapy-related</w:t>
            </w:r>
          </w:p>
        </w:tc>
        <w:tc>
          <w:tcPr>
            <w:tcW w:w="4780" w:type="dxa"/>
            <w:vAlign w:val="bottom"/>
            <w:vMerge w:val="restart"/>
            <w:shd w:val="clear" w:color="auto" w:fill="CCEEFF"/>
          </w:tcPr>
          <w:p>
            <w:pPr>
              <w:ind w:left="2420"/>
              <w:spacing w:after="0"/>
              <w:rPr>
                <w:sz w:val="20"/>
                <w:szCs w:val="20"/>
                <w:color w:val="auto"/>
              </w:rPr>
            </w:pPr>
            <w:r>
              <w:rPr>
                <w:rFonts w:ascii="Arial" w:cs="Arial" w:eastAsia="Arial" w:hAnsi="Arial"/>
                <w:sz w:val="18"/>
                <w:szCs w:val="18"/>
                <w:color w:val="auto"/>
              </w:rPr>
              <w:t>Europe, UK</w:t>
            </w:r>
          </w:p>
        </w:tc>
        <w:tc>
          <w:tcPr>
            <w:tcW w:w="0" w:type="dxa"/>
            <w:vAlign w:val="bottom"/>
          </w:tcPr>
          <w:p>
            <w:pPr>
              <w:spacing w:after="0"/>
              <w:rPr>
                <w:sz w:val="1"/>
                <w:szCs w:val="1"/>
                <w:color w:val="auto"/>
              </w:rPr>
            </w:pPr>
          </w:p>
        </w:tc>
      </w:tr>
      <w:tr>
        <w:trPr>
          <w:trHeight w:val="108"/>
        </w:trPr>
        <w:tc>
          <w:tcPr>
            <w:tcW w:w="270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powder for concentrate for solution</w:t>
            </w:r>
          </w:p>
        </w:tc>
        <w:tc>
          <w:tcPr>
            <w:tcW w:w="374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acute myeloid leukemia (t-AML) or AML with</w:t>
            </w:r>
          </w:p>
        </w:tc>
        <w:tc>
          <w:tcPr>
            <w:tcW w:w="4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00" w:type="dxa"/>
            <w:vAlign w:val="bottom"/>
            <w:vMerge w:val="continue"/>
            <w:shd w:val="clear" w:color="auto" w:fill="CCEEFF"/>
          </w:tcPr>
          <w:p>
            <w:pPr>
              <w:spacing w:after="0"/>
              <w:rPr>
                <w:sz w:val="5"/>
                <w:szCs w:val="5"/>
                <w:color w:val="auto"/>
              </w:rPr>
            </w:pPr>
          </w:p>
        </w:tc>
        <w:tc>
          <w:tcPr>
            <w:tcW w:w="37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myelodysplasia-related changes (AML-MRC).</w:t>
            </w:r>
          </w:p>
        </w:tc>
        <w:tc>
          <w:tcPr>
            <w:tcW w:w="4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for infusion (Europe)</w:t>
            </w:r>
          </w:p>
        </w:tc>
        <w:tc>
          <w:tcPr>
            <w:tcW w:w="3740" w:type="dxa"/>
            <w:vAlign w:val="bottom"/>
            <w:vMerge w:val="continue"/>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700" w:type="dxa"/>
            <w:vAlign w:val="bottom"/>
            <w:vMerge w:val="continue"/>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4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jc w:val="both"/>
        <w:ind w:left="2820" w:right="2020" w:hanging="2793"/>
        <w:spacing w:after="0" w:line="220" w:lineRule="auto"/>
        <w:rPr>
          <w:sz w:val="20"/>
          <w:szCs w:val="20"/>
          <w:color w:val="auto"/>
        </w:rPr>
      </w:pPr>
      <w:r>
        <w:rPr>
          <w:rFonts w:ascii="Arial" w:cs="Arial" w:eastAsia="Arial" w:hAnsi="Arial"/>
          <w:sz w:val="16"/>
          <w:szCs w:val="16"/>
          <w:color w:val="auto"/>
        </w:rPr>
        <w:t>Defitelio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(defibrotide sodium) (U.S.) Treatment of adult and pediatric patients with hepatic veno-occlusive disease, or VOD, also known as sinusoidal obstruction syndrome, or SOS, with renal or pulmonary dysfunction</w:t>
      </w:r>
    </w:p>
    <w:p>
      <w:pPr>
        <w:ind w:left="2820" w:right="760"/>
        <w:spacing w:after="0" w:line="226" w:lineRule="auto"/>
        <w:rPr>
          <w:sz w:val="20"/>
          <w:szCs w:val="20"/>
          <w:color w:val="auto"/>
        </w:rPr>
      </w:pPr>
      <w:r>
        <w:rPr>
          <w:rFonts w:ascii="Arial" w:cs="Arial" w:eastAsia="Arial" w:hAnsi="Arial"/>
          <w:sz w:val="18"/>
          <w:szCs w:val="18"/>
          <w:color w:val="auto"/>
        </w:rPr>
        <w:t>following hematopoietic stem-cell transplantation, March 2016 or HSCT.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00" w:type="dxa"/>
            <w:vAlign w:val="bottom"/>
            <w:vMerge w:val="restart"/>
          </w:tcPr>
          <w:p>
            <w:pPr>
              <w:spacing w:after="0"/>
              <w:rPr>
                <w:sz w:val="20"/>
                <w:szCs w:val="20"/>
                <w:color w:val="auto"/>
              </w:rPr>
            </w:pPr>
            <w:r>
              <w:rPr>
                <w:rFonts w:ascii="Arial" w:cs="Arial" w:eastAsia="Arial" w:hAnsi="Arial"/>
                <w:sz w:val="18"/>
                <w:szCs w:val="18"/>
                <w:color w:val="auto"/>
              </w:rPr>
              <w:t>Defitelio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(defibrotide) (Europe)</w:t>
            </w:r>
          </w:p>
        </w:tc>
        <w:tc>
          <w:tcPr>
            <w:tcW w:w="3820" w:type="dxa"/>
            <w:vAlign w:val="bottom"/>
          </w:tcPr>
          <w:p>
            <w:pPr>
              <w:ind w:left="200"/>
              <w:spacing w:after="0"/>
              <w:rPr>
                <w:sz w:val="20"/>
                <w:szCs w:val="20"/>
                <w:color w:val="auto"/>
              </w:rPr>
            </w:pPr>
            <w:r>
              <w:rPr>
                <w:rFonts w:ascii="Arial" w:cs="Arial" w:eastAsia="Arial" w:hAnsi="Arial"/>
                <w:sz w:val="18"/>
                <w:szCs w:val="18"/>
                <w:color w:val="auto"/>
                <w:w w:val="91"/>
              </w:rPr>
              <w:t>Treatment of severe hepatic VOD, also known as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vMerge w:val="continue"/>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SOS, in HSCT therapy.</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tcPr>
          <w:p>
            <w:pPr>
              <w:spacing w:after="0" w:line="257" w:lineRule="exact"/>
              <w:rPr>
                <w:sz w:val="20"/>
                <w:szCs w:val="20"/>
                <w:color w:val="auto"/>
              </w:rPr>
            </w:pPr>
            <w:r>
              <w:rPr>
                <w:rFonts w:ascii="Arial" w:cs="Arial" w:eastAsia="Arial" w:hAnsi="Arial"/>
                <w:sz w:val="18"/>
                <w:szCs w:val="18"/>
                <w:color w:val="auto"/>
                <w:w w:val="96"/>
              </w:rPr>
              <w:t>Erwinaze</w:t>
            </w:r>
            <w:r>
              <w:rPr>
                <w:rFonts w:ascii="Arial" w:cs="Arial" w:eastAsia="Arial" w:hAnsi="Arial"/>
                <w:sz w:val="23"/>
                <w:szCs w:val="23"/>
                <w:color w:val="auto"/>
                <w:w w:val="96"/>
                <w:vertAlign w:val="superscript"/>
              </w:rPr>
              <w:t>®</w:t>
            </w:r>
            <w:r>
              <w:rPr>
                <w:rFonts w:ascii="Arial" w:cs="Arial" w:eastAsia="Arial" w:hAnsi="Arial"/>
                <w:sz w:val="18"/>
                <w:szCs w:val="18"/>
                <w:color w:val="auto"/>
                <w:w w:val="96"/>
              </w:rPr>
              <w:t xml:space="preserve"> (asparaginase Erwinia</w:t>
            </w:r>
          </w:p>
        </w:tc>
        <w:tc>
          <w:tcPr>
            <w:tcW w:w="3820" w:type="dxa"/>
            <w:vAlign w:val="bottom"/>
          </w:tcPr>
          <w:p>
            <w:pPr>
              <w:ind w:left="200"/>
              <w:spacing w:after="0"/>
              <w:rPr>
                <w:sz w:val="20"/>
                <w:szCs w:val="20"/>
                <w:color w:val="auto"/>
              </w:rPr>
            </w:pPr>
            <w:r>
              <w:rPr>
                <w:rFonts w:ascii="Arial" w:cs="Arial" w:eastAsia="Arial" w:hAnsi="Arial"/>
                <w:sz w:val="18"/>
                <w:szCs w:val="18"/>
                <w:color w:val="auto"/>
                <w:w w:val="97"/>
              </w:rPr>
              <w:t>Treatment of patients with acute lymphoblastic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w w:val="88"/>
              </w:rPr>
              <w:t>November 2011</w:t>
            </w:r>
          </w:p>
        </w:tc>
        <w:tc>
          <w:tcPr>
            <w:tcW w:w="0" w:type="dxa"/>
            <w:vAlign w:val="bottom"/>
          </w:tcPr>
          <w:p>
            <w:pPr>
              <w:spacing w:after="0"/>
              <w:rPr>
                <w:sz w:val="1"/>
                <w:szCs w:val="1"/>
                <w:color w:val="auto"/>
              </w:rPr>
            </w:pPr>
          </w:p>
        </w:tc>
      </w:tr>
      <w:tr>
        <w:trPr>
          <w:trHeight w:val="95"/>
        </w:trPr>
        <w:tc>
          <w:tcPr>
            <w:tcW w:w="2600" w:type="dxa"/>
            <w:vAlign w:val="bottom"/>
            <w:vMerge w:val="restart"/>
          </w:tcPr>
          <w:p>
            <w:pPr>
              <w:spacing w:after="0"/>
              <w:rPr>
                <w:sz w:val="20"/>
                <w:szCs w:val="20"/>
                <w:color w:val="auto"/>
              </w:rPr>
            </w:pPr>
            <w:r>
              <w:rPr>
                <w:rFonts w:ascii="Arial" w:cs="Arial" w:eastAsia="Arial" w:hAnsi="Arial"/>
                <w:sz w:val="18"/>
                <w:szCs w:val="18"/>
                <w:color w:val="auto"/>
              </w:rPr>
              <w:t>chrysanthemi)</w:t>
            </w:r>
          </w:p>
        </w:tc>
        <w:tc>
          <w:tcPr>
            <w:tcW w:w="3820" w:type="dxa"/>
            <w:vAlign w:val="bottom"/>
          </w:tcPr>
          <w:p>
            <w:pPr>
              <w:ind w:left="200"/>
              <w:spacing w:after="0" w:line="95" w:lineRule="exact"/>
              <w:rPr>
                <w:sz w:val="20"/>
                <w:szCs w:val="20"/>
                <w:color w:val="auto"/>
              </w:rPr>
            </w:pPr>
            <w:r>
              <w:rPr>
                <w:rFonts w:ascii="Arial" w:cs="Arial" w:eastAsia="Arial" w:hAnsi="Arial"/>
                <w:sz w:val="10"/>
                <w:szCs w:val="10"/>
                <w:color w:val="auto"/>
              </w:rPr>
              <w:t>leukemia (ALL) who have developed</w:t>
            </w: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00" w:type="dxa"/>
            <w:vAlign w:val="bottom"/>
            <w:vMerge w:val="continue"/>
          </w:tcPr>
          <w:p>
            <w:pPr>
              <w:spacing w:after="0"/>
              <w:rPr>
                <w:sz w:val="11"/>
                <w:szCs w:val="11"/>
                <w:color w:val="auto"/>
              </w:rPr>
            </w:pPr>
          </w:p>
        </w:tc>
        <w:tc>
          <w:tcPr>
            <w:tcW w:w="3820" w:type="dxa"/>
            <w:vAlign w:val="bottom"/>
            <w:vMerge w:val="restart"/>
          </w:tcPr>
          <w:p>
            <w:pPr>
              <w:ind w:left="200"/>
              <w:spacing w:after="0"/>
              <w:rPr>
                <w:sz w:val="20"/>
                <w:szCs w:val="20"/>
                <w:color w:val="auto"/>
              </w:rPr>
            </w:pPr>
            <w:r>
              <w:rPr>
                <w:rFonts w:ascii="Arial" w:cs="Arial" w:eastAsia="Arial" w:hAnsi="Arial"/>
                <w:sz w:val="18"/>
                <w:szCs w:val="18"/>
                <w:color w:val="auto"/>
                <w:w w:val="94"/>
              </w:rPr>
              <w:t>hypersensitivity to E. coli-derived asparaginase.</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15175" cy="368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U.S., Europe, UK, Japan, and other markets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U.S., Europe, Other Markets</w:t>
      </w:r>
    </w:p>
    <w:p>
      <w:pPr>
        <w:spacing w:after="0" w:line="422" w:lineRule="exact"/>
        <w:rPr>
          <w:sz w:val="20"/>
          <w:szCs w:val="20"/>
          <w:color w:val="auto"/>
        </w:rPr>
      </w:pPr>
    </w:p>
    <w:p>
      <w:pPr>
        <w:sectPr>
          <w:pgSz w:w="11900" w:h="16838" w:orient="portrait"/>
          <w:cols w:equalWidth="0" w:num="2">
            <w:col w:w="8140" w:space="720"/>
            <w:col w:w="2360"/>
          </w:cols>
          <w:pgMar w:left="320" w:top="125" w:right="3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color w:val="auto"/>
        </w:rPr>
        <w:t>We are the global leader in the development and commercialization of oxybate therapy for patients with sleep disorders. We introduced Xyrem in 2002, which has become a standard of care for treating EDS and cataplexy in narcolepsy. In 2020, we received U.S. Food and Drug Administration, or FDA, approval for Xywav, an oxybate therapy that contains 92% less sodium than Xyrem. Since there is no cure for narcolepsy and long-term disease management is needed, we believe that Xywav represents an important new therapeutic option for patients. Our commercial efforts are focused on educating patients and physicians about the lifelong impact of high sodium, and how the use of Xywav enables them to address what is a modifiable risk factor.</w:t>
      </w:r>
    </w:p>
    <w:p>
      <w:pPr>
        <w:spacing w:after="0" w:line="84" w:lineRule="exact"/>
        <w:rPr>
          <w:sz w:val="20"/>
          <w:szCs w:val="20"/>
          <w:color w:val="auto"/>
        </w:rPr>
      </w:pPr>
    </w:p>
    <w:p>
      <w:pPr>
        <w:jc w:val="both"/>
        <w:ind w:right="220" w:firstLine="445"/>
        <w:spacing w:after="0" w:line="259" w:lineRule="auto"/>
        <w:rPr>
          <w:sz w:val="20"/>
          <w:szCs w:val="20"/>
          <w:color w:val="auto"/>
        </w:rPr>
      </w:pPr>
      <w:r>
        <w:rPr>
          <w:rFonts w:ascii="Arial" w:cs="Arial" w:eastAsia="Arial" w:hAnsi="Arial"/>
          <w:sz w:val="18"/>
          <w:szCs w:val="18"/>
          <w:color w:val="auto"/>
        </w:rPr>
        <w:t>We have seen strong adoption of Xywav since its launch in November 2020. In the first quarter of 2021, there were 15,700 average active oxybate patients; exiting the quarter, there were 3,900 active Xywav patients. This increased from 1,900 active Xywav patients exiting the fourth quarter of 2020. We view this as a positive indication that physicians and patients appreciate the benefits of a lower-sodium oxybate option. We are seeing strong Xywav adoption among both existing and new-to-oxybate patients.</w:t>
      </w:r>
    </w:p>
    <w:p>
      <w:pPr>
        <w:spacing w:after="0" w:line="79"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Coupled with strong adoption, we have met our goal to obtain broad payer coverage for Xywav within six months of launch. We now have agreements in place with all three major pharmacy benefit managers (PBMs) in the U.S. Commercial payer coverage overall is currently at approximately 80% of covered lives, and our team is working with payers to further expand coverage.</w:t>
      </w:r>
    </w:p>
    <w:p>
      <w:pPr>
        <w:spacing w:after="0" w:line="76"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Sunosi was launched in the United States in 2019 as a therapy to improve wakefulness in adult patients with EDS associated with narcolepsy or OSA, and we remain focused on driving the next phase of its growth. We have established broad commercial payer coverage and have invested in an expanded and dedicated sales force and direct-to-consumer initiatives to raise awareness of EDS due to narcolepsy or OSA. Sunosi was approved in Europe and the United Kingdom in 2020, and we are pleased with the progression of our rolling launch.</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seeing increased awareness of Zepzelca across academic and community cancer centers and continued growth in the second-line setting in both platinum-sensitive and platinum-resistant patients, reflecting the significant unmet need and favorable Zepzelca product profile. We are also developing Zepzelca in additional indications.</w:t>
      </w:r>
    </w:p>
    <w:p>
      <w:pPr>
        <w:spacing w:after="0" w:line="80"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Vyxeos is a treatment for adults with newly-diagnosed therapy-related AML, or AML with myelodysplasia-related changes. In March 2021, FDA approved a revised label to include a new indication to treat newly-diagnosed therapy-related acute myeloid leukemia (t-AML) or AML with myelodysplasia-related changes in pediatric patients aged one year and older. We have a number of ongoing development activities and continue to expand into new markets internationally.</w:t>
      </w:r>
    </w:p>
    <w:p>
      <w:pPr>
        <w:spacing w:after="0" w:line="79"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Defitelio provides an important treatment option for patients with VOD following HSCT. There was a significant decline in the number of patients receiving HSCT due to the effects of the COVID-19 pandemic. We anticipate the use of Defitelio will increase as hospital systems globally are able to move forward with more HSCT procedures.</w:t>
      </w:r>
    </w:p>
    <w:p>
      <w:pPr>
        <w:spacing w:after="0" w:line="76"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Erwinaze, which is approved to treat a limited population of patients with ALL who have developed hypersensitivity to E. coli-derived asparaginase, is licensed from and manufactured by a single source, Porton Biopharma Limited, or PBL. Our license and supply agreement with PBL expired on December 31, 2020. We expect to distribute Erwinaze through the first half of 2021. In the past, a significant challenge to maintaining sales of Erwinaze and a barrier to increasing sales was PBL’s inability to consistently supply product that meets specifications in quantities that are adequate to meet market demand. Given the urgent need for a reliable and high-quality recombinant asparaginase, we are focused on bringing JZP458 to market as quickly as possible. Our commercial team is currently preparing for its anticipated U.S. launch, targeted for mid-year 2021, subject to FDA approval.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will generate additional data related to our products. We also seek out investment opportunities in support of development of early- and mid-stage technologies in our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6"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We remain on track to deliver two important therapies to patients in 2021: Xywav in idiopathic hypersomnia, or IH, and JZP458 in ALL. We have taken both products from concept to commercial readiness, underscoring the strength of our portfolio and development capabilities.</w:t>
      </w:r>
    </w:p>
    <w:p>
      <w:pPr>
        <w:spacing w:after="0" w:line="3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At the American Academy of Neurology (AAN) Annual Meeting in April 2021, we presented positive results from the Phase 3 clinical trial evaluating Xywav in adult patients with IH. IH is a chronic neurological disorder that is primarily characterized by EDS and that currently has no approved therapies in the U.S. FDA granted Fast Track designation for Xywav in IH in September 2020, and we completed the rolling submission of a supplemental new drug application, or sNDA, in February 2021. Subsequently, FDA granted Priority Review and a PDUFA action date of August 12, 2021. We are planning for a potential commercial launch in the fourth quarter of 2021.</w:t>
      </w:r>
    </w:p>
    <w:p>
      <w:pPr>
        <w:spacing w:after="0" w:line="80"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For JZP458, we initiated a rolling biologics licensing application, or BLA, submission to FDA under Real-Time Oncology Review. We are working closely with FDA to complete the BLA submission and remain focused on bringing JZP458 to patients as quickly as possible. We are targeting a mid-2021 launch in the U.S., subject to FDA approval.</w:t>
      </w:r>
    </w:p>
    <w:p>
      <w:pPr>
        <w:spacing w:after="0" w:line="76" w:lineRule="exact"/>
        <w:rPr>
          <w:sz w:val="20"/>
          <w:szCs w:val="20"/>
          <w:color w:val="auto"/>
        </w:rPr>
      </w:pPr>
    </w:p>
    <w:p>
      <w:pPr>
        <w:jc w:val="both"/>
        <w:ind w:right="440" w:firstLine="445"/>
        <w:spacing w:after="0" w:line="263" w:lineRule="auto"/>
        <w:rPr>
          <w:sz w:val="20"/>
          <w:szCs w:val="20"/>
          <w:color w:val="auto"/>
        </w:rPr>
      </w:pPr>
      <w:r>
        <w:rPr>
          <w:rFonts w:ascii="Arial" w:cs="Arial" w:eastAsia="Arial" w:hAnsi="Arial"/>
          <w:sz w:val="18"/>
          <w:szCs w:val="18"/>
          <w:color w:val="auto"/>
        </w:rPr>
        <w:t>Additionally, we remain on track to begin planned Phase 2 trials for JZP385 and JZP150 this year for essential tremor and post-traumatic stress disorder, respectively. These are both patient populations who suffer significant impacts to their quality of life and for whom there are limited current treatment options.</w:t>
      </w:r>
    </w:p>
    <w:p>
      <w:pPr>
        <w:spacing w:after="0" w:line="76" w:lineRule="exact"/>
        <w:rPr>
          <w:sz w:val="20"/>
          <w:szCs w:val="20"/>
          <w:color w:val="auto"/>
        </w:rPr>
      </w:pPr>
    </w:p>
    <w:p>
      <w:pPr>
        <w:jc w:val="both"/>
        <w:ind w:right="44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80" w:type="dxa"/>
            <w:vAlign w:val="bottom"/>
            <w:gridSpan w:val="3"/>
          </w:tcPr>
          <w:p>
            <w:pPr>
              <w:ind w:left="14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Regulatory Review</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Xywav</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IH</w:t>
            </w:r>
          </w:p>
        </w:tc>
      </w:tr>
      <w:tr>
        <w:trPr>
          <w:trHeight w:val="229"/>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Zepzelca</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Small cell lung cancer (planned study)</w:t>
            </w: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Phase 2b</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JZP385</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Essential tremor (planned study)</w:t>
            </w: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338"/>
        </w:trPr>
        <w:tc>
          <w:tcPr>
            <w:tcW w:w="20" w:type="dxa"/>
            <w:vAlign w:val="bottom"/>
            <w:shd w:val="clear" w:color="auto" w:fill="CCEEFF"/>
          </w:tcPr>
          <w:p>
            <w:pPr>
              <w:spacing w:after="0"/>
              <w:rPr>
                <w:sz w:val="24"/>
                <w:szCs w:val="24"/>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JZP150</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Post-traumatic stress disorder (planned study)</w:t>
            </w: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Oxybate extended-release formulation</w:t>
            </w:r>
          </w:p>
        </w:tc>
      </w:tr>
      <w:tr>
        <w:trPr>
          <w:trHeight w:val="229"/>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Undisclosed targets</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Neuroscience</w:t>
            </w: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ONCOLOGY</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Review</w:t>
            </w:r>
          </w:p>
        </w:tc>
        <w:tc>
          <w:tcPr>
            <w:tcW w:w="1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JZP458</w:t>
            </w: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ALL/lymphoblastic lymphoma, or LBL</w:t>
            </w: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1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8080" w:type="dxa"/>
            <w:vAlign w:val="bottom"/>
            <w:gridSpan w:val="3"/>
          </w:tcPr>
          <w:p>
            <w:pPr>
              <w:ind w:left="1400"/>
              <w:spacing w:after="0" w:line="176" w:lineRule="exact"/>
              <w:rPr>
                <w:sz w:val="20"/>
                <w:szCs w:val="20"/>
                <w:color w:val="auto"/>
              </w:rPr>
            </w:pPr>
            <w:r>
              <w:rPr>
                <w:rFonts w:ascii="Arial" w:cs="Arial" w:eastAsia="Arial" w:hAnsi="Arial"/>
                <w:sz w:val="18"/>
                <w:szCs w:val="18"/>
                <w:color w:val="auto"/>
                <w:w w:val="95"/>
              </w:rPr>
              <w:t>AML or high-risk Myelodysplastic Syndrome, or MDS (AML18 and AML19)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group studies)</w:t>
            </w:r>
          </w:p>
        </w:tc>
      </w:tr>
      <w:tr>
        <w:trPr>
          <w:trHeight w:val="29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w w:val="93"/>
              </w:rPr>
              <w:t>Newly diagnosed adults with standard- and high-risk AML (AML Study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group study)</w:t>
            </w:r>
          </w:p>
        </w:tc>
      </w:tr>
      <w:tr>
        <w:trPr>
          <w:trHeight w:val="29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w w:val="97"/>
              </w:rPr>
              <w:t>Newly diagnosed pediatric patients with AML (Children’s Oncology Group cooperative</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group study)</w:t>
            </w: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8080" w:type="dxa"/>
            <w:vAlign w:val="bottom"/>
            <w:gridSpan w:val="3"/>
          </w:tcPr>
          <w:p>
            <w:pPr>
              <w:ind w:left="1400"/>
              <w:spacing w:after="0" w:line="176" w:lineRule="exact"/>
              <w:rPr>
                <w:sz w:val="20"/>
                <w:szCs w:val="20"/>
                <w:color w:val="auto"/>
              </w:rPr>
            </w:pPr>
            <w:r>
              <w:rPr>
                <w:rFonts w:ascii="Arial" w:cs="Arial" w:eastAsia="Arial" w:hAnsi="Arial"/>
                <w:sz w:val="18"/>
                <w:szCs w:val="18"/>
                <w:color w:val="auto"/>
                <w:w w:val="96"/>
              </w:rPr>
              <w:t>High-risk MDS (European Myelodysplastic Syndromes Cooperative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group study)</w:t>
            </w:r>
          </w:p>
        </w:tc>
      </w:tr>
      <w:tr>
        <w:trPr>
          <w:trHeight w:val="35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80" w:type="dxa"/>
            <w:vAlign w:val="bottom"/>
            <w:gridSpan w:val="3"/>
          </w:tcPr>
          <w:p>
            <w:pPr>
              <w:ind w:left="1400"/>
              <w:spacing w:after="0"/>
              <w:rPr>
                <w:sz w:val="20"/>
                <w:szCs w:val="20"/>
                <w:color w:val="auto"/>
              </w:rPr>
            </w:pPr>
            <w:r>
              <w:rPr>
                <w:rFonts w:ascii="Arial" w:cs="Arial" w:eastAsia="Arial" w:hAnsi="Arial"/>
                <w:sz w:val="18"/>
                <w:szCs w:val="18"/>
                <w:color w:val="auto"/>
              </w:rPr>
              <w:t>Newly diagnosed older adults with high-risk AML (planned cooperative group study)</w:t>
            </w: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Vyxeos + venetoclax</w:t>
            </w:r>
          </w:p>
        </w:tc>
        <w:tc>
          <w:tcPr>
            <w:tcW w:w="808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De novo or relapsed/refractory, or R/R, AML (MD Anderson collaboration study)</w:t>
            </w:r>
          </w:p>
        </w:tc>
      </w:tr>
      <w:tr>
        <w:trPr>
          <w:trHeight w:val="234"/>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7280" w:type="dxa"/>
            <w:vAlign w:val="bottom"/>
            <w:gridSpan w:val="3"/>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Vyxeos</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Low intensity dosing for higher risk MDS (MD Anderson collaboration study)</w:t>
            </w:r>
          </w:p>
        </w:tc>
      </w:tr>
      <w:tr>
        <w:trPr>
          <w:trHeight w:val="230"/>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Vyxeos + other approved therapies</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35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First-line, fit AML (Phase 1b study)</w:t>
            </w:r>
          </w:p>
        </w:tc>
      </w:tr>
      <w:tr>
        <w:trPr>
          <w:trHeight w:val="35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Low intensity therapy for first-line, unfit AML (Phase 1b study)</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CombiPlex</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7"/>
              </w:rPr>
              <w:t>ALL and other hematological malignancies (collaboration with Ligand Pharmaceuticals</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Incorporated, or Ligand)</w:t>
            </w: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Pan-Raf inhibitor program</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6"/>
              </w:rPr>
              <w:t>Raf and Ras mutant tumors (acquired from Redx Pharma, or Redx, which is continuing</w:t>
            </w: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development)</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Undisclosed targets</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Ras/Raf/MAP kinase pathway (collaboration with Redx)</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Exosome targets (NRAS and 3 others)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Codiak)</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Defibrotide</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Exploratory activities</w:t>
            </w: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 of GW Pharmaceuticals Plc Creates Innovative High-Growth, Global Biopharma Leader</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February 2021, we entered into an agreement to acquire GW Pharmaceuticals plc, or GW, with the objectives of broadening our neuroscience portfolio, further diversifying our revenue and driving sustainable, long-term value creation opportunities. Under the agreement, the total consideration to be paid by us for the entire issued share capital of GW is approximately $7.2 billion. The acquisition, which we refer to as the GW Acquisition, is expected to close in early May 2021.</w:t>
      </w:r>
    </w:p>
    <w:p>
      <w:pPr>
        <w:spacing w:after="0" w:line="79" w:lineRule="exact"/>
        <w:rPr>
          <w:sz w:val="20"/>
          <w:szCs w:val="20"/>
          <w:color w:val="auto"/>
        </w:rPr>
      </w:pPr>
    </w:p>
    <w:p>
      <w:pPr>
        <w:ind w:firstLine="445"/>
        <w:spacing w:after="0" w:line="279" w:lineRule="auto"/>
        <w:rPr>
          <w:sz w:val="20"/>
          <w:szCs w:val="20"/>
          <w:color w:val="auto"/>
        </w:rPr>
      </w:pPr>
      <w:r>
        <w:rPr>
          <w:rFonts w:ascii="Arial" w:cs="Arial" w:eastAsia="Arial" w:hAnsi="Arial"/>
          <w:sz w:val="16"/>
          <w:szCs w:val="16"/>
          <w:color w:val="auto"/>
        </w:rPr>
        <w:t>GW specializes in discovering, developing, manufacturing and commercializing therapeutics from its proprietary cannabinoid product platform to address a broad range of diseases. GW's lead product, Epidiolex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(cannabidiol) oral solution, is approved in patients one-year and older for the treatment of seizures associated with Lennox-Gastaut Syndrome, Dravet Syndrome and Tuberous Sclerosis Complex, all of which are rare diseases characterized by severe early-onset epilepsy. Epidiolex was the first plant-derived cannabinoid medicine ever approved by FDA, and has also been approved in Europe under the trade name Epidyolex. In addition to the approved indications for Epidiolex, we believe there are considerable opportunities to pursue other indications within the epilepsy field, including other treatment-resistant epilepsies where significant unmet needs of patients exist.</w:t>
      </w:r>
    </w:p>
    <w:p>
      <w:pPr>
        <w:spacing w:after="0" w:line="67"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GW is leveraging its scientific platform and specialized manufacturing expertise to develop additional cannabinoid-based therapies. This pipeline includes nabiximols, for which GW is in Phase 3 clinical trials for the treatment of spasticity associated with multiple sclerosis and spinal cord injury, as well as earlier-stage cannabinoid product candidates.</w:t>
      </w:r>
    </w:p>
    <w:p>
      <w:pPr>
        <w:spacing w:after="0" w:line="76" w:lineRule="exact"/>
        <w:rPr>
          <w:sz w:val="20"/>
          <w:szCs w:val="20"/>
          <w:color w:val="auto"/>
        </w:rPr>
      </w:pPr>
    </w:p>
    <w:p>
      <w:pPr>
        <w:ind w:right="280" w:firstLine="445"/>
        <w:spacing w:after="0" w:line="259" w:lineRule="auto"/>
        <w:rPr>
          <w:sz w:val="20"/>
          <w:szCs w:val="20"/>
          <w:color w:val="auto"/>
        </w:rPr>
      </w:pPr>
      <w:r>
        <w:rPr>
          <w:rFonts w:ascii="Arial" w:cs="Arial" w:eastAsia="Arial" w:hAnsi="Arial"/>
          <w:sz w:val="18"/>
          <w:szCs w:val="18"/>
          <w:color w:val="auto"/>
        </w:rPr>
        <w:t>We view the transaction as consistent with our overall business and capital allocation strategy to expand our neuroscience portfolio and drive substantial value for our shareholders. We expect that product sales, operating expenses and interest expense will be significantly higher in 2021 than in 2020 due to the impact of the inclusion of the results of operations from GW commencing on closing the GW Acquisition, the higher debt balance in connection with the GW Acquisition and the continued growth of the organization.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payers.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We have implemented a comprehensive response strategy to effectively manage the impact of the COVID-19 pandemic on our employees, patients and our business. We have experienced limited financial and other impacts due to the pandemic. We expect that our business, financial condition, results of operations, and growth prospects may continue to be impacted on a limited basis by the pandemic, albeit to a lesser extent as vaccines and treatments reduce the global impact of COVID-19 and enable a resumption to more normal business practices and initiatives.</w:t>
      </w:r>
    </w:p>
    <w:p>
      <w:pPr>
        <w:spacing w:after="0" w:line="63"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remote work and in-person initiatives. In addition to rolling out new technologies and collaboration tools, we have implemented processes and resources to support our employees in the event an employee receives a positive COVID-19 diagnosis. We have developed plans regarding the opening of our sites to enable our employees to return to work in our global offices, the field and our manufacturing facilities, which take into account applicable public health authority and local government guidelines and which are designed to ensure community and employee safety. We plan to permanently move to a more flexible mix of virtual and in-person working to advance our culture, drive innovation and agility and enable greater balance and well-being for our workforce. This will also enable us to reconfigure our physical workspaces to optimize the footprint of our company-owned or leased office spaces.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While there continues to be some impact on demand arising from the pandemic, we have seen improvements as healthcare systems have adapted to cope with the ongoing situation.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The lack of access to healthcare providers has caused, and may continue to cause, delays in appropriate diagnosis, treatment and ongoing care for some patients, which could subsequently impact prescribing and use of our products.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Our manufacturing facilities in Athlone, Ireland, which produces Xyrem and Xywav, and Villa Guardia, Italy, which produces defibrotide, are operational with essential staff onsite and office-based staff working remotely. We currently expect to have adequate global supply of Xyrem, Xywav, Sunosi, Zepzelca, Vyxeos, and Defitelio in 2021.</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Similarly, our ability to recruit and retain patients and principal investigators and site staff who, as healthcare providers, may have heightened exposure to COVID-19, may adversely impact our clinical trial operations.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With our strong cash balance and positive cash flow, we anticipate having sufficient liquidity to continue to make planned investments in our business in support of our long-term growth strategy. However, the COVID-19 pandemic continues to rapidly evolve and has resulted in significant volatility in the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In addition, we are supporting our local communities and patient-focused organizations in COVID-19 relief efforts including through corporate donations to charitable organizations providing food and medical relief to our communities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which we operate in Italy, Philadelphia and the San Francisco Bay Area,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Our business has been substantially dependent on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While we expect that our business will continue to be substantially dependent on oxybate product sales from both Xyrem and Xywav, there is no guarantee that we can maintain oxybate sales at or near historical levels, or that oxybate sales will continue to grow.</w:t>
      </w:r>
    </w:p>
    <w:p>
      <w:pPr>
        <w:spacing w:after="0" w:line="53"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Our ability to successfully commercialize Xywav will depend on, among other things, our ability to obtain and maintain adequate coverage and reimbursement for Xywav and acceptance of Xywav by payers, physicians and patients. In an effort to support strong adoption of Xywav, we are focused on providing robust patient access programs and facilitating payer coverage for Xywav. Moreover, we have increasingly experienced pressure from third party payers to agree to discounts, rebates or restrictive pricing terms for our products, and we cannot guarantee we will be able to agree to commercially reasonable terms with pharmacy benefit managers, or PBMs, and other third party payers, or that we will be able to ensure patient access to our existing and future products and acceptance of our products on institutional formularies. Entering into agreements with PBMs and payers to ensure patient access has and will likely continue to result in higher gross to net deductions for these products.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filers. Generic competition can decrease the prices at which Xyrem and Xywav are sold and the number of prescriptions written for Xyrem and Xywav. Xyrem and Xywav may also face increased competition from new branded products for treatment of cataplexy and/or EDS in narcolepsy in the U.S. market.</w:t>
      </w:r>
    </w:p>
    <w:p>
      <w:pPr>
        <w:spacing w:after="0" w:line="6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As for other products in our neuroscience therapeutic area, if we are unable to successfully commercialize Sunosi in the U.S. and Europe, or if sales of Sunosi do not reach the levels we expect, our anticipated revenue from Sunosi will be negatively affected, which would have a material adverse effect on our business, financial condition, results of operations and growth prospects.</w:t>
      </w:r>
    </w:p>
    <w:p>
      <w:pPr>
        <w:spacing w:after="0" w:line="76"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Erwinaze, Vyxeos and Zepzelca. An inability to effectively commercialize Defitelio, Vyxeos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240" w:firstLine="445"/>
        <w:spacing w:after="0" w:line="272" w:lineRule="auto"/>
        <w:rPr>
          <w:sz w:val="20"/>
          <w:szCs w:val="20"/>
          <w:color w:val="auto"/>
        </w:rPr>
      </w:pPr>
      <w:r>
        <w:rPr>
          <w:rFonts w:ascii="Arial" w:cs="Arial" w:eastAsia="Arial" w:hAnsi="Arial"/>
          <w:sz w:val="17"/>
          <w:szCs w:val="17"/>
          <w:color w:val="auto"/>
        </w:rPr>
        <w:t>Our license and supply agreement with PBL, a limited liability company wholly owned by the UK Secretary of State for Health which includes an exclusive right to market, sell or distribute Erwinaze, an exclusive license to Erwinaze trademarks, and a non-exclusive license to PBL’s manufacturing know-how, expired on December 31, 2020. Under our agreement with PBL, we have the right to sell certain Erwinaze inventory for a post-termination sales period of 12 months and retain ownership of certain data, know-how and other property interests, including the BLA for Erwinaze in the U.S. and marketing authorizations for Erwinase in several other countries. We expect to distribute available Erwinaze supply during the first half of 2021. In addition, if we are unable to replace the future product sales we will lose from Erwinaze with our existing or future products, our business, financial condition, results of operations and growth prospects would be materially adversely affected.</w:t>
      </w:r>
    </w:p>
    <w:p>
      <w:pPr>
        <w:spacing w:after="0" w:line="69"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In addition to continued investment in our research and development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pending GW Acquisition, could have a material adverse effect on our business, results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operations and financial condition. In particular, the success of the GW Acquisition will depend, in part, on our ability to realize the anticipated benefits from successfully combining our and GW’s businesses and we plan to continue to devote substantial management attention and resources to integrating our business practices and operations with GW’s so that we can fully realize the anticipated benefits of the pending acquisition. Nonetheless, the products and technologies acquired may not be successful or continue to grow at the same rate as when our companies operated independently or they may require significantly greater resources and investments than originally anticipated. The acquisition could also result in the assumption of unknown or contingent liabilities.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pending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0" w:lineRule="exact"/>
        <w:rPr>
          <w:sz w:val="20"/>
          <w:szCs w:val="20"/>
          <w:color w:val="auto"/>
        </w:rPr>
      </w:pPr>
    </w:p>
    <w:p>
      <w:pPr>
        <w:ind w:right="200" w:firstLine="445"/>
        <w:spacing w:after="0" w:line="291"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payers. If we fail to obtain and maintain adequate formulary positions and institutional access for newly-launched products such as Sunosi, Xywav, Zepzelca and future approved products, we will not be able to achieve a return on our investment and our business, financial condition, results of operations and growth prospects would be materially adversely affected.</w:t>
      </w:r>
    </w:p>
    <w:p>
      <w:pPr>
        <w:spacing w:after="0" w:line="58"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to September 2020, a number of class action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class action complaints, see Note 11, Commitments and Contingencies-Legal Proceedings of the Notes to Condensed Consolidated Financial Statements included in Part I, Item 1 of this Quarterly Report on Form 10-Q.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1A of the annual report on Form 10-K for the year ended December 31, 2020, filed with the Securities and Exchange Commission on February 23, 2021, or the 2020 Form 10-K.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 (excluding amortization of acquired developed technologies)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208,400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62,847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202,250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Equity in gain of investees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2,188 %</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407,875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Oxybate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Sunosi</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Zepzelca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Erwinaze/Erwinase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117,884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530,205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Comparison to prior period 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Total oxybate product sales increased in the three months ended March 31, 2021 compared to the same period in 2020 primarily due to a higher average selling price, partially offset by a decrease in commercial sales volumes. Total oxybate revenue bottle volume decreased by 3% in the three months ended March 31, 2021 compared to the same period in 2020 reflecting our investment in patient access programs during the launch of Xywav. Average active oxybate patients on therapy were approximately 15,700 in the first quarter of 2021, an increase of approximately 4% compared to the same period in 2020. Xyrem product sales decreased in the three months ended March 31, 2021 compared to the same period in 2020 primarily due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a decrease in sales volume, and to a lesser extent higher gross to net deductions, partially offset by a higher average net selling price. Price increases were instituted in January 2020 and January 2021. Xyrem product sales volume decreased in the three months ended March 31, 2021, compared to the same period in 2020 driven by the strong adoption of Xywav by existing Xyrem patients. Xywav product sales in the three months ended March 31, 2021 were $75.4 million, following its U.S. launch in November 2020. Sunosi product sales increased in the three months ended March 31, 2021, compared to the same period in 2020 primarily due to an increase in sales volume. Sunosi launched in the U.S. in July 2019 and the European rolling launch commenced in May 2020.</w:t>
      </w:r>
    </w:p>
    <w:p>
      <w:pPr>
        <w:spacing w:after="0" w:line="84"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Zepzelca product sales were $54.3 million in the three months ended March 31, 2021 following its U.S. launch in July 2020. Vyxeos product sales for the three months ended March 31, 2021 were in line with the same period in 2020. Defitelio/defibrotide product sales increased in the three months ended March 31, 2021 compared to the same period in 2020 primarily due to the positive impact of foreign exchange rates. Erwinaze/Erwinase product sales increased in the three months ended March 31, 2021 compared to the same period in 2020 primarily due to the timing of availability of supply of inventory from the manufacturer.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Royalties and contract revenues decreased in the three months ended March 31, 2021 compared to the same period in 2020 primarily due to lower revenues from out-licensing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Cost of product sales increased in the three months ended March 31, 2021 compared to the same period in 2020 primarily due to changes in product mix. Gross margin as a percentage of net product sales was 93.3% for the three months ended March 31, 2021 compared to 94.6% for the same period in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Selling, general and administrative expenses increased in the three months ended March 31, 2021 compared to the same period in 2020 primarily due to increased investment in sales, marketing and launch activities with the commencement of the Sunosi direct-to-consumer marketing campaign in the U.S. and the continuation of the launches of Zepzelca and Xywav in the U.S., transaction expenses related to the proposed GW Acquisition as well as an increase in other expenses related to the expansion of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93"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36,226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25,902</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12,456</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76,573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86,107</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Research and development expenses decreased by $9.5 million in the three months ended March 31, 2021, compared to the same period in 2020. Clinical studies and outside services costs decreased by $16.7 million in the three months ended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March 31, 2021, compared to the same period in 2020 primarily due to a decrease in expenses related to our clinical programs, including JZP458. Personnel expenses increased by $10.3 million in the three months ended March 31, 2021, compared to the same period in 2020 primarily due to increased headcount in support of our development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Intangible asset amortization increased by $5.3 million in the three months ended March 31, 2021 compared to the same period in 2020 primarily due to the impact of changes in foreign exchange rates on euro-denominated intangible assets and the commencement of amortization of the Zepzelca intangible asset upon FDA approval in June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months ended March 31, 2020, we recorded an acquired in-process research and development, or IPR&amp;D, asset impairment charge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$136.1 million following the decision to stop enrollment in our Phase 3 clinical study of defibrotide for the prevention of VOD due to a determination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study is highly unlikely to reach one of its primary endpoints.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Acquired IPR&amp;D expense in the three months ended March 31, 2020 primarily related to an upfront payment of $200.0 million to PharmaMar in connection with our license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380" w:firstLine="445"/>
        <w:spacing w:after="0" w:line="263" w:lineRule="auto"/>
        <w:rPr>
          <w:sz w:val="20"/>
          <w:szCs w:val="20"/>
          <w:color w:val="auto"/>
        </w:rPr>
      </w:pPr>
      <w:r>
        <w:rPr>
          <w:rFonts w:ascii="Arial" w:cs="Arial" w:eastAsia="Arial" w:hAnsi="Arial"/>
          <w:sz w:val="18"/>
          <w:szCs w:val="18"/>
          <w:color w:val="auto"/>
        </w:rPr>
        <w:t>Interest expense, net increased by $8.9 million in the three months ended March 31, 2021 compared to the same period in 2020, primarily due to higher non-cash interest expense following the issuance of our 2.00% exchangeable senior notes due 2026, or the 2026 Notes, in June 2020 and lower interest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right="40" w:firstLine="445"/>
        <w:spacing w:after="0" w:line="342" w:lineRule="auto"/>
        <w:rPr>
          <w:sz w:val="20"/>
          <w:szCs w:val="20"/>
          <w:color w:val="auto"/>
        </w:rPr>
      </w:pPr>
      <w:r>
        <w:rPr>
          <w:rFonts w:ascii="Arial" w:cs="Arial" w:eastAsia="Arial" w:hAnsi="Arial"/>
          <w:sz w:val="16"/>
          <w:szCs w:val="16"/>
          <w:color w:val="auto"/>
        </w:rPr>
        <w:t>The foreign exchange (gain) loss is primarily related to the translation of euro-denominated net monetary liabilities, primarily intercompany balances, held by subsidiaries with a U.S. dollar functional currency and related foreign exchange forward contracts not designated as hedging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7"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Our income tax provision was $18.0 million in the three months ended March 31, 2021, compared to an income tax benefit of $51.3 million for the same period in 2020. The effective tax rate was 13.3% in the three months ended March 31, 2021 compared to 24.5% for the same period in 2020. The decrease in the effective tax rate for the three months ended March 31, 2021 compared to the same period in 2020 was primarily due to the impact of the defibrotide acquired IPR&amp;D asset impairment charge and the acquired IPR&amp;D expense relating to the $200.0 million upfront payment to PharmaMar for the exclusive U.S. commercialization and development rights to Zepzelca in 2020, and changes in income mix among the various jurisdictions in which we operate. The effective tax rate for the three months ended March 31, 2021 was higher than the Irish statutory rate of 12.5% primarily due to the impact of various expenses not deductible for tax purposes, income taxable at a rate higher than the Irish statutory rate and uncertain tax positions, partially offset by deductions available in respect of subsidiary equity and originating tax credits. We do not provide for Irish income taxes on undistributed earnings of our foreign operations that are intended to be indefinitely reinvested in our foreign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Investees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Equity in earnings of investees relates to our share in the net gain of companies in which we have made investments accounted for under the equity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2021, we had cash, cash equivalents and investments of $2.4 billion, borrowing availability under our revolving credit facility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 billion and long-term debt principal balance of $2.4 billion. Our long-term debt included $575.9 million aggregate principal amount term loan, $218.8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principal amount of our 1.875% exchangeable senior notes due 2021, or the 2021 Notes, $575.0 million principal amount of our 1.50%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exchangeable senior notes due 2024, or the 2024 Notes, and $1.0 billion principal amount of our 2026 Notes. We generated cash flows from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$285.0 million during the three months ended March 31, 2021, and we expect to continue to generate positive cash flows from operations during 2021.</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On April 20, 2021, we and certain of our wholly-owned subsidiaries, entered into Amendment No. 3 to our Credit Agreement, dated as of June 18, 2015, or the Existing Credit Agreement, with the lenders party thereto and Bank of America, N.A., as administrative agent, collateral agent, letter of credit issuer and swing line lender. The Amendment No. 3 amended the Existing Credit Agreement to permit the issuance of senior secured notes and made certain related changes as set forth therein.</w:t>
      </w:r>
    </w:p>
    <w:p>
      <w:pPr>
        <w:spacing w:after="0" w:line="7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On April 29, 2021, our wholly-owned subsidiary, Jazz Securities Designated Activity Company, issued $1.5 billion in aggregate principal amount of 4.375% senior secured notes due 2029.</w:t>
      </w:r>
    </w:p>
    <w:p>
      <w:pPr>
        <w:spacing w:after="0" w:line="62"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Concurrently with the closing of the GW Acquisition, we expect to enter into new senior secured credit facilities, which is expected to consist of a $500.0 million revolving credit facility and a term loan B facility in an aggregate amount of approximately $3.85 billion. We expect to use term loan B borrowings under new senior secured credit facilities and the net proceeds from the senior secured notes, together with cash on hand to fund the cash consideration payable in connection with the GW Acquisition. The senior secured notes have a mandatory redemption clause that will be triggered under certain circumstances, including failure to complete the acquisition within the time period outlined in the GW Transaction Agreement or the termination of the GW Acquisition.</w:t>
      </w:r>
    </w:p>
    <w:p>
      <w:pPr>
        <w:spacing w:after="0" w:line="84"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in our Annual Report on Form 10-K for the year ended December 31, 2020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7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resulted in significant volatility in the global financial markets. If the disruption persists and deepens, we could experience an inability to access additional capital or an impact on liquidity, which could in the future negatively affect our capacity for certain corporate development transactions or our ability to make other important, opportunistic investments. In addition, any equity financing would be dilutive to our shareholders, and the consent of the lenders under the amended credit agreement could be required for certain financings.</w:t>
      </w:r>
    </w:p>
    <w:p>
      <w:pPr>
        <w:spacing w:after="0" w:line="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November 2016, our board of directors authorized a share repurchase program and as of March 31,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amended credit agreement, corporate and regulatory requirements and market conditions. The share repurchase program may be modified, suspended or discontinued at any time without prior notice. During the three months ended March 31, 2021, we did not repurchase any of our ordinary shares. As of March 31, 2021, the remaining amount authorized under the share repurchase program was $431.2 million.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2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737,132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(60,080)</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(147,683)</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Net cash provided by operating activities increased by $12.0 million in the three months ended March 31, 2021 compared to the same period in 2020, primarily due to:</w:t>
      </w:r>
    </w:p>
    <w:p>
      <w:pPr>
        <w:spacing w:after="0" w:line="116" w:lineRule="exact"/>
        <w:rPr>
          <w:sz w:val="20"/>
          <w:szCs w:val="20"/>
          <w:color w:val="auto"/>
        </w:rPr>
      </w:pPr>
    </w:p>
    <w:p>
      <w:pPr>
        <w:ind w:left="660" w:right="5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net cash inflow related to changes in operating assets and liabilities primarily driven by the timing of payments to suppliers, partially offset by the timing of receipts from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Net cash provided by (used in) investing activities increased by $797.2 million in the three months ended March 31, 2021 compared to the same period in 2020, primarily due to the following:</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$579.3 million increase in net proceeds from maturity of investments, primarily time deposits;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$202.3 million decrease in upfront payments for acquired IPR&amp;D primarily driven by the $200.0 million payment under our license agreement with PharmaMar in the three months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Net cash provided by (used in) financing activities increased by $166.0 million in the three months ended March 31, 2021 compared to the same period in 2020, primarily due to:</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share repurchases of $139.1 million in the three months ended March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$37.1 million in proceeds from employee equity incentive and purchase plans;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$10.2 million in payment of employee withholding taxes related to share-based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During the three months ended March 31, 2021, there were no material changes to the amended credit agreement, as set forth in Note 11, Debt, of the Notes to Consolidated Financial Statements included in our Annual Report on Form 10-K for the year ended December 31, 2020.</w:t>
      </w:r>
    </w:p>
    <w:p>
      <w:pPr>
        <w:spacing w:after="0" w:line="79"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On April 29, 2021, our wholly-owned subsidiary, Jazz Securities Designated Activity Company, issued $1.5 billion in aggregate principal amount of 4.375% senior secured notes due 2029.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0" w:firstLine="445"/>
        <w:spacing w:after="0" w:line="263" w:lineRule="auto"/>
        <w:rPr>
          <w:sz w:val="20"/>
          <w:szCs w:val="20"/>
          <w:color w:val="auto"/>
        </w:rPr>
      </w:pPr>
      <w:r>
        <w:rPr>
          <w:rFonts w:ascii="Arial" w:cs="Arial" w:eastAsia="Arial" w:hAnsi="Arial"/>
          <w:sz w:val="18"/>
          <w:szCs w:val="18"/>
          <w:color w:val="auto"/>
        </w:rPr>
        <w:t>During the three months ended March 31, 2021, there were no material changes to our contractual obligations as set forth in Part II, Item 7 “Management’s Discussion and Analysis of Financial Condition and Results of Operations” in our Annual Report on Form 10-K for the year ended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critical accounting policies and significant estimates are detailed in our Annual Report on Form 10-K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critical accounting policies and significant estimates have not changed substantially from those previously disclosed in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known and unknown risks, uncertainties and other factors include, without limitation:</w:t>
      </w:r>
    </w:p>
    <w:p>
      <w:pPr>
        <w:spacing w:after="0" w:line="73"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our pending GW Acquisition.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GW Acquisition may not be completed on the currently contemplated timeline or terms, or at all.</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complete the GW Acquisition could have a material and adverse effect on us.</w:t>
      </w:r>
    </w:p>
    <w:p>
      <w:pPr>
        <w:spacing w:after="0" w:line="117" w:lineRule="exact"/>
        <w:rPr>
          <w:rFonts w:ascii="Arial" w:cs="Arial" w:eastAsia="Arial" w:hAnsi="Arial"/>
          <w:sz w:val="18"/>
          <w:szCs w:val="18"/>
          <w:color w:val="auto"/>
        </w:rPr>
      </w:pPr>
    </w:p>
    <w:p>
      <w:pPr>
        <w:ind w:left="740" w:right="320" w:hanging="327"/>
        <w:spacing w:after="0" w:line="311" w:lineRule="auto"/>
        <w:tabs>
          <w:tab w:leader="none" w:pos="7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indebtedness of the combined company following the consummation of the GW Acquisition will be substantially greater than our indebtedness on a standalone basis and greater than the combined indebtedness of Jazz and GW prior to the announcement of the acquisition. This increased level of indebtedness could adversely affect the combined company’s business flexibility and increase its borrowing costs.</w:t>
      </w:r>
    </w:p>
    <w:p>
      <w:pPr>
        <w:spacing w:after="0" w:line="40" w:lineRule="exact"/>
        <w:rPr>
          <w:rFonts w:ascii="Arial" w:cs="Arial" w:eastAsia="Arial" w:hAnsi="Arial"/>
          <w:sz w:val="16"/>
          <w:szCs w:val="16"/>
          <w:color w:val="auto"/>
        </w:rPr>
      </w:pPr>
    </w:p>
    <w:p>
      <w:pPr>
        <w:ind w:left="740" w:right="60" w:hanging="327"/>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neuroscience therapeutic area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740" w:right="300" w:hanging="327"/>
        <w:spacing w:after="0" w:line="27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ind w:left="740" w:right="320" w:hanging="327"/>
        <w:spacing w:after="0" w:line="342" w:lineRule="auto"/>
        <w:tabs>
          <w:tab w:leader="none" w:pos="7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distribution and sale of our oxybate products are subject to significant regulatory restrictions, including the requirements of a REMS and these regulatory requirements subject us to risks and uncertainties, any of which could negatively impact sales of Xyrem and Xywav.</w:t>
      </w:r>
    </w:p>
    <w:p>
      <w:pPr>
        <w:spacing w:after="0" w:line="15" w:lineRule="exact"/>
        <w:rPr>
          <w:rFonts w:ascii="Arial" w:cs="Arial" w:eastAsia="Arial" w:hAnsi="Arial"/>
          <w:sz w:val="16"/>
          <w:szCs w:val="16"/>
          <w:color w:val="auto"/>
        </w:rPr>
      </w:pPr>
    </w:p>
    <w:p>
      <w:pPr>
        <w:ind w:left="740" w:right="160" w:hanging="327"/>
        <w:spacing w:after="0" w:line="257"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we expect our oxybate products, Xyrem and Xywav, to remain the largest part of our business, our success also depends on our ability to effectively commercialize products in our oncology therapeutic area. An inability to effectively commercialize Defitelio, Vyxeos and Zepzelca and to maximize their potential where possible through successful research and development activities and an inability to replace the future product sales we will lose from Erwinaze, would have a material adverse effect on our business, financial condition, results of operations and growth prospects.</w:t>
      </w:r>
    </w:p>
    <w:p>
      <w:pPr>
        <w:spacing w:after="0" w:line="79" w:lineRule="exact"/>
        <w:rPr>
          <w:rFonts w:ascii="Arial" w:cs="Arial" w:eastAsia="Arial" w:hAnsi="Arial"/>
          <w:sz w:val="18"/>
          <w:szCs w:val="18"/>
          <w:color w:val="auto"/>
        </w:rPr>
      </w:pPr>
    </w:p>
    <w:p>
      <w:pPr>
        <w:ind w:left="740" w:right="100" w:hanging="327"/>
        <w:spacing w:after="0" w:line="263" w:lineRule="auto"/>
        <w:tabs>
          <w:tab w:leader="none" w:pos="7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 and the commercial potential of our current products and any future products may be reduced or eliminated if our competitors develop or acquire and commercialize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generic or branded products that are safer or more effective, are more convenient or are less expensive than our products.</w:t>
      </w:r>
    </w:p>
    <w:p>
      <w:pPr>
        <w:spacing w:after="0" w:line="117" w:lineRule="exact"/>
        <w:rPr>
          <w:sz w:val="20"/>
          <w:szCs w:val="20"/>
          <w:color w:val="auto"/>
        </w:rPr>
      </w:pPr>
    </w:p>
    <w:p>
      <w:pPr>
        <w:ind w:left="740" w:right="140" w:hanging="327"/>
        <w:spacing w:after="0" w:line="259"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payers may not be available for our products and we 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w:t>
      </w:r>
    </w:p>
    <w:p>
      <w:pPr>
        <w:spacing w:after="0" w:line="78" w:lineRule="exact"/>
        <w:rPr>
          <w:rFonts w:ascii="Arial" w:cs="Arial" w:eastAsia="Arial" w:hAnsi="Arial"/>
          <w:sz w:val="18"/>
          <w:szCs w:val="18"/>
          <w:color w:val="auto"/>
        </w:rPr>
      </w:pPr>
    </w:p>
    <w:p>
      <w:pPr>
        <w:ind w:left="740" w:right="280" w:hanging="327"/>
        <w:spacing w:after="0" w:line="263"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5" w:lineRule="exact"/>
        <w:rPr>
          <w:rFonts w:ascii="Arial" w:cs="Arial" w:eastAsia="Arial" w:hAnsi="Arial"/>
          <w:sz w:val="18"/>
          <w:szCs w:val="18"/>
          <w:color w:val="auto"/>
        </w:rPr>
      </w:pPr>
    </w:p>
    <w:p>
      <w:pPr>
        <w:ind w:left="740" w:right="4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payers and the medical community.</w:t>
      </w:r>
    </w:p>
    <w:p>
      <w:pPr>
        <w:spacing w:after="0" w:line="62" w:lineRule="exact"/>
        <w:rPr>
          <w:rFonts w:ascii="Arial" w:cs="Arial" w:eastAsia="Arial" w:hAnsi="Arial"/>
          <w:sz w:val="18"/>
          <w:szCs w:val="18"/>
          <w:color w:val="auto"/>
        </w:rPr>
      </w:pPr>
    </w:p>
    <w:p>
      <w:pPr>
        <w:ind w:left="740" w:right="100" w:hanging="327"/>
        <w:spacing w:after="0" w:line="342" w:lineRule="auto"/>
        <w:tabs>
          <w:tab w:leader="none" w:pos="7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740" w:right="60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rFonts w:ascii="Arial" w:cs="Arial" w:eastAsia="Arial" w:hAnsi="Arial"/>
          <w:sz w:val="18"/>
          <w:szCs w:val="18"/>
          <w:color w:val="auto"/>
        </w:rPr>
      </w:pPr>
    </w:p>
    <w:p>
      <w:pPr>
        <w:ind w:left="740" w:right="4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740" w:right="200" w:hanging="327"/>
        <w:spacing w:after="0" w:line="286" w:lineRule="auto"/>
        <w:tabs>
          <w:tab w:leader="none" w:pos="7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740" w:right="180" w:hanging="327"/>
        <w:spacing w:after="0" w:line="308" w:lineRule="auto"/>
        <w:tabs>
          <w:tab w:leader="none" w:pos="7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jc w:val="both"/>
        <w:ind w:left="740" w:right="20" w:hanging="327"/>
        <w:spacing w:after="0" w:line="220" w:lineRule="exact"/>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5"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740" w:right="48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740" w:right="340" w:hanging="327"/>
        <w:spacing w:after="0" w:line="263"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jc w:val="both"/>
        <w:ind w:left="740" w:hanging="327"/>
        <w:spacing w:after="0" w:line="263"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substantial debt, and expect to incur additional debt in connection with the GW Acquisition, which could impair our flexibility and access to capital and adversely affect our financial position, and our business would be adversely affected if we are unable to service our debt obligations.</w:t>
      </w:r>
    </w:p>
    <w:p>
      <w:pPr>
        <w:spacing w:after="0" w:line="75" w:lineRule="exact"/>
        <w:rPr>
          <w:rFonts w:ascii="Arial" w:cs="Arial" w:eastAsia="Arial" w:hAnsi="Arial"/>
          <w:sz w:val="18"/>
          <w:szCs w:val="18"/>
          <w:color w:val="auto"/>
        </w:rPr>
      </w:pPr>
    </w:p>
    <w:p>
      <w:pPr>
        <w:ind w:left="740" w:right="600" w:hanging="327"/>
        <w:spacing w:after="0" w:line="277"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Additional discussion of the risks, uncertainties and other factors described above, as well as other risks material to our business, can be found under “Risk Factors” in Part I, Item 1A of the 2020 Annual Report on Form 10-K.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10-Q completely and with the understanding that our actual future results and the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1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60" w:firstLine="445"/>
        <w:spacing w:after="0" w:line="342" w:lineRule="auto"/>
        <w:rPr>
          <w:sz w:val="20"/>
          <w:szCs w:val="20"/>
          <w:color w:val="auto"/>
        </w:rPr>
      </w:pPr>
      <w:r>
        <w:rPr>
          <w:rFonts w:ascii="Arial" w:cs="Arial" w:eastAsia="Arial" w:hAnsi="Arial"/>
          <w:sz w:val="16"/>
          <w:szCs w:val="16"/>
          <w:color w:val="auto"/>
        </w:rPr>
        <w:t>During the three months ended March 31, 2021, there were no material changes to our market risk disclosures as set forth in Part II, Item 7A “Quantitative and Qualitative Disclosures About Market Risk” in our Annual Report on Form 10-K for the year ended December 31, 2020.</w:t>
      </w:r>
    </w:p>
    <w:p>
      <w:pPr>
        <w:spacing w:after="0" w:line="25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57"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10-Q. Based on their evaluation, our principal executive officer and principal financial officer concluded that our disclosure controls and procedures were effective as of March 31, 2021.</w:t>
      </w:r>
    </w:p>
    <w:p>
      <w:pPr>
        <w:spacing w:after="0" w:line="8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60" w:firstLine="445"/>
        <w:spacing w:after="0" w:line="308"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March 31, 2021, there have been no changes to our internal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460" w:firstLine="445"/>
        <w:spacing w:after="0" w:line="342" w:lineRule="auto"/>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Contingencies—Legal Proceedings of the Notes to Condensed Consolidated Financial Statements included in Part I, Item 1 of this Quarterly Report on Form 10-Q.</w:t>
      </w:r>
    </w:p>
    <w:p>
      <w:pPr>
        <w:spacing w:after="0" w:line="3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There have been no material changes to the risk factors as previously disclosed in Part I, Item 1A in our Annual Report on Form 10-K for the year ended December 31, 2020.</w:t>
      </w: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November 2016, our board of directors authorized a share repurchase program and as of March 31, 2021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March 31, 2021, we did not repurchase any of our ordinary shares. As of March 31, 2021, the remaining amount authorized under the share repurchase program was $431.2 million.</w:t>
      </w:r>
    </w:p>
    <w:p>
      <w:pPr>
        <w:spacing w:after="0" w:line="49"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45"/>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4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0" w:type="dxa"/>
            <w:vAlign w:val="bottom"/>
            <w:gridSpan w:val="4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FF"/>
            </w:tcBorders>
            <w:gridSpan w:val="19"/>
            <w:shd w:val="clear" w:color="auto" w:fill="CCEEFF"/>
          </w:tcPr>
          <w:p>
            <w:pPr>
              <w:spacing w:after="0" w:line="189"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Agreement and Plan of Merger and Reorganization, dated as of September 19, 2011, by and among Azur Pharma Limited (now Jazz</w:t>
              </w:r>
            </w:hyperlink>
          </w:p>
        </w:tc>
        <w:tc>
          <w:tcPr>
            <w:tcW w:w="660" w:type="dxa"/>
            <w:vAlign w:val="bottom"/>
            <w:tcBorders>
              <w:bottom w:val="single" w:sz="8" w:color="CCEEFF"/>
              <w:right w:val="single" w:sz="8" w:color="CCEEFF"/>
            </w:tcBorders>
            <w:gridSpan w:val="25"/>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180" w:type="dxa"/>
            <w:vAlign w:val="bottom"/>
            <w:tcBorders>
              <w:right w:val="single" w:sz="8" w:color="CCEEFF"/>
            </w:tcBorders>
            <w:gridSpan w:val="44"/>
            <w:shd w:val="clear" w:color="auto" w:fill="CCEEFF"/>
          </w:tcPr>
          <w:p>
            <w:pPr>
              <w:spacing w:after="0" w:line="15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120" w:type="dxa"/>
            <w:vAlign w:val="bottom"/>
            <w:tcBorders>
              <w:top w:val="single" w:sz="8" w:color="CCEEFF"/>
            </w:tcBorders>
            <w:gridSpan w:val="6"/>
            <w:shd w:val="clear" w:color="auto" w:fill="CCEEFF"/>
          </w:tcPr>
          <w:p>
            <w:pPr>
              <w:jc w:val="right"/>
              <w:ind w:right="60"/>
              <w:spacing w:after="0" w:line="155" w:lineRule="exact"/>
              <w:rPr>
                <w:rFonts w:ascii="Arial" w:cs="Arial" w:eastAsia="Arial" w:hAnsi="Arial"/>
                <w:sz w:val="16"/>
                <w:szCs w:val="16"/>
                <w:color w:val="0000FF"/>
                <w:w w:val="74"/>
              </w:rPr>
            </w:pPr>
            <w:hyperlink r:id="rId62">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7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33500) filed with the SEC on September 19, 2011).</w:t>
              </w:r>
            </w:hyperlink>
          </w:p>
        </w:tc>
        <w:tc>
          <w:tcPr>
            <w:tcW w:w="632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80" w:type="dxa"/>
            <w:vAlign w:val="bottom"/>
            <w:gridSpan w:val="44"/>
          </w:tcPr>
          <w:p>
            <w:pPr>
              <w:spacing w:after="0" w:line="189"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Pharmaceuticals plc’s Current Report on Form 8-K (File No. 001-33500), as filed with the SEC on January 18, 2012).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458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(File No. 001-33500), as filed with the SEC on April 27, 2012).</w:t>
              </w:r>
            </w:hyperlink>
          </w:p>
        </w:tc>
        <w:tc>
          <w:tcPr>
            <w:tcW w:w="5300" w:type="dxa"/>
            <w:vAlign w:val="bottom"/>
            <w:tcBorders>
              <w:top w:val="single" w:sz="8" w:color="0000FF"/>
              <w:bottom w:val="single" w:sz="8" w:color="CCEEFF"/>
            </w:tcBorders>
            <w:gridSpan w:val="24"/>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20" w:type="dxa"/>
            <w:vAlign w:val="bottom"/>
            <w:tcBorders>
              <w:bottom w:val="single" w:sz="8" w:color="0000FF"/>
            </w:tcBorders>
            <w:gridSpan w:val="25"/>
          </w:tcPr>
          <w:p>
            <w:pPr>
              <w:spacing w:after="0" w:line="189"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460" w:type="dxa"/>
            <w:vAlign w:val="bottom"/>
            <w:gridSpan w:val="1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0" w:type="dxa"/>
            <w:vAlign w:val="bottom"/>
            <w:gridSpan w:val="45"/>
          </w:tcPr>
          <w:p>
            <w:pPr>
              <w:spacing w:after="0" w:line="15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12, 2012).</w:t>
              </w:r>
            </w:hyperlink>
          </w:p>
        </w:tc>
        <w:tc>
          <w:tcPr>
            <w:tcW w:w="8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10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2.6†</w:t>
            </w:r>
          </w:p>
        </w:tc>
        <w:tc>
          <w:tcPr>
            <w:tcW w:w="10180" w:type="dxa"/>
            <w:vAlign w:val="bottom"/>
            <w:gridSpan w:val="44"/>
          </w:tcPr>
          <w:p>
            <w:pPr>
              <w:spacing w:after="0" w:line="189"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80" w:type="dxa"/>
            <w:vAlign w:val="bottom"/>
            <w:tcBorders>
              <w:top w:val="single" w:sz="8" w:color="0000FF"/>
            </w:tcBorders>
            <w:gridSpan w:val="40"/>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(File No. 001-33500), as filed with the SEC on January 13, 2014).</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2.7†</w:t>
            </w: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right w:val="single" w:sz="8" w:color="CCEEFF"/>
            </w:tcBorders>
            <w:gridSpan w:val="44"/>
            <w:shd w:val="clear" w:color="auto" w:fill="CCEEFF"/>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Jazz Pharmaceuticals plc and Gentium S.p.A. (incorporated herein by reference to Exhibit 2.1 in Jazz Pharmaceuticals plc’s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562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on Form 8-K (File No. 001-33500), as filed with the SEC on August 5, 2014).</w:t>
              </w:r>
            </w:hyperlink>
          </w:p>
        </w:tc>
        <w:tc>
          <w:tcPr>
            <w:tcW w:w="4520" w:type="dxa"/>
            <w:vAlign w:val="bottom"/>
            <w:tcBorders>
              <w:top w:val="single" w:sz="8" w:color="0000FF"/>
              <w:bottom w:val="single" w:sz="8" w:color="CCEEFF"/>
            </w:tcBorders>
            <w:gridSpan w:val="32"/>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80" w:type="dxa"/>
            <w:vAlign w:val="bottom"/>
            <w:gridSpan w:val="44"/>
          </w:tcPr>
          <w:p>
            <w:pPr>
              <w:spacing w:after="0" w:line="189"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tcBorders>
              <w:top w:val="single" w:sz="8" w:color="0000FF"/>
            </w:tcBorders>
            <w:gridSpan w:val="38"/>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between Jazz Pharmaceuticals plc and Essex Bidco Limited (incorporated herein by reference to Exhibit 2.1 in Jazz Pharmaceuticals plc’s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9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Current Report on Form 8-K (File No. 001-33500), as filed with the SEC on March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80" w:type="dxa"/>
            <w:vAlign w:val="bottom"/>
            <w:tcBorders>
              <w:top w:val="single" w:sz="8" w:color="CCEEFF"/>
              <w:right w:val="single" w:sz="8" w:color="CCEEFF"/>
            </w:tcBorders>
            <w:gridSpan w:val="20"/>
            <w:shd w:val="clear" w:color="auto" w:fill="CCEEFF"/>
          </w:tcPr>
          <w:p>
            <w:pPr>
              <w:jc w:val="right"/>
              <w:ind w:right="200"/>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84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001-33500), as filed with the SEC on May 31, 2016).</w:t>
              </w:r>
            </w:hyperlink>
          </w:p>
        </w:tc>
        <w:tc>
          <w:tcPr>
            <w:tcW w:w="6180" w:type="dxa"/>
            <w:vAlign w:val="bottom"/>
            <w:tcBorders>
              <w:top w:val="single" w:sz="8" w:color="0000FF"/>
              <w:bottom w:val="single" w:sz="8" w:color="CCEEFF"/>
            </w:tcBorders>
            <w:gridSpan w:val="3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2.10‡</w:t>
            </w:r>
          </w:p>
        </w:tc>
        <w:tc>
          <w:tcPr>
            <w:tcW w:w="10180" w:type="dxa"/>
            <w:vAlign w:val="bottom"/>
            <w:gridSpan w:val="44"/>
          </w:tcPr>
          <w:p>
            <w:pPr>
              <w:spacing w:after="0" w:line="189"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Transaction Agreement, dated as of February 3, 2021, by and among Jazz Pharmaceuticals UK Holdings Limited, Jazz Pharmaceuticals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22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Current Report on Form 8-K (File No. 001-33500), as filed with the SEC on February 4, 2021).</w:t>
              </w:r>
            </w:hyperlink>
          </w:p>
        </w:tc>
        <w:tc>
          <w:tcPr>
            <w:tcW w:w="30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rPr>
            </w:pPr>
            <w:hyperlink r:id="rId72">
              <w:r>
                <w:rPr>
                  <w:rFonts w:ascii="Arial" w:cs="Arial" w:eastAsia="Arial" w:hAnsi="Arial"/>
                  <w:sz w:val="18"/>
                  <w:szCs w:val="18"/>
                  <w:color w:val="0000FF"/>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08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100" w:type="dxa"/>
            <w:vAlign w:val="bottom"/>
            <w:tcBorders>
              <w:top w:val="single" w:sz="8" w:color="CCEEFF"/>
              <w:right w:val="single" w:sz="8" w:color="CCEEFF"/>
            </w:tcBorders>
            <w:gridSpan w:val="27"/>
            <w:shd w:val="clear" w:color="auto" w:fill="CCEEFF"/>
          </w:tcPr>
          <w:p>
            <w:pPr>
              <w:spacing w:after="0" w:line="15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5080" w:type="dxa"/>
            <w:vAlign w:val="bottom"/>
            <w:tcBorders>
              <w:top w:val="single" w:sz="8" w:color="0000FF"/>
              <w:bottom w:val="single" w:sz="8" w:color="0000FF"/>
            </w:tcBorders>
            <w:gridSpan w:val="9"/>
            <w:shd w:val="clear" w:color="auto" w:fill="CCEEFF"/>
          </w:tcPr>
          <w:p>
            <w:pPr>
              <w:spacing w:after="0" w:line="15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period ended June 30, 2016, as filed with the SEC on August 9, 2016).</w:t>
              </w:r>
            </w:hyperlink>
          </w:p>
        </w:tc>
        <w:tc>
          <w:tcPr>
            <w:tcW w:w="504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180" w:type="dxa"/>
            <w:vAlign w:val="bottom"/>
            <w:gridSpan w:val="44"/>
          </w:tcPr>
          <w:p>
            <w:pPr>
              <w:spacing w:after="0" w:line="189" w:lineRule="exact"/>
              <w:rPr>
                <w:rFonts w:ascii="Arial" w:cs="Arial" w:eastAsia="Arial" w:hAnsi="Arial"/>
                <w:sz w:val="18"/>
                <w:szCs w:val="18"/>
                <w:color w:val="0000FF"/>
              </w:rPr>
            </w:pPr>
            <w:hyperlink r:id="rId72">
              <w:r>
                <w:rPr>
                  <w:rFonts w:ascii="Arial" w:cs="Arial" w:eastAsia="Arial" w:hAnsi="Arial"/>
                  <w:sz w:val="18"/>
                  <w:szCs w:val="18"/>
                  <w:color w:val="0000FF"/>
                </w:rPr>
                <w:t>Reference is made to Exhibit 3.1.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4.2A</w:t>
            </w: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Indenture, dated as of August 13, 2014, by and among Jazz Pharmaceuticals plc, Jazz Investments I Limited and U.S. Bank 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954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Association (incorporated herein by reference to Exhibit 4.1 in Jazz Pharmaceuticals plc’s Current Report on Form 8-K (File No. 001</w:t>
              </w:r>
            </w:hyperlink>
          </w:p>
        </w:tc>
        <w:tc>
          <w:tcPr>
            <w:tcW w:w="440" w:type="dxa"/>
            <w:vAlign w:val="bottom"/>
            <w:tcBorders>
              <w:top w:val="single" w:sz="8" w:color="CCEEFF"/>
            </w:tcBorders>
            <w:gridSpan w:val="15"/>
            <w:shd w:val="clear" w:color="auto" w:fill="CCEEFF"/>
          </w:tcPr>
          <w:p>
            <w:pPr>
              <w:jc w:val="right"/>
              <w:ind w:right="320"/>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70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33500)</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 xml:space="preserve"> as filed with the SEC on August 13, 2014).</w:t>
              </w:r>
            </w:hyperlink>
          </w:p>
        </w:tc>
        <w:tc>
          <w:tcPr>
            <w:tcW w:w="5960" w:type="dxa"/>
            <w:vAlign w:val="bottom"/>
            <w:tcBorders>
              <w:top w:val="single" w:sz="8" w:color="0000FF"/>
              <w:bottom w:val="single" w:sz="8" w:color="CCEEFF"/>
            </w:tcBorders>
            <w:gridSpan w:val="18"/>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4.2B</w:t>
            </w:r>
          </w:p>
        </w:tc>
        <w:tc>
          <w:tcPr>
            <w:tcW w:w="10180" w:type="dxa"/>
            <w:vAlign w:val="bottom"/>
            <w:gridSpan w:val="44"/>
          </w:tcPr>
          <w:p>
            <w:pPr>
              <w:spacing w:after="0" w:line="189" w:lineRule="exact"/>
              <w:rPr>
                <w:rFonts w:ascii="Arial" w:cs="Arial" w:eastAsia="Arial" w:hAnsi="Arial"/>
                <w:sz w:val="18"/>
                <w:szCs w:val="18"/>
                <w:color w:val="0000FF"/>
                <w:w w:val="96"/>
              </w:rPr>
            </w:pPr>
            <w:hyperlink r:id="rId73">
              <w:r>
                <w:rPr>
                  <w:rFonts w:ascii="Arial" w:cs="Arial" w:eastAsia="Arial" w:hAnsi="Arial"/>
                  <w:sz w:val="18"/>
                  <w:szCs w:val="18"/>
                  <w:color w:val="0000FF"/>
                  <w:w w:val="96"/>
                </w:rPr>
                <w:t>Form of 1.875% Exchangeable Senior Note due 2021 (incorporated herein by reference to Exhibit 4.1 in Jazz Pharmaceuticals plc’s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Current Report on Form 8-K (File No. 001-33500), as filed with the SEC on August 13, 2014).</w:t>
              </w:r>
            </w:hyperlink>
          </w:p>
        </w:tc>
        <w:tc>
          <w:tcPr>
            <w:tcW w:w="5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4.3A</w:t>
            </w:r>
          </w:p>
        </w:tc>
        <w:tc>
          <w:tcPr>
            <w:tcW w:w="10180" w:type="dxa"/>
            <w:vAlign w:val="bottom"/>
            <w:tcBorders>
              <w:right w:val="single" w:sz="8" w:color="CCEEFF"/>
            </w:tcBorders>
            <w:gridSpan w:val="44"/>
            <w:shd w:val="clear" w:color="auto" w:fill="CCEEFF"/>
          </w:tcPr>
          <w:p>
            <w:pPr>
              <w:spacing w:after="0" w:line="189"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Indenture, dated as of August 23, 2017, among Jazz Pharmaceuticals Public Limited Company, Jazz Investments I Limited and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35"/>
            <w:shd w:val="clear" w:color="auto" w:fill="CCEEFF"/>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0000FF"/>
            </w:tcBorders>
            <w:gridSpan w:val="6"/>
            <w:shd w:val="clear" w:color="auto" w:fill="CCEEFF"/>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001-033500), as filed with the SEC on August 23, 2017).</w:t>
              </w:r>
            </w:hyperlink>
          </w:p>
        </w:tc>
        <w:tc>
          <w:tcPr>
            <w:tcW w:w="5880" w:type="dxa"/>
            <w:vAlign w:val="bottom"/>
            <w:tcBorders>
              <w:bottom w:val="single" w:sz="8" w:color="CCEEFF"/>
            </w:tcBorders>
            <w:gridSpan w:val="30"/>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c>
          <w:tcPr>
            <w:tcW w:w="120" w:type="dxa"/>
            <w:vAlign w:val="bottom"/>
            <w:tcBorders>
              <w:bottom w:val="single" w:sz="8" w:color="CCEEFF"/>
              <w:right w:val="single" w:sz="8" w:color="CCEEFF"/>
            </w:tcBorders>
            <w:gridSpan w:val="5"/>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4.3B</w:t>
            </w:r>
          </w:p>
        </w:tc>
        <w:tc>
          <w:tcPr>
            <w:tcW w:w="10180" w:type="dxa"/>
            <w:vAlign w:val="bottom"/>
            <w:gridSpan w:val="44"/>
          </w:tcPr>
          <w:p>
            <w:pPr>
              <w:spacing w:after="0" w:line="189"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Form of 1.50% Exchangeable Senior Note due 2024 (incorporated herein by reference to Exhibit 4.2 in Jazz Pharmaceuticals plc’s Current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Borders>
              <w:top w:val="single" w:sz="8" w:color="0000FF"/>
            </w:tcBorders>
            <w:gridSpan w:val="7"/>
          </w:tcPr>
          <w:p>
            <w:pPr>
              <w:ind w:left="4400"/>
              <w:spacing w:after="0"/>
              <w:rPr>
                <w:sz w:val="20"/>
                <w:szCs w:val="20"/>
                <w:color w:val="auto"/>
              </w:rPr>
            </w:pPr>
            <w:r>
              <w:rPr>
                <w:rFonts w:ascii="Arial" w:cs="Arial" w:eastAsia="Arial" w:hAnsi="Arial"/>
                <w:sz w:val="18"/>
                <w:szCs w:val="18"/>
                <w:color w:val="auto"/>
                <w:w w:val="79"/>
              </w:rPr>
              <w:t>45</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4.4A</w:t>
            </w:r>
          </w:p>
        </w:tc>
        <w:tc>
          <w:tcPr>
            <w:tcW w:w="10080" w:type="dxa"/>
            <w:vAlign w:val="bottom"/>
            <w:gridSpan w:val="17"/>
            <w:shd w:val="clear" w:color="auto" w:fill="CCEEFF"/>
          </w:tcPr>
          <w:p>
            <w:pPr>
              <w:spacing w:after="0"/>
              <w:rPr>
                <w:rFonts w:ascii="Arial" w:cs="Arial" w:eastAsia="Arial" w:hAnsi="Arial"/>
                <w:sz w:val="18"/>
                <w:szCs w:val="18"/>
                <w:color w:val="0000FF"/>
                <w:w w:val="93"/>
              </w:rPr>
            </w:pPr>
            <w:hyperlink r:id="rId77">
              <w:r>
                <w:rPr>
                  <w:rFonts w:ascii="Arial" w:cs="Arial" w:eastAsia="Arial" w:hAnsi="Arial"/>
                  <w:sz w:val="18"/>
                  <w:szCs w:val="18"/>
                  <w:color w:val="0000FF"/>
                  <w:w w:val="93"/>
                </w:rPr>
                <w:t>Indenture, dated as of June 11, 2020 among Jazz Pharmaceuticals Public Limited Company, Jazz Investments I Limited and U.S. Bank</w:t>
              </w:r>
            </w:hyperlink>
          </w:p>
        </w:tc>
        <w:tc>
          <w:tcPr>
            <w:tcW w:w="0" w:type="dxa"/>
            <w:vAlign w:val="bottom"/>
          </w:tcPr>
          <w:p>
            <w:pPr>
              <w:spacing w:after="0"/>
              <w:rPr>
                <w:sz w:val="1"/>
                <w:szCs w:val="1"/>
                <w:color w:val="auto"/>
              </w:rPr>
            </w:pPr>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National Association (incorporated herein by reference to Exhibit 4.1 in Jazz Pharmaceuticals plc’s Current Report on Form 8-K (File</w:t>
              </w:r>
            </w:hyperlink>
          </w:p>
        </w:tc>
        <w:tc>
          <w:tcPr>
            <w:tcW w:w="400" w:type="dxa"/>
            <w:vAlign w:val="bottom"/>
            <w:tcBorders>
              <w:top w:val="single" w:sz="8" w:color="CCEEFF"/>
            </w:tcBorders>
            <w:gridSpan w:val="5"/>
            <w:shd w:val="clear" w:color="auto" w:fill="CCEEFF"/>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No.</w:t>
              </w:r>
            </w:hyperlink>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3920" w:type="dxa"/>
            <w:vAlign w:val="bottom"/>
            <w:tcBorders>
              <w:top w:val="single" w:sz="8" w:color="0000FF"/>
              <w:bottom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001-033500), as filed with the SEC on June 11, 2020).</w:t>
              </w:r>
            </w:hyperlink>
          </w:p>
        </w:tc>
        <w:tc>
          <w:tcPr>
            <w:tcW w:w="602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4.4B</w:t>
            </w:r>
          </w:p>
        </w:tc>
        <w:tc>
          <w:tcPr>
            <w:tcW w:w="10080" w:type="dxa"/>
            <w:vAlign w:val="bottom"/>
            <w:gridSpan w:val="17"/>
          </w:tcPr>
          <w:p>
            <w:pPr>
              <w:spacing w:after="0" w:line="189"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Form of 2.000% Exchangeable Senior Note due 2026 (incorporated herein by reference to Exhibit 4.2 in Jazz Pharmaceuticals plc’s</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Current Report on Form 8-K (File No. 001-033500), as filed with the SEC on June 11, 2020).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4.5A</w:t>
            </w:r>
          </w:p>
        </w:tc>
        <w:tc>
          <w:tcPr>
            <w:tcW w:w="10080" w:type="dxa"/>
            <w:vAlign w:val="bottom"/>
            <w:gridSpan w:val="17"/>
            <w:shd w:val="clear" w:color="auto" w:fill="CCEEFF"/>
          </w:tcPr>
          <w:p>
            <w:pPr>
              <w:spacing w:after="0" w:line="189"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7"/>
            <w:shd w:val="clear" w:color="auto" w:fill="CCEEFF"/>
          </w:tcPr>
          <w:p>
            <w:pPr>
              <w:spacing w:after="0" w:line="15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gridSpan w:val="8"/>
            <w:vMerge w:val="restart"/>
            <w:shd w:val="clear" w:color="auto" w:fill="CCEEFF"/>
          </w:tcPr>
          <w:p>
            <w:pPr>
              <w:spacing w:after="0"/>
              <w:rPr>
                <w:rFonts w:ascii="Arial" w:cs="Arial" w:eastAsia="Arial" w:hAnsi="Arial"/>
                <w:sz w:val="18"/>
                <w:szCs w:val="18"/>
                <w:color w:val="0000FF"/>
              </w:rPr>
            </w:pPr>
            <w:hyperlink r:id="rId78">
              <w:r>
                <w:rPr>
                  <w:rFonts w:ascii="Arial" w:cs="Arial" w:eastAsia="Arial" w:hAnsi="Arial"/>
                  <w:sz w:val="18"/>
                  <w:szCs w:val="18"/>
                  <w:color w:val="0000FF"/>
                </w:rPr>
                <w:t>April</w:t>
              </w:r>
            </w:hyperlink>
          </w:p>
        </w:tc>
        <w:tc>
          <w:tcPr>
            <w:tcW w:w="0" w:type="dxa"/>
            <w:vAlign w:val="bottom"/>
          </w:tcPr>
          <w:p>
            <w:pPr>
              <w:spacing w:after="0"/>
              <w:rPr>
                <w:sz w:val="1"/>
                <w:szCs w:val="1"/>
                <w:color w:val="auto"/>
              </w:rPr>
            </w:pPr>
          </w:p>
        </w:tc>
      </w:tr>
      <w:tr>
        <w:trPr>
          <w:trHeight w:val="156"/>
        </w:trPr>
        <w:tc>
          <w:tcPr>
            <w:tcW w:w="1140" w:type="dxa"/>
            <w:vAlign w:val="bottom"/>
            <w:shd w:val="clear" w:color="auto" w:fill="CCEEFF"/>
          </w:tcPr>
          <w:p>
            <w:pPr>
              <w:spacing w:after="0"/>
              <w:rPr>
                <w:sz w:val="13"/>
                <w:szCs w:val="13"/>
                <w:color w:val="auto"/>
              </w:rPr>
            </w:pPr>
          </w:p>
        </w:tc>
        <w:tc>
          <w:tcPr>
            <w:tcW w:w="9520" w:type="dxa"/>
            <w:vAlign w:val="bottom"/>
            <w:gridSpan w:val="9"/>
            <w:shd w:val="clear" w:color="auto" w:fill="CCEEFF"/>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560" w:type="dxa"/>
            <w:vAlign w:val="bottom"/>
            <w:gridSpan w:val="8"/>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29, 2021).</w:t>
              </w:r>
            </w:hyperlink>
          </w:p>
        </w:tc>
        <w:tc>
          <w:tcPr>
            <w:tcW w:w="1520" w:type="dxa"/>
            <w:vAlign w:val="bottom"/>
            <w:tcBorders>
              <w:top w:val="single" w:sz="8" w:color="0000FF"/>
            </w:tcBorders>
            <w:shd w:val="clear" w:color="auto" w:fill="CCEEFF"/>
          </w:tcPr>
          <w:p>
            <w:pPr>
              <w:spacing w:after="0"/>
              <w:rPr>
                <w:sz w:val="13"/>
                <w:szCs w:val="13"/>
                <w:color w:val="auto"/>
              </w:rPr>
            </w:pPr>
          </w:p>
        </w:tc>
        <w:tc>
          <w:tcPr>
            <w:tcW w:w="1060" w:type="dxa"/>
            <w:vAlign w:val="bottom"/>
            <w:tcBorders>
              <w:top w:val="single" w:sz="8" w:color="0000FF"/>
            </w:tcBorders>
            <w:shd w:val="clear" w:color="auto" w:fill="CCEEFF"/>
          </w:tcPr>
          <w:p>
            <w:pPr>
              <w:spacing w:after="0"/>
              <w:rPr>
                <w:sz w:val="13"/>
                <w:szCs w:val="13"/>
                <w:color w:val="auto"/>
              </w:rPr>
            </w:pPr>
          </w:p>
        </w:tc>
        <w:tc>
          <w:tcPr>
            <w:tcW w:w="150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27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4.5B</w:t>
            </w:r>
          </w:p>
        </w:tc>
        <w:tc>
          <w:tcPr>
            <w:tcW w:w="10080" w:type="dxa"/>
            <w:vAlign w:val="bottom"/>
            <w:gridSpan w:val="17"/>
          </w:tcPr>
          <w:p>
            <w:pPr>
              <w:spacing w:after="0" w:line="189"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Form 8-K (File No. 001-033500), as filed with the SEC on April 29, 2021).</w:t>
              </w:r>
            </w:hyperlink>
          </w:p>
        </w:tc>
        <w:tc>
          <w:tcPr>
            <w:tcW w:w="2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80" w:type="dxa"/>
            <w:vAlign w:val="bottom"/>
            <w:gridSpan w:val="17"/>
            <w:shd w:val="clear" w:color="auto" w:fill="CCEEFF"/>
          </w:tcPr>
          <w:p>
            <w:pPr>
              <w:spacing w:after="0" w:line="189" w:lineRule="exact"/>
              <w:rPr>
                <w:rFonts w:ascii="Arial" w:cs="Arial" w:eastAsia="Arial" w:hAnsi="Arial"/>
                <w:sz w:val="18"/>
                <w:szCs w:val="18"/>
                <w:color w:val="0000FF"/>
                <w:w w:val="95"/>
              </w:rPr>
            </w:pPr>
            <w:hyperlink w:anchor="page49">
              <w:r>
                <w:rPr>
                  <w:rFonts w:ascii="Arial" w:cs="Arial" w:eastAsia="Arial" w:hAnsi="Arial"/>
                  <w:sz w:val="18"/>
                  <w:szCs w:val="18"/>
                  <w:color w:val="0000FF"/>
                  <w:w w:val="95"/>
                </w:rPr>
                <w:t>Certification of Chief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5"/>
              </w:rPr>
            </w:pPr>
            <w:hyperlink w:anchor="page49">
              <w:r>
                <w:rPr>
                  <w:rFonts w:ascii="Arial" w:cs="Arial" w:eastAsia="Arial" w:hAnsi="Arial"/>
                  <w:sz w:val="18"/>
                  <w:szCs w:val="18"/>
                  <w:color w:val="0000FF"/>
                  <w:w w:val="85"/>
                </w:rPr>
                <w:t>1934, as amended.</w:t>
              </w:r>
            </w:hyperlink>
          </w:p>
        </w:tc>
        <w:tc>
          <w:tcPr>
            <w:tcW w:w="832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4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17"/>
          </w:tcPr>
          <w:p>
            <w:pPr>
              <w:spacing w:after="0" w:line="189" w:lineRule="exact"/>
              <w:rPr>
                <w:rFonts w:ascii="Arial" w:cs="Arial" w:eastAsia="Arial" w:hAnsi="Arial"/>
                <w:sz w:val="18"/>
                <w:szCs w:val="18"/>
                <w:color w:val="0000FF"/>
                <w:w w:val="95"/>
              </w:rPr>
            </w:pPr>
            <w:hyperlink w:anchor="page50">
              <w:r>
                <w:rPr>
                  <w:rFonts w:ascii="Arial" w:cs="Arial" w:eastAsia="Arial" w:hAnsi="Arial"/>
                  <w:sz w:val="18"/>
                  <w:szCs w:val="18"/>
                  <w:color w:val="0000FF"/>
                  <w:w w:val="95"/>
                </w:rPr>
                <w:t>Certification of Chief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1934, as amended.</w:t>
              </w:r>
            </w:hyperlink>
          </w:p>
        </w:tc>
        <w:tc>
          <w:tcPr>
            <w:tcW w:w="240" w:type="dxa"/>
            <w:vAlign w:val="bottom"/>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gridSpan w:val="17"/>
            <w:shd w:val="clear" w:color="auto" w:fill="CCEEFF"/>
          </w:tcPr>
          <w:p>
            <w:pPr>
              <w:spacing w:after="0" w:line="189"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906 of the Sarbanes-Oxley Act of 2002.</w:t>
              </w:r>
            </w:hyperlink>
          </w:p>
        </w:tc>
        <w:tc>
          <w:tcPr>
            <w:tcW w:w="24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17"/>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40" w:hanging="1114"/>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3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portions of this exhibit have been omitted pursuant to Item 601(b)(2) of Regulation S-K.</w:t>
      </w:r>
    </w:p>
    <w:p>
      <w:pPr>
        <w:spacing w:after="0" w:line="63" w:lineRule="exact"/>
        <w:rPr>
          <w:sz w:val="20"/>
          <w:szCs w:val="20"/>
          <w:color w:val="auto"/>
        </w:rPr>
      </w:pPr>
    </w:p>
    <w:p>
      <w:pPr>
        <w:ind w:left="500" w:right="60" w:hanging="492"/>
        <w:spacing w:after="0" w:line="263" w:lineRule="auto"/>
        <w:tabs>
          <w:tab w:leader="none" w:pos="2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Vice President, Finance</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20"/>
          </w:cols>
          <w:pgMar w:left="320" w:top="125" w:right="8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May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80" w:hanging="327"/>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2"/>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62" Type="http://schemas.openxmlformats.org/officeDocument/2006/relationships/hyperlink" Target="http://www.sec.gov/Archives/edgar/data/1232524/000119312511251468/d233902dex21.htm" TargetMode="External"/><Relationship Id="rId63" Type="http://schemas.openxmlformats.org/officeDocument/2006/relationships/hyperlink" Target="http://www.sec.gov/Archives/edgar/data/1232524/000119312512015521/d282897dex22.htm" TargetMode="External"/><Relationship Id="rId64" Type="http://schemas.openxmlformats.org/officeDocument/2006/relationships/hyperlink" Target="http://www.sec.gov/Archives/edgar/data/1232524/000119312512191724/d341488dex21.htm" TargetMode="External"/><Relationship Id="rId65" Type="http://schemas.openxmlformats.org/officeDocument/2006/relationships/hyperlink" Target="http://www.sec.gov/Archives/edgar/data/1232524/000119312512268244/d365702dex21b.htm" TargetMode="External"/><Relationship Id="rId66" Type="http://schemas.openxmlformats.org/officeDocument/2006/relationships/hyperlink" Target="http://www.sec.gov/Archives/edgar/data/1232524/000119312513481242/d647727dex21.htm" TargetMode="External"/><Relationship Id="rId67" Type="http://schemas.openxmlformats.org/officeDocument/2006/relationships/hyperlink" Target="http://www.sec.gov/Archives/edgar/data/1232524/000119312514008838/d656574dex21.htm" TargetMode="External"/><Relationship Id="rId68" Type="http://schemas.openxmlformats.org/officeDocument/2006/relationships/hyperlink" Target="http://www.sec.gov/Archives/edgar/data/1232524/000119312514295844/d768395dex21.htm" TargetMode="External"/><Relationship Id="rId69" Type="http://schemas.openxmlformats.org/officeDocument/2006/relationships/hyperlink" Target="http://www.sec.gov/Archives/edgar/data/1232524/000123252415000074/form8-kex21.htm" TargetMode="External"/><Relationship Id="rId70" Type="http://schemas.openxmlformats.org/officeDocument/2006/relationships/hyperlink" Target="http://www.sec.gov/Archives/edgar/data/1232524/000119312516607097/d203835dex21.htm" TargetMode="External"/><Relationship Id="rId71" Type="http://schemas.openxmlformats.org/officeDocument/2006/relationships/hyperlink" Target="https://www.sec.gov/Archives/edgar/data/1232524/000119312521027577/d117870dex21.htm" TargetMode="External"/><Relationship Id="rId72" Type="http://schemas.openxmlformats.org/officeDocument/2006/relationships/hyperlink" Target="http://www.sec.gov/Archives/edgar/data/1232524/000123252416000303/jazzq22016ex31.htm" TargetMode="External"/><Relationship Id="rId73" Type="http://schemas.openxmlformats.org/officeDocument/2006/relationships/hyperlink" Target="http://www.sec.gov/Archives/edgar/data/1232524/000119312514308406/d773171dex41.htm" TargetMode="External"/><Relationship Id="rId74" Type="http://schemas.openxmlformats.org/officeDocument/2006/relationships/hyperlink" Target="http://www.sec.gov/Archives/edgar/data/1232524/000119312517265654/d641007dex41.htm" TargetMode="External"/><Relationship Id="rId77" Type="http://schemas.openxmlformats.org/officeDocument/2006/relationships/hyperlink" Target="http://www.sec.gov/Archives/edgar/data/1232524/000119312520166658/d945191dex41.htm" TargetMode="External"/><Relationship Id="rId78" Type="http://schemas.openxmlformats.org/officeDocument/2006/relationships/hyperlink" Target="https://www.sec.gov/Archives/edgar/data/0001232524/000119312521140517/d1913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2021-05-04T15:52:49Z</dcterms:created>
  <dcterms:modified xsi:type="dcterms:W3CDTF">2021-05-04T15:52:49Z</dcterms:modified>
</cp:coreProperties>
</file>