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7224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165" cy="722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35"/>
          <w:szCs w:val="35"/>
          <w:b w:val="1"/>
          <w:bCs w:val="1"/>
          <w:color w:val="5C004D"/>
        </w:rPr>
        <w:t xml:space="preserve">Jazz </w:t>
      </w:r>
      <w:r>
        <w:rPr>
          <w:rFonts w:ascii="Arial" w:cs="Arial" w:eastAsia="Arial" w:hAnsi="Arial"/>
          <w:sz w:val="35"/>
          <w:szCs w:val="35"/>
          <w:color w:val="5C004D"/>
        </w:rPr>
        <w:t>Pharmaceuticals plc</w:t>
      </w:r>
    </w:p>
    <w:p>
      <w:pPr>
        <w:sectPr>
          <w:pgSz w:w="11880" w:h="15479" w:orient="portrait"/>
          <w:cols w:equalWidth="0" w:num="1">
            <w:col w:w="9139"/>
          </w:cols>
          <w:pgMar w:left="1300" w:top="1440" w:right="1440" w:bottom="0" w:gutter="0" w:footer="0" w:header="0"/>
        </w:sectPr>
      </w:pPr>
    </w:p>
    <w:p>
      <w:pPr>
        <w:spacing w:after="0" w:line="209" w:lineRule="exact"/>
        <w:rPr>
          <w:sz w:val="24"/>
          <w:szCs w:val="24"/>
          <w:color w:val="auto"/>
        </w:rPr>
      </w:pPr>
    </w:p>
    <w:p>
      <w:pPr>
        <w:ind w:right="779"/>
        <w:spacing w:after="0" w:line="299" w:lineRule="auto"/>
        <w:rPr>
          <w:sz w:val="20"/>
          <w:szCs w:val="20"/>
          <w:color w:val="auto"/>
        </w:rPr>
      </w:pPr>
      <w:r>
        <w:rPr>
          <w:rFonts w:ascii="Arial" w:cs="Arial" w:eastAsia="Arial" w:hAnsi="Arial"/>
          <w:sz w:val="84"/>
          <w:szCs w:val="84"/>
          <w:b w:val="1"/>
          <w:bCs w:val="1"/>
          <w:color w:val="000045"/>
        </w:rPr>
        <w:t>Proxy Statement and 2025 Annual Report</w:t>
      </w:r>
    </w:p>
    <w:p>
      <w:pPr>
        <w:sectPr>
          <w:pgSz w:w="11880" w:h="15479" w:orient="portrait"/>
          <w:cols w:equalWidth="0" w:num="1">
            <w:col w:w="9139"/>
          </w:cols>
          <w:pgMar w:left="1300" w:top="1440"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7224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165" cy="722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84"/>
          <w:szCs w:val="84"/>
          <w:b w:val="1"/>
          <w:bCs w:val="1"/>
          <w:color w:val="000045"/>
        </w:rPr>
        <w:t>2026 Proxy Statement</w:t>
      </w:r>
    </w:p>
    <w:p>
      <w:pPr>
        <w:sectPr>
          <w:pgSz w:w="11880" w:h="15479" w:orient="portrait"/>
          <w:cols w:equalWidth="0" w:num="1">
            <w:col w:w="9139"/>
          </w:cols>
          <w:pgMar w:left="1300" w:top="1440" w:right="1440" w:bottom="937"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35"/>
          <w:szCs w:val="35"/>
          <w:color w:val="5C004D"/>
        </w:rPr>
        <w:t>and Notice of Annual General Meeting of Shareholders</w:t>
      </w:r>
    </w:p>
    <w:p>
      <w:pPr>
        <w:sectPr>
          <w:pgSz w:w="11880" w:h="15479" w:orient="portrait"/>
          <w:cols w:equalWidth="0" w:num="1">
            <w:col w:w="9139"/>
          </w:cols>
          <w:pgMar w:left="1300" w:top="1440" w:right="1440" w:bottom="937"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982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165"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9D204"/>
        </w:rPr>
        <w:t>WHO WE ARE</w:t>
      </w:r>
    </w:p>
    <w:p>
      <w:pPr>
        <w:spacing w:after="0" w:line="324" w:lineRule="exact"/>
        <w:rPr>
          <w:sz w:val="20"/>
          <w:szCs w:val="20"/>
          <w:color w:val="auto"/>
        </w:rPr>
      </w:pPr>
    </w:p>
    <w:p>
      <w:pPr>
        <w:jc w:val="both"/>
        <w:ind w:left="3" w:right="1720"/>
        <w:spacing w:after="0" w:line="336" w:lineRule="auto"/>
        <w:rPr>
          <w:sz w:val="20"/>
          <w:szCs w:val="20"/>
          <w:color w:val="auto"/>
        </w:rPr>
      </w:pPr>
      <w:r>
        <w:rPr>
          <w:rFonts w:ascii="Arial" w:cs="Arial" w:eastAsia="Arial" w:hAnsi="Arial"/>
          <w:sz w:val="27"/>
          <w:szCs w:val="27"/>
          <w:b w:val="1"/>
          <w:bCs w:val="1"/>
          <w:color w:val="FFFFFF"/>
        </w:rPr>
        <w:t>We are a global biopharmaceutical company whose purpose is to innovate to transform the lives of patients and their families.</w:t>
      </w:r>
    </w:p>
    <w:p>
      <w:pPr>
        <w:spacing w:after="0" w:line="11" w:lineRule="exact"/>
        <w:rPr>
          <w:sz w:val="20"/>
          <w:szCs w:val="20"/>
          <w:color w:val="auto"/>
        </w:rPr>
      </w:pPr>
    </w:p>
    <w:p>
      <w:pPr>
        <w:ind w:left="3" w:right="1340"/>
        <w:spacing w:after="0" w:line="285" w:lineRule="auto"/>
        <w:rPr>
          <w:sz w:val="20"/>
          <w:szCs w:val="20"/>
          <w:color w:val="auto"/>
        </w:rPr>
      </w:pPr>
      <w:r>
        <w:rPr>
          <w:rFonts w:ascii="Arial" w:cs="Arial" w:eastAsia="Arial" w:hAnsi="Arial"/>
          <w:sz w:val="24"/>
          <w:szCs w:val="24"/>
          <w:color w:val="FFFFFF"/>
        </w:rPr>
        <w:t>We are dedicated to developing life-changing medicines for people with rare disease—often with limited or no therapeutic options. We have a diverse portfolio of marketed medicines, including leading therapies addressing epilepsies, cancers and sleep disorders. Our patient-focused and science-driven approach powers pioneering research and development advancements across our robust pipeline of innovative therapeutics.</w:t>
      </w:r>
    </w:p>
    <w:p>
      <w:pPr>
        <w:spacing w:after="0" w:line="200" w:lineRule="exact"/>
        <w:rPr>
          <w:sz w:val="20"/>
          <w:szCs w:val="20"/>
          <w:color w:val="auto"/>
        </w:rPr>
      </w:pPr>
    </w:p>
    <w:p>
      <w:pPr>
        <w:spacing w:after="0" w:line="356"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9D204"/>
        </w:rPr>
        <w:t>OUR VALUES</w:t>
      </w:r>
    </w:p>
    <w:p>
      <w:pPr>
        <w:spacing w:after="0" w:line="324" w:lineRule="exact"/>
        <w:rPr>
          <w:sz w:val="20"/>
          <w:szCs w:val="20"/>
          <w:color w:val="auto"/>
        </w:rPr>
      </w:pPr>
    </w:p>
    <w:p>
      <w:pPr>
        <w:ind w:left="3"/>
        <w:spacing w:after="0"/>
        <w:rPr>
          <w:sz w:val="20"/>
          <w:szCs w:val="20"/>
          <w:color w:val="auto"/>
        </w:rPr>
      </w:pPr>
      <w:r>
        <w:rPr>
          <w:rFonts w:ascii="Arial" w:cs="Arial" w:eastAsia="Arial" w:hAnsi="Arial"/>
          <w:sz w:val="28"/>
          <w:szCs w:val="28"/>
          <w:b w:val="1"/>
          <w:bCs w:val="1"/>
          <w:color w:val="FFFFFF"/>
        </w:rPr>
        <w:t>Our genuine desire to improve lives is rooted in our values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9D204"/>
        </w:rPr>
        <w:t>2025 HIGHLIGHTS</w:t>
      </w:r>
    </w:p>
    <w:p>
      <w:pPr>
        <w:spacing w:after="0" w:line="200" w:lineRule="exact"/>
        <w:rPr>
          <w:sz w:val="20"/>
          <w:szCs w:val="20"/>
          <w:color w:val="auto"/>
        </w:rPr>
      </w:pPr>
    </w:p>
    <w:p>
      <w:pPr>
        <w:spacing w:after="0" w:line="205" w:lineRule="exact"/>
        <w:rPr>
          <w:sz w:val="20"/>
          <w:szCs w:val="20"/>
          <w:color w:val="auto"/>
        </w:rPr>
      </w:pPr>
    </w:p>
    <w:tbl>
      <w:tblPr>
        <w:tblLayout w:type="fixed"/>
        <w:tblInd w:w="3" w:type="dxa"/>
        <w:tblCellMar>
          <w:top w:w="0" w:type="dxa"/>
          <w:left w:w="0" w:type="dxa"/>
          <w:bottom w:w="0" w:type="dxa"/>
          <w:right w:w="0" w:type="dxa"/>
        </w:tblCellMar>
      </w:tblPr>
      <w:tr>
        <w:trPr>
          <w:trHeight w:val="818"/>
        </w:trPr>
        <w:tc>
          <w:tcPr>
            <w:tcW w:w="3160" w:type="dxa"/>
            <w:vAlign w:val="bottom"/>
            <w:shd w:val="clear" w:color="auto" w:fill="F3F3F1"/>
          </w:tcPr>
          <w:p>
            <w:pPr>
              <w:ind w:left="260"/>
              <w:spacing w:after="0"/>
              <w:rPr>
                <w:sz w:val="20"/>
                <w:szCs w:val="20"/>
                <w:color w:val="auto"/>
              </w:rPr>
            </w:pPr>
            <w:r>
              <w:rPr>
                <w:rFonts w:ascii="Arial" w:cs="Arial" w:eastAsia="Arial" w:hAnsi="Arial"/>
                <w:sz w:val="60"/>
                <w:szCs w:val="60"/>
                <w:color w:val="000045"/>
              </w:rPr>
              <w:t>$4.3B</w:t>
            </w:r>
          </w:p>
        </w:tc>
        <w:tc>
          <w:tcPr>
            <w:tcW w:w="300" w:type="dxa"/>
            <w:vAlign w:val="bottom"/>
          </w:tcPr>
          <w:p>
            <w:pPr>
              <w:spacing w:after="0"/>
              <w:rPr>
                <w:sz w:val="24"/>
                <w:szCs w:val="24"/>
                <w:color w:val="auto"/>
              </w:rPr>
            </w:pPr>
          </w:p>
        </w:tc>
        <w:tc>
          <w:tcPr>
            <w:tcW w:w="3160" w:type="dxa"/>
            <w:vAlign w:val="bottom"/>
            <w:shd w:val="clear" w:color="auto" w:fill="F3F3F1"/>
          </w:tcPr>
          <w:p>
            <w:pPr>
              <w:ind w:left="260"/>
              <w:spacing w:after="0"/>
              <w:rPr>
                <w:sz w:val="20"/>
                <w:szCs w:val="20"/>
                <w:color w:val="auto"/>
              </w:rPr>
            </w:pPr>
            <w:r>
              <w:rPr>
                <w:rFonts w:ascii="Arial" w:cs="Arial" w:eastAsia="Arial" w:hAnsi="Arial"/>
                <w:sz w:val="60"/>
                <w:szCs w:val="60"/>
                <w:color w:val="000045"/>
              </w:rPr>
              <w:t>$1.4B</w:t>
            </w:r>
          </w:p>
        </w:tc>
        <w:tc>
          <w:tcPr>
            <w:tcW w:w="280" w:type="dxa"/>
            <w:vAlign w:val="bottom"/>
          </w:tcPr>
          <w:p>
            <w:pPr>
              <w:spacing w:after="0"/>
              <w:rPr>
                <w:sz w:val="24"/>
                <w:szCs w:val="24"/>
                <w:color w:val="auto"/>
              </w:rPr>
            </w:pPr>
          </w:p>
        </w:tc>
        <w:tc>
          <w:tcPr>
            <w:tcW w:w="3180" w:type="dxa"/>
            <w:vAlign w:val="bottom"/>
            <w:shd w:val="clear" w:color="auto" w:fill="F3F3F1"/>
          </w:tcPr>
          <w:p>
            <w:pPr>
              <w:ind w:left="280"/>
              <w:spacing w:after="0"/>
              <w:rPr>
                <w:sz w:val="20"/>
                <w:szCs w:val="20"/>
                <w:color w:val="auto"/>
              </w:rPr>
            </w:pPr>
            <w:r>
              <w:rPr>
                <w:rFonts w:ascii="Arial" w:cs="Arial" w:eastAsia="Arial" w:hAnsi="Arial"/>
                <w:sz w:val="60"/>
                <w:szCs w:val="60"/>
                <w:color w:val="000045"/>
              </w:rPr>
              <w:t>~100</w:t>
            </w:r>
          </w:p>
        </w:tc>
      </w:tr>
      <w:tr>
        <w:trPr>
          <w:trHeight w:val="192"/>
        </w:trPr>
        <w:tc>
          <w:tcPr>
            <w:tcW w:w="3160" w:type="dxa"/>
            <w:vAlign w:val="bottom"/>
            <w:shd w:val="clear" w:color="auto" w:fill="F3F3F1"/>
          </w:tcPr>
          <w:p>
            <w:pPr>
              <w:ind w:left="260"/>
              <w:spacing w:after="0"/>
              <w:rPr>
                <w:sz w:val="20"/>
                <w:szCs w:val="20"/>
                <w:color w:val="auto"/>
              </w:rPr>
            </w:pPr>
            <w:r>
              <w:rPr>
                <w:rFonts w:ascii="Arial" w:cs="Arial" w:eastAsia="Arial" w:hAnsi="Arial"/>
                <w:sz w:val="16"/>
                <w:szCs w:val="16"/>
                <w:color w:val="2E2B36"/>
              </w:rPr>
              <w:t>TOTAL REVENUES</w:t>
            </w:r>
          </w:p>
        </w:tc>
        <w:tc>
          <w:tcPr>
            <w:tcW w:w="300" w:type="dxa"/>
            <w:vAlign w:val="bottom"/>
          </w:tcPr>
          <w:p>
            <w:pPr>
              <w:spacing w:after="0"/>
              <w:rPr>
                <w:sz w:val="16"/>
                <w:szCs w:val="16"/>
                <w:color w:val="auto"/>
              </w:rPr>
            </w:pPr>
          </w:p>
        </w:tc>
        <w:tc>
          <w:tcPr>
            <w:tcW w:w="3160" w:type="dxa"/>
            <w:vAlign w:val="bottom"/>
            <w:shd w:val="clear" w:color="auto" w:fill="F3F3F1"/>
          </w:tcPr>
          <w:p>
            <w:pPr>
              <w:ind w:left="260"/>
              <w:spacing w:after="0"/>
              <w:rPr>
                <w:sz w:val="20"/>
                <w:szCs w:val="20"/>
                <w:color w:val="auto"/>
              </w:rPr>
            </w:pPr>
            <w:r>
              <w:rPr>
                <w:rFonts w:ascii="Arial" w:cs="Arial" w:eastAsia="Arial" w:hAnsi="Arial"/>
                <w:sz w:val="16"/>
                <w:szCs w:val="16"/>
                <w:color w:val="2E2B36"/>
              </w:rPr>
              <w:t>NET CASH PROVIDED BY</w:t>
            </w:r>
          </w:p>
        </w:tc>
        <w:tc>
          <w:tcPr>
            <w:tcW w:w="280" w:type="dxa"/>
            <w:vAlign w:val="bottom"/>
          </w:tcPr>
          <w:p>
            <w:pPr>
              <w:spacing w:after="0"/>
              <w:rPr>
                <w:sz w:val="16"/>
                <w:szCs w:val="16"/>
                <w:color w:val="auto"/>
              </w:rPr>
            </w:pPr>
          </w:p>
        </w:tc>
        <w:tc>
          <w:tcPr>
            <w:tcW w:w="3180" w:type="dxa"/>
            <w:vAlign w:val="bottom"/>
            <w:shd w:val="clear" w:color="auto" w:fill="F3F3F1"/>
          </w:tcPr>
          <w:p>
            <w:pPr>
              <w:ind w:left="280"/>
              <w:spacing w:after="0"/>
              <w:rPr>
                <w:sz w:val="20"/>
                <w:szCs w:val="20"/>
                <w:color w:val="auto"/>
              </w:rPr>
            </w:pPr>
            <w:r>
              <w:rPr>
                <w:rFonts w:ascii="Arial" w:cs="Arial" w:eastAsia="Arial" w:hAnsi="Arial"/>
                <w:sz w:val="16"/>
                <w:szCs w:val="16"/>
                <w:color w:val="2E2B36"/>
              </w:rPr>
              <w:t>COUNTRIES SERVED</w:t>
            </w:r>
          </w:p>
        </w:tc>
      </w:tr>
      <w:tr>
        <w:trPr>
          <w:trHeight w:val="213"/>
        </w:trPr>
        <w:tc>
          <w:tcPr>
            <w:tcW w:w="316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60"/>
              <w:spacing w:after="0"/>
              <w:rPr>
                <w:sz w:val="20"/>
                <w:szCs w:val="20"/>
                <w:color w:val="auto"/>
              </w:rPr>
            </w:pPr>
            <w:r>
              <w:rPr>
                <w:rFonts w:ascii="Arial" w:cs="Arial" w:eastAsia="Arial" w:hAnsi="Arial"/>
                <w:sz w:val="16"/>
                <w:szCs w:val="16"/>
                <w:color w:val="2E2B36"/>
              </w:rPr>
              <w:t>OPERATING ACTIVITIES</w:t>
            </w:r>
          </w:p>
        </w:tc>
        <w:tc>
          <w:tcPr>
            <w:tcW w:w="280" w:type="dxa"/>
            <w:vAlign w:val="bottom"/>
          </w:tcPr>
          <w:p>
            <w:pPr>
              <w:spacing w:after="0"/>
              <w:rPr>
                <w:sz w:val="18"/>
                <w:szCs w:val="18"/>
                <w:color w:val="auto"/>
              </w:rPr>
            </w:pPr>
          </w:p>
        </w:tc>
        <w:tc>
          <w:tcPr>
            <w:tcW w:w="3180" w:type="dxa"/>
            <w:vAlign w:val="bottom"/>
            <w:shd w:val="clear" w:color="auto" w:fill="F3F3F1"/>
          </w:tcPr>
          <w:p>
            <w:pPr>
              <w:spacing w:after="0"/>
              <w:rPr>
                <w:sz w:val="18"/>
                <w:szCs w:val="18"/>
                <w:color w:val="auto"/>
              </w:rPr>
            </w:pPr>
          </w:p>
        </w:tc>
      </w:tr>
      <w:tr>
        <w:trPr>
          <w:trHeight w:val="356"/>
        </w:trPr>
        <w:tc>
          <w:tcPr>
            <w:tcW w:w="3160" w:type="dxa"/>
            <w:vAlign w:val="bottom"/>
            <w:shd w:val="clear" w:color="auto" w:fill="F3F3F1"/>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shd w:val="clear" w:color="auto" w:fill="F3F3F1"/>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shd w:val="clear" w:color="auto" w:fill="F3F3F1"/>
          </w:tcPr>
          <w:p>
            <w:pPr>
              <w:spacing w:after="0"/>
              <w:rPr>
                <w:sz w:val="24"/>
                <w:szCs w:val="24"/>
                <w:color w:val="auto"/>
              </w:rPr>
            </w:pPr>
          </w:p>
        </w:tc>
      </w:tr>
      <w:tr>
        <w:trPr>
          <w:trHeight w:val="258"/>
        </w:trPr>
        <w:tc>
          <w:tcPr>
            <w:tcW w:w="3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818"/>
        </w:trPr>
        <w:tc>
          <w:tcPr>
            <w:tcW w:w="3160" w:type="dxa"/>
            <w:vAlign w:val="bottom"/>
            <w:shd w:val="clear" w:color="auto" w:fill="F3F3F1"/>
          </w:tcPr>
          <w:p>
            <w:pPr>
              <w:ind w:left="260"/>
              <w:spacing w:after="0"/>
              <w:rPr>
                <w:sz w:val="20"/>
                <w:szCs w:val="20"/>
                <w:color w:val="auto"/>
              </w:rPr>
            </w:pPr>
            <w:r>
              <w:rPr>
                <w:rFonts w:ascii="Arial" w:cs="Arial" w:eastAsia="Arial" w:hAnsi="Arial"/>
                <w:sz w:val="60"/>
                <w:szCs w:val="60"/>
                <w:color w:val="000045"/>
              </w:rPr>
              <w:t>~2.8K</w:t>
            </w:r>
          </w:p>
        </w:tc>
        <w:tc>
          <w:tcPr>
            <w:tcW w:w="300" w:type="dxa"/>
            <w:vAlign w:val="bottom"/>
          </w:tcPr>
          <w:p>
            <w:pPr>
              <w:spacing w:after="0"/>
              <w:rPr>
                <w:sz w:val="24"/>
                <w:szCs w:val="24"/>
                <w:color w:val="auto"/>
              </w:rPr>
            </w:pPr>
          </w:p>
        </w:tc>
        <w:tc>
          <w:tcPr>
            <w:tcW w:w="3160" w:type="dxa"/>
            <w:vAlign w:val="bottom"/>
            <w:shd w:val="clear" w:color="auto" w:fill="F3F3F1"/>
          </w:tcPr>
          <w:p>
            <w:pPr>
              <w:ind w:left="260"/>
              <w:spacing w:after="0"/>
              <w:rPr>
                <w:sz w:val="20"/>
                <w:szCs w:val="20"/>
                <w:color w:val="auto"/>
              </w:rPr>
            </w:pPr>
            <w:r>
              <w:rPr>
                <w:rFonts w:ascii="Arial" w:cs="Arial" w:eastAsia="Arial" w:hAnsi="Arial"/>
                <w:sz w:val="60"/>
                <w:szCs w:val="60"/>
                <w:color w:val="000045"/>
              </w:rPr>
              <w:t>9</w:t>
            </w:r>
          </w:p>
        </w:tc>
        <w:tc>
          <w:tcPr>
            <w:tcW w:w="280" w:type="dxa"/>
            <w:vAlign w:val="bottom"/>
          </w:tcPr>
          <w:p>
            <w:pPr>
              <w:spacing w:after="0"/>
              <w:rPr>
                <w:sz w:val="24"/>
                <w:szCs w:val="24"/>
                <w:color w:val="auto"/>
              </w:rPr>
            </w:pPr>
          </w:p>
        </w:tc>
        <w:tc>
          <w:tcPr>
            <w:tcW w:w="3180" w:type="dxa"/>
            <w:vAlign w:val="bottom"/>
            <w:shd w:val="clear" w:color="auto" w:fill="F3F3F1"/>
          </w:tcPr>
          <w:p>
            <w:pPr>
              <w:ind w:left="280"/>
              <w:spacing w:after="0"/>
              <w:rPr>
                <w:sz w:val="20"/>
                <w:szCs w:val="20"/>
                <w:color w:val="auto"/>
              </w:rPr>
            </w:pPr>
            <w:r>
              <w:rPr>
                <w:rFonts w:ascii="Arial" w:cs="Arial" w:eastAsia="Arial" w:hAnsi="Arial"/>
                <w:sz w:val="60"/>
                <w:szCs w:val="60"/>
                <w:color w:val="000045"/>
              </w:rPr>
              <w:t>&gt;35</w:t>
            </w:r>
          </w:p>
        </w:tc>
      </w:tr>
      <w:tr>
        <w:trPr>
          <w:trHeight w:val="213"/>
        </w:trPr>
        <w:tc>
          <w:tcPr>
            <w:tcW w:w="3160" w:type="dxa"/>
            <w:vAlign w:val="bottom"/>
            <w:shd w:val="clear" w:color="auto" w:fill="F3F3F1"/>
          </w:tcPr>
          <w:p>
            <w:pPr>
              <w:ind w:left="260"/>
              <w:spacing w:after="0"/>
              <w:rPr>
                <w:sz w:val="20"/>
                <w:szCs w:val="20"/>
                <w:color w:val="auto"/>
              </w:rPr>
            </w:pPr>
            <w:r>
              <w:rPr>
                <w:rFonts w:ascii="Arial" w:cs="Arial" w:eastAsia="Arial" w:hAnsi="Arial"/>
                <w:sz w:val="16"/>
                <w:szCs w:val="16"/>
                <w:color w:val="2E2B36"/>
              </w:rPr>
              <w:t>EMPLOYEES WORLDWIDE</w:t>
            </w:r>
          </w:p>
        </w:tc>
        <w:tc>
          <w:tcPr>
            <w:tcW w:w="300" w:type="dxa"/>
            <w:vAlign w:val="bottom"/>
          </w:tcPr>
          <w:p>
            <w:pPr>
              <w:spacing w:after="0"/>
              <w:rPr>
                <w:sz w:val="18"/>
                <w:szCs w:val="18"/>
                <w:color w:val="auto"/>
              </w:rPr>
            </w:pPr>
          </w:p>
        </w:tc>
        <w:tc>
          <w:tcPr>
            <w:tcW w:w="3160" w:type="dxa"/>
            <w:vAlign w:val="bottom"/>
            <w:shd w:val="clear" w:color="auto" w:fill="F3F3F1"/>
          </w:tcPr>
          <w:p>
            <w:pPr>
              <w:ind w:left="260"/>
              <w:spacing w:after="0"/>
              <w:rPr>
                <w:sz w:val="20"/>
                <w:szCs w:val="20"/>
                <w:color w:val="auto"/>
              </w:rPr>
            </w:pPr>
            <w:r>
              <w:rPr>
                <w:rFonts w:ascii="Arial" w:cs="Arial" w:eastAsia="Arial" w:hAnsi="Arial"/>
                <w:sz w:val="16"/>
                <w:szCs w:val="16"/>
                <w:color w:val="2E2B36"/>
              </w:rPr>
              <w:t>MEDICINES MARKETED</w:t>
            </w:r>
          </w:p>
        </w:tc>
        <w:tc>
          <w:tcPr>
            <w:tcW w:w="280" w:type="dxa"/>
            <w:vAlign w:val="bottom"/>
          </w:tcPr>
          <w:p>
            <w:pPr>
              <w:spacing w:after="0"/>
              <w:rPr>
                <w:sz w:val="18"/>
                <w:szCs w:val="18"/>
                <w:color w:val="auto"/>
              </w:rPr>
            </w:pPr>
          </w:p>
        </w:tc>
        <w:tc>
          <w:tcPr>
            <w:tcW w:w="3180" w:type="dxa"/>
            <w:vAlign w:val="bottom"/>
            <w:shd w:val="clear" w:color="auto" w:fill="F3F3F1"/>
          </w:tcPr>
          <w:p>
            <w:pPr>
              <w:ind w:left="280"/>
              <w:spacing w:after="0"/>
              <w:rPr>
                <w:sz w:val="20"/>
                <w:szCs w:val="20"/>
                <w:color w:val="auto"/>
              </w:rPr>
            </w:pPr>
            <w:r>
              <w:rPr>
                <w:rFonts w:ascii="Arial" w:cs="Arial" w:eastAsia="Arial" w:hAnsi="Arial"/>
                <w:sz w:val="16"/>
                <w:szCs w:val="16"/>
                <w:color w:val="2E2B36"/>
              </w:rPr>
              <w:t>R &amp; D PROGRAMS</w:t>
            </w:r>
            <w:r>
              <w:rPr>
                <w:rFonts w:ascii="Arial" w:cs="Arial" w:eastAsia="Arial" w:hAnsi="Arial"/>
                <w:sz w:val="9"/>
                <w:szCs w:val="9"/>
                <w:color w:val="2E2B36"/>
              </w:rPr>
              <w:t>(1)</w:t>
            </w:r>
          </w:p>
        </w:tc>
      </w:tr>
      <w:tr>
        <w:trPr>
          <w:trHeight w:val="468"/>
        </w:trPr>
        <w:tc>
          <w:tcPr>
            <w:tcW w:w="3160" w:type="dxa"/>
            <w:vAlign w:val="bottom"/>
            <w:shd w:val="clear" w:color="auto" w:fill="F3F3F1"/>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shd w:val="clear" w:color="auto" w:fill="F3F3F1"/>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shd w:val="clear" w:color="auto" w:fill="F3F3F1"/>
          </w:tcPr>
          <w:p>
            <w:pPr>
              <w:spacing w:after="0"/>
              <w:rPr>
                <w:sz w:val="24"/>
                <w:szCs w:val="24"/>
                <w:color w:val="auto"/>
              </w:rPr>
            </w:pPr>
          </w:p>
        </w:tc>
      </w:tr>
    </w:tbl>
    <w:p>
      <w:pPr>
        <w:spacing w:after="0" w:line="157" w:lineRule="exact"/>
        <w:rPr>
          <w:sz w:val="20"/>
          <w:szCs w:val="20"/>
          <w:color w:val="auto"/>
        </w:rPr>
      </w:pPr>
    </w:p>
    <w:p>
      <w:pPr>
        <w:sectPr>
          <w:pgSz w:w="11880" w:h="15479" w:orient="portrait"/>
          <w:cols w:equalWidth="0" w:num="1">
            <w:col w:w="10083"/>
          </w:cols>
          <w:pgMar w:left="897" w:top="1440" w:right="899" w:bottom="286" w:gutter="0" w:footer="0" w:header="0"/>
        </w:sectPr>
      </w:pPr>
    </w:p>
    <w:p>
      <w:pPr>
        <w:ind w:left="363" w:hanging="363"/>
        <w:spacing w:after="0"/>
        <w:tabs>
          <w:tab w:leader="none" w:pos="363"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For more information about our pipeline, please visit www.jazzpharma.com under the section entitled “Pipeline” under “Science”.</w:t>
      </w:r>
    </w:p>
    <w:p>
      <w:pPr>
        <w:sectPr>
          <w:pgSz w:w="11880" w:h="15479" w:orient="portrait"/>
          <w:cols w:equalWidth="0" w:num="1">
            <w:col w:w="10083"/>
          </w:cols>
          <w:pgMar w:left="897" w:top="1440" w:right="899" w:bottom="286" w:gutter="0" w:footer="0" w:header="0"/>
          <w:type w:val="continuous"/>
        </w:sectPr>
      </w:pPr>
    </w:p>
    <w:bookmarkStart w:id="4" w:name="page5"/>
    <w:bookmarkEnd w:id="4"/>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806450</wp:posOffset>
            </wp:positionV>
            <wp:extent cx="120396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ind w:right="1260"/>
        <w:spacing w:after="0" w:line="276" w:lineRule="auto"/>
        <w:rPr>
          <w:sz w:val="20"/>
          <w:szCs w:val="20"/>
          <w:color w:val="auto"/>
        </w:rPr>
      </w:pPr>
      <w:r>
        <w:rPr>
          <w:rFonts w:ascii="PMingLiU" w:cs="PMingLiU" w:eastAsia="PMingLiU" w:hAnsi="PMingLiU"/>
          <w:sz w:val="60"/>
          <w:szCs w:val="60"/>
          <w:b w:val="1"/>
          <w:bCs w:val="1"/>
          <w:color w:val="000046"/>
        </w:rPr>
        <w:t>1RWLFHRI$QQXDO*HQHUDO 0HHWLQJRI6KDUHKROGHUV</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60"/>
        </w:trPr>
        <w:tc>
          <w:tcPr>
            <w:tcW w:w="4080" w:type="dxa"/>
            <w:vAlign w:val="bottom"/>
            <w:vMerge w:val="restart"/>
            <w:shd w:val="clear" w:color="auto" w:fill="F3F3F1"/>
          </w:tcPr>
          <w:p>
            <w:pPr>
              <w:ind w:left="940"/>
              <w:spacing w:after="0"/>
              <w:rPr>
                <w:sz w:val="20"/>
                <w:szCs w:val="20"/>
                <w:color w:val="auto"/>
              </w:rPr>
            </w:pPr>
            <w:r>
              <w:rPr>
                <w:rFonts w:ascii="PMingLiU" w:cs="PMingLiU" w:eastAsia="PMingLiU" w:hAnsi="PMingLiU"/>
                <w:sz w:val="16"/>
                <w:szCs w:val="16"/>
                <w:b w:val="1"/>
                <w:bCs w:val="1"/>
                <w:color w:val="5C004D"/>
              </w:rPr>
              <w:t>'$7(  7,0(</w:t>
            </w:r>
          </w:p>
        </w:tc>
        <w:tc>
          <w:tcPr>
            <w:tcW w:w="2640" w:type="dxa"/>
            <w:vAlign w:val="bottom"/>
            <w:vMerge w:val="restart"/>
            <w:shd w:val="clear" w:color="auto" w:fill="F3F3F1"/>
          </w:tcPr>
          <w:p>
            <w:pPr>
              <w:ind w:left="40"/>
              <w:spacing w:after="0"/>
              <w:rPr>
                <w:sz w:val="20"/>
                <w:szCs w:val="20"/>
                <w:color w:val="auto"/>
              </w:rPr>
            </w:pPr>
            <w:r>
              <w:rPr>
                <w:rFonts w:ascii="PMingLiU" w:cs="PMingLiU" w:eastAsia="PMingLiU" w:hAnsi="PMingLiU"/>
                <w:sz w:val="16"/>
                <w:szCs w:val="16"/>
                <w:b w:val="1"/>
                <w:bCs w:val="1"/>
                <w:color w:val="5C004D"/>
              </w:rPr>
              <w:t>/2&amp;$7,21</w:t>
            </w:r>
          </w:p>
        </w:tc>
        <w:tc>
          <w:tcPr>
            <w:tcW w:w="3360" w:type="dxa"/>
            <w:vAlign w:val="bottom"/>
            <w:vMerge w:val="restart"/>
            <w:shd w:val="clear" w:color="auto" w:fill="F3F3F1"/>
          </w:tcPr>
          <w:p>
            <w:pPr>
              <w:ind w:left="560"/>
              <w:spacing w:after="0"/>
              <w:rPr>
                <w:sz w:val="20"/>
                <w:szCs w:val="20"/>
                <w:color w:val="auto"/>
              </w:rPr>
            </w:pPr>
            <w:r>
              <w:rPr>
                <w:rFonts w:ascii="PMingLiU" w:cs="PMingLiU" w:eastAsia="PMingLiU" w:hAnsi="PMingLiU"/>
                <w:sz w:val="16"/>
                <w:szCs w:val="16"/>
                <w:b w:val="1"/>
                <w:bCs w:val="1"/>
                <w:color w:val="5C004D"/>
              </w:rPr>
              <w:t>5(&amp;25''$7(</w:t>
            </w:r>
          </w:p>
        </w:tc>
        <w:tc>
          <w:tcPr>
            <w:tcW w:w="0" w:type="dxa"/>
            <w:vAlign w:val="bottom"/>
          </w:tcPr>
          <w:p>
            <w:pPr>
              <w:spacing w:after="0"/>
              <w:rPr>
                <w:sz w:val="1"/>
                <w:szCs w:val="1"/>
                <w:color w:val="auto"/>
              </w:rPr>
            </w:pPr>
          </w:p>
        </w:tc>
      </w:tr>
      <w:tr>
        <w:trPr>
          <w:trHeight w:val="229"/>
        </w:trPr>
        <w:tc>
          <w:tcPr>
            <w:tcW w:w="4080" w:type="dxa"/>
            <w:vAlign w:val="bottom"/>
            <w:vMerge w:val="continue"/>
            <w:shd w:val="clear" w:color="auto" w:fill="F3F3F1"/>
          </w:tcPr>
          <w:p>
            <w:pPr>
              <w:spacing w:after="0"/>
              <w:rPr>
                <w:sz w:val="19"/>
                <w:szCs w:val="19"/>
                <w:color w:val="auto"/>
              </w:rPr>
            </w:pPr>
          </w:p>
        </w:tc>
        <w:tc>
          <w:tcPr>
            <w:tcW w:w="2640" w:type="dxa"/>
            <w:vAlign w:val="bottom"/>
            <w:vMerge w:val="continue"/>
            <w:shd w:val="clear" w:color="auto" w:fill="F3F3F1"/>
          </w:tcPr>
          <w:p>
            <w:pPr>
              <w:spacing w:after="0"/>
              <w:rPr>
                <w:sz w:val="19"/>
                <w:szCs w:val="19"/>
                <w:color w:val="auto"/>
              </w:rPr>
            </w:pPr>
          </w:p>
        </w:tc>
        <w:tc>
          <w:tcPr>
            <w:tcW w:w="3360" w:type="dxa"/>
            <w:vAlign w:val="bottom"/>
            <w:vMerge w:val="continue"/>
            <w:shd w:val="clear" w:color="auto" w:fill="F3F3F1"/>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080" w:type="dxa"/>
            <w:vAlign w:val="bottom"/>
            <w:shd w:val="clear" w:color="auto" w:fill="F3F3F1"/>
          </w:tcPr>
          <w:p>
            <w:pPr>
              <w:ind w:left="940"/>
              <w:spacing w:after="0"/>
              <w:rPr>
                <w:sz w:val="20"/>
                <w:szCs w:val="20"/>
                <w:color w:val="auto"/>
              </w:rPr>
            </w:pPr>
            <w:r>
              <w:rPr>
                <w:rFonts w:ascii="PMingLiU" w:cs="PMingLiU" w:eastAsia="PMingLiU" w:hAnsi="PMingLiU"/>
                <w:sz w:val="14"/>
                <w:szCs w:val="14"/>
                <w:color w:val="auto"/>
              </w:rPr>
              <w:t>7KXUVGD\-XO\</w:t>
            </w:r>
          </w:p>
        </w:tc>
        <w:tc>
          <w:tcPr>
            <w:tcW w:w="2640" w:type="dxa"/>
            <w:vAlign w:val="bottom"/>
            <w:shd w:val="clear" w:color="auto" w:fill="F3F3F1"/>
          </w:tcPr>
          <w:p>
            <w:pPr>
              <w:ind w:left="40"/>
              <w:spacing w:after="0"/>
              <w:rPr>
                <w:sz w:val="20"/>
                <w:szCs w:val="20"/>
                <w:color w:val="auto"/>
              </w:rPr>
            </w:pPr>
            <w:r>
              <w:rPr>
                <w:rFonts w:ascii="PMingLiU" w:cs="PMingLiU" w:eastAsia="PMingLiU" w:hAnsi="PMingLiU"/>
                <w:sz w:val="14"/>
                <w:szCs w:val="14"/>
                <w:color w:val="auto"/>
              </w:rPr>
              <w:t>)LIWK)ORRU:DWHUORR([FKDQJH</w:t>
            </w:r>
          </w:p>
        </w:tc>
        <w:tc>
          <w:tcPr>
            <w:tcW w:w="3360" w:type="dxa"/>
            <w:vAlign w:val="bottom"/>
            <w:shd w:val="clear" w:color="auto" w:fill="F3F3F1"/>
          </w:tcPr>
          <w:p>
            <w:pPr>
              <w:ind w:left="560"/>
              <w:spacing w:after="0"/>
              <w:rPr>
                <w:sz w:val="20"/>
                <w:szCs w:val="20"/>
                <w:color w:val="auto"/>
              </w:rPr>
            </w:pPr>
            <w:r>
              <w:rPr>
                <w:rFonts w:ascii="PMingLiU" w:cs="PMingLiU" w:eastAsia="PMingLiU" w:hAnsi="PMingLiU"/>
                <w:sz w:val="14"/>
                <w:szCs w:val="14"/>
                <w:color w:val="auto"/>
              </w:rPr>
              <w:t>&amp;ORVHRIEXVLQHVVRQ</w:t>
            </w:r>
          </w:p>
        </w:tc>
        <w:tc>
          <w:tcPr>
            <w:tcW w:w="0" w:type="dxa"/>
            <w:vAlign w:val="bottom"/>
          </w:tcPr>
          <w:p>
            <w:pPr>
              <w:spacing w:after="0"/>
              <w:rPr>
                <w:sz w:val="1"/>
                <w:szCs w:val="1"/>
                <w:color w:val="auto"/>
              </w:rPr>
            </w:pPr>
          </w:p>
        </w:tc>
      </w:tr>
      <w:tr>
        <w:trPr>
          <w:trHeight w:val="197"/>
        </w:trPr>
        <w:tc>
          <w:tcPr>
            <w:tcW w:w="4080" w:type="dxa"/>
            <w:vAlign w:val="bottom"/>
            <w:shd w:val="clear" w:color="auto" w:fill="F3F3F1"/>
          </w:tcPr>
          <w:p>
            <w:pPr>
              <w:ind w:left="940"/>
              <w:spacing w:after="0"/>
              <w:rPr>
                <w:sz w:val="20"/>
                <w:szCs w:val="20"/>
                <w:color w:val="auto"/>
              </w:rPr>
            </w:pPr>
            <w:r>
              <w:rPr>
                <w:rFonts w:ascii="PMingLiU" w:cs="PMingLiU" w:eastAsia="PMingLiU" w:hAnsi="PMingLiU"/>
                <w:sz w:val="14"/>
                <w:szCs w:val="14"/>
                <w:color w:val="auto"/>
              </w:rPr>
              <w:t>DP/RFDO7LPH</w:t>
            </w:r>
          </w:p>
        </w:tc>
        <w:tc>
          <w:tcPr>
            <w:tcW w:w="2640" w:type="dxa"/>
            <w:vAlign w:val="bottom"/>
            <w:shd w:val="clear" w:color="auto" w:fill="F3F3F1"/>
          </w:tcPr>
          <w:p>
            <w:pPr>
              <w:ind w:left="40"/>
              <w:spacing w:after="0"/>
              <w:rPr>
                <w:sz w:val="20"/>
                <w:szCs w:val="20"/>
                <w:color w:val="auto"/>
              </w:rPr>
            </w:pPr>
            <w:r>
              <w:rPr>
                <w:rFonts w:ascii="PMingLiU" w:cs="PMingLiU" w:eastAsia="PMingLiU" w:hAnsi="PMingLiU"/>
                <w:sz w:val="14"/>
                <w:szCs w:val="14"/>
                <w:color w:val="auto"/>
              </w:rPr>
              <w:t>:DWHUORR5RDG'XEOLQ,UHODQG</w:t>
            </w:r>
          </w:p>
        </w:tc>
        <w:tc>
          <w:tcPr>
            <w:tcW w:w="3360" w:type="dxa"/>
            <w:vAlign w:val="bottom"/>
            <w:shd w:val="clear" w:color="auto" w:fill="F3F3F1"/>
          </w:tcPr>
          <w:p>
            <w:pPr>
              <w:ind w:left="560"/>
              <w:spacing w:after="0"/>
              <w:rPr>
                <w:sz w:val="20"/>
                <w:szCs w:val="20"/>
                <w:color w:val="auto"/>
              </w:rPr>
            </w:pPr>
            <w:r>
              <w:rPr>
                <w:rFonts w:ascii="PMingLiU" w:cs="PMingLiU" w:eastAsia="PMingLiU" w:hAnsi="PMingLiU"/>
                <w:sz w:val="14"/>
                <w:szCs w:val="14"/>
                <w:color w:val="auto"/>
              </w:rPr>
              <w:t>0D\</w:t>
            </w:r>
          </w:p>
        </w:tc>
        <w:tc>
          <w:tcPr>
            <w:tcW w:w="0" w:type="dxa"/>
            <w:vAlign w:val="bottom"/>
          </w:tcPr>
          <w:p>
            <w:pPr>
              <w:spacing w:after="0"/>
              <w:rPr>
                <w:sz w:val="1"/>
                <w:szCs w:val="1"/>
                <w:color w:val="auto"/>
              </w:rPr>
            </w:pPr>
          </w:p>
        </w:tc>
      </w:tr>
      <w:tr>
        <w:trPr>
          <w:trHeight w:val="64"/>
        </w:trPr>
        <w:tc>
          <w:tcPr>
            <w:tcW w:w="4080" w:type="dxa"/>
            <w:vAlign w:val="bottom"/>
            <w:shd w:val="clear" w:color="auto" w:fill="F3F3F1"/>
          </w:tcPr>
          <w:p>
            <w:pPr>
              <w:spacing w:after="0"/>
              <w:rPr>
                <w:sz w:val="5"/>
                <w:szCs w:val="5"/>
                <w:color w:val="auto"/>
              </w:rPr>
            </w:pPr>
          </w:p>
        </w:tc>
        <w:tc>
          <w:tcPr>
            <w:tcW w:w="2640" w:type="dxa"/>
            <w:vAlign w:val="bottom"/>
            <w:shd w:val="clear" w:color="auto" w:fill="F3F3F1"/>
          </w:tcPr>
          <w:p>
            <w:pPr>
              <w:spacing w:after="0"/>
              <w:rPr>
                <w:sz w:val="5"/>
                <w:szCs w:val="5"/>
                <w:color w:val="auto"/>
              </w:rPr>
            </w:pPr>
          </w:p>
        </w:tc>
        <w:tc>
          <w:tcPr>
            <w:tcW w:w="3360" w:type="dxa"/>
            <w:vAlign w:val="bottom"/>
            <w:shd w:val="clear" w:color="auto" w:fill="F3F3F1"/>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-394335</wp:posOffset>
            </wp:positionV>
            <wp:extent cx="245745" cy="245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745" cy="24574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-394335</wp:posOffset>
            </wp:positionV>
            <wp:extent cx="173355" cy="247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355" cy="24701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-394335</wp:posOffset>
            </wp:positionV>
            <wp:extent cx="159385" cy="246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385" cy="2463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PMingLiU" w:cs="PMingLiU" w:eastAsia="PMingLiU" w:hAnsi="PMingLiU"/>
          <w:sz w:val="28"/>
          <w:szCs w:val="28"/>
          <w:color w:val="5C004D"/>
        </w:rPr>
        <w:t>'HDU6KDUHKROGHU</w:t>
      </w:r>
    </w:p>
    <w:p>
      <w:pPr>
        <w:spacing w:after="0" w:line="93" w:lineRule="exact"/>
        <w:rPr>
          <w:sz w:val="20"/>
          <w:szCs w:val="20"/>
          <w:color w:val="auto"/>
        </w:rPr>
      </w:pPr>
    </w:p>
    <w:p>
      <w:pPr>
        <w:ind w:right="240"/>
        <w:spacing w:after="0" w:line="402" w:lineRule="auto"/>
        <w:rPr>
          <w:sz w:val="20"/>
          <w:szCs w:val="20"/>
          <w:color w:val="auto"/>
        </w:rPr>
      </w:pPr>
      <w:r>
        <w:rPr>
          <w:rFonts w:ascii="PMingLiU" w:cs="PMingLiU" w:eastAsia="PMingLiU" w:hAnsi="PMingLiU"/>
          <w:sz w:val="12"/>
          <w:szCs w:val="12"/>
          <w:color w:val="auto"/>
        </w:rPr>
        <w:t>7KHDQQXDOJHQHUDOPHHWLQJRIVKDUHKROGHUV³$*0´RI-D]]3KDUPDFHXWLFDOVSOFDSXEOLFOLPLWHGFRPSDQ\IRUPHGXQGHUWKHODZVRI ,UHODQGZLOOEHKHOGRQ7KXUVGD\-XO\DWDPORFDOWLPHDWRXUFRUSRUDWHKHDGTXDUWHUVORFDWHGDW)LIWK)ORRU:DWHUORR ([FKDQJH:DWHUORR5RDG'XEOLQ,UHODQGIRUWKHIROORZLQJSXUSRVHV</w:t>
      </w:r>
    </w:p>
    <w:p>
      <w:pPr>
        <w:sectPr>
          <w:pgSz w:w="11880" w:h="15479" w:orient="portrait"/>
          <w:cols w:equalWidth="0" w:num="1">
            <w:col w:w="10100"/>
          </w:cols>
          <w:pgMar w:left="900" w:top="1440" w:right="879" w:bottom="339"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shd w:val="clear" w:color="auto" w:fill="000046"/>
          </w:tcPr>
          <w:p>
            <w:pPr>
              <w:spacing w:after="0"/>
              <w:rPr>
                <w:sz w:val="19"/>
                <w:szCs w:val="19"/>
                <w:color w:val="auto"/>
              </w:rPr>
            </w:pPr>
          </w:p>
        </w:tc>
        <w:tc>
          <w:tcPr>
            <w:tcW w:w="200" w:type="dxa"/>
            <w:vAlign w:val="bottom"/>
            <w:shd w:val="clear" w:color="auto" w:fill="000046"/>
          </w:tcPr>
          <w:p>
            <w:pPr>
              <w:spacing w:after="0"/>
              <w:rPr>
                <w:sz w:val="19"/>
                <w:szCs w:val="19"/>
                <w:color w:val="auto"/>
              </w:rPr>
            </w:pPr>
          </w:p>
        </w:tc>
        <w:tc>
          <w:tcPr>
            <w:tcW w:w="1060" w:type="dxa"/>
            <w:vAlign w:val="bottom"/>
            <w:shd w:val="clear" w:color="auto" w:fill="000046"/>
          </w:tcPr>
          <w:p>
            <w:pPr>
              <w:ind w:left="200"/>
              <w:spacing w:after="0"/>
              <w:rPr>
                <w:sz w:val="20"/>
                <w:szCs w:val="20"/>
                <w:color w:val="auto"/>
              </w:rPr>
            </w:pPr>
            <w:r>
              <w:rPr>
                <w:rFonts w:ascii="PMingLiU" w:cs="PMingLiU" w:eastAsia="PMingLiU" w:hAnsi="PMingLiU"/>
                <w:sz w:val="14"/>
                <w:szCs w:val="14"/>
                <w:b w:val="1"/>
                <w:bCs w:val="1"/>
                <w:color w:val="FFFFFF"/>
              </w:rPr>
              <w:t>%RDUG</w:t>
            </w:r>
          </w:p>
        </w:tc>
        <w:tc>
          <w:tcPr>
            <w:tcW w:w="460" w:type="dxa"/>
            <w:vAlign w:val="bottom"/>
            <w:shd w:val="clear" w:color="auto" w:fill="000046"/>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000046"/>
          </w:tcPr>
          <w:p>
            <w:pPr>
              <w:ind w:left="40"/>
              <w:spacing w:after="0"/>
              <w:rPr>
                <w:sz w:val="20"/>
                <w:szCs w:val="20"/>
                <w:color w:val="auto"/>
              </w:rPr>
            </w:pPr>
            <w:r>
              <w:rPr>
                <w:rFonts w:ascii="PMingLiU" w:cs="PMingLiU" w:eastAsia="PMingLiU" w:hAnsi="PMingLiU"/>
                <w:sz w:val="14"/>
                <w:szCs w:val="14"/>
                <w:b w:val="1"/>
                <w:bCs w:val="1"/>
                <w:color w:val="FFFFFF"/>
              </w:rPr>
              <w:t>3URSRVDO</w:t>
            </w:r>
          </w:p>
        </w:tc>
        <w:tc>
          <w:tcPr>
            <w:tcW w:w="1260" w:type="dxa"/>
            <w:vAlign w:val="bottom"/>
            <w:gridSpan w:val="2"/>
            <w:shd w:val="clear" w:color="auto" w:fill="000046"/>
          </w:tcPr>
          <w:p>
            <w:pPr>
              <w:ind w:left="20"/>
              <w:spacing w:after="0"/>
              <w:rPr>
                <w:sz w:val="20"/>
                <w:szCs w:val="20"/>
                <w:color w:val="auto"/>
              </w:rPr>
            </w:pPr>
            <w:r>
              <w:rPr>
                <w:rFonts w:ascii="PMingLiU" w:cs="PMingLiU" w:eastAsia="PMingLiU" w:hAnsi="PMingLiU"/>
                <w:sz w:val="14"/>
                <w:szCs w:val="14"/>
                <w:b w:val="1"/>
                <w:bCs w:val="1"/>
                <w:color w:val="FFFFFF"/>
                <w:w w:val="98"/>
              </w:rPr>
              <w:t>5HFRPPHQGDWLRQ</w:t>
            </w:r>
          </w:p>
        </w:tc>
        <w:tc>
          <w:tcPr>
            <w:tcW w:w="460" w:type="dxa"/>
            <w:vAlign w:val="bottom"/>
            <w:shd w:val="clear" w:color="auto" w:fill="000046"/>
          </w:tcPr>
          <w:p>
            <w:pPr>
              <w:jc w:val="center"/>
              <w:spacing w:after="0"/>
              <w:rPr>
                <w:sz w:val="20"/>
                <w:szCs w:val="20"/>
                <w:color w:val="auto"/>
              </w:rPr>
            </w:pPr>
            <w:r>
              <w:rPr>
                <w:rFonts w:ascii="PMingLiU" w:cs="PMingLiU" w:eastAsia="PMingLiU" w:hAnsi="PMingLiU"/>
                <w:sz w:val="14"/>
                <w:szCs w:val="14"/>
                <w:b w:val="1"/>
                <w:bCs w:val="1"/>
                <w:color w:val="FFFFFF"/>
              </w:rPr>
              <w:t>3DJH</w:t>
            </w:r>
          </w:p>
        </w:tc>
        <w:tc>
          <w:tcPr>
            <w:tcW w:w="0" w:type="dxa"/>
            <w:vAlign w:val="bottom"/>
          </w:tcPr>
          <w:p>
            <w:pPr>
              <w:spacing w:after="0"/>
              <w:rPr>
                <w:sz w:val="1"/>
                <w:szCs w:val="1"/>
                <w:color w:val="auto"/>
              </w:rPr>
            </w:pPr>
          </w:p>
        </w:tc>
      </w:tr>
      <w:tr>
        <w:trPr>
          <w:trHeight w:val="67"/>
        </w:trPr>
        <w:tc>
          <w:tcPr>
            <w:tcW w:w="4980" w:type="dxa"/>
            <w:vAlign w:val="bottom"/>
            <w:shd w:val="clear" w:color="auto" w:fill="000046"/>
          </w:tcPr>
          <w:p>
            <w:pPr>
              <w:spacing w:after="0"/>
              <w:rPr>
                <w:sz w:val="5"/>
                <w:szCs w:val="5"/>
                <w:color w:val="auto"/>
              </w:rPr>
            </w:pPr>
          </w:p>
        </w:tc>
        <w:tc>
          <w:tcPr>
            <w:tcW w:w="20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c>
          <w:tcPr>
            <w:tcW w:w="46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81"/>
              </w:rPr>
              <w:t>7RHOHFWE\VHSDUDWHUHVROXWLRQVHDFKRIWKHWKUHHQRPLQHHVIRUGLUHFWRU</w:t>
            </w:r>
          </w:p>
        </w:tc>
        <w:tc>
          <w:tcPr>
            <w:tcW w:w="200" w:type="dxa"/>
            <w:vAlign w:val="bottom"/>
          </w:tcPr>
          <w:p>
            <w:pPr>
              <w:spacing w:after="0"/>
              <w:rPr>
                <w:sz w:val="21"/>
                <w:szCs w:val="21"/>
                <w:color w:val="auto"/>
              </w:rPr>
            </w:pPr>
          </w:p>
        </w:tc>
        <w:tc>
          <w:tcPr>
            <w:tcW w:w="1060" w:type="dxa"/>
            <w:vAlign w:val="bottom"/>
          </w:tcPr>
          <w:p>
            <w:pPr>
              <w:jc w:val="center"/>
              <w:ind w:right="10"/>
              <w:spacing w:after="0"/>
              <w:rPr>
                <w:sz w:val="20"/>
                <w:szCs w:val="20"/>
                <w:color w:val="auto"/>
              </w:rPr>
            </w:pPr>
            <w:r>
              <w:rPr>
                <w:rFonts w:ascii="PMingLiU" w:cs="PMingLiU" w:eastAsia="PMingLiU" w:hAnsi="PMingLiU"/>
                <w:sz w:val="14"/>
                <w:szCs w:val="14"/>
                <w:b w:val="1"/>
                <w:bCs w:val="1"/>
                <w:color w:val="5C004D"/>
              </w:rPr>
              <w:t>)25HDFK</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980" w:type="dxa"/>
            <w:vAlign w:val="bottom"/>
          </w:tcPr>
          <w:p>
            <w:pPr>
              <w:ind w:left="420"/>
              <w:spacing w:after="0" w:line="154" w:lineRule="exact"/>
              <w:rPr>
                <w:sz w:val="20"/>
                <w:szCs w:val="20"/>
                <w:color w:val="auto"/>
              </w:rPr>
            </w:pPr>
            <w:r>
              <w:rPr>
                <w:rFonts w:ascii="PMingLiU" w:cs="PMingLiU" w:eastAsia="PMingLiU" w:hAnsi="PMingLiU"/>
                <w:sz w:val="14"/>
                <w:szCs w:val="14"/>
                <w:color w:val="auto"/>
                <w:w w:val="92"/>
              </w:rPr>
              <w:t>QDPHGLQRXUDFFRPSDQ\LQJSUR[\VWDWHPHQWWRKROGRIILFHXQWLOWKH</w:t>
            </w:r>
          </w:p>
        </w:tc>
        <w:tc>
          <w:tcPr>
            <w:tcW w:w="200" w:type="dxa"/>
            <w:vAlign w:val="bottom"/>
          </w:tcPr>
          <w:p>
            <w:pPr>
              <w:spacing w:after="0"/>
              <w:rPr>
                <w:sz w:val="13"/>
                <w:szCs w:val="13"/>
                <w:color w:val="auto"/>
              </w:rPr>
            </w:pPr>
          </w:p>
        </w:tc>
        <w:tc>
          <w:tcPr>
            <w:tcW w:w="1060" w:type="dxa"/>
            <w:vAlign w:val="bottom"/>
          </w:tcPr>
          <w:p>
            <w:pPr>
              <w:ind w:left="180"/>
              <w:spacing w:after="0" w:line="154" w:lineRule="exact"/>
              <w:rPr>
                <w:sz w:val="20"/>
                <w:szCs w:val="20"/>
                <w:color w:val="auto"/>
              </w:rPr>
            </w:pPr>
            <w:r>
              <w:rPr>
                <w:rFonts w:ascii="PMingLiU" w:cs="PMingLiU" w:eastAsia="PMingLiU" w:hAnsi="PMingLiU"/>
                <w:sz w:val="14"/>
                <w:szCs w:val="14"/>
                <w:b w:val="1"/>
                <w:bCs w:val="1"/>
                <w:color w:val="5C004D"/>
              </w:rPr>
              <w:t>QRPLQHH</w:t>
            </w:r>
          </w:p>
        </w:tc>
        <w:tc>
          <w:tcPr>
            <w:tcW w:w="460" w:type="dxa"/>
            <w:vAlign w:val="bottom"/>
          </w:tcPr>
          <w:p>
            <w:pPr>
              <w:jc w:val="center"/>
              <w:spacing w:after="0" w:line="154"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9"/>
        </w:trPr>
        <w:tc>
          <w:tcPr>
            <w:tcW w:w="4980" w:type="dxa"/>
            <w:vAlign w:val="bottom"/>
          </w:tcPr>
          <w:p>
            <w:pPr>
              <w:ind w:left="420"/>
              <w:spacing w:after="0"/>
              <w:rPr>
                <w:sz w:val="20"/>
                <w:szCs w:val="20"/>
                <w:color w:val="auto"/>
              </w:rPr>
            </w:pPr>
            <w:r>
              <w:rPr>
                <w:rFonts w:ascii="PMingLiU" w:cs="PMingLiU" w:eastAsia="PMingLiU" w:hAnsi="PMingLiU"/>
                <w:sz w:val="14"/>
                <w:szCs w:val="14"/>
                <w:color w:val="auto"/>
              </w:rPr>
              <w:t>DQQXDOPHHWLQJRIVKDUHKROGHUV</w:t>
            </w:r>
          </w:p>
        </w:tc>
        <w:tc>
          <w:tcPr>
            <w:tcW w:w="2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PMingLiU" w:cs="PMingLiU" w:eastAsia="PMingLiU" w:hAnsi="PMingLiU"/>
                <w:sz w:val="14"/>
                <w:szCs w:val="14"/>
                <w:b w:val="1"/>
                <w:bCs w:val="1"/>
                <w:color w:val="5C004D"/>
              </w:rPr>
              <w:t>QDPHGKHUHLQ</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518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c>
          <w:tcPr>
            <w:tcW w:w="4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420"/>
              <w:spacing w:after="0"/>
              <w:rPr>
                <w:sz w:val="20"/>
                <w:szCs w:val="20"/>
                <w:color w:val="auto"/>
              </w:rPr>
            </w:pPr>
            <w:r>
              <w:rPr>
                <w:rFonts w:ascii="PMingLiU" w:cs="PMingLiU" w:eastAsia="PMingLiU" w:hAnsi="PMingLiU"/>
                <w:sz w:val="14"/>
                <w:szCs w:val="14"/>
                <w:color w:val="auto"/>
                <w:w w:val="93"/>
              </w:rPr>
              <w:t>7RUDWLI\RQDQRQELQGLQJDGYLVRU\EDVLVWKHDSSRLQWPHQWRI.30*DVRXU</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180" w:type="dxa"/>
            <w:vAlign w:val="bottom"/>
            <w:gridSpan w:val="2"/>
          </w:tcPr>
          <w:p>
            <w:pPr>
              <w:ind w:left="420"/>
              <w:spacing w:after="0"/>
              <w:rPr>
                <w:sz w:val="20"/>
                <w:szCs w:val="20"/>
                <w:color w:val="auto"/>
              </w:rPr>
            </w:pPr>
            <w:r>
              <w:rPr>
                <w:rFonts w:ascii="PMingLiU" w:cs="PMingLiU" w:eastAsia="PMingLiU" w:hAnsi="PMingLiU"/>
                <w:sz w:val="14"/>
                <w:szCs w:val="14"/>
                <w:color w:val="auto"/>
                <w:w w:val="99"/>
              </w:rPr>
              <w:t>LQGHSHQGHQWDXGLWRUVIRUWKHILVFDO\HDUHQGLQJ'HFHPEHUDQGWR</w:t>
            </w:r>
          </w:p>
        </w:tc>
        <w:tc>
          <w:tcPr>
            <w:tcW w:w="1060" w:type="dxa"/>
            <w:vAlign w:val="bottom"/>
            <w:vMerge w:val="restart"/>
          </w:tcPr>
          <w:p>
            <w:pPr>
              <w:jc w:val="center"/>
              <w:ind w:right="10"/>
              <w:spacing w:after="0"/>
              <w:rPr>
                <w:sz w:val="20"/>
                <w:szCs w:val="20"/>
                <w:color w:val="auto"/>
              </w:rPr>
            </w:pPr>
            <w:r>
              <w:rPr>
                <w:rFonts w:ascii="PMingLiU" w:cs="PMingLiU" w:eastAsia="PMingLiU" w:hAnsi="PMingLiU"/>
                <w:sz w:val="14"/>
                <w:szCs w:val="14"/>
                <w:b w:val="1"/>
                <w:bCs w:val="1"/>
                <w:color w:val="5C004D"/>
              </w:rPr>
              <w:t>)25</w:t>
            </w:r>
          </w:p>
        </w:tc>
        <w:tc>
          <w:tcPr>
            <w:tcW w:w="46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9"/>
        </w:trPr>
        <w:tc>
          <w:tcPr>
            <w:tcW w:w="5180" w:type="dxa"/>
            <w:vAlign w:val="bottom"/>
            <w:gridSpan w:val="2"/>
            <w:vMerge w:val="restart"/>
          </w:tcPr>
          <w:p>
            <w:pPr>
              <w:ind w:left="420"/>
              <w:spacing w:after="0"/>
              <w:rPr>
                <w:sz w:val="20"/>
                <w:szCs w:val="20"/>
                <w:color w:val="auto"/>
              </w:rPr>
            </w:pPr>
            <w:r>
              <w:rPr>
                <w:rFonts w:ascii="PMingLiU" w:cs="PMingLiU" w:eastAsia="PMingLiU" w:hAnsi="PMingLiU"/>
                <w:sz w:val="14"/>
                <w:szCs w:val="14"/>
                <w:color w:val="auto"/>
                <w:w w:val="83"/>
              </w:rPr>
              <w:t>DXWKRUL]HLQDELQGLQJYRWHRXUERDUGRIGLUHFWRUVDFWLQJWKURXJKRXUDXGLW</w:t>
            </w:r>
          </w:p>
        </w:tc>
        <w:tc>
          <w:tcPr>
            <w:tcW w:w="10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518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87"/>
              </w:rPr>
              <w:t>FRPPLWWHHWRGHWHUPLQHWKHLQGHSHQGHQWDXGLWRUV¶UHPXQHUDWLRQ</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980" w:type="dxa"/>
            <w:vAlign w:val="bottom"/>
            <w:tcBorders>
              <w:bottom w:val="single" w:sz="8" w:color="4454A7"/>
            </w:tcBorders>
          </w:tcPr>
          <w:p>
            <w:pPr>
              <w:spacing w:after="0"/>
              <w:rPr>
                <w:sz w:val="6"/>
                <w:szCs w:val="6"/>
                <w:color w:val="auto"/>
              </w:rPr>
            </w:pPr>
          </w:p>
        </w:tc>
        <w:tc>
          <w:tcPr>
            <w:tcW w:w="200" w:type="dxa"/>
            <w:vAlign w:val="bottom"/>
            <w:tcBorders>
              <w:bottom w:val="single" w:sz="8" w:color="4454A7"/>
            </w:tcBorders>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c>
          <w:tcPr>
            <w:tcW w:w="4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94"/>
              </w:rPr>
              <w:t>7RDSSURYHRQDQRQELQGLQJDGYLVRU\EDVLVWKHFRPSHQVDWLRQRIRXU</w:t>
            </w:r>
          </w:p>
        </w:tc>
        <w:tc>
          <w:tcPr>
            <w:tcW w:w="200" w:type="dxa"/>
            <w:vAlign w:val="bottom"/>
          </w:tcPr>
          <w:p>
            <w:pPr>
              <w:spacing w:after="0"/>
              <w:rPr>
                <w:sz w:val="20"/>
                <w:szCs w:val="20"/>
                <w:color w:val="auto"/>
              </w:rPr>
            </w:pPr>
          </w:p>
        </w:tc>
        <w:tc>
          <w:tcPr>
            <w:tcW w:w="1060" w:type="dxa"/>
            <w:vAlign w:val="bottom"/>
            <w:vMerge w:val="restart"/>
          </w:tcPr>
          <w:p>
            <w:pPr>
              <w:jc w:val="center"/>
              <w:ind w:right="10"/>
              <w:spacing w:after="0"/>
              <w:rPr>
                <w:sz w:val="20"/>
                <w:szCs w:val="20"/>
                <w:color w:val="auto"/>
              </w:rPr>
            </w:pPr>
            <w:r>
              <w:rPr>
                <w:rFonts w:ascii="PMingLiU" w:cs="PMingLiU" w:eastAsia="PMingLiU" w:hAnsi="PMingLiU"/>
                <w:sz w:val="14"/>
                <w:szCs w:val="14"/>
                <w:b w:val="1"/>
                <w:bCs w:val="1"/>
                <w:color w:val="5C004D"/>
              </w:rPr>
              <w:t>)25</w:t>
            </w:r>
          </w:p>
        </w:tc>
        <w:tc>
          <w:tcPr>
            <w:tcW w:w="46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9"/>
        </w:trPr>
        <w:tc>
          <w:tcPr>
            <w:tcW w:w="5180" w:type="dxa"/>
            <w:vAlign w:val="bottom"/>
            <w:gridSpan w:val="2"/>
            <w:vMerge w:val="restart"/>
          </w:tcPr>
          <w:p>
            <w:pPr>
              <w:ind w:left="420"/>
              <w:spacing w:after="0"/>
              <w:rPr>
                <w:sz w:val="20"/>
                <w:szCs w:val="20"/>
                <w:color w:val="auto"/>
              </w:rPr>
            </w:pPr>
            <w:r>
              <w:rPr>
                <w:rFonts w:ascii="PMingLiU" w:cs="PMingLiU" w:eastAsia="PMingLiU" w:hAnsi="PMingLiU"/>
                <w:sz w:val="14"/>
                <w:szCs w:val="14"/>
                <w:color w:val="auto"/>
                <w:w w:val="85"/>
              </w:rPr>
              <w:t>QDPHGH[HFXWLYHRIILFHUVDVGLVFORVHGLQWKHDFFRPSDQ\LQJSUR[\VWDWHPHQW</w:t>
            </w:r>
          </w:p>
        </w:tc>
        <w:tc>
          <w:tcPr>
            <w:tcW w:w="10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1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980" w:type="dxa"/>
            <w:vAlign w:val="bottom"/>
            <w:tcBorders>
              <w:bottom w:val="single" w:sz="8" w:color="4454A7"/>
            </w:tcBorders>
          </w:tcPr>
          <w:p>
            <w:pPr>
              <w:spacing w:after="0"/>
              <w:rPr>
                <w:sz w:val="7"/>
                <w:szCs w:val="7"/>
                <w:color w:val="auto"/>
              </w:rPr>
            </w:pPr>
          </w:p>
        </w:tc>
        <w:tc>
          <w:tcPr>
            <w:tcW w:w="200" w:type="dxa"/>
            <w:vAlign w:val="bottom"/>
            <w:tcBorders>
              <w:bottom w:val="single" w:sz="8" w:color="4454A7"/>
            </w:tcBorders>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c>
          <w:tcPr>
            <w:tcW w:w="46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79"/>
              </w:rPr>
              <w:t>7RJUDQWRXUERDUGRIGLUHFWRUVDXWKRULW\XQGHU,ULVKODZWRDOORWDQGLVVXH</w:t>
            </w:r>
          </w:p>
        </w:tc>
        <w:tc>
          <w:tcPr>
            <w:tcW w:w="200" w:type="dxa"/>
            <w:vAlign w:val="bottom"/>
          </w:tcPr>
          <w:p>
            <w:pPr>
              <w:spacing w:after="0"/>
              <w:rPr>
                <w:sz w:val="20"/>
                <w:szCs w:val="20"/>
                <w:color w:val="auto"/>
              </w:rPr>
            </w:pPr>
          </w:p>
        </w:tc>
        <w:tc>
          <w:tcPr>
            <w:tcW w:w="1060" w:type="dxa"/>
            <w:vAlign w:val="bottom"/>
            <w:vMerge w:val="restart"/>
          </w:tcPr>
          <w:p>
            <w:pPr>
              <w:jc w:val="center"/>
              <w:ind w:right="10"/>
              <w:spacing w:after="0"/>
              <w:rPr>
                <w:sz w:val="20"/>
                <w:szCs w:val="20"/>
                <w:color w:val="auto"/>
              </w:rPr>
            </w:pPr>
            <w:r>
              <w:rPr>
                <w:rFonts w:ascii="PMingLiU" w:cs="PMingLiU" w:eastAsia="PMingLiU" w:hAnsi="PMingLiU"/>
                <w:sz w:val="14"/>
                <w:szCs w:val="14"/>
                <w:b w:val="1"/>
                <w:bCs w:val="1"/>
                <w:color w:val="5C004D"/>
              </w:rPr>
              <w:t>)25</w:t>
            </w:r>
          </w:p>
        </w:tc>
        <w:tc>
          <w:tcPr>
            <w:tcW w:w="46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9"/>
        </w:trPr>
        <w:tc>
          <w:tcPr>
            <w:tcW w:w="4980" w:type="dxa"/>
            <w:vAlign w:val="bottom"/>
            <w:vMerge w:val="restart"/>
          </w:tcPr>
          <w:p>
            <w:pPr>
              <w:ind w:left="420"/>
              <w:spacing w:after="0"/>
              <w:rPr>
                <w:sz w:val="20"/>
                <w:szCs w:val="20"/>
                <w:color w:val="auto"/>
              </w:rPr>
            </w:pPr>
            <w:r>
              <w:rPr>
                <w:rFonts w:ascii="PMingLiU" w:cs="PMingLiU" w:eastAsia="PMingLiU" w:hAnsi="PMingLiU"/>
                <w:sz w:val="14"/>
                <w:szCs w:val="14"/>
                <w:color w:val="auto"/>
              </w:rPr>
              <w:t>RUGLQDU\VKDUHV</w:t>
            </w: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180" w:type="dxa"/>
            <w:vAlign w:val="bottom"/>
            <w:tcBorders>
              <w:bottom w:val="single" w:sz="8" w:color="4454A7"/>
            </w:tcBorders>
            <w:gridSpan w:val="2"/>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c>
          <w:tcPr>
            <w:tcW w:w="46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420"/>
              <w:spacing w:after="0"/>
              <w:rPr>
                <w:sz w:val="20"/>
                <w:szCs w:val="20"/>
                <w:color w:val="auto"/>
              </w:rPr>
            </w:pPr>
            <w:r>
              <w:rPr>
                <w:rFonts w:ascii="PMingLiU" w:cs="PMingLiU" w:eastAsia="PMingLiU" w:hAnsi="PMingLiU"/>
                <w:sz w:val="14"/>
                <w:szCs w:val="14"/>
                <w:color w:val="auto"/>
                <w:w w:val="80"/>
              </w:rPr>
              <w:t>$VDVSHFLDOUHVROXWLRQWRJUDQWRXUERDUGRIGLUHFWRUVDXWKRULW\XQGHU,ULVK</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78"/>
              </w:rPr>
              <w:t>ODZWRDOORWDQGLVVXHRUGLQDU\VKDUHVIRUFDVKZLWKRXWILUVWRIIHULQJWKRVH</w:t>
            </w:r>
          </w:p>
        </w:tc>
        <w:tc>
          <w:tcPr>
            <w:tcW w:w="200" w:type="dxa"/>
            <w:vAlign w:val="bottom"/>
          </w:tcPr>
          <w:p>
            <w:pPr>
              <w:spacing w:after="0"/>
              <w:rPr>
                <w:sz w:val="14"/>
                <w:szCs w:val="14"/>
                <w:color w:val="auto"/>
              </w:rPr>
            </w:pPr>
          </w:p>
        </w:tc>
        <w:tc>
          <w:tcPr>
            <w:tcW w:w="1060" w:type="dxa"/>
            <w:vAlign w:val="bottom"/>
            <w:vMerge w:val="restart"/>
          </w:tcPr>
          <w:p>
            <w:pPr>
              <w:jc w:val="center"/>
              <w:ind w:right="10"/>
              <w:spacing w:after="0"/>
              <w:rPr>
                <w:sz w:val="20"/>
                <w:szCs w:val="20"/>
                <w:color w:val="auto"/>
              </w:rPr>
            </w:pPr>
            <w:r>
              <w:rPr>
                <w:rFonts w:ascii="PMingLiU" w:cs="PMingLiU" w:eastAsia="PMingLiU" w:hAnsi="PMingLiU"/>
                <w:sz w:val="14"/>
                <w:szCs w:val="14"/>
                <w:b w:val="1"/>
                <w:bCs w:val="1"/>
                <w:color w:val="5C004D"/>
              </w:rPr>
              <w:t>)25</w:t>
            </w:r>
          </w:p>
        </w:tc>
        <w:tc>
          <w:tcPr>
            <w:tcW w:w="46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9"/>
        </w:trPr>
        <w:tc>
          <w:tcPr>
            <w:tcW w:w="4980" w:type="dxa"/>
            <w:vAlign w:val="bottom"/>
            <w:vMerge w:val="restart"/>
          </w:tcPr>
          <w:p>
            <w:pPr>
              <w:ind w:left="420"/>
              <w:spacing w:after="0"/>
              <w:rPr>
                <w:sz w:val="20"/>
                <w:szCs w:val="20"/>
                <w:color w:val="auto"/>
              </w:rPr>
            </w:pPr>
            <w:r>
              <w:rPr>
                <w:rFonts w:ascii="PMingLiU" w:cs="PMingLiU" w:eastAsia="PMingLiU" w:hAnsi="PMingLiU"/>
                <w:sz w:val="14"/>
                <w:szCs w:val="14"/>
                <w:color w:val="auto"/>
                <w:w w:val="79"/>
              </w:rPr>
              <w:t>RUGLQDU\VKDUHVWRH[LVWLQJVKDUHKROGHUVSXUVXDQWWRWKHVWDWXWRU\SUH</w:t>
            </w: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4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420"/>
              <w:spacing w:after="0"/>
              <w:rPr>
                <w:sz w:val="20"/>
                <w:szCs w:val="20"/>
                <w:color w:val="auto"/>
              </w:rPr>
            </w:pPr>
            <w:r>
              <w:rPr>
                <w:rFonts w:ascii="PMingLiU" w:cs="PMingLiU" w:eastAsia="PMingLiU" w:hAnsi="PMingLiU"/>
                <w:sz w:val="14"/>
                <w:szCs w:val="14"/>
                <w:color w:val="auto"/>
              </w:rPr>
              <w:t>HPSWLRQULJKWWKDWZRXOGRWKHUZLVHDSSO\</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18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c>
          <w:tcPr>
            <w:tcW w:w="4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80" w:type="dxa"/>
            <w:vAlign w:val="bottom"/>
            <w:gridSpan w:val="2"/>
          </w:tcPr>
          <w:p>
            <w:pPr>
              <w:ind w:left="420"/>
              <w:spacing w:after="0"/>
              <w:rPr>
                <w:sz w:val="20"/>
                <w:szCs w:val="20"/>
                <w:color w:val="auto"/>
              </w:rPr>
            </w:pPr>
            <w:r>
              <w:rPr>
                <w:rFonts w:ascii="PMingLiU" w:cs="PMingLiU" w:eastAsia="PMingLiU" w:hAnsi="PMingLiU"/>
                <w:sz w:val="14"/>
                <w:szCs w:val="14"/>
                <w:color w:val="auto"/>
                <w:w w:val="88"/>
              </w:rPr>
              <w:t>7RDSSURYHDQ\PRWLRQWRDGMRXUQWKH$*0RUDQ\DGMRXUQPHQWVWKHUHRIWR</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75"/>
              </w:rPr>
              <w:t>DQRWKHUWLPHDQGSODFHWRVROLFLWDGGLWLRQDOSUR[LHVLIWKHUHDUHLQVXIILFLHQW</w:t>
            </w:r>
          </w:p>
        </w:tc>
        <w:tc>
          <w:tcPr>
            <w:tcW w:w="200" w:type="dxa"/>
            <w:vAlign w:val="bottom"/>
          </w:tcPr>
          <w:p>
            <w:pPr>
              <w:spacing w:after="0"/>
              <w:rPr>
                <w:sz w:val="14"/>
                <w:szCs w:val="14"/>
                <w:color w:val="auto"/>
              </w:rPr>
            </w:pPr>
          </w:p>
        </w:tc>
        <w:tc>
          <w:tcPr>
            <w:tcW w:w="1060" w:type="dxa"/>
            <w:vAlign w:val="bottom"/>
          </w:tcPr>
          <w:p>
            <w:pPr>
              <w:jc w:val="center"/>
              <w:ind w:right="10"/>
              <w:spacing w:after="0"/>
              <w:rPr>
                <w:sz w:val="20"/>
                <w:szCs w:val="20"/>
                <w:color w:val="auto"/>
              </w:rPr>
            </w:pPr>
            <w:r>
              <w:rPr>
                <w:rFonts w:ascii="PMingLiU" w:cs="PMingLiU" w:eastAsia="PMingLiU" w:hAnsi="PMingLiU"/>
                <w:sz w:val="14"/>
                <w:szCs w:val="14"/>
                <w:b w:val="1"/>
                <w:bCs w:val="1"/>
                <w:color w:val="5C004D"/>
              </w:rPr>
              <w:t>)25</w:t>
            </w:r>
          </w:p>
        </w:tc>
        <w:tc>
          <w:tcPr>
            <w:tcW w:w="46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5"/>
        </w:trPr>
        <w:tc>
          <w:tcPr>
            <w:tcW w:w="4980" w:type="dxa"/>
            <w:vAlign w:val="bottom"/>
          </w:tcPr>
          <w:p>
            <w:pPr>
              <w:ind w:left="420"/>
              <w:spacing w:after="0"/>
              <w:rPr>
                <w:sz w:val="20"/>
                <w:szCs w:val="20"/>
                <w:color w:val="auto"/>
              </w:rPr>
            </w:pPr>
            <w:r>
              <w:rPr>
                <w:rFonts w:ascii="PMingLiU" w:cs="PMingLiU" w:eastAsia="PMingLiU" w:hAnsi="PMingLiU"/>
                <w:sz w:val="14"/>
                <w:szCs w:val="14"/>
                <w:color w:val="auto"/>
                <w:w w:val="90"/>
              </w:rPr>
              <w:t>YRWHVDWWKHWLPHRIWKH$*0WRDSSURYHHLWKHU3URSRVDORU3URSRVDO</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-2468880</wp:posOffset>
            </wp:positionV>
            <wp:extent cx="182880" cy="182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-2040255</wp:posOffset>
            </wp:positionV>
            <wp:extent cx="182880" cy="182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-1506855</wp:posOffset>
            </wp:positionV>
            <wp:extent cx="182880" cy="182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-1173480</wp:posOffset>
            </wp:positionV>
            <wp:extent cx="182880" cy="182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-840105</wp:posOffset>
            </wp:positionV>
            <wp:extent cx="182880" cy="182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-306705</wp:posOffset>
            </wp:positionV>
            <wp:extent cx="182880"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880" cy="1828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48895</wp:posOffset>
                </wp:positionV>
                <wp:extent cx="425704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70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85pt" to="335.1pt,3.85pt" o:allowincell="f" strokecolor="#4454A7" strokeweight="0.25pt"/>
            </w:pict>
          </mc:Fallback>
        </mc:AlternateContent>
      </w:r>
    </w:p>
    <w:p>
      <w:pPr>
        <w:spacing w:after="0" w:line="92" w:lineRule="exact"/>
        <w:rPr>
          <w:sz w:val="20"/>
          <w:szCs w:val="20"/>
          <w:color w:val="auto"/>
        </w:rPr>
      </w:pPr>
    </w:p>
    <w:p>
      <w:pPr>
        <w:ind w:left="40"/>
        <w:spacing w:after="0"/>
        <w:rPr>
          <w:sz w:val="20"/>
          <w:szCs w:val="20"/>
          <w:color w:val="auto"/>
        </w:rPr>
      </w:pPr>
      <w:r>
        <w:rPr>
          <w:rFonts w:ascii="PMingLiU" w:cs="PMingLiU" w:eastAsia="PMingLiU" w:hAnsi="PMingLiU"/>
          <w:sz w:val="14"/>
          <w:szCs w:val="14"/>
          <w:color w:val="auto"/>
        </w:rPr>
        <w:t>7RFRQGXFWDQ\RWKHUEXVLQHVVSURSHUO\EURXJKWEHIRUHWKH$*0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33020</wp:posOffset>
                </wp:positionV>
                <wp:extent cx="42570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7040" cy="4763"/>
                        </a:xfrm>
                        <a:prstGeom prst="line">
                          <a:avLst/>
                        </a:prstGeom>
                        <a:solidFill>
                          <a:srgbClr val="FFFFFF"/>
                        </a:solidFill>
                        <a:ln w="12700">
                          <a:solidFill>
                            <a:srgbClr val="5C004D"/>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pt" to="335.1pt,2.6pt" o:allowincell="f" strokecolor="#5C004D" strokeweight="1pt"/>
            </w:pict>
          </mc:Fallback>
        </mc:AlternateContent>
      </w:r>
    </w:p>
    <w:p>
      <w:pPr>
        <w:spacing w:after="0" w:line="20" w:lineRule="exact"/>
        <w:rPr>
          <w:sz w:val="20"/>
          <w:szCs w:val="20"/>
          <w:color w:val="auto"/>
        </w:rPr>
      </w:pPr>
      <w:r>
        <w:rPr>
          <w:sz w:val="20"/>
          <w:szCs w:val="20"/>
          <w:color w:val="auto"/>
        </w:rPr>
        <w:br w:type="column"/>
      </w:r>
    </w:p>
    <w:p>
      <w:pPr>
        <w:ind w:right="60"/>
        <w:spacing w:after="0" w:line="312" w:lineRule="auto"/>
        <w:rPr>
          <w:sz w:val="20"/>
          <w:szCs w:val="20"/>
          <w:color w:val="auto"/>
        </w:rPr>
      </w:pPr>
      <w:r>
        <w:rPr>
          <w:rFonts w:ascii="PMingLiU" w:cs="PMingLiU" w:eastAsia="PMingLiU" w:hAnsi="PMingLiU"/>
          <w:sz w:val="14"/>
          <w:szCs w:val="14"/>
          <w:color w:val="auto"/>
        </w:rPr>
        <w:t>:KHWKHURUQRW\RXH[SHFWWRDWWHQGRXU $*0SOHDVHYRWHDVVRRQDVSRVVLEOH 3OHDVHVHH³4XHVWLRQVDQG$QVZHUV +RZ GR,YRWH"´EHJLQQLQJRQSDJHEHORZ &lt;RXPD\YRWH\RXUVKDUHV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90725" cy="1600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1990725" cy="1600200"/>
                    </a:xfrm>
                    <a:prstGeom prst="rect">
                      <a:avLst/>
                    </a:prstGeom>
                    <a:noFill/>
                  </pic:spPr>
                </pic:pic>
              </a:graphicData>
            </a:graphic>
          </wp:anchor>
        </w:drawing>
      </w:r>
    </w:p>
    <w:p>
      <w:pPr>
        <w:spacing w:after="0" w:line="146" w:lineRule="exact"/>
        <w:rPr>
          <w:sz w:val="20"/>
          <w:szCs w:val="20"/>
          <w:color w:val="auto"/>
        </w:rPr>
      </w:pPr>
    </w:p>
    <w:p>
      <w:pPr>
        <w:ind w:left="720"/>
        <w:spacing w:after="0"/>
        <w:rPr>
          <w:sz w:val="20"/>
          <w:szCs w:val="20"/>
          <w:color w:val="auto"/>
        </w:rPr>
      </w:pPr>
      <w:r>
        <w:rPr>
          <w:rFonts w:ascii="PMingLiU" w:cs="PMingLiU" w:eastAsia="PMingLiU" w:hAnsi="PMingLiU"/>
          <w:sz w:val="16"/>
          <w:szCs w:val="16"/>
          <w:b w:val="1"/>
          <w:bCs w:val="1"/>
          <w:color w:val="5C004D"/>
        </w:rPr>
        <w:t>%&lt;7(/(3+21(</w:t>
      </w:r>
    </w:p>
    <w:p>
      <w:pPr>
        <w:spacing w:after="0" w:line="46"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
      </w:r>
    </w:p>
    <w:p>
      <w:pPr>
        <w:spacing w:after="0" w:line="210" w:lineRule="exact"/>
        <w:rPr>
          <w:sz w:val="20"/>
          <w:szCs w:val="20"/>
          <w:color w:val="auto"/>
        </w:rPr>
      </w:pPr>
    </w:p>
    <w:p>
      <w:pPr>
        <w:ind w:left="720"/>
        <w:spacing w:after="0"/>
        <w:rPr>
          <w:sz w:val="20"/>
          <w:szCs w:val="20"/>
          <w:color w:val="auto"/>
        </w:rPr>
      </w:pPr>
      <w:r>
        <w:rPr>
          <w:rFonts w:ascii="PMingLiU" w:cs="PMingLiU" w:eastAsia="PMingLiU" w:hAnsi="PMingLiU"/>
          <w:sz w:val="16"/>
          <w:szCs w:val="16"/>
          <w:b w:val="1"/>
          <w:bCs w:val="1"/>
          <w:color w:val="5C004D"/>
        </w:rPr>
        <w:t>%&lt;,17(51(7</w:t>
      </w:r>
    </w:p>
    <w:p>
      <w:pPr>
        <w:spacing w:after="0" w:line="46"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ZZZSUR[\YRWHFRP</w:t>
      </w:r>
    </w:p>
    <w:p>
      <w:pPr>
        <w:spacing w:after="0" w:line="210" w:lineRule="exact"/>
        <w:rPr>
          <w:sz w:val="20"/>
          <w:szCs w:val="20"/>
          <w:color w:val="auto"/>
        </w:rPr>
      </w:pPr>
    </w:p>
    <w:p>
      <w:pPr>
        <w:ind w:left="720"/>
        <w:spacing w:after="0"/>
        <w:rPr>
          <w:sz w:val="20"/>
          <w:szCs w:val="20"/>
          <w:color w:val="auto"/>
        </w:rPr>
      </w:pPr>
      <w:r>
        <w:rPr>
          <w:rFonts w:ascii="PMingLiU" w:cs="PMingLiU" w:eastAsia="PMingLiU" w:hAnsi="PMingLiU"/>
          <w:sz w:val="16"/>
          <w:szCs w:val="16"/>
          <w:b w:val="1"/>
          <w:bCs w:val="1"/>
          <w:color w:val="5C004D"/>
        </w:rPr>
        <w:t>%&lt;0$,/</w:t>
      </w:r>
    </w:p>
    <w:p>
      <w:pPr>
        <w:spacing w:after="0" w:line="46"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&amp;RPSOHWHVLJQ UHWXUQSUR[\FDUG</w:t>
      </w:r>
    </w:p>
    <w:p>
      <w:pPr>
        <w:spacing w:after="0" w:line="210" w:lineRule="exact"/>
        <w:rPr>
          <w:sz w:val="20"/>
          <w:szCs w:val="20"/>
          <w:color w:val="auto"/>
        </w:rPr>
      </w:pPr>
    </w:p>
    <w:p>
      <w:pPr>
        <w:ind w:left="720"/>
        <w:spacing w:after="0"/>
        <w:rPr>
          <w:sz w:val="20"/>
          <w:szCs w:val="20"/>
          <w:color w:val="auto"/>
        </w:rPr>
      </w:pPr>
      <w:r>
        <w:rPr>
          <w:rFonts w:ascii="PMingLiU" w:cs="PMingLiU" w:eastAsia="PMingLiU" w:hAnsi="PMingLiU"/>
          <w:sz w:val="16"/>
          <w:szCs w:val="16"/>
          <w:b w:val="1"/>
          <w:bCs w:val="1"/>
          <w:color w:val="5C004D"/>
        </w:rPr>
        <w:t>,13(5621</w:t>
      </w:r>
    </w:p>
    <w:p>
      <w:pPr>
        <w:spacing w:after="0" w:line="46"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$WWHQGRXU$*0</w:t>
      </w:r>
    </w:p>
    <w:p>
      <w:pPr>
        <w:spacing w:after="0" w:line="272" w:lineRule="exact"/>
        <w:rPr>
          <w:sz w:val="20"/>
          <w:szCs w:val="20"/>
          <w:color w:val="auto"/>
        </w:rPr>
      </w:pPr>
    </w:p>
    <w:p>
      <w:pPr>
        <w:spacing w:after="0" w:line="322" w:lineRule="auto"/>
        <w:rPr>
          <w:sz w:val="20"/>
          <w:szCs w:val="20"/>
          <w:color w:val="auto"/>
        </w:rPr>
      </w:pPr>
      <w:r>
        <w:rPr>
          <w:rFonts w:ascii="PMingLiU" w:cs="PMingLiU" w:eastAsia="PMingLiU" w:hAnsi="PMingLiU"/>
          <w:sz w:val="13"/>
          <w:szCs w:val="13"/>
          <w:color w:val="auto"/>
        </w:rPr>
        <w:t>,I\RXUHFHLYHGDSUR[\FDUGRUYRWLQJ LQVWUXFWLRQFDUGE\PDLO\RXPD\VXEPLW \RXUSUR[\FDUGRUYRWLQJLQVWUXFWLRQFDUGE\ PDLOLQJ\RXUSUR[\FDUGRUYRWLQJLQVWUXFWLRQ</w:t>
      </w:r>
    </w:p>
    <w:p>
      <w:pPr>
        <w:ind w:right="20"/>
        <w:spacing w:after="0" w:line="296" w:lineRule="auto"/>
        <w:rPr>
          <w:sz w:val="20"/>
          <w:szCs w:val="20"/>
          <w:color w:val="auto"/>
        </w:rPr>
      </w:pPr>
      <w:r>
        <w:rPr>
          <w:rFonts w:ascii="PMingLiU" w:cs="PMingLiU" w:eastAsia="PMingLiU" w:hAnsi="PMingLiU"/>
          <w:sz w:val="14"/>
          <w:szCs w:val="14"/>
          <w:color w:val="auto"/>
        </w:rPr>
        <w:t>FDUGLQWKHHQYHORSHSURYLGHG3UR[\FDUGV PXVWEHUHFHLYHGE\-XO\</w:t>
      </w:r>
    </w:p>
    <w:p>
      <w:pPr>
        <w:spacing w:after="0" w:line="1" w:lineRule="exact"/>
        <w:rPr>
          <w:sz w:val="20"/>
          <w:szCs w:val="20"/>
          <w:color w:val="auto"/>
        </w:rPr>
      </w:pPr>
    </w:p>
    <w:p>
      <w:pPr>
        <w:sectPr>
          <w:pgSz w:w="11880" w:h="15479" w:orient="portrait"/>
          <w:cols w:equalWidth="0" w:num="2">
            <w:col w:w="6700" w:space="260"/>
            <w:col w:w="3140"/>
          </w:cols>
          <w:pgMar w:left="900" w:top="1440" w:right="879" w:bottom="339" w:gutter="0" w:footer="0" w:header="0"/>
          <w:type w:val="continuous"/>
        </w:sectPr>
      </w:pPr>
    </w:p>
    <w:p>
      <w:pPr>
        <w:ind w:right="160"/>
        <w:spacing w:after="0" w:line="320" w:lineRule="auto"/>
        <w:rPr>
          <w:sz w:val="20"/>
          <w:szCs w:val="20"/>
          <w:color w:val="auto"/>
        </w:rPr>
      </w:pPr>
      <w:r>
        <w:rPr>
          <w:rFonts w:ascii="PMingLiU" w:cs="PMingLiU" w:eastAsia="PMingLiU" w:hAnsi="PMingLiU"/>
          <w:sz w:val="13"/>
          <w:szCs w:val="13"/>
          <w:color w:val="auto"/>
        </w:rPr>
        <w:t>7KHIXOOWH[WRIWKHVHSURSRVDOVLVVHWIRUWKLQRXUDFFRPSDQ\LQJSUR[\VWDWHPHQW2QO\ (OHFWURQLFSUR[\FDUGVVXEPLWWHGYLDWKH VKDUHKROGHUVRIUHFRUGRIRXU&amp;RPSDQ\DWWKHFORVHRIEXVLQHVVRQWKHUHFRUGGDWHDUHHOLJLEOH LQWHUQHWRUE\WHOHSKRQHPXVWEHUHFHLYHG WRYRWHDWRXU$*0$VKDUHKROGHUHQWLWOHGWRDWWHQGDQGYRWHDWRXU$*0LVHQWLWOHGWRDSSRLQW E\SP86(DVWHUQ7LPHRQ-XO\</w:t>
      </w:r>
    </w:p>
    <w:p>
      <w:pPr>
        <w:ind w:right="40"/>
        <w:spacing w:after="0" w:line="297" w:lineRule="auto"/>
        <w:rPr>
          <w:sz w:val="20"/>
          <w:szCs w:val="20"/>
          <w:color w:val="auto"/>
        </w:rPr>
      </w:pPr>
      <w:r>
        <w:rPr>
          <w:rFonts w:ascii="PMingLiU" w:cs="PMingLiU" w:eastAsia="PMingLiU" w:hAnsi="PMingLiU"/>
          <w:sz w:val="14"/>
          <w:szCs w:val="14"/>
          <w:color w:val="auto"/>
        </w:rPr>
        <w:t>RQHRUPRUHSUR[LHVWRDWWHQGVSHDNDQGYRWHLQVWHDGRIKLPRUKHUDWRXU$*0XVLQJWKH ,WPD\QRWEHSRVVLEOHWRFRXQW SUR[\FDUGSURYLGHGRUWKHIRUPRISUR[\FRQWDLQHGLQVHFWLRQRIWKH,ULVK&amp;RPSDQLHV$FW SUR[\FDUGVUHFHLYHGDIWHUWKHUHOHYDQWWLPH</w:t>
      </w:r>
    </w:p>
    <w:p>
      <w:pPr>
        <w:spacing w:after="0"/>
        <w:tabs>
          <w:tab w:leader="none" w:pos="6940" w:val="left"/>
        </w:tabs>
        <w:rPr>
          <w:sz w:val="20"/>
          <w:szCs w:val="20"/>
          <w:color w:val="auto"/>
        </w:rPr>
      </w:pPr>
      <w:r>
        <w:rPr>
          <w:rFonts w:ascii="PMingLiU" w:cs="PMingLiU" w:eastAsia="PMingLiU" w:hAnsi="PMingLiU"/>
          <w:sz w:val="14"/>
          <w:szCs w:val="14"/>
          <w:color w:val="auto"/>
        </w:rPr>
        <w:t>RUXVLQJDQHOHFWURQLFSUR[\FDUGE\WHOHSKRQHRUYLDWKHLQWHUQHWLQWKHPDQQHU</w:t>
      </w:r>
      <w:r>
        <w:rPr>
          <w:sz w:val="20"/>
          <w:szCs w:val="20"/>
          <w:color w:val="auto"/>
        </w:rPr>
        <w:tab/>
      </w:r>
      <w:r>
        <w:rPr>
          <w:rFonts w:ascii="PMingLiU" w:cs="PMingLiU" w:eastAsia="PMingLiU" w:hAnsi="PMingLiU"/>
          <w:sz w:val="14"/>
          <w:szCs w:val="14"/>
          <w:color w:val="auto"/>
        </w:rPr>
        <w:t>WRZDUGVYRWLQJ3UR[\FDUGVUHFHLYHGZLOO</w:t>
      </w:r>
    </w:p>
    <w:p>
      <w:pPr>
        <w:spacing w:after="0" w:line="40" w:lineRule="exact"/>
        <w:rPr>
          <w:sz w:val="20"/>
          <w:szCs w:val="20"/>
          <w:color w:val="auto"/>
        </w:rPr>
      </w:pPr>
    </w:p>
    <w:p>
      <w:pPr>
        <w:spacing w:after="0"/>
        <w:tabs>
          <w:tab w:leader="none" w:pos="6940" w:val="left"/>
        </w:tabs>
        <w:rPr>
          <w:sz w:val="20"/>
          <w:szCs w:val="20"/>
          <w:color w:val="auto"/>
        </w:rPr>
      </w:pPr>
      <w:r>
        <w:rPr>
          <w:rFonts w:ascii="PMingLiU" w:cs="PMingLiU" w:eastAsia="PMingLiU" w:hAnsi="PMingLiU"/>
          <w:sz w:val="16"/>
          <w:szCs w:val="16"/>
          <w:color w:val="auto"/>
        </w:rPr>
        <w:t>GHVFULEHGLQRXUSUR[\VWDWHPHQW$SUR[\QHHGQRWEHDVKDUHKROGHURIUHFRUG'XULQJRXU</w:t>
      </w:r>
      <w:r>
        <w:rPr>
          <w:sz w:val="20"/>
          <w:szCs w:val="20"/>
          <w:color w:val="auto"/>
        </w:rPr>
        <w:tab/>
      </w:r>
      <w:r>
        <w:rPr>
          <w:rFonts w:ascii="PMingLiU" w:cs="PMingLiU" w:eastAsia="PMingLiU" w:hAnsi="PMingLiU"/>
          <w:sz w:val="13"/>
          <w:szCs w:val="13"/>
          <w:color w:val="auto"/>
        </w:rPr>
        <w:t>EHIRUZDUGHGWRRXUUHJLVWHUHGRIILFH</w:t>
      </w:r>
    </w:p>
    <w:p>
      <w:pPr>
        <w:spacing w:after="0" w:line="16" w:lineRule="exact"/>
        <w:rPr>
          <w:sz w:val="20"/>
          <w:szCs w:val="20"/>
          <w:color w:val="auto"/>
        </w:rPr>
      </w:pPr>
    </w:p>
    <w:p>
      <w:pPr>
        <w:spacing w:after="0"/>
        <w:tabs>
          <w:tab w:leader="none" w:pos="6940" w:val="left"/>
        </w:tabs>
        <w:rPr>
          <w:sz w:val="20"/>
          <w:szCs w:val="20"/>
          <w:color w:val="auto"/>
        </w:rPr>
      </w:pPr>
      <w:r>
        <w:rPr>
          <w:rFonts w:ascii="PMingLiU" w:cs="PMingLiU" w:eastAsia="PMingLiU" w:hAnsi="PMingLiU"/>
          <w:sz w:val="16"/>
          <w:szCs w:val="16"/>
          <w:color w:val="auto"/>
        </w:rPr>
        <w:t>$*0PDQDJHPHQWZLOODOVRSUHVHQWDQGRXUDXGLWRUVZLOOUHSRUWWRVKDUHKROGHUVRQRXU,ULVK</w:t>
      </w:r>
      <w:r>
        <w:rPr>
          <w:sz w:val="20"/>
          <w:szCs w:val="20"/>
          <w:color w:val="auto"/>
        </w:rPr>
        <w:tab/>
      </w:r>
      <w:r>
        <w:rPr>
          <w:rFonts w:ascii="PMingLiU" w:cs="PMingLiU" w:eastAsia="PMingLiU" w:hAnsi="PMingLiU"/>
          <w:sz w:val="13"/>
          <w:szCs w:val="13"/>
          <w:color w:val="auto"/>
        </w:rPr>
        <w:t>HOHFWURQLFDOO\EHIRUHFRPPHQFHPHQWRIWKH</w:t>
      </w:r>
    </w:p>
    <w:p>
      <w:pPr>
        <w:spacing w:after="0" w:line="16" w:lineRule="exact"/>
        <w:rPr>
          <w:sz w:val="20"/>
          <w:szCs w:val="20"/>
          <w:color w:val="auto"/>
        </w:rPr>
      </w:pPr>
    </w:p>
    <w:p>
      <w:pPr>
        <w:ind w:right="140"/>
        <w:spacing w:after="0" w:line="320" w:lineRule="auto"/>
        <w:rPr>
          <w:sz w:val="20"/>
          <w:szCs w:val="20"/>
          <w:color w:val="auto"/>
        </w:rPr>
      </w:pPr>
      <w:r>
        <w:rPr>
          <w:rFonts w:ascii="PMingLiU" w:cs="PMingLiU" w:eastAsia="PMingLiU" w:hAnsi="PMingLiU"/>
          <w:sz w:val="13"/>
          <w:szCs w:val="13"/>
          <w:color w:val="auto"/>
        </w:rPr>
        <w:t>ILQDQFLDOVWDWHPHQWVIRUWKHILVFDO\HDUHQGHG'HFHPEHU:HUHFRPPHQGWKDW\RX $*0WRFRPSO\ZLWK,ULVKODZ(YHQLI\RX UHYLHZWKHIXUWKHULQIRUPDWLRQRQWKHSURFHVVIRUDQGGHDGOLQHVDSSOLFDEOHWRYRWLQJDWWHQGLQJ KDYHYRWHGE\SUR[\\RXPD\VWLOOYRWHLQ</w:t>
      </w:r>
    </w:p>
    <w:p>
      <w:pPr>
        <w:spacing w:after="0"/>
        <w:tabs>
          <w:tab w:leader="none" w:pos="6940" w:val="left"/>
        </w:tabs>
        <w:rPr>
          <w:sz w:val="20"/>
          <w:szCs w:val="20"/>
          <w:color w:val="auto"/>
        </w:rPr>
      </w:pPr>
      <w:r>
        <w:rPr>
          <w:rFonts w:ascii="PMingLiU" w:cs="PMingLiU" w:eastAsia="PMingLiU" w:hAnsi="PMingLiU"/>
          <w:sz w:val="16"/>
          <w:szCs w:val="16"/>
          <w:color w:val="auto"/>
        </w:rPr>
        <w:t>WKH$*0DQGDSSRLQWLQJDSUR[\XQGHUWKH³4XHVWLRQVDQG$QVZHUV´VHFWLRQRIRXUSUR[\</w:t>
      </w:r>
      <w:r>
        <w:rPr>
          <w:sz w:val="20"/>
          <w:szCs w:val="20"/>
          <w:color w:val="auto"/>
        </w:rPr>
        <w:tab/>
      </w:r>
      <w:r>
        <w:rPr>
          <w:rFonts w:ascii="PMingLiU" w:cs="PMingLiU" w:eastAsia="PMingLiU" w:hAnsi="PMingLiU"/>
          <w:sz w:val="13"/>
          <w:szCs w:val="13"/>
          <w:color w:val="auto"/>
        </w:rPr>
        <w:t>SHUVRQLI\RXDWWHQGWKHPHHWLQJ3OHDVH</w:t>
      </w:r>
    </w:p>
    <w:p>
      <w:pPr>
        <w:spacing w:after="0" w:line="16" w:lineRule="exact"/>
        <w:rPr>
          <w:sz w:val="20"/>
          <w:szCs w:val="20"/>
          <w:color w:val="auto"/>
        </w:rPr>
      </w:pPr>
    </w:p>
    <w:p>
      <w:pPr>
        <w:ind w:right="200"/>
        <w:spacing w:after="0" w:line="320" w:lineRule="auto"/>
        <w:rPr>
          <w:sz w:val="20"/>
          <w:szCs w:val="20"/>
          <w:color w:val="auto"/>
        </w:rPr>
      </w:pPr>
      <w:r>
        <w:rPr>
          <w:rFonts w:ascii="PMingLiU" w:cs="PMingLiU" w:eastAsia="PMingLiU" w:hAnsi="PMingLiU"/>
          <w:sz w:val="13"/>
          <w:szCs w:val="13"/>
          <w:color w:val="auto"/>
        </w:rPr>
        <w:t>VWDWHPHQW2XUSUR[\VWDWHPHQWRXUOHWWHUWRVKDUHKROGHUVRXU,ULVKVWDWXWRU\ILQDQFLDO QRWHKRZHYHUWKDWLIWKHUHFRUGKROGHURI VWDWHPHQWVDQGRXU$QQXDO5HSRUWRQ)RUP.IRUWKHILVFDO\HDUHQGHG'HFHPEHU \RXURUGLQDU\VKDUHVLVDEURNHUEDQNRU</w:t>
      </w:r>
    </w:p>
    <w:p>
      <w:pPr>
        <w:spacing w:after="0"/>
        <w:tabs>
          <w:tab w:leader="none" w:pos="6940" w:val="left"/>
        </w:tabs>
        <w:rPr>
          <w:sz w:val="20"/>
          <w:szCs w:val="20"/>
          <w:color w:val="auto"/>
        </w:rPr>
      </w:pPr>
      <w:r>
        <w:rPr>
          <w:rFonts w:ascii="PMingLiU" w:cs="PMingLiU" w:eastAsia="PMingLiU" w:hAnsi="PMingLiU"/>
          <w:sz w:val="14"/>
          <w:szCs w:val="14"/>
          <w:color w:val="auto"/>
        </w:rPr>
        <w:t>DUHDYDLODEOHDWKWWSVPDWHULDOVSUR[\YRWHFRP*</w:t>
      </w:r>
      <w:r>
        <w:rPr>
          <w:sz w:val="20"/>
          <w:szCs w:val="20"/>
          <w:color w:val="auto"/>
        </w:rPr>
        <w:tab/>
      </w:r>
      <w:r>
        <w:rPr>
          <w:rFonts w:ascii="PMingLiU" w:cs="PMingLiU" w:eastAsia="PMingLiU" w:hAnsi="PMingLiU"/>
          <w:sz w:val="14"/>
          <w:szCs w:val="14"/>
          <w:color w:val="auto"/>
        </w:rPr>
        <w:t>RWKHUDJHQWDQG\RXZLVKWRYRWHDWRXU</w:t>
      </w:r>
    </w:p>
    <w:p>
      <w:pPr>
        <w:spacing w:after="0" w:line="40" w:lineRule="exact"/>
        <w:rPr>
          <w:sz w:val="20"/>
          <w:szCs w:val="20"/>
          <w:color w:val="auto"/>
        </w:rPr>
      </w:pPr>
    </w:p>
    <w:p>
      <w:pPr>
        <w:ind w:left="6960" w:right="280" w:hanging="6954"/>
        <w:spacing w:after="0" w:line="258" w:lineRule="auto"/>
        <w:tabs>
          <w:tab w:leader="none" w:pos="6940" w:val="left"/>
        </w:tabs>
        <w:rPr>
          <w:sz w:val="20"/>
          <w:szCs w:val="20"/>
          <w:color w:val="auto"/>
        </w:rPr>
      </w:pPr>
      <w:r>
        <w:rPr>
          <w:rFonts w:ascii="PMingLiU" w:cs="PMingLiU" w:eastAsia="PMingLiU" w:hAnsi="PMingLiU"/>
          <w:sz w:val="32"/>
          <w:szCs w:val="32"/>
          <w:i w:val="1"/>
          <w:iCs w:val="1"/>
          <w:color w:val="auto"/>
          <w:vertAlign w:val="subscript"/>
        </w:rPr>
        <w:t>?58+,85-5;8)5(8+5-+08,*:589</w:t>
      </w:r>
      <w:r>
        <w:rPr>
          <w:sz w:val="20"/>
          <w:szCs w:val="20"/>
          <w:color w:val="auto"/>
        </w:rPr>
        <w:tab/>
      </w:r>
      <w:r>
        <w:rPr>
          <w:rFonts w:ascii="PMingLiU" w:cs="PMingLiU" w:eastAsia="PMingLiU" w:hAnsi="PMingLiU"/>
          <w:sz w:val="15"/>
          <w:szCs w:val="15"/>
          <w:color w:val="auto"/>
        </w:rPr>
        <w:t>$*0\RXPXVWREWDLQDSUR[\LVVXHGLQ \RXUQDPHIURPWKDWUHFRUGKROGHU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V$LVOLQQ'RRG\</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000046"/>
        </w:rPr>
        <w:t>$LVOLQQ'RRG\</w:t>
      </w:r>
      <w:r>
        <w:rPr>
          <w:rFonts w:ascii="PMingLiU" w:cs="PMingLiU" w:eastAsia="PMingLiU" w:hAnsi="PMingLiU"/>
          <w:sz w:val="16"/>
          <w:szCs w:val="16"/>
          <w:color w:val="000000"/>
        </w:rPr>
        <w:t/>
      </w:r>
      <w:r>
        <w:rPr>
          <w:rFonts w:ascii="PMingLiU" w:cs="PMingLiU" w:eastAsia="PMingLiU" w:hAnsi="PMingLiU"/>
          <w:sz w:val="14"/>
          <w:szCs w:val="14"/>
          <w:color w:val="000000"/>
        </w:rPr>
        <w:t>&amp;RPSDQ\6HFUHWDU\_'XEOLQ,UHODQG_-XQH</w:t>
      </w:r>
    </w:p>
    <w:p>
      <w:pPr>
        <w:sectPr>
          <w:pgSz w:w="11880" w:h="15479" w:orient="portrait"/>
          <w:cols w:equalWidth="0" w:num="1">
            <w:col w:w="10100"/>
          </w:cols>
          <w:pgMar w:left="900" w:top="1440" w:right="879" w:bottom="339" w:gutter="0" w:footer="0" w:header="0"/>
          <w:type w:val="continuous"/>
        </w:sectPr>
      </w:pPr>
    </w:p>
    <w:bookmarkStart w:id="5" w:name="page6"/>
    <w:bookmarkEnd w:id="5"/>
    <w:p>
      <w:pPr>
        <w:spacing w:after="0"/>
        <w:rPr>
          <w:sz w:val="20"/>
          <w:szCs w:val="20"/>
          <w:color w:val="auto"/>
        </w:rPr>
      </w:pPr>
      <w:r>
        <w:rPr>
          <w:rFonts w:ascii="PMingLiU" w:cs="PMingLiU" w:eastAsia="PMingLiU" w:hAnsi="PMingLiU"/>
          <w:sz w:val="32"/>
          <w:szCs w:val="32"/>
          <w:color w:val="5C004D"/>
        </w:rPr>
        <w:t>$FURQ\PVDQG&amp;HUWDLQ'HILQHG7HUPV</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86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$FURQ\P</w:t>
            </w:r>
          </w:p>
        </w:tc>
        <w:tc>
          <w:tcPr>
            <w:tcW w:w="7220" w:type="dxa"/>
            <w:vAlign w:val="bottom"/>
            <w:shd w:val="clear" w:color="auto" w:fill="000046"/>
          </w:tcPr>
          <w:p>
            <w:pPr>
              <w:ind w:left="180"/>
              <w:spacing w:after="0"/>
              <w:rPr>
                <w:sz w:val="20"/>
                <w:szCs w:val="20"/>
                <w:color w:val="auto"/>
              </w:rPr>
            </w:pPr>
            <w:r>
              <w:rPr>
                <w:rFonts w:ascii="PMingLiU" w:cs="PMingLiU" w:eastAsia="PMingLiU" w:hAnsi="PMingLiU"/>
                <w:sz w:val="16"/>
                <w:szCs w:val="16"/>
                <w:b w:val="1"/>
                <w:bCs w:val="1"/>
                <w:color w:val="FFFFFF"/>
              </w:rPr>
              <w:t>0HDQLQJ</w:t>
            </w:r>
          </w:p>
        </w:tc>
        <w:tc>
          <w:tcPr>
            <w:tcW w:w="0" w:type="dxa"/>
            <w:vAlign w:val="bottom"/>
          </w:tcPr>
          <w:p>
            <w:pPr>
              <w:spacing w:after="0"/>
              <w:rPr>
                <w:sz w:val="1"/>
                <w:szCs w:val="1"/>
                <w:color w:val="auto"/>
              </w:rPr>
            </w:pPr>
          </w:p>
        </w:tc>
      </w:tr>
      <w:tr>
        <w:trPr>
          <w:trHeight w:val="63"/>
        </w:trPr>
        <w:tc>
          <w:tcPr>
            <w:tcW w:w="2860" w:type="dxa"/>
            <w:vAlign w:val="bottom"/>
            <w:shd w:val="clear" w:color="auto" w:fill="000046"/>
          </w:tcPr>
          <w:p>
            <w:pPr>
              <w:spacing w:after="0"/>
              <w:rPr>
                <w:sz w:val="5"/>
                <w:szCs w:val="5"/>
                <w:color w:val="auto"/>
              </w:rPr>
            </w:pPr>
          </w:p>
        </w:tc>
        <w:tc>
          <w:tcPr>
            <w:tcW w:w="722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'LUHFWRUV3ODQ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$PHQGHGDQG5HVWDWHG1RQ(PSOR\HH'LUHFWRUV6WRFN$ZDUG3ODQ</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3ODQ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(TXLW\,QFHQWLYH3ODQ</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$FW</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,ULVK&amp;RPSDQLHV$FW</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368V</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368VJUDQWHGWR1(2VLQIRUWKHSHUIRUPDQFHSHULRG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368V</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368VJUDQWHGWR1(2VLQIRUWKHSHUIRUPDQFHSHULRG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$QQXDO5HSRUWRQ)RUP.</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$QQXDO5HSRUWRQ)RUP.IRUWKH)LVFDO&lt;HDU(QGHG'HFHPEHU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368V</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368VJUDQWHGWR1(2VLQIRUWKHSHUIRUPDQFHSHULRG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$*0</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$QQXDO*HQHUDO0HHWLQJRI6KDUHKROGHUV</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$RQ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$RQ¶V+XPDQ&amp;DSLWDO6ROXWLRQVSUDFWLFHDGLYLVLRQRI$RQSOF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$XGLW&amp;RPPLWWHH</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$XGLW&amp;RPPLWWHHRIRXU%RDUG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86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$]XU0HUJHU</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2Q-DQXDU\WKHEXVLQHVVHVRI-D]]3KDUPDFHXWLFDOV,QFDQG$]XU3KDUPDZHUH</w:t>
            </w:r>
          </w:p>
        </w:tc>
        <w:tc>
          <w:tcPr>
            <w:tcW w:w="0" w:type="dxa"/>
            <w:vAlign w:val="bottom"/>
          </w:tcPr>
          <w:p>
            <w:pPr>
              <w:spacing w:after="0"/>
              <w:rPr>
                <w:sz w:val="1"/>
                <w:szCs w:val="1"/>
                <w:color w:val="auto"/>
              </w:rPr>
            </w:pPr>
          </w:p>
        </w:tc>
      </w:tr>
      <w:tr>
        <w:trPr>
          <w:trHeight w:val="125"/>
        </w:trPr>
        <w:tc>
          <w:tcPr>
            <w:tcW w:w="2860" w:type="dxa"/>
            <w:vAlign w:val="bottom"/>
            <w:vMerge w:val="continue"/>
          </w:tcPr>
          <w:p>
            <w:pPr>
              <w:spacing w:after="0"/>
              <w:rPr>
                <w:sz w:val="10"/>
                <w:szCs w:val="10"/>
                <w:color w:val="auto"/>
              </w:rPr>
            </w:pPr>
          </w:p>
        </w:tc>
        <w:tc>
          <w:tcPr>
            <w:tcW w:w="7220" w:type="dxa"/>
            <w:vAlign w:val="bottom"/>
            <w:vMerge w:val="restart"/>
          </w:tcPr>
          <w:p>
            <w:pPr>
              <w:ind w:left="180"/>
              <w:spacing w:after="0"/>
              <w:rPr>
                <w:sz w:val="20"/>
                <w:szCs w:val="20"/>
                <w:color w:val="auto"/>
              </w:rPr>
            </w:pPr>
            <w:r>
              <w:rPr>
                <w:rFonts w:ascii="PMingLiU" w:cs="PMingLiU" w:eastAsia="PMingLiU" w:hAnsi="PMingLiU"/>
                <w:sz w:val="16"/>
                <w:szCs w:val="16"/>
                <w:color w:val="auto"/>
              </w:rPr>
              <w:t>FRPELQHGLQDPHUJHUWUDQVDFWLRQ</w:t>
            </w: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7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860" w:type="dxa"/>
            <w:vAlign w:val="bottom"/>
            <w:tcBorders>
              <w:bottom w:val="single" w:sz="8" w:color="4454A7"/>
            </w:tcBorders>
          </w:tcPr>
          <w:p>
            <w:pPr>
              <w:spacing w:after="0"/>
              <w:rPr>
                <w:sz w:val="5"/>
                <w:szCs w:val="5"/>
                <w:color w:val="auto"/>
              </w:rPr>
            </w:pPr>
          </w:p>
        </w:tc>
        <w:tc>
          <w:tcPr>
            <w:tcW w:w="722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$]XU3KDUPD</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$]XU3KDUPD3XEOLF/LPLWHG&amp;RPSDQ\</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%ODFN5RFN</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%ODFN5RFN,QF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%RDUG</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7KH%RDUGRI'LUHFWRUVRI-D]]3KDUPDFHXWLFDOVSOF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%7&amp;</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ELOLDU\WUDFWFDQFHU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&amp;(2</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&amp;KLHI([HFXWLYH2IILFHU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&amp;)2</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&amp;KLHI)LQDQFLDO2IILFHU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&amp;KDLUSHUVRQ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&amp;KDLUSHUVRQRIRXU%RDUG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&amp;KLPHUL[$FTXLVLWLRQ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RXUDFTXLVLWLRQRI&amp;KLPHUL[,QFRQ$SULO</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&amp;,&amp;</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&amp;KDQJHLQFRQWURO</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&amp;,&amp;3ODQ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$PHQGHGDQG5HVWDWHG([HFXWLYH&amp;KDQJHLQ&amp;RQWURODQG6HYHUDQFH%HQHILW3ODQ</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86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&amp;,&amp;368V</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368VJUDQWHGWR1(2VLQWKDWSURYLGHIRUYHVWLQJVFKHGXOHDGMXVWPHQWVRU</w:t>
            </w:r>
          </w:p>
        </w:tc>
        <w:tc>
          <w:tcPr>
            <w:tcW w:w="0" w:type="dxa"/>
            <w:vAlign w:val="bottom"/>
          </w:tcPr>
          <w:p>
            <w:pPr>
              <w:spacing w:after="0"/>
              <w:rPr>
                <w:sz w:val="1"/>
                <w:szCs w:val="1"/>
                <w:color w:val="auto"/>
              </w:rPr>
            </w:pPr>
          </w:p>
        </w:tc>
      </w:tr>
      <w:tr>
        <w:trPr>
          <w:trHeight w:val="125"/>
        </w:trPr>
        <w:tc>
          <w:tcPr>
            <w:tcW w:w="2860" w:type="dxa"/>
            <w:vAlign w:val="bottom"/>
            <w:vMerge w:val="continue"/>
          </w:tcPr>
          <w:p>
            <w:pPr>
              <w:spacing w:after="0"/>
              <w:rPr>
                <w:sz w:val="10"/>
                <w:szCs w:val="10"/>
                <w:color w:val="auto"/>
              </w:rPr>
            </w:pPr>
          </w:p>
        </w:tc>
        <w:tc>
          <w:tcPr>
            <w:tcW w:w="7220" w:type="dxa"/>
            <w:vAlign w:val="bottom"/>
            <w:vMerge w:val="restart"/>
          </w:tcPr>
          <w:p>
            <w:pPr>
              <w:ind w:left="180"/>
              <w:spacing w:after="0"/>
              <w:rPr>
                <w:sz w:val="20"/>
                <w:szCs w:val="20"/>
                <w:color w:val="auto"/>
              </w:rPr>
            </w:pPr>
            <w:r>
              <w:rPr>
                <w:rFonts w:ascii="PMingLiU" w:cs="PMingLiU" w:eastAsia="PMingLiU" w:hAnsi="PMingLiU"/>
                <w:sz w:val="16"/>
                <w:szCs w:val="16"/>
                <w:color w:val="auto"/>
                <w:w w:val="91"/>
              </w:rPr>
              <w:t>YHVWLQJDFFHOHUDWLRQEHQHILWVXSRQFHUWDLQWHUPLQDWLRQDQGFKDQJHLQFRQWUROHYHQWV</w:t>
            </w: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7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860" w:type="dxa"/>
            <w:vAlign w:val="bottom"/>
            <w:tcBorders>
              <w:bottom w:val="single" w:sz="8" w:color="4454A7"/>
            </w:tcBorders>
          </w:tcPr>
          <w:p>
            <w:pPr>
              <w:spacing w:after="0"/>
              <w:rPr>
                <w:sz w:val="5"/>
                <w:szCs w:val="5"/>
                <w:color w:val="auto"/>
              </w:rPr>
            </w:pPr>
          </w:p>
        </w:tc>
        <w:tc>
          <w:tcPr>
            <w:tcW w:w="722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&amp;,62</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&amp;KLHI,QIRUPDWLRQDQG6HFXULW\2IILFHU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&amp;ODZEDFN3ROLF\</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$Q,QFHQWLYH&amp;RPSHQVDWLRQ5HFRXSPHQW3ROLF\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&amp;2%5$</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&amp;RQVROLGDWHG2PQLEXV%XGJHW5HFRQFLOLDWLRQ$FW</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&amp;RGH</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,QWHUQDO5HYHQXH&amp;RGH</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&amp;RPSHQVDWLRQ&amp;RPPLWWHH</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&amp;RPSHQVDWLRQDQG0DQDJHPHQW'HYHORSPHQW&amp;RPPLWWHHRIRXU%RDUG</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&amp;RQVWLWXWLRQ</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7KH&amp;RQVWLWXWLRQRI-D]]3KDUPDFHXWLFDOVSOF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&amp;22</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&amp;KLHI2SHUDWLQJ2IILFHU</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&amp;65'</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(8&amp;RUSRUDWH6XVWDLQDELOLW\5HSRUWLQJ'LUHFWLYH</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&amp;66,</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&amp;RUSRUDWH6XVWDLQDELOLW\DQG6RFLDO,PSDFW</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'LUHFWRU&amp;RPSHQVDWLRQ3ROLF\</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1RQ(PSOR\HH'LUHFWRU&amp;RPSHQVDWLRQ3ROLF\</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(&amp;</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([HFXWLYH&amp;RPPLWWHH</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(*0</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([WUDRUGLQDU\*HQHUDO0HHWLQJ</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(50</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(QWHUSULVH5LVN0DQDJHPHQW</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(6*</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(QYLURQPHQWDO6RFLDODQG*RYHUQDQFH</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(633</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(PSOR\HH6WRFN3XUFKDVH3ODQ</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860" w:type="dxa"/>
            <w:vAlign w:val="bottom"/>
          </w:tcPr>
          <w:p>
            <w:pPr>
              <w:ind w:left="100"/>
              <w:spacing w:after="0"/>
              <w:rPr>
                <w:sz w:val="20"/>
                <w:szCs w:val="20"/>
                <w:color w:val="auto"/>
              </w:rPr>
            </w:pPr>
            <w:r>
              <w:rPr>
                <w:rFonts w:ascii="PMingLiU" w:cs="PMingLiU" w:eastAsia="PMingLiU" w:hAnsi="PMingLiU"/>
                <w:sz w:val="16"/>
                <w:szCs w:val="16"/>
                <w:b w:val="1"/>
                <w:bCs w:val="1"/>
                <w:color w:val="5C004D"/>
              </w:rPr>
              <w:t>(656</w:t>
            </w:r>
          </w:p>
        </w:tc>
        <w:tc>
          <w:tcPr>
            <w:tcW w:w="7220" w:type="dxa"/>
            <w:vAlign w:val="bottom"/>
          </w:tcPr>
          <w:p>
            <w:pPr>
              <w:ind w:left="180"/>
              <w:spacing w:after="0"/>
              <w:rPr>
                <w:sz w:val="20"/>
                <w:szCs w:val="20"/>
                <w:color w:val="auto"/>
              </w:rPr>
            </w:pPr>
            <w:r>
              <w:rPr>
                <w:rFonts w:ascii="PMingLiU" w:cs="PMingLiU" w:eastAsia="PMingLiU" w:hAnsi="PMingLiU"/>
                <w:sz w:val="16"/>
                <w:szCs w:val="16"/>
                <w:color w:val="auto"/>
              </w:rPr>
              <w:t>(XURSHDQ6XVWDLQDELOLW\5HSRUWLQJ6WDQGDUGV</w:t>
            </w:r>
          </w:p>
        </w:tc>
        <w:tc>
          <w:tcPr>
            <w:tcW w:w="0" w:type="dxa"/>
            <w:vAlign w:val="bottom"/>
          </w:tcPr>
          <w:p>
            <w:pPr>
              <w:spacing w:after="0"/>
              <w:rPr>
                <w:sz w:val="1"/>
                <w:szCs w:val="1"/>
                <w:color w:val="auto"/>
              </w:rPr>
            </w:pPr>
          </w:p>
        </w:tc>
      </w:tr>
      <w:tr>
        <w:trPr>
          <w:trHeight w:val="42"/>
        </w:trPr>
        <w:tc>
          <w:tcPr>
            <w:tcW w:w="2860" w:type="dxa"/>
            <w:vAlign w:val="bottom"/>
            <w:tcBorders>
              <w:bottom w:val="single" w:sz="8" w:color="4454A7"/>
            </w:tcBorders>
          </w:tcPr>
          <w:p>
            <w:pPr>
              <w:spacing w:after="0"/>
              <w:rPr>
                <w:sz w:val="3"/>
                <w:szCs w:val="3"/>
                <w:color w:val="auto"/>
              </w:rPr>
            </w:pPr>
          </w:p>
        </w:tc>
        <w:tc>
          <w:tcPr>
            <w:tcW w:w="72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bl>
    <w:p>
      <w:pPr>
        <w:sectPr>
          <w:pgSz w:w="11880" w:h="15479" w:orient="portrait"/>
          <w:cols w:equalWidth="0" w:num="1">
            <w:col w:w="10080"/>
          </w:cols>
          <w:pgMar w:left="900" w:top="993" w:right="899" w:bottom="501" w:gutter="0" w:footer="0" w:header="0"/>
        </w:sectPr>
      </w:pPr>
    </w:p>
    <w:bookmarkStart w:id="6" w:name="page7"/>
    <w:bookmarkEnd w:id="6"/>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7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$FURQ\P</w:t>
            </w:r>
          </w:p>
        </w:tc>
        <w:tc>
          <w:tcPr>
            <w:tcW w:w="7340" w:type="dxa"/>
            <w:vAlign w:val="bottom"/>
            <w:shd w:val="clear" w:color="auto" w:fill="000046"/>
          </w:tcPr>
          <w:p>
            <w:pPr>
              <w:ind w:left="300"/>
              <w:spacing w:after="0"/>
              <w:rPr>
                <w:sz w:val="20"/>
                <w:szCs w:val="20"/>
                <w:color w:val="auto"/>
              </w:rPr>
            </w:pPr>
            <w:r>
              <w:rPr>
                <w:rFonts w:ascii="PMingLiU" w:cs="PMingLiU" w:eastAsia="PMingLiU" w:hAnsi="PMingLiU"/>
                <w:sz w:val="16"/>
                <w:szCs w:val="16"/>
                <w:b w:val="1"/>
                <w:bCs w:val="1"/>
                <w:color w:val="FFFFFF"/>
              </w:rPr>
              <w:t>0HDQLQJ</w:t>
            </w:r>
          </w:p>
        </w:tc>
        <w:tc>
          <w:tcPr>
            <w:tcW w:w="0" w:type="dxa"/>
            <w:vAlign w:val="bottom"/>
          </w:tcPr>
          <w:p>
            <w:pPr>
              <w:spacing w:after="0"/>
              <w:rPr>
                <w:sz w:val="1"/>
                <w:szCs w:val="1"/>
                <w:color w:val="auto"/>
              </w:rPr>
            </w:pPr>
          </w:p>
        </w:tc>
      </w:tr>
      <w:tr>
        <w:trPr>
          <w:trHeight w:val="66"/>
        </w:trPr>
        <w:tc>
          <w:tcPr>
            <w:tcW w:w="2740" w:type="dxa"/>
            <w:vAlign w:val="bottom"/>
            <w:shd w:val="clear" w:color="auto" w:fill="000046"/>
          </w:tcPr>
          <w:p>
            <w:pPr>
              <w:spacing w:after="0"/>
              <w:rPr>
                <w:sz w:val="5"/>
                <w:szCs w:val="5"/>
                <w:color w:val="auto"/>
              </w:rPr>
            </w:pPr>
          </w:p>
        </w:tc>
        <w:tc>
          <w:tcPr>
            <w:tcW w:w="734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([FKDQJH$FW</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6HFXULWLHV([FKDQJH$FWRIDVDPHQGHG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74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)$6%$6&amp;</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)LQDQFLDO$FFRXQWLQJ6WDQGDUGV%RDUG$FFRXQWLQJ6WDQGDUGV&amp;RGLILFDWLRQ7RSLF</w:t>
            </w:r>
          </w:p>
        </w:tc>
        <w:tc>
          <w:tcPr>
            <w:tcW w:w="0" w:type="dxa"/>
            <w:vAlign w:val="bottom"/>
          </w:tcPr>
          <w:p>
            <w:pPr>
              <w:spacing w:after="0"/>
              <w:rPr>
                <w:sz w:val="1"/>
                <w:szCs w:val="1"/>
                <w:color w:val="auto"/>
              </w:rPr>
            </w:pPr>
          </w:p>
        </w:tc>
      </w:tr>
      <w:tr>
        <w:trPr>
          <w:trHeight w:val="125"/>
        </w:trPr>
        <w:tc>
          <w:tcPr>
            <w:tcW w:w="2740" w:type="dxa"/>
            <w:vAlign w:val="bottom"/>
            <w:vMerge w:val="continue"/>
          </w:tcPr>
          <w:p>
            <w:pPr>
              <w:spacing w:after="0"/>
              <w:rPr>
                <w:sz w:val="10"/>
                <w:szCs w:val="10"/>
                <w:color w:val="auto"/>
              </w:rPr>
            </w:pPr>
          </w:p>
        </w:tc>
        <w:tc>
          <w:tcPr>
            <w:tcW w:w="7340" w:type="dxa"/>
            <w:vAlign w:val="bottom"/>
            <w:vMerge w:val="restart"/>
          </w:tcPr>
          <w:p>
            <w:pPr>
              <w:ind w:left="300"/>
              <w:spacing w:after="0"/>
              <w:rPr>
                <w:sz w:val="20"/>
                <w:szCs w:val="20"/>
                <w:color w:val="auto"/>
              </w:rPr>
            </w:pPr>
            <w:r>
              <w:rPr>
                <w:rFonts w:ascii="PMingLiU" w:cs="PMingLiU" w:eastAsia="PMingLiU" w:hAnsi="PMingLiU"/>
                <w:sz w:val="16"/>
                <w:szCs w:val="16"/>
                <w:color w:val="auto"/>
              </w:rPr>
              <w:t>&amp;RPSHQVDWLRQ  6WRFN&amp;RPSHQVDWLRQ</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7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740" w:type="dxa"/>
            <w:vAlign w:val="bottom"/>
            <w:tcBorders>
              <w:bottom w:val="single" w:sz="8" w:color="4454A7"/>
            </w:tcBorders>
          </w:tcPr>
          <w:p>
            <w:pPr>
              <w:spacing w:after="0"/>
              <w:rPr>
                <w:sz w:val="5"/>
                <w:szCs w:val="5"/>
                <w:color w:val="auto"/>
              </w:rPr>
            </w:pPr>
          </w:p>
        </w:tc>
        <w:tc>
          <w:tcPr>
            <w:tcW w:w="734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86)RRGDQG'UXJ$GPLQLVWUDWLRQ</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*$$3</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86*HQHUDOO\$FFHSWHG$FFRXQWLQJ3ULQFLSOHV</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JDVWURHVRSKDJHDODGHQRFDUFLQRPD</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*:(TXLW\,QFHQWLYH3ODQ</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7KH*:/RQJ7HUP,QFHQWLYH3ODQDVDPHQGHGIURPWLPHWRWLPH</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*:$FTXLVLWLRQ</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7KHDFTXLVLWLRQLQ0D\RI*:3KDUPDFHXWLFDOVSOFE\-D]]3KDUPDFHXWLFDOVSOF</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L&amp;$5(</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2XUSULQFLSOHVRI,QWHJULW\&amp;RPSOLDQFH$FFRXQWDELOLW\5HVSHFWDQG(WKLFV</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,QYHVWLJDWLRQDO1HZ'UXJ</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/HDG,QGHSHQGHQW'LUHFWRU</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.30*</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.30*'XEOLQRXUUHJLVWHUHGSXEOLFDFFRXQWLQJILUP</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1DVGDT</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7KH1DVGDT6WRFN0DUNHW//&amp;</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1HZ'UXJ$SSOLFDWLRQ</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1RPLQDWLQJ&amp;RPPLWWHH</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1RPLQDWLQJDQG&amp;RUSRUDWH*RYHUQDQFH&amp;RPPLWWHHRIRXU%RDUG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1RWLFH</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1RWLFHRI,QWHUQHW$YDLODELOLW\</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1(2V</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1DPHG([HFXWLYH2IILFHUV</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1&lt;6(</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1HZ&lt;RUN6WRFN([FKDQJH</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3&amp;$2%</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3XEOLF&amp;RPSDQ\$FFRXQWLQJ2YHUVLJKW%RDUG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3(2</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3ULQFLSDO([HFXWLYH2IILFHU</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368</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3HUIRUPDQFH%DVHG5HVWULFWHG6WRFN8QLW</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568V</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5HVWULFWHG6WRFN8QLWV</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5  '</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5HVHDUFKDQG'HYHORSPHQW</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6(&amp;</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866HFXULWLHVDQG([FKDQJH&amp;RPPLVVLRQ</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6HFXULWLHV$FW</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6HFXULWLHV$FWRIDVDPHQGHG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6HYHUDQFH3ODQ</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([HFXWLYH&amp;RPPLWWHH6HYHUDQFH%HQHILW3ODQ</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  $</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6HOOLQJ*HQHUDODQG$GPLQLVWUDWLYH</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V1'$</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VXSSOHPHQWDO1'$</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60&amp;</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6FLHQFHDQG0HGLFLQH&amp;RPPLWWHHRIRXU%RDUG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6XFFHVVLRQ&amp;RPPLWWHH</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6XFFHVVLRQ&amp;RPPLWWHHRIRXU%RDUG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7UDQVDFWLRQ&amp;RPPLWWHH</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7UDQVDFWLRQ&amp;RPPLWWHHRIRXU%RDUG</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765</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7RWDO6KDUHKROGHU5HWXUQ</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86</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8QLWHG6WDWHVRI$PHULFD</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86'</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8QLWHG6WDWHV'ROODU</w:t>
            </w:r>
          </w:p>
        </w:tc>
        <w:tc>
          <w:tcPr>
            <w:tcW w:w="0" w:type="dxa"/>
            <w:vAlign w:val="bottom"/>
          </w:tcPr>
          <w:p>
            <w:pPr>
              <w:spacing w:after="0"/>
              <w:rPr>
                <w:sz w:val="1"/>
                <w:szCs w:val="1"/>
                <w:color w:val="auto"/>
              </w:rPr>
            </w:pPr>
          </w:p>
        </w:tc>
      </w:tr>
      <w:tr>
        <w:trPr>
          <w:trHeight w:val="42"/>
        </w:trPr>
        <w:tc>
          <w:tcPr>
            <w:tcW w:w="2740" w:type="dxa"/>
            <w:vAlign w:val="bottom"/>
            <w:tcBorders>
              <w:bottom w:val="single" w:sz="8" w:color="4454A7"/>
            </w:tcBorders>
          </w:tcPr>
          <w:p>
            <w:pPr>
              <w:spacing w:after="0"/>
              <w:rPr>
                <w:sz w:val="3"/>
                <w:szCs w:val="3"/>
                <w:color w:val="auto"/>
              </w:rPr>
            </w:pPr>
          </w:p>
        </w:tc>
        <w:tc>
          <w:tcPr>
            <w:tcW w:w="73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100"/>
              <w:spacing w:after="0"/>
              <w:rPr>
                <w:sz w:val="20"/>
                <w:szCs w:val="20"/>
                <w:color w:val="auto"/>
              </w:rPr>
            </w:pPr>
            <w:r>
              <w:rPr>
                <w:rFonts w:ascii="PMingLiU" w:cs="PMingLiU" w:eastAsia="PMingLiU" w:hAnsi="PMingLiU"/>
                <w:sz w:val="16"/>
                <w:szCs w:val="16"/>
                <w:b w:val="1"/>
                <w:bCs w:val="1"/>
                <w:color w:val="5C004D"/>
              </w:rPr>
              <w:t>:HEVLWH</w:t>
            </w:r>
          </w:p>
        </w:tc>
        <w:tc>
          <w:tcPr>
            <w:tcW w:w="7340" w:type="dxa"/>
            <w:vAlign w:val="bottom"/>
          </w:tcPr>
          <w:p>
            <w:pPr>
              <w:ind w:left="300"/>
              <w:spacing w:after="0"/>
              <w:rPr>
                <w:sz w:val="20"/>
                <w:szCs w:val="20"/>
                <w:color w:val="auto"/>
              </w:rPr>
            </w:pPr>
            <w:r>
              <w:rPr>
                <w:rFonts w:ascii="PMingLiU" w:cs="PMingLiU" w:eastAsia="PMingLiU" w:hAnsi="PMingLiU"/>
                <w:sz w:val="16"/>
                <w:szCs w:val="16"/>
                <w:color w:val="auto"/>
              </w:rPr>
              <w:t>2XU&amp;RPSDQ\ZHEVLWHZZZMD]]SKDUPDFHXWLFDOVFRP</w:t>
            </w:r>
          </w:p>
        </w:tc>
        <w:tc>
          <w:tcPr>
            <w:tcW w:w="0" w:type="dxa"/>
            <w:vAlign w:val="bottom"/>
          </w:tcPr>
          <w:p>
            <w:pPr>
              <w:spacing w:after="0"/>
              <w:rPr>
                <w:sz w:val="1"/>
                <w:szCs w:val="1"/>
                <w:color w:val="auto"/>
              </w:rPr>
            </w:pPr>
          </w:p>
        </w:tc>
      </w:tr>
      <w:tr>
        <w:trPr>
          <w:trHeight w:val="35"/>
        </w:trPr>
        <w:tc>
          <w:tcPr>
            <w:tcW w:w="2740" w:type="dxa"/>
            <w:vAlign w:val="bottom"/>
            <w:tcBorders>
              <w:bottom w:val="single" w:sz="8" w:color="5C004D"/>
            </w:tcBorders>
          </w:tcPr>
          <w:p>
            <w:pPr>
              <w:spacing w:after="0"/>
              <w:rPr>
                <w:sz w:val="3"/>
                <w:szCs w:val="3"/>
                <w:color w:val="auto"/>
              </w:rPr>
            </w:pPr>
          </w:p>
        </w:tc>
        <w:tc>
          <w:tcPr>
            <w:tcW w:w="7340" w:type="dxa"/>
            <w:vAlign w:val="bottom"/>
            <w:tcBorders>
              <w:bottom w:val="single" w:sz="8" w:color="5C004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-6952615</wp:posOffset>
            </wp:positionV>
            <wp:extent cx="64262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6426200" cy="25400"/>
                    </a:xfrm>
                    <a:prstGeom prst="rect">
                      <a:avLst/>
                    </a:prstGeom>
                    <a:noFill/>
                  </pic:spPr>
                </pic:pic>
              </a:graphicData>
            </a:graphic>
          </wp:anchor>
        </w:drawing>
      </w:r>
    </w:p>
    <w:p>
      <w:pPr>
        <w:sectPr>
          <w:pgSz w:w="11880" w:h="15479" w:orient="portrait"/>
          <w:cols w:equalWidth="0" w:num="1">
            <w:col w:w="10080"/>
          </w:cols>
          <w:pgMar w:left="900" w:top="1440" w:right="899" w:bottom="1440" w:gutter="0" w:footer="0" w:header="0"/>
        </w:sectPr>
      </w:pPr>
    </w:p>
    <w:bookmarkStart w:id="7" w:name="page8"/>
    <w:bookmarkEnd w:id="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51"/>
          <w:szCs w:val="51"/>
          <w:b w:val="1"/>
          <w:bCs w:val="1"/>
          <w:color w:val="000046"/>
        </w:rPr>
        <w:t>7DEOHRI&amp;RQWHQWV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480060</wp:posOffset>
                </wp:positionV>
                <wp:extent cx="308546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5465" cy="4763"/>
                        </a:xfrm>
                        <a:prstGeom prst="line">
                          <a:avLst/>
                        </a:prstGeom>
                        <a:solidFill>
                          <a:srgbClr val="FFFFFF"/>
                        </a:solidFill>
                        <a:ln w="6350">
                          <a:solidFill>
                            <a:srgbClr val="4454A7"/>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7.8pt" to="242.85pt,37.8pt" o:allowincell="f" strokecolor="#4454A7" strokeweight="0.5pt"/>
            </w:pict>
          </mc:Fallback>
        </mc:AlternateContent>
        <mc:AlternateContent>
          <mc:Choice Requires="wps">
            <w:drawing>
              <wp:anchor simplePos="0" relativeHeight="251657728" behindDoc="1" locked="0" layoutInCell="0" allowOverlap="1">
                <wp:simplePos x="0" y="0"/>
                <wp:positionH relativeFrom="column">
                  <wp:posOffset>3312795</wp:posOffset>
                </wp:positionH>
                <wp:positionV relativeFrom="paragraph">
                  <wp:posOffset>480060</wp:posOffset>
                </wp:positionV>
                <wp:extent cx="30861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6350">
                          <a:solidFill>
                            <a:srgbClr val="4454A7"/>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85pt,37.8pt" to="503.85pt,37.8pt" o:allowincell="f" strokecolor="#4454A7" strokeweight="0.5pt"/>
            </w:pict>
          </mc:Fallback>
        </mc:AlternateContent>
      </w:r>
    </w:p>
    <w:p>
      <w:pPr>
        <w:sectPr>
          <w:pgSz w:w="11880" w:h="15479" w:orient="portrait"/>
          <w:cols w:equalWidth="0" w:num="1">
            <w:col w:w="10080"/>
          </w:cols>
          <w:pgMar w:left="900"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gridSpan w:val="2"/>
          </w:tcPr>
          <w:p>
            <w:pPr>
              <w:ind w:left="40"/>
              <w:spacing w:after="0"/>
              <w:rPr>
                <w:sz w:val="20"/>
                <w:szCs w:val="20"/>
                <w:color w:val="auto"/>
              </w:rPr>
            </w:pPr>
            <w:r>
              <w:rPr>
                <w:rFonts w:ascii="PMingLiU" w:cs="PMingLiU" w:eastAsia="PMingLiU" w:hAnsi="PMingLiU"/>
                <w:sz w:val="16"/>
                <w:szCs w:val="16"/>
                <w:b w:val="1"/>
                <w:bCs w:val="1"/>
                <w:color w:val="5C004D"/>
              </w:rPr>
              <w:t>352;&lt;6800$5&lt;</w:t>
            </w: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1260" w:type="dxa"/>
            <w:vAlign w:val="bottom"/>
            <w:tcBorders>
              <w:bottom w:val="single" w:sz="8" w:color="4454A7"/>
            </w:tcBorders>
          </w:tcPr>
          <w:p>
            <w:pPr>
              <w:spacing w:after="0"/>
              <w:rPr>
                <w:sz w:val="3"/>
                <w:szCs w:val="3"/>
                <w:color w:val="auto"/>
              </w:rPr>
            </w:pPr>
          </w:p>
        </w:tc>
        <w:tc>
          <w:tcPr>
            <w:tcW w:w="3280" w:type="dxa"/>
            <w:vAlign w:val="bottom"/>
            <w:tcBorders>
              <w:bottom w:val="single" w:sz="8" w:color="4454A7"/>
            </w:tcBorders>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260" w:type="dxa"/>
            <w:vAlign w:val="bottom"/>
          </w:tcPr>
          <w:p>
            <w:pPr>
              <w:ind w:left="40"/>
              <w:spacing w:after="0"/>
              <w:rPr>
                <w:sz w:val="20"/>
                <w:szCs w:val="20"/>
                <w:color w:val="auto"/>
              </w:rPr>
            </w:pPr>
            <w:r>
              <w:rPr>
                <w:rFonts w:ascii="PMingLiU" w:cs="PMingLiU" w:eastAsia="PMingLiU" w:hAnsi="PMingLiU"/>
                <w:sz w:val="16"/>
                <w:szCs w:val="16"/>
                <w:color w:val="auto"/>
                <w:w w:val="96"/>
              </w:rPr>
              <w:t>9RWLQJ5RDGPDS</w:t>
            </w:r>
          </w:p>
        </w:tc>
        <w:tc>
          <w:tcPr>
            <w:tcW w:w="32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50"/>
        </w:trPr>
        <w:tc>
          <w:tcPr>
            <w:tcW w:w="1260" w:type="dxa"/>
            <w:vAlign w:val="bottom"/>
            <w:tcBorders>
              <w:bottom w:val="single" w:sz="8" w:color="4454A7"/>
            </w:tcBorders>
          </w:tcPr>
          <w:p>
            <w:pPr>
              <w:spacing w:after="0"/>
              <w:rPr>
                <w:sz w:val="4"/>
                <w:szCs w:val="4"/>
                <w:color w:val="auto"/>
              </w:rPr>
            </w:pPr>
          </w:p>
        </w:tc>
        <w:tc>
          <w:tcPr>
            <w:tcW w:w="3280" w:type="dxa"/>
            <w:vAlign w:val="bottom"/>
            <w:tcBorders>
              <w:bottom w:val="single" w:sz="8" w:color="4454A7"/>
            </w:tcBorders>
          </w:tcPr>
          <w:p>
            <w:pPr>
              <w:spacing w:after="0"/>
              <w:rPr>
                <w:sz w:val="4"/>
                <w:szCs w:val="4"/>
                <w:color w:val="auto"/>
              </w:rPr>
            </w:pPr>
          </w:p>
        </w:tc>
        <w:tc>
          <w:tcPr>
            <w:tcW w:w="3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260" w:type="dxa"/>
            <w:vAlign w:val="bottom"/>
          </w:tcPr>
          <w:p>
            <w:pPr>
              <w:ind w:left="40"/>
              <w:spacing w:after="0"/>
              <w:rPr>
                <w:sz w:val="20"/>
                <w:szCs w:val="20"/>
                <w:color w:val="auto"/>
              </w:rPr>
            </w:pPr>
            <w:r>
              <w:rPr>
                <w:rFonts w:ascii="PMingLiU" w:cs="PMingLiU" w:eastAsia="PMingLiU" w:hAnsi="PMingLiU"/>
                <w:sz w:val="16"/>
                <w:szCs w:val="16"/>
                <w:b w:val="1"/>
                <w:bCs w:val="1"/>
                <w:color w:val="5C004D"/>
              </w:rPr>
              <w:t>285%2$5'</w:t>
            </w:r>
          </w:p>
        </w:tc>
        <w:tc>
          <w:tcPr>
            <w:tcW w:w="3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'LUHFWRU6NLOOV([SHULHQFHDQG%DFNJURXQG</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%RDUG(YDOXDWLRQ</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%RDUG5HIUHVKPHQW</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'LUHFWRU5H1RPLQDWLRQV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'LUHFWRU7HUP/LPLWVDQG0DQGDWRU\5HWLUHPHQW$JH</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w w:val="91"/>
              </w:rPr>
              <w:t>3URFHVVIRU6KDUHKROGHUVWR5HFRPPHQG'LUHFWRU1RPLQHHV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'LUHFWRU&amp;RPPLWPHQWV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1260" w:type="dxa"/>
            <w:vAlign w:val="bottom"/>
            <w:tcBorders>
              <w:bottom w:val="single" w:sz="8" w:color="4454A7"/>
            </w:tcBorders>
          </w:tcPr>
          <w:p>
            <w:pPr>
              <w:spacing w:after="0"/>
              <w:rPr>
                <w:sz w:val="3"/>
                <w:szCs w:val="3"/>
                <w:color w:val="auto"/>
              </w:rPr>
            </w:pPr>
          </w:p>
        </w:tc>
        <w:tc>
          <w:tcPr>
            <w:tcW w:w="3280" w:type="dxa"/>
            <w:vAlign w:val="bottom"/>
            <w:tcBorders>
              <w:bottom w:val="single" w:sz="8" w:color="4454A7"/>
            </w:tcBorders>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w:t>
            </w:r>
          </w:p>
        </w:tc>
        <w:tc>
          <w:tcPr>
            <w:tcW w:w="3280" w:type="dxa"/>
            <w:vAlign w:val="bottom"/>
          </w:tcPr>
          <w:p>
            <w:pPr>
              <w:ind w:left="20"/>
              <w:spacing w:after="0"/>
              <w:rPr>
                <w:sz w:val="20"/>
                <w:szCs w:val="20"/>
                <w:color w:val="auto"/>
              </w:rPr>
            </w:pPr>
            <w:r>
              <w:rPr>
                <w:rFonts w:ascii="PMingLiU" w:cs="PMingLiU" w:eastAsia="PMingLiU" w:hAnsi="PMingLiU"/>
                <w:sz w:val="16"/>
                <w:szCs w:val="16"/>
                <w:b w:val="1"/>
                <w:bCs w:val="1"/>
                <w:color w:val="000046"/>
              </w:rPr>
              <w:t>(OHFWLRQRI'LUHFWRUV</w:t>
            </w: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40"/>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2XU'LUHFWRU1RPLQHHV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'LUHFWRUV&amp;RQWLQXLQJLQ2IILFH</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3"/>
        </w:trPr>
        <w:tc>
          <w:tcPr>
            <w:tcW w:w="4540" w:type="dxa"/>
            <w:vAlign w:val="bottom"/>
            <w:tcBorders>
              <w:bottom w:val="single" w:sz="8" w:color="4454A7"/>
            </w:tcBorders>
            <w:gridSpan w:val="2"/>
          </w:tcPr>
          <w:p>
            <w:pPr>
              <w:spacing w:after="0"/>
              <w:rPr>
                <w:sz w:val="2"/>
                <w:szCs w:val="2"/>
                <w:color w:val="auto"/>
              </w:rPr>
            </w:pPr>
          </w:p>
        </w:tc>
        <w:tc>
          <w:tcPr>
            <w:tcW w:w="32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40" w:type="dxa"/>
            <w:vAlign w:val="bottom"/>
            <w:gridSpan w:val="2"/>
          </w:tcPr>
          <w:p>
            <w:pPr>
              <w:ind w:left="40"/>
              <w:spacing w:after="0"/>
              <w:rPr>
                <w:sz w:val="20"/>
                <w:szCs w:val="20"/>
                <w:color w:val="auto"/>
              </w:rPr>
            </w:pPr>
            <w:r>
              <w:rPr>
                <w:rFonts w:ascii="PMingLiU" w:cs="PMingLiU" w:eastAsia="PMingLiU" w:hAnsi="PMingLiU"/>
                <w:sz w:val="16"/>
                <w:szCs w:val="16"/>
                <w:b w:val="1"/>
                <w:bCs w:val="1"/>
                <w:color w:val="5C004D"/>
              </w:rPr>
              <w:t>',5(&amp;725&amp;203(16$7,21</w:t>
            </w: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'LUHFWRUV&amp;RPSHQVDWLRQ3ROLF\</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'LUHFWRUV&amp;RQWLQXLQJ(GXFDWLRQ</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6KDUH2ZQHUVKLS*XLGHOLQHVIRU'LUHFWRUV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(TXLW\&amp;RPSHQVDWLRQ3ODQV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(TXLW\*UDQWV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'LUHFWRU&amp;RPSHQVDWLRQ7DEOH</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3"/>
        </w:trPr>
        <w:tc>
          <w:tcPr>
            <w:tcW w:w="4540" w:type="dxa"/>
            <w:vAlign w:val="bottom"/>
            <w:tcBorders>
              <w:bottom w:val="single" w:sz="8" w:color="4454A7"/>
            </w:tcBorders>
            <w:gridSpan w:val="2"/>
          </w:tcPr>
          <w:p>
            <w:pPr>
              <w:spacing w:after="0"/>
              <w:rPr>
                <w:sz w:val="2"/>
                <w:szCs w:val="2"/>
                <w:color w:val="auto"/>
              </w:rPr>
            </w:pPr>
          </w:p>
        </w:tc>
        <w:tc>
          <w:tcPr>
            <w:tcW w:w="32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40" w:type="dxa"/>
            <w:vAlign w:val="bottom"/>
            <w:gridSpan w:val="2"/>
          </w:tcPr>
          <w:p>
            <w:pPr>
              <w:ind w:left="40"/>
              <w:spacing w:after="0"/>
              <w:rPr>
                <w:sz w:val="20"/>
                <w:szCs w:val="20"/>
                <w:color w:val="auto"/>
              </w:rPr>
            </w:pPr>
            <w:r>
              <w:rPr>
                <w:rFonts w:ascii="PMingLiU" w:cs="PMingLiU" w:eastAsia="PMingLiU" w:hAnsi="PMingLiU"/>
                <w:sz w:val="16"/>
                <w:szCs w:val="16"/>
                <w:b w:val="1"/>
                <w:bCs w:val="1"/>
                <w:color w:val="5C004D"/>
              </w:rPr>
              <w:t>&amp;25325$7(*29(51$1&amp;(</w:t>
            </w: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1260" w:type="dxa"/>
            <w:vAlign w:val="bottom"/>
            <w:tcBorders>
              <w:bottom w:val="single" w:sz="8" w:color="4454A7"/>
            </w:tcBorders>
          </w:tcPr>
          <w:p>
            <w:pPr>
              <w:spacing w:after="0"/>
              <w:rPr>
                <w:sz w:val="3"/>
                <w:szCs w:val="3"/>
                <w:color w:val="auto"/>
              </w:rPr>
            </w:pPr>
          </w:p>
        </w:tc>
        <w:tc>
          <w:tcPr>
            <w:tcW w:w="3280" w:type="dxa"/>
            <w:vAlign w:val="bottom"/>
            <w:tcBorders>
              <w:bottom w:val="single" w:sz="8" w:color="4454A7"/>
            </w:tcBorders>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260" w:type="dxa"/>
            <w:vAlign w:val="bottom"/>
          </w:tcPr>
          <w:p>
            <w:pPr>
              <w:ind w:left="40"/>
              <w:spacing w:after="0"/>
              <w:rPr>
                <w:sz w:val="20"/>
                <w:szCs w:val="20"/>
                <w:color w:val="auto"/>
              </w:rPr>
            </w:pPr>
            <w:r>
              <w:rPr>
                <w:rFonts w:ascii="PMingLiU" w:cs="PMingLiU" w:eastAsia="PMingLiU" w:hAnsi="PMingLiU"/>
                <w:sz w:val="16"/>
                <w:szCs w:val="16"/>
                <w:color w:val="auto"/>
              </w:rPr>
              <w:t>2YHUYLHZ</w:t>
            </w:r>
          </w:p>
        </w:tc>
        <w:tc>
          <w:tcPr>
            <w:tcW w:w="3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%RDUG&amp;RPSRVLWLRQ</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%RDUG/HDGHUVKLS6WUXFWXUH</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,QGHSHQGHQFHRIRXU%RDUG</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%RDUG0DQDJHPHQWDQG2YHUVLJKW</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%RDUG2SHUDWLRQV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&amp;RPPLWWHHVRIRXU%RDUG</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6KDUHKROGHU(QJDJHPHQW</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w w:val="90"/>
              </w:rPr>
              <w:t>&amp;HUWDLQ5HODWLRQVKLSVDQG5HODWHG3DUW\7UDQVDFWLRQV</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40"/>
              <w:spacing w:after="0"/>
              <w:rPr>
                <w:sz w:val="20"/>
                <w:szCs w:val="20"/>
                <w:color w:val="auto"/>
              </w:rPr>
            </w:pPr>
            <w:r>
              <w:rPr>
                <w:rFonts w:ascii="PMingLiU" w:cs="PMingLiU" w:eastAsia="PMingLiU" w:hAnsi="PMingLiU"/>
                <w:sz w:val="16"/>
                <w:szCs w:val="16"/>
                <w:color w:val="auto"/>
              </w:rPr>
              <w:t>$GGLWLRQDO&amp;RUSRUDWH*RYHUQDQFH,QIRUPDWLRQ</w:t>
            </w:r>
          </w:p>
        </w:tc>
        <w:tc>
          <w:tcPr>
            <w:tcW w:w="3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540" w:type="dxa"/>
            <w:vAlign w:val="bottom"/>
            <w:tcBorders>
              <w:bottom w:val="single" w:sz="8" w:color="4454A7"/>
            </w:tcBorders>
            <w:gridSpan w:val="2"/>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540" w:type="dxa"/>
            <w:vAlign w:val="bottom"/>
            <w:gridSpan w:val="2"/>
          </w:tcPr>
          <w:p>
            <w:pPr>
              <w:ind w:left="40"/>
              <w:spacing w:after="0"/>
              <w:rPr>
                <w:sz w:val="20"/>
                <w:szCs w:val="20"/>
                <w:color w:val="auto"/>
              </w:rPr>
            </w:pPr>
            <w:r>
              <w:rPr>
                <w:rFonts w:ascii="PMingLiU" w:cs="PMingLiU" w:eastAsia="PMingLiU" w:hAnsi="PMingLiU"/>
                <w:sz w:val="16"/>
                <w:szCs w:val="16"/>
                <w:b w:val="1"/>
                <w:bCs w:val="1"/>
                <w:color w:val="5C004D"/>
              </w:rPr>
              <w:t>$8',70$77(56</w:t>
            </w:r>
          </w:p>
        </w:tc>
        <w:tc>
          <w:tcPr>
            <w:tcW w:w="32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1260" w:type="dxa"/>
            <w:vAlign w:val="bottom"/>
            <w:tcBorders>
              <w:bottom w:val="single" w:sz="8" w:color="4454A7"/>
            </w:tcBorders>
          </w:tcPr>
          <w:p>
            <w:pPr>
              <w:spacing w:after="0"/>
              <w:rPr>
                <w:sz w:val="3"/>
                <w:szCs w:val="3"/>
                <w:color w:val="auto"/>
              </w:rPr>
            </w:pPr>
          </w:p>
        </w:tc>
        <w:tc>
          <w:tcPr>
            <w:tcW w:w="3280" w:type="dxa"/>
            <w:vAlign w:val="bottom"/>
            <w:tcBorders>
              <w:bottom w:val="single" w:sz="8" w:color="4454A7"/>
            </w:tcBorders>
          </w:tcPr>
          <w:p>
            <w:pPr>
              <w:spacing w:after="0"/>
              <w:rPr>
                <w:sz w:val="3"/>
                <w:szCs w:val="3"/>
                <w:color w:val="auto"/>
              </w:rPr>
            </w:pPr>
          </w:p>
        </w:tc>
        <w:tc>
          <w:tcPr>
            <w:tcW w:w="3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w:t>
            </w:r>
          </w:p>
        </w:tc>
        <w:tc>
          <w:tcPr>
            <w:tcW w:w="3280" w:type="dxa"/>
            <w:vAlign w:val="bottom"/>
          </w:tcPr>
          <w:p>
            <w:pPr>
              <w:ind w:left="20"/>
              <w:spacing w:after="0"/>
              <w:rPr>
                <w:sz w:val="20"/>
                <w:szCs w:val="20"/>
                <w:color w:val="auto"/>
              </w:rPr>
            </w:pPr>
            <w:r>
              <w:rPr>
                <w:rFonts w:ascii="PMingLiU" w:cs="PMingLiU" w:eastAsia="PMingLiU" w:hAnsi="PMingLiU"/>
                <w:sz w:val="16"/>
                <w:szCs w:val="16"/>
                <w:b w:val="1"/>
                <w:bCs w:val="1"/>
                <w:color w:val="000046"/>
                <w:w w:val="95"/>
              </w:rPr>
              <w:t>5DWLI\ WKH$SSRLQWPHQWDQG$SSURYHWKH</w:t>
            </w:r>
          </w:p>
        </w:tc>
        <w:tc>
          <w:tcPr>
            <w:tcW w:w="32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221"/>
        </w:trPr>
        <w:tc>
          <w:tcPr>
            <w:tcW w:w="4540" w:type="dxa"/>
            <w:vAlign w:val="bottom"/>
            <w:gridSpan w:val="2"/>
          </w:tcPr>
          <w:p>
            <w:pPr>
              <w:ind w:left="40"/>
              <w:spacing w:after="0"/>
              <w:rPr>
                <w:sz w:val="20"/>
                <w:szCs w:val="20"/>
                <w:color w:val="auto"/>
              </w:rPr>
            </w:pPr>
            <w:r>
              <w:rPr>
                <w:rFonts w:ascii="PMingLiU" w:cs="PMingLiU" w:eastAsia="PMingLiU" w:hAnsi="PMingLiU"/>
                <w:sz w:val="16"/>
                <w:szCs w:val="16"/>
                <w:b w:val="1"/>
                <w:bCs w:val="1"/>
                <w:color w:val="000046"/>
              </w:rPr>
              <w:t>5HPXQHUDWLRQRIWKH$XGLWRU</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260" w:type="dxa"/>
            <w:vAlign w:val="bottom"/>
            <w:tcBorders>
              <w:bottom w:val="single" w:sz="8" w:color="4454A7"/>
            </w:tcBorders>
          </w:tcPr>
          <w:p>
            <w:pPr>
              <w:spacing w:after="0"/>
              <w:rPr>
                <w:sz w:val="4"/>
                <w:szCs w:val="4"/>
                <w:color w:val="auto"/>
              </w:rPr>
            </w:pPr>
          </w:p>
        </w:tc>
        <w:tc>
          <w:tcPr>
            <w:tcW w:w="3280" w:type="dxa"/>
            <w:vAlign w:val="bottom"/>
            <w:tcBorders>
              <w:bottom w:val="single" w:sz="8" w:color="4454A7"/>
            </w:tcBorders>
          </w:tcPr>
          <w:p>
            <w:pPr>
              <w:spacing w:after="0"/>
              <w:rPr>
                <w:sz w:val="4"/>
                <w:szCs w:val="4"/>
                <w:color w:val="auto"/>
              </w:rPr>
            </w:pPr>
          </w:p>
        </w:tc>
        <w:tc>
          <w:tcPr>
            <w:tcW w:w="3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ind w:left="40"/>
              <w:spacing w:after="0"/>
              <w:rPr>
                <w:sz w:val="20"/>
                <w:szCs w:val="20"/>
                <w:color w:val="auto"/>
              </w:rPr>
            </w:pPr>
            <w:r>
              <w:rPr>
                <w:rFonts w:ascii="PMingLiU" w:cs="PMingLiU" w:eastAsia="PMingLiU" w:hAnsi="PMingLiU"/>
                <w:sz w:val="16"/>
                <w:szCs w:val="16"/>
                <w:color w:val="auto"/>
                <w:w w:val="88"/>
              </w:rPr>
              <w:t>$QQXDO(YDOXDWLRQDQG6HOHFWLRQRI,QGHSHQGHQW$XGLWRU</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0"/>
              <w:spacing w:after="0"/>
              <w:rPr>
                <w:sz w:val="20"/>
                <w:szCs w:val="20"/>
                <w:color w:val="auto"/>
              </w:rPr>
            </w:pPr>
            <w:r>
              <w:rPr>
                <w:rFonts w:ascii="PMingLiU" w:cs="PMingLiU" w:eastAsia="PMingLiU" w:hAnsi="PMingLiU"/>
                <w:sz w:val="16"/>
                <w:szCs w:val="16"/>
                <w:color w:val="auto"/>
                <w:w w:val="99"/>
              </w:rPr>
              <w:t>,QGHSHQGHQW5HJLVWHUHG3XEOLF$FFRXQWLQJ)LUP)HHV</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20" w:type="dxa"/>
            <w:vAlign w:val="bottom"/>
            <w:tcBorders>
              <w:bottom w:val="single" w:sz="8" w:color="4454A7"/>
            </w:tcBorders>
          </w:tcPr>
          <w:p>
            <w:pPr>
              <w:ind w:left="40"/>
              <w:spacing w:after="0"/>
              <w:rPr>
                <w:sz w:val="20"/>
                <w:szCs w:val="20"/>
                <w:color w:val="auto"/>
              </w:rPr>
            </w:pPr>
            <w:r>
              <w:rPr>
                <w:rFonts w:ascii="PMingLiU" w:cs="PMingLiU" w:eastAsia="PMingLiU" w:hAnsi="PMingLiU"/>
                <w:sz w:val="16"/>
                <w:szCs w:val="16"/>
                <w:color w:val="auto"/>
              </w:rPr>
              <w:t>DQG6HUYLFHV</w:t>
            </w:r>
          </w:p>
        </w:tc>
        <w:tc>
          <w:tcPr>
            <w:tcW w:w="44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4"/>
        </w:trPr>
        <w:tc>
          <w:tcPr>
            <w:tcW w:w="4420" w:type="dxa"/>
            <w:vAlign w:val="bottom"/>
          </w:tcPr>
          <w:p>
            <w:pPr>
              <w:ind w:left="40"/>
              <w:spacing w:after="0"/>
              <w:rPr>
                <w:sz w:val="20"/>
                <w:szCs w:val="20"/>
                <w:color w:val="auto"/>
              </w:rPr>
            </w:pPr>
            <w:r>
              <w:rPr>
                <w:rFonts w:ascii="PMingLiU" w:cs="PMingLiU" w:eastAsia="PMingLiU" w:hAnsi="PMingLiU"/>
                <w:sz w:val="16"/>
                <w:szCs w:val="16"/>
                <w:color w:val="auto"/>
              </w:rPr>
              <w:t>3UH$SSURYDO3ROLFLHVDQG3URFHGXUHV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PMingLiU" w:cs="PMingLiU" w:eastAsia="PMingLiU" w:hAnsi="PMingLiU"/>
                <w:sz w:val="16"/>
                <w:szCs w:val="16"/>
                <w:color w:val="auto"/>
              </w:rPr>
              <w:t>,QGHSHQGHQFH</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5HSRUWRIRXU$XGLW&amp;RPPLWWHH</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3"/>
        </w:trPr>
        <w:tc>
          <w:tcPr>
            <w:tcW w:w="4420" w:type="dxa"/>
            <w:vAlign w:val="bottom"/>
            <w:tcBorders>
              <w:bottom w:val="single" w:sz="8" w:color="4454A7"/>
            </w:tcBorders>
          </w:tcPr>
          <w:p>
            <w:pPr>
              <w:spacing w:after="0"/>
              <w:rPr>
                <w:sz w:val="2"/>
                <w:szCs w:val="2"/>
                <w:color w:val="auto"/>
              </w:rPr>
            </w:pPr>
          </w:p>
        </w:tc>
        <w:tc>
          <w:tcPr>
            <w:tcW w:w="44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(;(&amp;87,9(2)),&amp;(56</w:t>
            </w:r>
          </w:p>
        </w:tc>
        <w:tc>
          <w:tcPr>
            <w:tcW w:w="44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  1RQ%LQGLQJ$GYLVRU\9RWHRQ</w:t>
            </w:r>
          </w:p>
        </w:tc>
        <w:tc>
          <w:tcPr>
            <w:tcW w:w="44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221"/>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([HFXWLYH&amp;RPSHQVDWLRQ</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4420" w:type="dxa"/>
            <w:vAlign w:val="bottom"/>
            <w:tcBorders>
              <w:bottom w:val="single" w:sz="8" w:color="4454A7"/>
            </w:tcBorders>
          </w:tcPr>
          <w:p>
            <w:pPr>
              <w:spacing w:after="0"/>
              <w:rPr>
                <w:sz w:val="4"/>
                <w:szCs w:val="4"/>
                <w:color w:val="auto"/>
              </w:rPr>
            </w:pPr>
          </w:p>
        </w:tc>
        <w:tc>
          <w:tcPr>
            <w:tcW w:w="4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(;(&amp;87,9(&amp;203(16$7,21</w:t>
            </w:r>
          </w:p>
        </w:tc>
        <w:tc>
          <w:tcPr>
            <w:tcW w:w="44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&amp;RPSHQVDWLRQ'LVFXVVLRQDQG$QDO\VLV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&amp;RPSHQVDWLRQ&amp;RPPLWWHH5HSRUW</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([HFXWLYH&amp;RPSHQVDWLRQ6XPPDU\</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*UDQWVRI3ODQ%DVHG$ZDUGVLQ)LVFDO</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'HVFULSWLRQRI&amp;RPSHQVDWLRQ$UUDQJHPHQWV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2XWVWDQGLQJ(TXLW\$ZDUGVDW)LVFDO&lt;HDU(QG</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2SWLRQ([HUFLVHVDQG6WRFN9HVWHGLQ)LVFDO&lt;HDU</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w w:val="85"/>
              </w:rPr>
              <w:t>3RWHQWLDO3D\PHQWVXSRQ7HUPLQDWLRQRU&amp;KDQJHLQ&amp;RQWURO</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3D\5DWLR'LVFORVXUH</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PMingLiU" w:cs="PMingLiU" w:eastAsia="PMingLiU" w:hAnsi="PMingLiU"/>
                <w:sz w:val="16"/>
                <w:szCs w:val="16"/>
                <w:color w:val="auto"/>
              </w:rPr>
              <w:t>,WHPY3D\YHUVXV3HUIRUPDQFH</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PMingLiU" w:cs="PMingLiU" w:eastAsia="PMingLiU" w:hAnsi="PMingLiU"/>
                <w:sz w:val="16"/>
                <w:szCs w:val="16"/>
                <w:color w:val="auto"/>
              </w:rPr>
              <w:t>&amp;RPSHQVDWLRQ&amp;RQVXOWDQW)HHV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  %RDUG$XWKRULW\WR$OORWDQG,VVXH</w:t>
            </w:r>
          </w:p>
        </w:tc>
        <w:tc>
          <w:tcPr>
            <w:tcW w:w="44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221"/>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2UGLQDU\6KDUHV</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4420" w:type="dxa"/>
            <w:vAlign w:val="bottom"/>
            <w:tcBorders>
              <w:bottom w:val="single" w:sz="8" w:color="4454A7"/>
            </w:tcBorders>
          </w:tcPr>
          <w:p>
            <w:pPr>
              <w:spacing w:after="0"/>
              <w:rPr>
                <w:sz w:val="4"/>
                <w:szCs w:val="4"/>
                <w:color w:val="auto"/>
              </w:rPr>
            </w:pPr>
          </w:p>
        </w:tc>
        <w:tc>
          <w:tcPr>
            <w:tcW w:w="4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  %RDUG$XWKRULW\WR$OORWDQG,VVXH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w w:val="95"/>
              </w:rPr>
              <w:t>2UGLQDU\6KDUHVIRU&amp;DVK:LWKRXW)LUVW2IIHULQJ6KDUHV</w:t>
            </w:r>
          </w:p>
        </w:tc>
        <w:tc>
          <w:tcPr>
            <w:tcW w:w="44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221"/>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WR([LVWLQJ6KDUHKROGHUV</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420" w:type="dxa"/>
            <w:vAlign w:val="bottom"/>
            <w:tcBorders>
              <w:bottom w:val="single" w:sz="8" w:color="4454A7"/>
            </w:tcBorders>
          </w:tcPr>
          <w:p>
            <w:pPr>
              <w:spacing w:after="0"/>
              <w:rPr>
                <w:sz w:val="4"/>
                <w:szCs w:val="4"/>
                <w:color w:val="auto"/>
              </w:rPr>
            </w:pPr>
          </w:p>
        </w:tc>
        <w:tc>
          <w:tcPr>
            <w:tcW w:w="4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000046"/>
              </w:rPr>
              <w:t>352326$/  $GMRXUQPHQW3URSRVDO</w:t>
            </w:r>
          </w:p>
        </w:tc>
        <w:tc>
          <w:tcPr>
            <w:tcW w:w="440" w:type="dxa"/>
            <w:vAlign w:val="bottom"/>
          </w:tcPr>
          <w:p>
            <w:pPr>
              <w:jc w:val="right"/>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40"/>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6(&amp;85,7&lt;2:1(56+,32)&amp;(57$,1%(1(),&amp;,$/</w:t>
            </w:r>
          </w:p>
        </w:tc>
        <w:tc>
          <w:tcPr>
            <w:tcW w:w="44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221"/>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2:1(56$1'0$1$*(0(17</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4420" w:type="dxa"/>
            <w:vAlign w:val="bottom"/>
            <w:tcBorders>
              <w:bottom w:val="single" w:sz="8" w:color="4454A7"/>
            </w:tcBorders>
          </w:tcPr>
          <w:p>
            <w:pPr>
              <w:spacing w:after="0"/>
              <w:rPr>
                <w:sz w:val="4"/>
                <w:szCs w:val="4"/>
                <w:color w:val="auto"/>
              </w:rPr>
            </w:pPr>
          </w:p>
        </w:tc>
        <w:tc>
          <w:tcPr>
            <w:tcW w:w="4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$'',7,21$/,1)250$7,21</w:t>
            </w:r>
          </w:p>
        </w:tc>
        <w:tc>
          <w:tcPr>
            <w:tcW w:w="44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25"/>
        </w:trPr>
        <w:tc>
          <w:tcPr>
            <w:tcW w:w="4420" w:type="dxa"/>
            <w:vAlign w:val="bottom"/>
            <w:tcBorders>
              <w:bottom w:val="single" w:sz="8" w:color="4454A7"/>
            </w:tcBorders>
          </w:tcPr>
          <w:p>
            <w:pPr>
              <w:spacing w:after="0"/>
              <w:rPr>
                <w:sz w:val="2"/>
                <w:szCs w:val="2"/>
                <w:color w:val="auto"/>
              </w:rPr>
            </w:pPr>
          </w:p>
        </w:tc>
        <w:tc>
          <w:tcPr>
            <w:tcW w:w="44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420" w:type="dxa"/>
            <w:vAlign w:val="bottom"/>
          </w:tcPr>
          <w:p>
            <w:pPr>
              <w:ind w:left="40"/>
              <w:spacing w:after="0"/>
              <w:rPr>
                <w:sz w:val="20"/>
                <w:szCs w:val="20"/>
                <w:color w:val="auto"/>
              </w:rPr>
            </w:pPr>
            <w:r>
              <w:rPr>
                <w:rFonts w:ascii="PMingLiU" w:cs="PMingLiU" w:eastAsia="PMingLiU" w:hAnsi="PMingLiU"/>
                <w:sz w:val="16"/>
                <w:szCs w:val="16"/>
                <w:color w:val="auto"/>
              </w:rPr>
              <w:t>6SHFLDO1RWH5HJDUGLQJ)RUZDUG/RRNLQJ6WDWHPHQWV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
              <w:spacing w:after="0"/>
              <w:rPr>
                <w:sz w:val="20"/>
                <w:szCs w:val="20"/>
                <w:color w:val="auto"/>
              </w:rPr>
            </w:pPr>
            <w:r>
              <w:rPr>
                <w:rFonts w:ascii="PMingLiU" w:cs="PMingLiU" w:eastAsia="PMingLiU" w:hAnsi="PMingLiU"/>
                <w:sz w:val="16"/>
                <w:szCs w:val="16"/>
                <w:color w:val="auto"/>
              </w:rPr>
              <w:t>+RXVHKROGLQJRI3UR[\0DWHULDOV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PMingLiU" w:cs="PMingLiU" w:eastAsia="PMingLiU" w:hAnsi="PMingLiU"/>
                <w:sz w:val="16"/>
                <w:szCs w:val="16"/>
                <w:color w:val="auto"/>
              </w:rPr>
              <w:t>'HOLQTXHQW6HFWLRQD5HSRUWV</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7"/>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PMingLiU" w:cs="PMingLiU" w:eastAsia="PMingLiU" w:hAnsi="PMingLiU"/>
                <w:sz w:val="16"/>
                <w:szCs w:val="16"/>
                <w:color w:val="auto"/>
              </w:rPr>
              <w:t>*HQHUDO</w:t>
            </w:r>
          </w:p>
        </w:tc>
        <w:tc>
          <w:tcPr>
            <w:tcW w:w="4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420" w:type="dxa"/>
            <w:vAlign w:val="bottom"/>
          </w:tcPr>
          <w:p>
            <w:pPr>
              <w:ind w:left="40"/>
              <w:spacing w:after="0"/>
              <w:rPr>
                <w:sz w:val="20"/>
                <w:szCs w:val="20"/>
                <w:color w:val="auto"/>
              </w:rPr>
            </w:pPr>
            <w:r>
              <w:rPr>
                <w:rFonts w:ascii="PMingLiU" w:cs="PMingLiU" w:eastAsia="PMingLiU" w:hAnsi="PMingLiU"/>
                <w:sz w:val="16"/>
                <w:szCs w:val="16"/>
                <w:b w:val="1"/>
                <w:bCs w:val="1"/>
                <w:color w:val="5C004D"/>
              </w:rPr>
              <w:t>48(67,216$1'$16:(56</w:t>
            </w:r>
          </w:p>
        </w:tc>
        <w:tc>
          <w:tcPr>
            <w:tcW w:w="44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40"/>
        </w:trPr>
        <w:tc>
          <w:tcPr>
            <w:tcW w:w="4420" w:type="dxa"/>
            <w:vAlign w:val="bottom"/>
            <w:tcBorders>
              <w:bottom w:val="single" w:sz="8" w:color="4454A7"/>
            </w:tcBorders>
          </w:tcPr>
          <w:p>
            <w:pPr>
              <w:spacing w:after="0"/>
              <w:rPr>
                <w:sz w:val="3"/>
                <w:szCs w:val="3"/>
                <w:color w:val="auto"/>
              </w:rPr>
            </w:pPr>
          </w:p>
        </w:tc>
        <w:tc>
          <w:tcPr>
            <w:tcW w:w="44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bl>
    <w:p>
      <w:pPr>
        <w:sectPr>
          <w:pgSz w:w="11880" w:h="15479" w:orient="portrait"/>
          <w:cols w:equalWidth="0" w:num="2">
            <w:col w:w="4860" w:space="360"/>
            <w:col w:w="4860"/>
          </w:cols>
          <w:pgMar w:left="900" w:top="1440" w:right="8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1980565</wp:posOffset>
            </wp:positionV>
            <wp:extent cx="3105150" cy="3467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3105150" cy="346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PMingLiU" w:cs="PMingLiU" w:eastAsia="PMingLiU" w:hAnsi="PMingLiU"/>
          <w:sz w:val="17"/>
          <w:szCs w:val="17"/>
          <w:b w:val="1"/>
          <w:bCs w:val="1"/>
          <w:color w:val="000046"/>
        </w:rPr>
        <w:t>,1'(;2))5(48(17/&lt;5(48(67(',1)250$7,21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$QWL+HGJLQJ3OHGJLQJ3ROLF\</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$XGLWRU)HHV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%RDUG&amp;RPSRVLWLRQ</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%RDUG/HDGHUVKLS6WUXFWXUH</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%RDUG2SHUDWLRQV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&amp;HUWDLQ5HODWLRQVKLSVDQG5HODWHG3DUW\</w:t>
            </w:r>
          </w:p>
        </w:tc>
        <w:tc>
          <w:tcPr>
            <w:tcW w:w="38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4020" w:type="dxa"/>
            <w:vAlign w:val="bottom"/>
            <w:vMerge w:val="restart"/>
          </w:tcPr>
          <w:p>
            <w:pPr>
              <w:ind w:left="40"/>
              <w:spacing w:after="0"/>
              <w:rPr>
                <w:sz w:val="20"/>
                <w:szCs w:val="20"/>
                <w:color w:val="auto"/>
              </w:rPr>
            </w:pPr>
            <w:r>
              <w:rPr>
                <w:rFonts w:ascii="PMingLiU" w:cs="PMingLiU" w:eastAsia="PMingLiU" w:hAnsi="PMingLiU"/>
                <w:sz w:val="16"/>
                <w:szCs w:val="16"/>
                <w:b w:val="1"/>
                <w:bCs w:val="1"/>
                <w:color w:val="2D2C36"/>
              </w:rPr>
              <w:t>7UDQVDFWLRQV</w:t>
            </w:r>
          </w:p>
        </w:tc>
        <w:tc>
          <w:tcPr>
            <w:tcW w:w="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40" w:type="dxa"/>
            <w:vAlign w:val="bottom"/>
          </w:tcPr>
          <w:p>
            <w:pPr>
              <w:spacing w:after="0"/>
              <w:rPr>
                <w:sz w:val="8"/>
                <w:szCs w:val="8"/>
                <w:color w:val="auto"/>
              </w:rPr>
            </w:pPr>
          </w:p>
        </w:tc>
        <w:tc>
          <w:tcPr>
            <w:tcW w:w="40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40" w:type="dxa"/>
            <w:vAlign w:val="bottom"/>
          </w:tcPr>
          <w:p>
            <w:pPr>
              <w:spacing w:after="0"/>
              <w:rPr>
                <w:sz w:val="3"/>
                <w:szCs w:val="3"/>
                <w:color w:val="auto"/>
              </w:rPr>
            </w:pPr>
          </w:p>
        </w:tc>
        <w:tc>
          <w:tcPr>
            <w:tcW w:w="4020" w:type="dxa"/>
            <w:vAlign w:val="bottom"/>
            <w:tcBorders>
              <w:bottom w:val="single" w:sz="8" w:color="4454A7"/>
            </w:tcBorders>
          </w:tcPr>
          <w:p>
            <w:pPr>
              <w:spacing w:after="0"/>
              <w:rPr>
                <w:sz w:val="3"/>
                <w:szCs w:val="3"/>
                <w:color w:val="auto"/>
              </w:rPr>
            </w:pPr>
          </w:p>
        </w:tc>
        <w:tc>
          <w:tcPr>
            <w:tcW w:w="380" w:type="dxa"/>
            <w:vAlign w:val="bottom"/>
            <w:tcBorders>
              <w:bottom w:val="single" w:sz="8" w:color="4454A7"/>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&amp;ODZEDFN3ROLF\</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&amp;RGHRI&amp;RQGXFWDQG(WKLFV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&amp;RPSHQVDWLRQ&amp;RQVXOWDQW)HHV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&amp;RUSRUDWH*RYHUQDQFH*XLGHOLQHV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'LUHFWRU%LRJUDSKLHV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'LUHFWRU&amp;RPPLWPHQWV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,QGHSHQGHQFHRIRXU%RDUG</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,WHPY3D\YHUVXV3HUIRUPDQFH</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3"/>
                <w:szCs w:val="23"/>
                <w:color w:val="auto"/>
              </w:rPr>
            </w:pPr>
          </w:p>
        </w:tc>
        <w:tc>
          <w:tcPr>
            <w:tcW w:w="4020" w:type="dxa"/>
            <w:vAlign w:val="bottom"/>
          </w:tcPr>
          <w:p>
            <w:pPr>
              <w:ind w:left="40"/>
              <w:spacing w:after="0"/>
              <w:rPr>
                <w:sz w:val="20"/>
                <w:szCs w:val="20"/>
                <w:color w:val="auto"/>
              </w:rPr>
            </w:pPr>
            <w:r>
              <w:rPr>
                <w:rFonts w:ascii="PMingLiU" w:cs="PMingLiU" w:eastAsia="PMingLiU" w:hAnsi="PMingLiU"/>
                <w:sz w:val="16"/>
                <w:szCs w:val="16"/>
                <w:b w:val="1"/>
                <w:bCs w:val="1"/>
                <w:color w:val="2D2C36"/>
              </w:rPr>
              <w:t>(OHFWLRQRI'LUHFWRUV</w:t>
            </w:r>
          </w:p>
        </w:tc>
        <w:tc>
          <w:tcPr>
            <w:tcW w:w="380" w:type="dxa"/>
            <w:vAlign w:val="bottom"/>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0" w:type="dxa"/>
            <w:vAlign w:val="bottom"/>
            <w:tcBorders>
              <w:bottom w:val="single" w:sz="8" w:color="F3F3F1"/>
            </w:tcBorders>
          </w:tcPr>
          <w:p>
            <w:pPr>
              <w:spacing w:after="0"/>
              <w:rPr>
                <w:sz w:val="4"/>
                <w:szCs w:val="4"/>
                <w:color w:val="auto"/>
              </w:rPr>
            </w:pPr>
          </w:p>
        </w:tc>
        <w:tc>
          <w:tcPr>
            <w:tcW w:w="4020" w:type="dxa"/>
            <w:vAlign w:val="bottom"/>
            <w:tcBorders>
              <w:bottom w:val="single" w:sz="8" w:color="4454A7"/>
            </w:tcBorders>
          </w:tcPr>
          <w:p>
            <w:pPr>
              <w:spacing w:after="0"/>
              <w:rPr>
                <w:sz w:val="4"/>
                <w:szCs w:val="4"/>
                <w:color w:val="auto"/>
              </w:rPr>
            </w:pPr>
          </w:p>
        </w:tc>
        <w:tc>
          <w:tcPr>
            <w:tcW w:w="380" w:type="dxa"/>
            <w:vAlign w:val="bottom"/>
            <w:tcBorders>
              <w:bottom w:val="single" w:sz="8" w:color="4454A7"/>
            </w:tcBorders>
          </w:tcPr>
          <w:p>
            <w:pPr>
              <w:spacing w:after="0"/>
              <w:rPr>
                <w:sz w:val="4"/>
                <w:szCs w:val="4"/>
                <w:color w:val="auto"/>
              </w:rPr>
            </w:pPr>
          </w:p>
        </w:tc>
        <w:tc>
          <w:tcPr>
            <w:tcW w:w="240" w:type="dxa"/>
            <w:vAlign w:val="bottom"/>
            <w:tcBorders>
              <w:bottom w:val="single" w:sz="8" w:color="F3F3F1"/>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40" w:type="dxa"/>
            <w:vAlign w:val="bottom"/>
            <w:shd w:val="clear" w:color="auto" w:fill="F3F3F1"/>
          </w:tcPr>
          <w:p>
            <w:pPr>
              <w:spacing w:after="0"/>
              <w:rPr>
                <w:sz w:val="18"/>
                <w:szCs w:val="18"/>
                <w:color w:val="auto"/>
              </w:rPr>
            </w:pPr>
          </w:p>
        </w:tc>
        <w:tc>
          <w:tcPr>
            <w:tcW w:w="4020" w:type="dxa"/>
            <w:vAlign w:val="bottom"/>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.H\&amp;RPSRQHQWVDQG'HVLJQRIWKH([HFXWLYH</w:t>
            </w:r>
          </w:p>
        </w:tc>
        <w:tc>
          <w:tcPr>
            <w:tcW w:w="380" w:type="dxa"/>
            <w:vAlign w:val="bottom"/>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shd w:val="clear" w:color="auto" w:fill="F3F3F1"/>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0" w:type="dxa"/>
            <w:vAlign w:val="bottom"/>
            <w:shd w:val="clear" w:color="auto" w:fill="F3F3F1"/>
          </w:tcPr>
          <w:p>
            <w:pPr>
              <w:spacing w:after="0"/>
              <w:rPr>
                <w:sz w:val="10"/>
                <w:szCs w:val="10"/>
                <w:color w:val="auto"/>
              </w:rPr>
            </w:pPr>
          </w:p>
        </w:tc>
        <w:tc>
          <w:tcPr>
            <w:tcW w:w="4020" w:type="dxa"/>
            <w:vAlign w:val="bottom"/>
            <w:vMerge w:val="restart"/>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&amp;RPSHQVDWLRQ3URJUDP</w:t>
            </w:r>
          </w:p>
        </w:tc>
        <w:tc>
          <w:tcPr>
            <w:tcW w:w="380" w:type="dxa"/>
            <w:vAlign w:val="bottom"/>
            <w:vMerge w:val="continue"/>
            <w:shd w:val="clear" w:color="auto" w:fill="F3F3F1"/>
          </w:tcPr>
          <w:p>
            <w:pPr>
              <w:spacing w:after="0"/>
              <w:rPr>
                <w:sz w:val="10"/>
                <w:szCs w:val="10"/>
                <w:color w:val="auto"/>
              </w:rPr>
            </w:pPr>
          </w:p>
        </w:tc>
        <w:tc>
          <w:tcPr>
            <w:tcW w:w="240" w:type="dxa"/>
            <w:vAlign w:val="bottom"/>
            <w:shd w:val="clear" w:color="auto" w:fill="F3F3F1"/>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40" w:type="dxa"/>
            <w:vAlign w:val="bottom"/>
            <w:tcBorders>
              <w:bottom w:val="single" w:sz="8" w:color="F3F3F1"/>
            </w:tcBorders>
            <w:shd w:val="clear" w:color="auto" w:fill="F3F3F1"/>
          </w:tcPr>
          <w:p>
            <w:pPr>
              <w:spacing w:after="0"/>
              <w:rPr>
                <w:sz w:val="11"/>
                <w:szCs w:val="11"/>
                <w:color w:val="auto"/>
              </w:rPr>
            </w:pPr>
          </w:p>
        </w:tc>
        <w:tc>
          <w:tcPr>
            <w:tcW w:w="4020" w:type="dxa"/>
            <w:vAlign w:val="bottom"/>
            <w:tcBorders>
              <w:bottom w:val="single" w:sz="8" w:color="F3F3F1"/>
            </w:tcBorders>
            <w:vMerge w:val="continue"/>
            <w:shd w:val="clear" w:color="auto" w:fill="F3F3F1"/>
          </w:tcPr>
          <w:p>
            <w:pPr>
              <w:spacing w:after="0"/>
              <w:rPr>
                <w:sz w:val="11"/>
                <w:szCs w:val="11"/>
                <w:color w:val="auto"/>
              </w:rPr>
            </w:pPr>
          </w:p>
        </w:tc>
        <w:tc>
          <w:tcPr>
            <w:tcW w:w="380" w:type="dxa"/>
            <w:vAlign w:val="bottom"/>
            <w:tcBorders>
              <w:bottom w:val="single" w:sz="8" w:color="F3F3F1"/>
            </w:tcBorders>
            <w:shd w:val="clear" w:color="auto" w:fill="F3F3F1"/>
          </w:tcPr>
          <w:p>
            <w:pPr>
              <w:spacing w:after="0"/>
              <w:rPr>
                <w:sz w:val="11"/>
                <w:szCs w:val="11"/>
                <w:color w:val="auto"/>
              </w:rPr>
            </w:pPr>
          </w:p>
        </w:tc>
        <w:tc>
          <w:tcPr>
            <w:tcW w:w="240" w:type="dxa"/>
            <w:vAlign w:val="bottom"/>
            <w:tcBorders>
              <w:bottom w:val="single" w:sz="8" w:color="F3F3F1"/>
            </w:tcBorders>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2YHUVLJKWRI&amp;66,</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2YHUVLJKWRI5LVN</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3D\5DWLR'LVFORVXUH</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3HHU*URXS</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6HYHUDQFH%HQHILWV</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6KDUH2ZQHUVKLS*XLGHOLQHVIRU'LUHFWRUV</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w w:val="94"/>
              </w:rPr>
              <w:t>6KDUH2ZQHUVKLS*XLGHOLQHVIRU([HFXWLYH2IILFHUV</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6KDUHKROGHU(QJDJHPHQW</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4020" w:type="dxa"/>
            <w:vAlign w:val="bottom"/>
            <w:tcBorders>
              <w:top w:val="single" w:sz="8" w:color="4454A7"/>
              <w:bottom w:val="single" w:sz="8" w:color="F3F3F1"/>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6KDUHKROGHU&amp;RPPXQLFDWLRQVZLWKRXU%RDUG</w:t>
            </w:r>
          </w:p>
        </w:tc>
        <w:tc>
          <w:tcPr>
            <w:tcW w:w="38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F3F3F1"/>
            </w:tcBorders>
            <w:shd w:val="clear" w:color="auto" w:fill="F3F3F1"/>
          </w:tcPr>
          <w:p>
            <w:pPr>
              <w:spacing w:after="0"/>
              <w:rPr>
                <w:sz w:val="18"/>
                <w:szCs w:val="18"/>
                <w:color w:val="auto"/>
              </w:rPr>
            </w:pPr>
          </w:p>
        </w:tc>
        <w:tc>
          <w:tcPr>
            <w:tcW w:w="4020" w:type="dxa"/>
            <w:vAlign w:val="bottom"/>
            <w:tcBorders>
              <w:top w:val="single" w:sz="8" w:color="4454A7"/>
            </w:tcBorders>
            <w:shd w:val="clear" w:color="auto" w:fill="F3F3F1"/>
          </w:tcPr>
          <w:p>
            <w:pPr>
              <w:ind w:left="40"/>
              <w:spacing w:after="0"/>
              <w:rPr>
                <w:sz w:val="20"/>
                <w:szCs w:val="20"/>
                <w:color w:val="auto"/>
              </w:rPr>
            </w:pPr>
            <w:r>
              <w:rPr>
                <w:rFonts w:ascii="PMingLiU" w:cs="PMingLiU" w:eastAsia="PMingLiU" w:hAnsi="PMingLiU"/>
                <w:sz w:val="16"/>
                <w:szCs w:val="16"/>
                <w:b w:val="1"/>
                <w:bCs w:val="1"/>
                <w:color w:val="2D2C36"/>
                <w:w w:val="92"/>
              </w:rPr>
              <w:t>6KDUHKROGHU3URSRVDOVDQG'LUHFWRU1RPLQDWLRQV</w:t>
            </w:r>
          </w:p>
        </w:tc>
        <w:tc>
          <w:tcPr>
            <w:tcW w:w="380" w:type="dxa"/>
            <w:vAlign w:val="bottom"/>
            <w:tcBorders>
              <w:top w:val="single" w:sz="8" w:color="4454A7"/>
            </w:tcBorders>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tcBorders>
            <w:shd w:val="clear" w:color="auto" w:fill="F3F3F1"/>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0" w:type="dxa"/>
            <w:vAlign w:val="bottom"/>
            <w:shd w:val="clear" w:color="auto" w:fill="F3F3F1"/>
          </w:tcPr>
          <w:p>
            <w:pPr>
              <w:spacing w:after="0"/>
              <w:rPr>
                <w:sz w:val="10"/>
                <w:szCs w:val="10"/>
                <w:color w:val="auto"/>
              </w:rPr>
            </w:pPr>
          </w:p>
        </w:tc>
        <w:tc>
          <w:tcPr>
            <w:tcW w:w="4020" w:type="dxa"/>
            <w:vAlign w:val="bottom"/>
            <w:vMerge w:val="restart"/>
            <w:shd w:val="clear" w:color="auto" w:fill="F3F3F1"/>
          </w:tcPr>
          <w:p>
            <w:pPr>
              <w:ind w:left="40"/>
              <w:spacing w:after="0"/>
              <w:rPr>
                <w:sz w:val="20"/>
                <w:szCs w:val="20"/>
                <w:color w:val="auto"/>
              </w:rPr>
            </w:pPr>
            <w:r>
              <w:rPr>
                <w:rFonts w:ascii="PMingLiU" w:cs="PMingLiU" w:eastAsia="PMingLiU" w:hAnsi="PMingLiU"/>
                <w:sz w:val="16"/>
                <w:szCs w:val="16"/>
                <w:b w:val="1"/>
                <w:bCs w:val="1"/>
                <w:color w:val="2D2C36"/>
              </w:rPr>
              <w:t>IRUWKH$*0</w:t>
            </w:r>
          </w:p>
        </w:tc>
        <w:tc>
          <w:tcPr>
            <w:tcW w:w="380" w:type="dxa"/>
            <w:vAlign w:val="bottom"/>
            <w:vMerge w:val="continue"/>
            <w:shd w:val="clear" w:color="auto" w:fill="F3F3F1"/>
          </w:tcPr>
          <w:p>
            <w:pPr>
              <w:spacing w:after="0"/>
              <w:rPr>
                <w:sz w:val="10"/>
                <w:szCs w:val="10"/>
                <w:color w:val="auto"/>
              </w:rPr>
            </w:pPr>
          </w:p>
        </w:tc>
        <w:tc>
          <w:tcPr>
            <w:tcW w:w="240" w:type="dxa"/>
            <w:vAlign w:val="bottom"/>
            <w:shd w:val="clear" w:color="auto" w:fill="F3F3F1"/>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40" w:type="dxa"/>
            <w:vAlign w:val="bottom"/>
            <w:shd w:val="clear" w:color="auto" w:fill="F3F3F1"/>
          </w:tcPr>
          <w:p>
            <w:pPr>
              <w:spacing w:after="0"/>
              <w:rPr>
                <w:sz w:val="8"/>
                <w:szCs w:val="8"/>
                <w:color w:val="auto"/>
              </w:rPr>
            </w:pPr>
          </w:p>
        </w:tc>
        <w:tc>
          <w:tcPr>
            <w:tcW w:w="4020" w:type="dxa"/>
            <w:vAlign w:val="bottom"/>
            <w:vMerge w:val="continue"/>
            <w:shd w:val="clear" w:color="auto" w:fill="F3F3F1"/>
          </w:tcPr>
          <w:p>
            <w:pPr>
              <w:spacing w:after="0"/>
              <w:rPr>
                <w:sz w:val="8"/>
                <w:szCs w:val="8"/>
                <w:color w:val="auto"/>
              </w:rPr>
            </w:pPr>
          </w:p>
        </w:tc>
        <w:tc>
          <w:tcPr>
            <w:tcW w:w="380" w:type="dxa"/>
            <w:vAlign w:val="bottom"/>
            <w:shd w:val="clear" w:color="auto" w:fill="F3F3F1"/>
          </w:tcPr>
          <w:p>
            <w:pPr>
              <w:spacing w:after="0"/>
              <w:rPr>
                <w:sz w:val="8"/>
                <w:szCs w:val="8"/>
                <w:color w:val="auto"/>
              </w:rPr>
            </w:pPr>
          </w:p>
        </w:tc>
        <w:tc>
          <w:tcPr>
            <w:tcW w:w="240" w:type="dxa"/>
            <w:vAlign w:val="bottom"/>
            <w:shd w:val="clear" w:color="auto" w:fill="F3F3F1"/>
          </w:tcPr>
          <w:p>
            <w:pPr>
              <w:spacing w:after="0"/>
              <w:rPr>
                <w:sz w:val="8"/>
                <w:szCs w:val="8"/>
                <w:color w:val="auto"/>
              </w:rPr>
            </w:pPr>
          </w:p>
        </w:tc>
        <w:tc>
          <w:tcPr>
            <w:tcW w:w="0" w:type="dxa"/>
            <w:vAlign w:val="bottom"/>
          </w:tcPr>
          <w:p>
            <w:pPr>
              <w:spacing w:after="0"/>
              <w:rPr>
                <w:sz w:val="1"/>
                <w:szCs w:val="1"/>
                <w:color w:val="auto"/>
              </w:rPr>
            </w:pPr>
          </w:p>
        </w:tc>
      </w:tr>
      <w:tr>
        <w:trPr>
          <w:trHeight w:val="474"/>
        </w:trPr>
        <w:tc>
          <w:tcPr>
            <w:tcW w:w="240" w:type="dxa"/>
            <w:vAlign w:val="bottom"/>
            <w:shd w:val="clear" w:color="auto" w:fill="F3F3F1"/>
          </w:tcPr>
          <w:p>
            <w:pPr>
              <w:spacing w:after="0"/>
              <w:rPr>
                <w:sz w:val="24"/>
                <w:szCs w:val="24"/>
                <w:color w:val="auto"/>
              </w:rPr>
            </w:pPr>
          </w:p>
        </w:tc>
        <w:tc>
          <w:tcPr>
            <w:tcW w:w="4020" w:type="dxa"/>
            <w:vAlign w:val="bottom"/>
            <w:shd w:val="clear" w:color="auto" w:fill="F3F3F1"/>
          </w:tcPr>
          <w:p>
            <w:pPr>
              <w:spacing w:after="0"/>
              <w:rPr>
                <w:sz w:val="24"/>
                <w:szCs w:val="24"/>
                <w:color w:val="auto"/>
              </w:rPr>
            </w:pPr>
          </w:p>
        </w:tc>
        <w:tc>
          <w:tcPr>
            <w:tcW w:w="380" w:type="dxa"/>
            <w:vAlign w:val="bottom"/>
            <w:shd w:val="clear" w:color="auto" w:fill="F3F3F1"/>
          </w:tcPr>
          <w:p>
            <w:pPr>
              <w:spacing w:after="0"/>
              <w:rPr>
                <w:sz w:val="24"/>
                <w:szCs w:val="24"/>
                <w:color w:val="auto"/>
              </w:rPr>
            </w:pPr>
          </w:p>
        </w:tc>
        <w:tc>
          <w:tcPr>
            <w:tcW w:w="240" w:type="dxa"/>
            <w:vAlign w:val="bottom"/>
            <w:shd w:val="clear" w:color="auto" w:fill="F3F3F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-165735</wp:posOffset>
            </wp:positionV>
            <wp:extent cx="26822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2682240" cy="3683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-3101340</wp:posOffset>
            </wp:positionV>
            <wp:extent cx="281305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-2882265</wp:posOffset>
            </wp:positionV>
            <wp:extent cx="281305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-2567940</wp:posOffset>
            </wp:positionV>
            <wp:extent cx="281305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-2348865</wp:posOffset>
            </wp:positionV>
            <wp:extent cx="281305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-2129790</wp:posOffset>
            </wp:positionV>
            <wp:extent cx="281305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-1910715</wp:posOffset>
            </wp:positionV>
            <wp:extent cx="281305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-1691640</wp:posOffset>
            </wp:positionV>
            <wp:extent cx="281305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-1472565</wp:posOffset>
            </wp:positionV>
            <wp:extent cx="281305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-1253490</wp:posOffset>
            </wp:positionV>
            <wp:extent cx="281305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-1034415</wp:posOffset>
            </wp:positionV>
            <wp:extent cx="281305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-815340</wp:posOffset>
            </wp:positionV>
            <wp:extent cx="2813050"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2813050" cy="1270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-596265</wp:posOffset>
            </wp:positionV>
            <wp:extent cx="2813050"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2813050" cy="12700"/>
                    </a:xfrm>
                    <a:prstGeom prst="rect">
                      <a:avLst/>
                    </a:prstGeom>
                    <a:noFill/>
                  </pic:spPr>
                </pic:pic>
              </a:graphicData>
            </a:graphic>
          </wp:anchor>
        </w:drawing>
      </w:r>
    </w:p>
    <w:p>
      <w:pPr>
        <w:spacing w:after="0" w:line="180" w:lineRule="exact"/>
        <w:rPr>
          <w:sz w:val="20"/>
          <w:szCs w:val="20"/>
          <w:color w:val="auto"/>
        </w:rPr>
      </w:pPr>
    </w:p>
    <w:p>
      <w:pPr>
        <w:jc w:val="both"/>
        <w:spacing w:after="0" w:line="615" w:lineRule="auto"/>
        <w:rPr>
          <w:sz w:val="20"/>
          <w:szCs w:val="20"/>
          <w:color w:val="auto"/>
        </w:rPr>
      </w:pPr>
      <w:r>
        <w:rPr>
          <w:rFonts w:ascii="PMingLiU" w:cs="PMingLiU" w:eastAsia="PMingLiU" w:hAnsi="PMingLiU"/>
          <w:sz w:val="10"/>
          <w:szCs w:val="10"/>
          <w:i w:val="1"/>
          <w:iCs w:val="1"/>
          <w:color w:val="2D2C36"/>
        </w:rPr>
        <w:t>4 :/09 685&gt;? 9:(:,3,4: ;42,99 5:/,8=09, 04+0*(:,+ 58 :/, *54:,&gt;: 5:/,8=09, 8,7;08,9 (22 8,-,8,4*,9 :5 E(@@ !/(83(*,;:0*(29F E(@@F E5;8 536(4?FE=,FE;9F(4+E5;8F8,-,8:5(@@!/(83(*,;:0*(2962*(4+0:9*549520+(:,+9;)90+0(80,9,&gt;*,6:=/,4:/,*54:,&gt;:3(1,9*2,(8:/(: :/,:03,6,805+),04.8,-,8,4*,+0968058:5(4;(8?  04=/0*/*(9,9;*/:,839(8,8,-,8,4*,9:5(@@!/(83(*,;:0*(294*(4+0:9 *549520+(:,+ 9;)90+0(80,9 4 :/, @;8 ,8.,8 =, ),*(3, :/, 6(8,4: *536(4? 5- (4+ 9;**,9958 :5 (@@ !/(83(*,;:0*(29 4* =0:/ (@@ !/(83(*,;:0*(294*),*5304.5;8=/522?5=4,+9;)90+0(8?</w:t>
      </w:r>
    </w:p>
    <w:p>
      <w:pPr>
        <w:sectPr>
          <w:pgSz w:w="11880" w:h="15479" w:orient="portrait"/>
          <w:cols w:equalWidth="0" w:num="1">
            <w:col w:w="10120"/>
          </w:cols>
          <w:pgMar w:left="900" w:top="1440" w:right="859"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PMingLiU" w:cs="PMingLiU" w:eastAsia="PMingLiU" w:hAnsi="PMingLiU"/>
          <w:sz w:val="14"/>
          <w:szCs w:val="14"/>
          <w:color w:val="auto"/>
        </w:rPr>
        <w:t>&gt;7KLVSDJHLQWHQWLRQDOO\OHIWEODQN@</w:t>
      </w:r>
    </w:p>
    <w:p>
      <w:pPr>
        <w:sectPr>
          <w:pgSz w:w="11880" w:h="15479" w:orient="portrait"/>
          <w:cols w:equalWidth="0" w:num="1">
            <w:col w:w="8999"/>
          </w:cols>
          <w:pgMar w:left="1440" w:top="1440" w:right="1440" w:bottom="1440" w:gutter="0" w:footer="0" w:header="0"/>
        </w:sectPr>
      </w:pPr>
    </w:p>
    <w:bookmarkStart w:id="10" w:name="page11"/>
    <w:bookmarkEnd w:id="1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3UR[\6XPPDU\</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PMingLiU" w:cs="PMingLiU" w:eastAsia="PMingLiU" w:hAnsi="PMingLiU"/>
          <w:sz w:val="24"/>
          <w:szCs w:val="24"/>
          <w:b w:val="1"/>
          <w:bCs w:val="1"/>
          <w:color w:val="2D2C36"/>
        </w:rPr>
        <w:t>)25285$*072%(+(/'21-8/&lt;</w:t>
      </w: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color w:val="5C004D"/>
        </w:rPr>
        <w:t>*HQHUDO</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385326(2)285352;&lt;67$7(0(17$1'27+(5*(1(5$/,1)250$7,21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50"/>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rPr>
              <w:t>2XU%RDUGLVVROLFLWLQJSUR[LHVIRUXVHDWRXU$*02XUSUR[\VWDWHPHQW</w:t>
            </w: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900" w:type="dxa"/>
            <w:vAlign w:val="bottom"/>
            <w:vMerge w:val="continue"/>
          </w:tcPr>
          <w:p>
            <w:pPr>
              <w:spacing w:after="0"/>
              <w:rPr>
                <w:sz w:val="16"/>
                <w:szCs w:val="16"/>
                <w:color w:val="auto"/>
              </w:rPr>
            </w:pPr>
          </w:p>
        </w:tc>
        <w:tc>
          <w:tcPr>
            <w:tcW w:w="3180" w:type="dxa"/>
            <w:vAlign w:val="bottom"/>
            <w:shd w:val="clear" w:color="auto" w:fill="F3F3F1"/>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900" w:type="dxa"/>
            <w:vAlign w:val="bottom"/>
          </w:tcPr>
          <w:p>
            <w:pPr>
              <w:spacing w:after="0"/>
              <w:rPr>
                <w:sz w:val="20"/>
                <w:szCs w:val="20"/>
                <w:color w:val="auto"/>
              </w:rPr>
            </w:pPr>
            <w:r>
              <w:rPr>
                <w:rFonts w:ascii="PMingLiU" w:cs="PMingLiU" w:eastAsia="PMingLiU" w:hAnsi="PMingLiU"/>
                <w:sz w:val="18"/>
                <w:szCs w:val="18"/>
                <w:color w:val="auto"/>
                <w:w w:val="88"/>
              </w:rPr>
              <w:t>FRQWDLQVLPSRUWDQWLQIRUPDWLRQIRU\RXWRFRQVLGHUZKHQGHFLGLQJKRZWRYRWHRQ</w:t>
            </w:r>
          </w:p>
        </w:tc>
        <w:tc>
          <w:tcPr>
            <w:tcW w:w="3180" w:type="dxa"/>
            <w:vAlign w:val="bottom"/>
            <w:shd w:val="clear" w:color="auto" w:fill="F3F3F1"/>
          </w:tcPr>
          <w:p>
            <w:pPr>
              <w:ind w:left="280"/>
              <w:spacing w:after="0"/>
              <w:rPr>
                <w:sz w:val="20"/>
                <w:szCs w:val="20"/>
                <w:color w:val="auto"/>
              </w:rPr>
            </w:pPr>
            <w:r>
              <w:rPr>
                <w:rFonts w:ascii="PMingLiU" w:cs="PMingLiU" w:eastAsia="PMingLiU" w:hAnsi="PMingLiU"/>
                <w:sz w:val="20"/>
                <w:szCs w:val="20"/>
                <w:b w:val="1"/>
                <w:bCs w:val="1"/>
                <w:color w:val="2D2C36"/>
              </w:rPr>
              <w:t>&amp;$//72</w:t>
            </w: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WKHPDWWHUVEURXJKWEHIRUHRXU$*0&lt;RXVKRXOGUHDGRXUHQWLUHSUR[\</w:t>
            </w:r>
          </w:p>
        </w:tc>
        <w:tc>
          <w:tcPr>
            <w:tcW w:w="3180" w:type="dxa"/>
            <w:vAlign w:val="bottom"/>
            <w:vMerge w:val="restart"/>
            <w:shd w:val="clear" w:color="auto" w:fill="F3F3F1"/>
          </w:tcPr>
          <w:p>
            <w:pPr>
              <w:ind w:left="280"/>
              <w:spacing w:after="0"/>
              <w:rPr>
                <w:sz w:val="20"/>
                <w:szCs w:val="20"/>
                <w:color w:val="auto"/>
              </w:rPr>
            </w:pPr>
            <w:r>
              <w:rPr>
                <w:rFonts w:ascii="PMingLiU" w:cs="PMingLiU" w:eastAsia="PMingLiU" w:hAnsi="PMingLiU"/>
                <w:sz w:val="20"/>
                <w:szCs w:val="20"/>
                <w:b w:val="1"/>
                <w:bCs w:val="1"/>
                <w:color w:val="2D2C36"/>
              </w:rPr>
              <w:t>6+$5(+2/'(56</w:t>
            </w:r>
          </w:p>
        </w:tc>
        <w:tc>
          <w:tcPr>
            <w:tcW w:w="0" w:type="dxa"/>
            <w:vAlign w:val="bottom"/>
          </w:tcPr>
          <w:p>
            <w:pPr>
              <w:spacing w:after="0"/>
              <w:rPr>
                <w:sz w:val="1"/>
                <w:szCs w:val="1"/>
                <w:color w:val="auto"/>
              </w:rPr>
            </w:pPr>
          </w:p>
        </w:tc>
      </w:tr>
      <w:tr>
        <w:trPr>
          <w:trHeight w:val="119"/>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w w:val="87"/>
              </w:rPr>
              <w:t>VWDWHPHQWFDUHIXOO\EHIRUHYRWLQJ7KH1RWLFHRIRXUSUR[\PDWHULDOVZKLFKLQFOXGH</w:t>
            </w:r>
          </w:p>
        </w:tc>
        <w:tc>
          <w:tcPr>
            <w:tcW w:w="3180" w:type="dxa"/>
            <w:vAlign w:val="bottom"/>
            <w:vMerge w:val="continue"/>
            <w:shd w:val="clear" w:color="auto" w:fill="F3F3F1"/>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900" w:type="dxa"/>
            <w:vAlign w:val="bottom"/>
            <w:vMerge w:val="continue"/>
          </w:tcPr>
          <w:p>
            <w:pPr>
              <w:spacing w:after="0"/>
              <w:rPr>
                <w:sz w:val="10"/>
                <w:szCs w:val="10"/>
                <w:color w:val="auto"/>
              </w:rPr>
            </w:pPr>
          </w:p>
        </w:tc>
        <w:tc>
          <w:tcPr>
            <w:tcW w:w="3180" w:type="dxa"/>
            <w:vAlign w:val="bottom"/>
            <w:shd w:val="clear" w:color="auto" w:fill="F3F3F1"/>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6900" w:type="dxa"/>
            <w:vAlign w:val="bottom"/>
          </w:tcPr>
          <w:p>
            <w:pPr>
              <w:spacing w:after="0"/>
              <w:rPr>
                <w:sz w:val="20"/>
                <w:szCs w:val="20"/>
                <w:color w:val="auto"/>
              </w:rPr>
            </w:pPr>
            <w:r>
              <w:rPr>
                <w:rFonts w:ascii="PMingLiU" w:cs="PMingLiU" w:eastAsia="PMingLiU" w:hAnsi="PMingLiU"/>
                <w:sz w:val="18"/>
                <w:szCs w:val="18"/>
                <w:color w:val="auto"/>
                <w:w w:val="89"/>
              </w:rPr>
              <w:t>RXUSUR[\VWDWHPHQWRXUDQQXDOOHWWHUWRVKDUHKROGHUVDQGRXU$QQXDO5HSRUW</w:t>
            </w:r>
          </w:p>
        </w:tc>
        <w:tc>
          <w:tcPr>
            <w:tcW w:w="3180" w:type="dxa"/>
            <w:vAlign w:val="bottom"/>
            <w:shd w:val="clear" w:color="auto" w:fill="F3F3F1"/>
          </w:tcPr>
          <w:p>
            <w:pPr>
              <w:ind w:left="280"/>
              <w:spacing w:after="0"/>
              <w:rPr>
                <w:sz w:val="20"/>
                <w:szCs w:val="20"/>
                <w:color w:val="auto"/>
              </w:rPr>
            </w:pPr>
            <w:r>
              <w:rPr>
                <w:rFonts w:ascii="PMingLiU" w:cs="PMingLiU" w:eastAsia="PMingLiU" w:hAnsi="PMingLiU"/>
                <w:sz w:val="20"/>
                <w:szCs w:val="20"/>
                <w:color w:val="2D2C36"/>
              </w:rPr>
              <w:t>:HHQFRXUDJHDOO</w:t>
            </w: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RQ)RUP.LVILUVWEHLQJPDLOHGWRVKDUHKROGHUVRQRUDERXW-XQH2XU</w:t>
            </w:r>
          </w:p>
        </w:tc>
        <w:tc>
          <w:tcPr>
            <w:tcW w:w="3180" w:type="dxa"/>
            <w:vAlign w:val="bottom"/>
            <w:vMerge w:val="restart"/>
            <w:shd w:val="clear" w:color="auto" w:fill="F3F3F1"/>
          </w:tcPr>
          <w:p>
            <w:pPr>
              <w:ind w:left="280"/>
              <w:spacing w:after="0"/>
              <w:rPr>
                <w:sz w:val="20"/>
                <w:szCs w:val="20"/>
                <w:color w:val="auto"/>
              </w:rPr>
            </w:pPr>
            <w:r>
              <w:rPr>
                <w:rFonts w:ascii="PMingLiU" w:cs="PMingLiU" w:eastAsia="PMingLiU" w:hAnsi="PMingLiU"/>
                <w:sz w:val="20"/>
                <w:szCs w:val="20"/>
                <w:color w:val="2D2C36"/>
                <w:w w:val="96"/>
              </w:rPr>
              <w:t>VKDUHKROGHUVWRHQUROOLQ</w:t>
            </w:r>
          </w:p>
        </w:tc>
        <w:tc>
          <w:tcPr>
            <w:tcW w:w="0" w:type="dxa"/>
            <w:vAlign w:val="bottom"/>
          </w:tcPr>
          <w:p>
            <w:pPr>
              <w:spacing w:after="0"/>
              <w:rPr>
                <w:sz w:val="1"/>
                <w:szCs w:val="1"/>
                <w:color w:val="auto"/>
              </w:rPr>
            </w:pPr>
          </w:p>
        </w:tc>
      </w:tr>
      <w:tr>
        <w:trPr>
          <w:trHeight w:val="91"/>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w w:val="92"/>
              </w:rPr>
              <w:t>SUR[\PDWHULDOVDUHDOVRDYDLODEOHRQOLQHDWKWWSVPDWHULDOVSUR[\YRWHFRP</w:t>
            </w:r>
          </w:p>
        </w:tc>
        <w:tc>
          <w:tcPr>
            <w:tcW w:w="3180" w:type="dxa"/>
            <w:vAlign w:val="bottom"/>
            <w:vMerge w:val="continue"/>
            <w:shd w:val="clear" w:color="auto" w:fill="F3F3F1"/>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900" w:type="dxa"/>
            <w:vAlign w:val="bottom"/>
            <w:vMerge w:val="continue"/>
          </w:tcPr>
          <w:p>
            <w:pPr>
              <w:spacing w:after="0"/>
              <w:rPr>
                <w:sz w:val="12"/>
                <w:szCs w:val="12"/>
                <w:color w:val="auto"/>
              </w:rPr>
            </w:pPr>
          </w:p>
        </w:tc>
        <w:tc>
          <w:tcPr>
            <w:tcW w:w="3180" w:type="dxa"/>
            <w:vAlign w:val="bottom"/>
            <w:vMerge w:val="restart"/>
            <w:shd w:val="clear" w:color="auto" w:fill="F3F3F1"/>
          </w:tcPr>
          <w:p>
            <w:pPr>
              <w:ind w:left="280"/>
              <w:spacing w:after="0"/>
              <w:rPr>
                <w:sz w:val="20"/>
                <w:szCs w:val="20"/>
                <w:color w:val="auto"/>
              </w:rPr>
            </w:pPr>
            <w:r>
              <w:rPr>
                <w:rFonts w:ascii="PMingLiU" w:cs="PMingLiU" w:eastAsia="PMingLiU" w:hAnsi="PMingLiU"/>
                <w:sz w:val="20"/>
                <w:szCs w:val="20"/>
                <w:color w:val="2D2C36"/>
              </w:rPr>
              <w:t>HGHOLYHU\DVDVLPSOHU</w:t>
            </w:r>
          </w:p>
        </w:tc>
        <w:tc>
          <w:tcPr>
            <w:tcW w:w="0" w:type="dxa"/>
            <w:vAlign w:val="bottom"/>
          </w:tcPr>
          <w:p>
            <w:pPr>
              <w:spacing w:after="0"/>
              <w:rPr>
                <w:sz w:val="1"/>
                <w:szCs w:val="1"/>
                <w:color w:val="auto"/>
              </w:rPr>
            </w:pPr>
          </w:p>
        </w:tc>
      </w:tr>
      <w:tr>
        <w:trPr>
          <w:trHeight w:val="142"/>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rPr>
              <w:t>*7KHVSHFLILFSURSRVDOVWREHFRQVLGHUHGDQGDFWHGXSRQDWRXU</w:t>
            </w:r>
          </w:p>
        </w:tc>
        <w:tc>
          <w:tcPr>
            <w:tcW w:w="3180" w:type="dxa"/>
            <w:vAlign w:val="bottom"/>
            <w:vMerge w:val="continue"/>
            <w:shd w:val="clear" w:color="auto" w:fill="F3F3F1"/>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6900" w:type="dxa"/>
            <w:vAlign w:val="bottom"/>
            <w:vMerge w:val="continue"/>
          </w:tcPr>
          <w:p>
            <w:pPr>
              <w:spacing w:after="0"/>
              <w:rPr>
                <w:sz w:val="8"/>
                <w:szCs w:val="8"/>
                <w:color w:val="auto"/>
              </w:rPr>
            </w:pPr>
          </w:p>
        </w:tc>
        <w:tc>
          <w:tcPr>
            <w:tcW w:w="3180" w:type="dxa"/>
            <w:vAlign w:val="bottom"/>
            <w:vMerge w:val="restart"/>
            <w:shd w:val="clear" w:color="auto" w:fill="F3F3F1"/>
          </w:tcPr>
          <w:p>
            <w:pPr>
              <w:ind w:left="280"/>
              <w:spacing w:after="0"/>
              <w:rPr>
                <w:sz w:val="20"/>
                <w:szCs w:val="20"/>
                <w:color w:val="auto"/>
              </w:rPr>
            </w:pPr>
            <w:r>
              <w:rPr>
                <w:rFonts w:ascii="PMingLiU" w:cs="PMingLiU" w:eastAsia="PMingLiU" w:hAnsi="PMingLiU"/>
                <w:sz w:val="20"/>
                <w:szCs w:val="20"/>
                <w:color w:val="2D2C36"/>
              </w:rPr>
              <w:t>VSHHGLHUDQGPRUHFRVW</w:t>
            </w:r>
          </w:p>
        </w:tc>
        <w:tc>
          <w:tcPr>
            <w:tcW w:w="0" w:type="dxa"/>
            <w:vAlign w:val="bottom"/>
          </w:tcPr>
          <w:p>
            <w:pPr>
              <w:spacing w:after="0"/>
              <w:rPr>
                <w:sz w:val="1"/>
                <w:szCs w:val="1"/>
                <w:color w:val="auto"/>
              </w:rPr>
            </w:pPr>
          </w:p>
        </w:tc>
      </w:tr>
      <w:tr>
        <w:trPr>
          <w:trHeight w:val="217"/>
        </w:trPr>
        <w:tc>
          <w:tcPr>
            <w:tcW w:w="6900" w:type="dxa"/>
            <w:vAlign w:val="bottom"/>
          </w:tcPr>
          <w:p>
            <w:pPr>
              <w:spacing w:after="0"/>
              <w:rPr>
                <w:sz w:val="20"/>
                <w:szCs w:val="20"/>
                <w:color w:val="auto"/>
              </w:rPr>
            </w:pPr>
            <w:r>
              <w:rPr>
                <w:rFonts w:ascii="PMingLiU" w:cs="PMingLiU" w:eastAsia="PMingLiU" w:hAnsi="PMingLiU"/>
                <w:sz w:val="18"/>
                <w:szCs w:val="18"/>
                <w:color w:val="auto"/>
              </w:rPr>
              <w:t>$*0DUHVXPPDUL]HGLQWKHDFFRPSDQ\LQJ1RWLFHRIRXU$*0(DFK</w:t>
            </w:r>
          </w:p>
        </w:tc>
        <w:tc>
          <w:tcPr>
            <w:tcW w:w="3180" w:type="dxa"/>
            <w:vAlign w:val="bottom"/>
            <w:vMerge w:val="continue"/>
            <w:shd w:val="clear" w:color="auto" w:fill="F3F3F1"/>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900" w:type="dxa"/>
            <w:vAlign w:val="bottom"/>
          </w:tcPr>
          <w:p>
            <w:pPr>
              <w:spacing w:after="0"/>
              <w:rPr>
                <w:sz w:val="20"/>
                <w:szCs w:val="20"/>
                <w:color w:val="auto"/>
              </w:rPr>
            </w:pPr>
            <w:r>
              <w:rPr>
                <w:rFonts w:ascii="PMingLiU" w:cs="PMingLiU" w:eastAsia="PMingLiU" w:hAnsi="PMingLiU"/>
                <w:sz w:val="18"/>
                <w:szCs w:val="18"/>
                <w:color w:val="auto"/>
              </w:rPr>
              <w:t>SURSRVDOLVGHVFULEHGLQPRUHGHWDLOLQRXUSUR[\VWDWHPHQW</w:t>
            </w:r>
          </w:p>
        </w:tc>
        <w:tc>
          <w:tcPr>
            <w:tcW w:w="3180" w:type="dxa"/>
            <w:vAlign w:val="bottom"/>
            <w:shd w:val="clear" w:color="auto" w:fill="F3F3F1"/>
          </w:tcPr>
          <w:p>
            <w:pPr>
              <w:ind w:left="280"/>
              <w:spacing w:after="0"/>
              <w:rPr>
                <w:sz w:val="20"/>
                <w:szCs w:val="20"/>
                <w:color w:val="auto"/>
              </w:rPr>
            </w:pPr>
            <w:r>
              <w:rPr>
                <w:rFonts w:ascii="PMingLiU" w:cs="PMingLiU" w:eastAsia="PMingLiU" w:hAnsi="PMingLiU"/>
                <w:sz w:val="20"/>
                <w:szCs w:val="20"/>
                <w:color w:val="2D2C36"/>
              </w:rPr>
              <w:t>HIIHFWLYHZD\WRUHFHLYH</w:t>
            </w:r>
          </w:p>
        </w:tc>
        <w:tc>
          <w:tcPr>
            <w:tcW w:w="0" w:type="dxa"/>
            <w:vAlign w:val="bottom"/>
          </w:tcPr>
          <w:p>
            <w:pPr>
              <w:spacing w:after="0"/>
              <w:rPr>
                <w:sz w:val="1"/>
                <w:szCs w:val="1"/>
                <w:color w:val="auto"/>
              </w:rPr>
            </w:pPr>
          </w:p>
        </w:tc>
      </w:tr>
      <w:tr>
        <w:trPr>
          <w:trHeight w:val="290"/>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w w:val="90"/>
              </w:rPr>
              <w:t>7KLVVROLFLWDWLRQLVPDGHRQEHKDOIRIRXU%RDUGDQGDOOVROLFLWDWLRQH[SHQVHV</w:t>
            </w:r>
          </w:p>
        </w:tc>
        <w:tc>
          <w:tcPr>
            <w:tcW w:w="3180" w:type="dxa"/>
            <w:vAlign w:val="bottom"/>
            <w:shd w:val="clear" w:color="auto" w:fill="F3F3F1"/>
          </w:tcPr>
          <w:p>
            <w:pPr>
              <w:ind w:left="280"/>
              <w:spacing w:after="0"/>
              <w:rPr>
                <w:sz w:val="20"/>
                <w:szCs w:val="20"/>
                <w:color w:val="auto"/>
              </w:rPr>
            </w:pPr>
            <w:r>
              <w:rPr>
                <w:rFonts w:ascii="PMingLiU" w:cs="PMingLiU" w:eastAsia="PMingLiU" w:hAnsi="PMingLiU"/>
                <w:sz w:val="20"/>
                <w:szCs w:val="20"/>
                <w:color w:val="2D2C36"/>
              </w:rPr>
              <w:t>SUR[\PDWHULDOV6LJQXS</w:t>
            </w:r>
          </w:p>
        </w:tc>
        <w:tc>
          <w:tcPr>
            <w:tcW w:w="0" w:type="dxa"/>
            <w:vAlign w:val="bottom"/>
          </w:tcPr>
          <w:p>
            <w:pPr>
              <w:spacing w:after="0"/>
              <w:rPr>
                <w:sz w:val="1"/>
                <w:szCs w:val="1"/>
                <w:color w:val="auto"/>
              </w:rPr>
            </w:pPr>
          </w:p>
        </w:tc>
      </w:tr>
      <w:tr>
        <w:trPr>
          <w:trHeight w:val="126"/>
        </w:trPr>
        <w:tc>
          <w:tcPr>
            <w:tcW w:w="6900" w:type="dxa"/>
            <w:vAlign w:val="bottom"/>
            <w:vMerge w:val="continue"/>
          </w:tcPr>
          <w:p>
            <w:pPr>
              <w:spacing w:after="0"/>
              <w:rPr>
                <w:sz w:val="10"/>
                <w:szCs w:val="10"/>
                <w:color w:val="auto"/>
              </w:rPr>
            </w:pPr>
          </w:p>
        </w:tc>
        <w:tc>
          <w:tcPr>
            <w:tcW w:w="3180" w:type="dxa"/>
            <w:vAlign w:val="bottom"/>
            <w:vMerge w:val="restart"/>
            <w:shd w:val="clear" w:color="auto" w:fill="F3F3F1"/>
          </w:tcPr>
          <w:p>
            <w:pPr>
              <w:ind w:left="280"/>
              <w:spacing w:after="0"/>
              <w:rPr>
                <w:sz w:val="20"/>
                <w:szCs w:val="20"/>
                <w:color w:val="auto"/>
              </w:rPr>
            </w:pPr>
            <w:r>
              <w:rPr>
                <w:rFonts w:ascii="PMingLiU" w:cs="PMingLiU" w:eastAsia="PMingLiU" w:hAnsi="PMingLiU"/>
                <w:sz w:val="20"/>
                <w:szCs w:val="20"/>
                <w:color w:val="2D2C36"/>
              </w:rPr>
              <w:t>KHUHZZZSUR[\YRWHFRP</w:t>
            </w:r>
          </w:p>
        </w:tc>
        <w:tc>
          <w:tcPr>
            <w:tcW w:w="0" w:type="dxa"/>
            <w:vAlign w:val="bottom"/>
          </w:tcPr>
          <w:p>
            <w:pPr>
              <w:spacing w:after="0"/>
              <w:rPr>
                <w:sz w:val="1"/>
                <w:szCs w:val="1"/>
                <w:color w:val="auto"/>
              </w:rPr>
            </w:pPr>
          </w:p>
        </w:tc>
      </w:tr>
      <w:tr>
        <w:trPr>
          <w:trHeight w:val="164"/>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w w:val="89"/>
              </w:rPr>
              <w:t>LQFOXGLQJFRVWVRISUHSDULQJDVVHPEOLQJDQGPDLOLQJSUR[\PDWHULDOVDQGQRWLFHV</w:t>
            </w:r>
          </w:p>
        </w:tc>
        <w:tc>
          <w:tcPr>
            <w:tcW w:w="3180" w:type="dxa"/>
            <w:vAlign w:val="bottom"/>
            <w:vMerge w:val="continue"/>
            <w:shd w:val="clear" w:color="auto" w:fill="F3F3F1"/>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900" w:type="dxa"/>
            <w:vAlign w:val="bottom"/>
            <w:vMerge w:val="continue"/>
          </w:tcPr>
          <w:p>
            <w:pPr>
              <w:spacing w:after="0"/>
              <w:rPr>
                <w:sz w:val="6"/>
                <w:szCs w:val="6"/>
                <w:color w:val="auto"/>
              </w:rPr>
            </w:pPr>
          </w:p>
        </w:tc>
        <w:tc>
          <w:tcPr>
            <w:tcW w:w="3180" w:type="dxa"/>
            <w:vAlign w:val="bottom"/>
            <w:shd w:val="clear" w:color="auto" w:fill="F3F3F1"/>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ZLOOEHERUQHE\XV:HKDYHDOVRUHWDLQHG$OOLDQFH$GYLVRUV//&amp;DSUR[\</w:t>
            </w:r>
          </w:p>
        </w:tc>
        <w:tc>
          <w:tcPr>
            <w:tcW w:w="3180" w:type="dxa"/>
            <w:vAlign w:val="bottom"/>
            <w:shd w:val="clear" w:color="auto" w:fill="F3F3F1"/>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900" w:type="dxa"/>
            <w:vAlign w:val="bottom"/>
            <w:vMerge w:val="restart"/>
          </w:tcPr>
          <w:p>
            <w:pPr>
              <w:spacing w:after="0"/>
              <w:rPr>
                <w:sz w:val="20"/>
                <w:szCs w:val="20"/>
                <w:color w:val="auto"/>
              </w:rPr>
            </w:pPr>
            <w:r>
              <w:rPr>
                <w:rFonts w:ascii="PMingLiU" w:cs="PMingLiU" w:eastAsia="PMingLiU" w:hAnsi="PMingLiU"/>
                <w:sz w:val="18"/>
                <w:szCs w:val="18"/>
                <w:color w:val="auto"/>
                <w:w w:val="85"/>
              </w:rPr>
              <w:t>VROLFLWDWLRQILUPWRDVVLVWLQWKHVROLFLWDWLRQRISUR[LHVIRUDIHHRIDSSUR[LPDWHO\</w:t>
            </w:r>
          </w:p>
        </w:tc>
        <w:tc>
          <w:tcPr>
            <w:tcW w:w="3180" w:type="dxa"/>
            <w:vAlign w:val="bottom"/>
            <w:shd w:val="clear" w:color="auto" w:fill="F3F3F1"/>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90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SOXVUHLPEXUVHPHQWRIH[SHQVHV,QDGGLWLRQWRRXUSUR[\PDWHULDOVRXU</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w w:val="94"/>
              </w:rPr>
              <w:t>SUR[\VROLFLWRUGLUHFWRUVDQGHPSOR\HHVPD\DOVRVROLFLWSUR[LHVLQSHUVRQE\</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w w:val="91"/>
              </w:rPr>
              <w:t>WHOHSKRQHRUE\RWKHUPHDQVRIFRPPXQLFDWLRQ'LUHFWRUVDQGHPSOR\HHVZLOOQRW</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w w:val="90"/>
              </w:rPr>
              <w:t>EHSDLGDQ\DGGLWLRQDOFRPSHQVDWLRQIRUVROLFLWLQJSUR[LHV:HPD\DOVRUHLPEXUVH</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w w:val="88"/>
              </w:rPr>
              <w:t>EURNHUDJHILUPVEDQNVDQGRWKHUDJHQWVIRUWKHFRVWRIIRUZDUGLQJSUR[\PDWHULDOV</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WREHQHILFLDORZQHUV</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900" w:type="dxa"/>
            <w:vAlign w:val="bottom"/>
          </w:tcPr>
          <w:p>
            <w:pPr>
              <w:spacing w:after="0"/>
              <w:rPr>
                <w:sz w:val="20"/>
                <w:szCs w:val="20"/>
                <w:color w:val="auto"/>
              </w:rPr>
            </w:pPr>
            <w:r>
              <w:rPr>
                <w:rFonts w:ascii="PMingLiU" w:cs="PMingLiU" w:eastAsia="PMingLiU" w:hAnsi="PMingLiU"/>
                <w:sz w:val="18"/>
                <w:szCs w:val="18"/>
                <w:color w:val="auto"/>
              </w:rPr>
              <w:t>2XU%RDUGKDVVHWWKHFORVHRIEXVLQHVVRQ0D\DVWKHUHFRUGGDWHIRU</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RXU$*06KDUHKROGHUVRIUHFRUGZKRRZQRXURUGLQDU\VKDUHVRQWKDWGDWH</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w w:val="89"/>
              </w:rPr>
              <w:t>DUHHQWLWOHGWRYRWHDWDQGDWWHQGRXU$*0(DFKRUGLQDU\VKDUHLVHQWLWOHGWR</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RQHYRWH7KHUHZHUHRIRXURUGLQDU\VKDUHVRXWVWDQGLQJDQGHQWLWOHG</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PMingLiU" w:cs="PMingLiU" w:eastAsia="PMingLiU" w:hAnsi="PMingLiU"/>
                <w:sz w:val="18"/>
                <w:szCs w:val="18"/>
                <w:color w:val="auto"/>
              </w:rPr>
              <w:t>WRYRWHRQWKHUHFRUGGDWH</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-1991360</wp:posOffset>
            </wp:positionV>
            <wp:extent cx="165735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1657350" cy="3746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2301875</wp:posOffset>
            </wp:positionV>
            <wp:extent cx="1386840" cy="233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520"/>
        <w:spacing w:after="0"/>
        <w:tabs>
          <w:tab w:leader="none" w:pos="99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1440" w:right="899" w:bottom="0" w:gutter="0" w:footer="0" w:header="0"/>
        </w:sectPr>
      </w:pPr>
    </w:p>
    <w:bookmarkStart w:id="11" w:name="page12"/>
    <w:bookmarkEnd w:id="1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057275" cy="4191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7275" cy="419100"/>
                        </a:xfrm>
                        <a:prstGeom prst="rect">
                          <a:avLst/>
                        </a:prstGeom>
                        <a:solidFill>
                          <a:srgbClr val="5C004D"/>
                        </a:solidFill>
                      </wps:spPr>
                      <wps:bodyPr/>
                    </wps:wsp>
                  </a:graphicData>
                </a:graphic>
              </wp:anchor>
            </w:drawing>
          </mc:Choice>
          <mc:Fallback>
            <w:pict>
              <v:rect id="Shape 38" o:spid="_x0000_s1063" style="position:absolute;margin-left:44.85pt;margin-top:0.1pt;width:83.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352;&lt;6800$5&lt;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9RWLQJ5RDGPDS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1360" w:type="dxa"/>
            <w:vAlign w:val="bottom"/>
            <w:shd w:val="clear" w:color="auto" w:fill="000046"/>
          </w:tcPr>
          <w:p>
            <w:pPr>
              <w:jc w:val="right"/>
              <w:ind w:right="80"/>
              <w:spacing w:after="0"/>
              <w:rPr>
                <w:sz w:val="20"/>
                <w:szCs w:val="20"/>
                <w:color w:val="auto"/>
              </w:rPr>
            </w:pPr>
            <w:r>
              <w:rPr>
                <w:rFonts w:ascii="PMingLiU" w:cs="PMingLiU" w:eastAsia="PMingLiU" w:hAnsi="PMingLiU"/>
                <w:sz w:val="16"/>
                <w:szCs w:val="16"/>
                <w:b w:val="1"/>
                <w:bCs w:val="1"/>
                <w:color w:val="FFFFFF"/>
              </w:rPr>
              <w:t>352326$/</w:t>
            </w:r>
          </w:p>
        </w:tc>
        <w:tc>
          <w:tcPr>
            <w:tcW w:w="7340" w:type="dxa"/>
            <w:vAlign w:val="bottom"/>
            <w:shd w:val="clear" w:color="auto" w:fill="000046"/>
          </w:tcPr>
          <w:p>
            <w:pPr>
              <w:ind w:left="220"/>
              <w:spacing w:after="0"/>
              <w:rPr>
                <w:sz w:val="20"/>
                <w:szCs w:val="20"/>
                <w:color w:val="auto"/>
              </w:rPr>
            </w:pPr>
            <w:r>
              <w:rPr>
                <w:rFonts w:ascii="PMingLiU" w:cs="PMingLiU" w:eastAsia="PMingLiU" w:hAnsi="PMingLiU"/>
                <w:sz w:val="28"/>
                <w:szCs w:val="28"/>
                <w:color w:val="FFFFFF"/>
              </w:rPr>
              <w:t>(OHFWLRQRI'LUHFWRUV</w:t>
            </w:r>
          </w:p>
        </w:tc>
        <w:tc>
          <w:tcPr>
            <w:tcW w:w="1380" w:type="dxa"/>
            <w:vAlign w:val="bottom"/>
            <w:shd w:val="clear" w:color="auto" w:fill="000046"/>
          </w:tcPr>
          <w:p>
            <w:pPr>
              <w:spacing w:after="0"/>
              <w:rPr>
                <w:sz w:val="24"/>
                <w:szCs w:val="24"/>
                <w:color w:val="auto"/>
              </w:rPr>
            </w:pPr>
          </w:p>
        </w:tc>
      </w:tr>
      <w:tr>
        <w:trPr>
          <w:trHeight w:val="548"/>
        </w:trPr>
        <w:tc>
          <w:tcPr>
            <w:tcW w:w="1360" w:type="dxa"/>
            <w:vAlign w:val="bottom"/>
            <w:shd w:val="clear" w:color="auto" w:fill="000046"/>
          </w:tcPr>
          <w:p>
            <w:pPr>
              <w:jc w:val="right"/>
              <w:ind w:right="380"/>
              <w:spacing w:after="0" w:line="547" w:lineRule="exact"/>
              <w:rPr>
                <w:sz w:val="20"/>
                <w:szCs w:val="20"/>
                <w:color w:val="auto"/>
              </w:rPr>
            </w:pPr>
            <w:r>
              <w:rPr>
                <w:rFonts w:ascii="PMingLiU" w:cs="PMingLiU" w:eastAsia="PMingLiU" w:hAnsi="PMingLiU"/>
                <w:sz w:val="48"/>
                <w:szCs w:val="48"/>
                <w:color w:val="FFFFFF"/>
              </w:rPr>
              <w:t/>
            </w:r>
          </w:p>
        </w:tc>
        <w:tc>
          <w:tcPr>
            <w:tcW w:w="7340" w:type="dxa"/>
            <w:vAlign w:val="bottom"/>
            <w:shd w:val="clear" w:color="auto" w:fill="000046"/>
          </w:tcPr>
          <w:p>
            <w:pPr>
              <w:ind w:left="820"/>
              <w:spacing w:after="0"/>
              <w:rPr>
                <w:sz w:val="20"/>
                <w:szCs w:val="20"/>
                <w:color w:val="auto"/>
              </w:rPr>
            </w:pPr>
            <w:r>
              <w:rPr>
                <w:rFonts w:ascii="PMingLiU" w:cs="PMingLiU" w:eastAsia="PMingLiU" w:hAnsi="PMingLiU"/>
                <w:sz w:val="16"/>
                <w:szCs w:val="16"/>
                <w:b w:val="1"/>
                <w:bCs w:val="1"/>
                <w:color w:val="FFFFFF"/>
              </w:rPr>
              <w:t>285%2$5'5(&amp;200(1'6$927(³)25´($&amp;+',5(&amp;725120,1((1$0('</w:t>
            </w:r>
          </w:p>
        </w:tc>
        <w:tc>
          <w:tcPr>
            <w:tcW w:w="1380" w:type="dxa"/>
            <w:vAlign w:val="bottom"/>
            <w:shd w:val="clear" w:color="auto" w:fill="000046"/>
          </w:tcPr>
          <w:p>
            <w:pPr>
              <w:ind w:left="320"/>
              <w:spacing w:after="0"/>
              <w:rPr>
                <w:sz w:val="20"/>
                <w:szCs w:val="20"/>
                <w:color w:val="auto"/>
              </w:rPr>
            </w:pPr>
            <w:r>
              <w:rPr>
                <w:rFonts w:ascii="PMingLiU" w:cs="PMingLiU" w:eastAsia="PMingLiU" w:hAnsi="PMingLiU"/>
                <w:sz w:val="16"/>
                <w:szCs w:val="16"/>
                <w:color w:val="FFFFFF"/>
              </w:rPr>
              <w:t>6HHSDJH</w:t>
            </w:r>
          </w:p>
        </w:tc>
      </w:tr>
      <w:tr>
        <w:trPr>
          <w:trHeight w:val="221"/>
        </w:trPr>
        <w:tc>
          <w:tcPr>
            <w:tcW w:w="1360" w:type="dxa"/>
            <w:vAlign w:val="bottom"/>
            <w:shd w:val="clear" w:color="auto" w:fill="000046"/>
          </w:tcPr>
          <w:p>
            <w:pPr>
              <w:spacing w:after="0"/>
              <w:rPr>
                <w:sz w:val="19"/>
                <w:szCs w:val="19"/>
                <w:color w:val="auto"/>
              </w:rPr>
            </w:pPr>
          </w:p>
        </w:tc>
        <w:tc>
          <w:tcPr>
            <w:tcW w:w="7340" w:type="dxa"/>
            <w:vAlign w:val="bottom"/>
            <w:shd w:val="clear" w:color="auto" w:fill="000046"/>
          </w:tcPr>
          <w:p>
            <w:pPr>
              <w:ind w:left="820"/>
              <w:spacing w:after="0"/>
              <w:rPr>
                <w:sz w:val="20"/>
                <w:szCs w:val="20"/>
                <w:color w:val="auto"/>
              </w:rPr>
            </w:pPr>
            <w:r>
              <w:rPr>
                <w:rFonts w:ascii="PMingLiU" w:cs="PMingLiU" w:eastAsia="PMingLiU" w:hAnsi="PMingLiU"/>
                <w:sz w:val="16"/>
                <w:szCs w:val="16"/>
                <w:b w:val="1"/>
                <w:bCs w:val="1"/>
                <w:color w:val="FFFFFF"/>
              </w:rPr>
              <w:t>+(5(,1</w:t>
            </w:r>
          </w:p>
        </w:tc>
        <w:tc>
          <w:tcPr>
            <w:tcW w:w="1380" w:type="dxa"/>
            <w:vAlign w:val="bottom"/>
            <w:shd w:val="clear" w:color="auto" w:fill="000046"/>
          </w:tcPr>
          <w:p>
            <w:pPr>
              <w:spacing w:after="0"/>
              <w:rPr>
                <w:sz w:val="19"/>
                <w:szCs w:val="19"/>
                <w:color w:val="auto"/>
              </w:rPr>
            </w:pPr>
          </w:p>
        </w:tc>
      </w:tr>
      <w:tr>
        <w:trPr>
          <w:trHeight w:val="200"/>
        </w:trPr>
        <w:tc>
          <w:tcPr>
            <w:tcW w:w="1360" w:type="dxa"/>
            <w:vAlign w:val="bottom"/>
            <w:shd w:val="clear" w:color="auto" w:fill="000046"/>
          </w:tcPr>
          <w:p>
            <w:pPr>
              <w:spacing w:after="0"/>
              <w:rPr>
                <w:sz w:val="17"/>
                <w:szCs w:val="17"/>
                <w:color w:val="auto"/>
              </w:rPr>
            </w:pPr>
          </w:p>
        </w:tc>
        <w:tc>
          <w:tcPr>
            <w:tcW w:w="7340" w:type="dxa"/>
            <w:vAlign w:val="bottom"/>
            <w:shd w:val="clear" w:color="auto" w:fill="000046"/>
          </w:tcPr>
          <w:p>
            <w:pPr>
              <w:spacing w:after="0"/>
              <w:rPr>
                <w:sz w:val="17"/>
                <w:szCs w:val="17"/>
                <w:color w:val="auto"/>
              </w:rPr>
            </w:pPr>
          </w:p>
        </w:tc>
        <w:tc>
          <w:tcPr>
            <w:tcW w:w="1380" w:type="dxa"/>
            <w:vAlign w:val="bottom"/>
            <w:shd w:val="clear" w:color="auto" w:fill="00004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-394335</wp:posOffset>
            </wp:positionV>
            <wp:extent cx="237490" cy="237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-175260</wp:posOffset>
            </wp:positionV>
            <wp:extent cx="5600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560070" cy="368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173355</wp:posOffset>
            </wp:positionV>
            <wp:extent cx="685800" cy="685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173355</wp:posOffset>
            </wp:positionV>
            <wp:extent cx="685800" cy="68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173355</wp:posOffset>
            </wp:positionV>
            <wp:extent cx="685800" cy="685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20"/>
        <w:spacing w:after="0"/>
        <w:tabs>
          <w:tab w:leader="none" w:pos="4040" w:val="left"/>
          <w:tab w:leader="none" w:pos="7560" w:val="left"/>
        </w:tabs>
        <w:rPr>
          <w:sz w:val="20"/>
          <w:szCs w:val="20"/>
          <w:color w:val="auto"/>
        </w:rPr>
      </w:pPr>
      <w:r>
        <w:rPr>
          <w:rFonts w:ascii="PMingLiU" w:cs="PMingLiU" w:eastAsia="PMingLiU" w:hAnsi="PMingLiU"/>
          <w:sz w:val="18"/>
          <w:szCs w:val="18"/>
          <w:b w:val="1"/>
          <w:bCs w:val="1"/>
          <w:color w:val="000046"/>
        </w:rPr>
        <w:t>%UXFH&amp;&amp;R]DGG</w:t>
      </w:r>
      <w:r>
        <w:rPr>
          <w:sz w:val="20"/>
          <w:szCs w:val="20"/>
          <w:color w:val="auto"/>
        </w:rPr>
        <w:tab/>
      </w:r>
      <w:r>
        <w:rPr>
          <w:rFonts w:ascii="PMingLiU" w:cs="PMingLiU" w:eastAsia="PMingLiU" w:hAnsi="PMingLiU"/>
          <w:sz w:val="18"/>
          <w:szCs w:val="18"/>
          <w:b w:val="1"/>
          <w:bCs w:val="1"/>
          <w:color w:val="000046"/>
        </w:rPr>
        <w:t>+HDWKHU$QQ0F6KDUU\</w:t>
      </w:r>
      <w:r>
        <w:rPr>
          <w:sz w:val="20"/>
          <w:szCs w:val="20"/>
          <w:color w:val="auto"/>
        </w:rPr>
        <w:tab/>
      </w:r>
      <w:r>
        <w:rPr>
          <w:rFonts w:ascii="PMingLiU" w:cs="PMingLiU" w:eastAsia="PMingLiU" w:hAnsi="PMingLiU"/>
          <w:sz w:val="18"/>
          <w:szCs w:val="18"/>
          <w:b w:val="1"/>
          <w:bCs w:val="1"/>
          <w:color w:val="000046"/>
        </w:rPr>
        <w:t>5LFN(:LQQLQJKDP</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1360" w:type="dxa"/>
            <w:vAlign w:val="bottom"/>
            <w:shd w:val="clear" w:color="auto" w:fill="4454A7"/>
          </w:tcPr>
          <w:p>
            <w:pPr>
              <w:jc w:val="right"/>
              <w:ind w:right="80"/>
              <w:spacing w:after="0"/>
              <w:rPr>
                <w:sz w:val="20"/>
                <w:szCs w:val="20"/>
                <w:color w:val="auto"/>
              </w:rPr>
            </w:pPr>
            <w:r>
              <w:rPr>
                <w:rFonts w:ascii="PMingLiU" w:cs="PMingLiU" w:eastAsia="PMingLiU" w:hAnsi="PMingLiU"/>
                <w:sz w:val="16"/>
                <w:szCs w:val="16"/>
                <w:b w:val="1"/>
                <w:bCs w:val="1"/>
                <w:color w:val="FFFFFF"/>
              </w:rPr>
              <w:t>352326$/</w:t>
            </w:r>
          </w:p>
        </w:tc>
        <w:tc>
          <w:tcPr>
            <w:tcW w:w="8720" w:type="dxa"/>
            <w:vAlign w:val="bottom"/>
            <w:gridSpan w:val="2"/>
            <w:shd w:val="clear" w:color="auto" w:fill="4454A7"/>
          </w:tcPr>
          <w:p>
            <w:pPr>
              <w:ind w:left="220"/>
              <w:spacing w:after="0"/>
              <w:rPr>
                <w:sz w:val="20"/>
                <w:szCs w:val="20"/>
                <w:color w:val="auto"/>
              </w:rPr>
            </w:pPr>
            <w:r>
              <w:rPr>
                <w:rFonts w:ascii="PMingLiU" w:cs="PMingLiU" w:eastAsia="PMingLiU" w:hAnsi="PMingLiU"/>
                <w:sz w:val="28"/>
                <w:szCs w:val="28"/>
                <w:color w:val="FFFFFF"/>
                <w:w w:val="94"/>
              </w:rPr>
              <w:t>5DWLI\WKH$SSRLQWPHQWDQG$SSURYH5HPXQHUDWLRQRI$XGLWRU</w:t>
            </w:r>
          </w:p>
        </w:tc>
      </w:tr>
      <w:tr>
        <w:trPr>
          <w:trHeight w:val="646"/>
        </w:trPr>
        <w:tc>
          <w:tcPr>
            <w:tcW w:w="1360" w:type="dxa"/>
            <w:vAlign w:val="bottom"/>
            <w:shd w:val="clear" w:color="auto" w:fill="4454A7"/>
          </w:tcPr>
          <w:p>
            <w:pPr>
              <w:jc w:val="right"/>
              <w:ind w:right="380"/>
              <w:spacing w:after="0"/>
              <w:rPr>
                <w:sz w:val="20"/>
                <w:szCs w:val="20"/>
                <w:color w:val="auto"/>
              </w:rPr>
            </w:pPr>
            <w:r>
              <w:rPr>
                <w:rFonts w:ascii="PMingLiU" w:cs="PMingLiU" w:eastAsia="PMingLiU" w:hAnsi="PMingLiU"/>
                <w:sz w:val="48"/>
                <w:szCs w:val="48"/>
                <w:color w:val="FFFFFF"/>
              </w:rPr>
              <w:t/>
            </w:r>
          </w:p>
        </w:tc>
        <w:tc>
          <w:tcPr>
            <w:tcW w:w="6580" w:type="dxa"/>
            <w:vAlign w:val="bottom"/>
            <w:shd w:val="clear" w:color="auto" w:fill="4454A7"/>
          </w:tcPr>
          <w:p>
            <w:pPr>
              <w:jc w:val="right"/>
              <w:ind w:right="870"/>
              <w:spacing w:after="0"/>
              <w:rPr>
                <w:sz w:val="20"/>
                <w:szCs w:val="20"/>
                <w:color w:val="auto"/>
              </w:rPr>
            </w:pPr>
            <w:r>
              <w:rPr>
                <w:rFonts w:ascii="PMingLiU" w:cs="PMingLiU" w:eastAsia="PMingLiU" w:hAnsi="PMingLiU"/>
                <w:sz w:val="16"/>
                <w:szCs w:val="16"/>
                <w:b w:val="1"/>
                <w:bCs w:val="1"/>
                <w:color w:val="FFFFFF"/>
              </w:rPr>
              <w:t>285%2$5'5(&amp;200(1'6$927(³)25´7+,6352326$/</w:t>
            </w:r>
          </w:p>
        </w:tc>
        <w:tc>
          <w:tcPr>
            <w:tcW w:w="2140" w:type="dxa"/>
            <w:vAlign w:val="bottom"/>
            <w:shd w:val="clear" w:color="auto" w:fill="4454A7"/>
          </w:tcPr>
          <w:p>
            <w:pPr>
              <w:ind w:left="980"/>
              <w:spacing w:after="0"/>
              <w:rPr>
                <w:sz w:val="20"/>
                <w:szCs w:val="20"/>
                <w:color w:val="auto"/>
              </w:rPr>
            </w:pPr>
            <w:r>
              <w:rPr>
                <w:rFonts w:ascii="PMingLiU" w:cs="PMingLiU" w:eastAsia="PMingLiU" w:hAnsi="PMingLiU"/>
                <w:sz w:val="16"/>
                <w:szCs w:val="16"/>
                <w:color w:val="FFFFFF"/>
              </w:rPr>
              <w:t>6HHSDJH</w:t>
            </w:r>
          </w:p>
        </w:tc>
      </w:tr>
      <w:tr>
        <w:trPr>
          <w:trHeight w:val="322"/>
        </w:trPr>
        <w:tc>
          <w:tcPr>
            <w:tcW w:w="1360" w:type="dxa"/>
            <w:vAlign w:val="bottom"/>
            <w:shd w:val="clear" w:color="auto" w:fill="4454A7"/>
          </w:tcPr>
          <w:p>
            <w:pPr>
              <w:spacing w:after="0"/>
              <w:rPr>
                <w:sz w:val="24"/>
                <w:szCs w:val="24"/>
                <w:color w:val="auto"/>
              </w:rPr>
            </w:pPr>
          </w:p>
        </w:tc>
        <w:tc>
          <w:tcPr>
            <w:tcW w:w="6580" w:type="dxa"/>
            <w:vAlign w:val="bottom"/>
            <w:shd w:val="clear" w:color="auto" w:fill="4454A7"/>
          </w:tcPr>
          <w:p>
            <w:pPr>
              <w:spacing w:after="0"/>
              <w:rPr>
                <w:sz w:val="24"/>
                <w:szCs w:val="24"/>
                <w:color w:val="auto"/>
              </w:rPr>
            </w:pPr>
          </w:p>
        </w:tc>
        <w:tc>
          <w:tcPr>
            <w:tcW w:w="2140" w:type="dxa"/>
            <w:vAlign w:val="bottom"/>
            <w:shd w:val="clear" w:color="auto" w:fill="4454A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-394335</wp:posOffset>
            </wp:positionV>
            <wp:extent cx="237490" cy="237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-175260</wp:posOffset>
            </wp:positionV>
            <wp:extent cx="5600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560070" cy="36830"/>
                    </a:xfrm>
                    <a:prstGeom prst="rect">
                      <a:avLst/>
                    </a:prstGeom>
                    <a:noFill/>
                  </pic:spPr>
                </pic:pic>
              </a:graphicData>
            </a:graphic>
          </wp:anchor>
        </w:drawing>
      </w:r>
    </w:p>
    <w:p>
      <w:pPr>
        <w:spacing w:after="0" w:line="210" w:lineRule="exact"/>
        <w:rPr>
          <w:sz w:val="20"/>
          <w:szCs w:val="20"/>
          <w:color w:val="auto"/>
        </w:rPr>
      </w:pPr>
    </w:p>
    <w:p>
      <w:pPr>
        <w:spacing w:after="0" w:line="1283" w:lineRule="auto"/>
        <w:rPr>
          <w:sz w:val="20"/>
          <w:szCs w:val="20"/>
          <w:color w:val="auto"/>
        </w:rPr>
      </w:pPr>
      <w:r>
        <w:rPr>
          <w:rFonts w:ascii="PMingLiU" w:cs="PMingLiU" w:eastAsia="PMingLiU" w:hAnsi="PMingLiU"/>
          <w:sz w:val="7"/>
          <w:szCs w:val="7"/>
          <w:color w:val="auto"/>
        </w:rPr>
        <w:t>2XU$XGLW&amp;RPPLWWHHKDVGHWHUPLQHGWKDWLWLVLQWKHEHVWLQWHUHVWVRIRXU&amp;RPSDQ\DQGLWVVKDUHKROGHUVWRFRQWLQXHWRUHWDLQ .30*WRVHUYHDVRXULQGHSHQGHQWUHJLVWHUHGSXEOLFDFFRXQWLQJILUPIRUWKHILVFDO\HDUHQGLQJ'HFHPEHUDQGZHDUH VHHNLQJVKDUHKROGHUUDWLILFDWLRQRIWKLVRQDQRQELQGLQJDGYLVRU\EDVLV</w:t>
      </w:r>
    </w:p>
    <w:p>
      <w:pPr>
        <w:spacing w:after="0" w:line="1" w:lineRule="exact"/>
        <w:rPr>
          <w:sz w:val="20"/>
          <w:szCs w:val="20"/>
          <w:color w:val="auto"/>
        </w:rPr>
      </w:pPr>
    </w:p>
    <w:p>
      <w:pPr>
        <w:ind w:right="440"/>
        <w:spacing w:after="0" w:line="398" w:lineRule="auto"/>
        <w:rPr>
          <w:sz w:val="20"/>
          <w:szCs w:val="20"/>
          <w:color w:val="auto"/>
        </w:rPr>
      </w:pPr>
      <w:r>
        <w:rPr>
          <w:rFonts w:ascii="PMingLiU" w:cs="PMingLiU" w:eastAsia="PMingLiU" w:hAnsi="PMingLiU"/>
          <w:sz w:val="15"/>
          <w:szCs w:val="15"/>
          <w:color w:val="auto"/>
        </w:rPr>
        <w:t>2XUVKDUHKROGHUVDUHDOVREHLQJDVNHGWRDXWKRUL]HRXU%RDUGDFWLQJWKURXJKRXU$XGLW&amp;RPPLWWHHWRGHWHUPLQH.30*¶V UHPXQHUDWLRQ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400800" cy="847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6400800" cy="847725"/>
                    </a:xfrm>
                    <a:prstGeom prst="rect">
                      <a:avLst/>
                    </a:prstGeom>
                    <a:noFill/>
                  </pic:spPr>
                </pic:pic>
              </a:graphicData>
            </a:graphic>
          </wp:anchor>
        </w:drawing>
      </w:r>
    </w:p>
    <w:p>
      <w:pPr>
        <w:spacing w:after="0" w:line="300" w:lineRule="exact"/>
        <w:rPr>
          <w:sz w:val="20"/>
          <w:szCs w:val="20"/>
          <w:color w:val="auto"/>
        </w:rPr>
      </w:pPr>
    </w:p>
    <w:tbl>
      <w:tblPr>
        <w:tblLayout w:type="fixed"/>
        <w:tblInd w:w="240" w:type="dxa"/>
        <w:tblCellMar>
          <w:top w:w="0" w:type="dxa"/>
          <w:left w:w="0" w:type="dxa"/>
          <w:bottom w:w="0" w:type="dxa"/>
          <w:right w:w="0" w:type="dxa"/>
        </w:tblCellMar>
      </w:tblPr>
      <w:tr>
        <w:trPr>
          <w:trHeight w:val="338"/>
        </w:trPr>
        <w:tc>
          <w:tcPr>
            <w:tcW w:w="1120" w:type="dxa"/>
            <w:vAlign w:val="bottom"/>
          </w:tcPr>
          <w:p>
            <w:pPr>
              <w:jc w:val="right"/>
              <w:ind w:right="80"/>
              <w:spacing w:after="0"/>
              <w:rPr>
                <w:sz w:val="20"/>
                <w:szCs w:val="20"/>
                <w:color w:val="auto"/>
              </w:rPr>
            </w:pPr>
            <w:r>
              <w:rPr>
                <w:rFonts w:ascii="PMingLiU" w:cs="PMingLiU" w:eastAsia="PMingLiU" w:hAnsi="PMingLiU"/>
                <w:sz w:val="16"/>
                <w:szCs w:val="16"/>
                <w:b w:val="1"/>
                <w:bCs w:val="1"/>
                <w:color w:val="FFFFFF"/>
              </w:rPr>
              <w:t>352326$/</w:t>
            </w:r>
          </w:p>
        </w:tc>
        <w:tc>
          <w:tcPr>
            <w:tcW w:w="7340" w:type="dxa"/>
            <w:vAlign w:val="bottom"/>
          </w:tcPr>
          <w:p>
            <w:pPr>
              <w:jc w:val="right"/>
              <w:ind w:right="130"/>
              <w:spacing w:after="0"/>
              <w:rPr>
                <w:sz w:val="20"/>
                <w:szCs w:val="20"/>
                <w:color w:val="auto"/>
              </w:rPr>
            </w:pPr>
            <w:r>
              <w:rPr>
                <w:rFonts w:ascii="PMingLiU" w:cs="PMingLiU" w:eastAsia="PMingLiU" w:hAnsi="PMingLiU"/>
                <w:sz w:val="28"/>
                <w:szCs w:val="28"/>
                <w:color w:val="FFFFFF"/>
                <w:w w:val="90"/>
              </w:rPr>
              <w:t>1RQ%LQGLQJ$GYLVRU\9RWHRQ([HFXWLYH&amp;RPSHQVDWLRQ</w:t>
            </w:r>
          </w:p>
        </w:tc>
        <w:tc>
          <w:tcPr>
            <w:tcW w:w="1120" w:type="dxa"/>
            <w:vAlign w:val="bottom"/>
          </w:tcPr>
          <w:p>
            <w:pPr>
              <w:spacing w:after="0"/>
              <w:rPr>
                <w:sz w:val="24"/>
                <w:szCs w:val="24"/>
                <w:color w:val="auto"/>
              </w:rPr>
            </w:pPr>
          </w:p>
        </w:tc>
      </w:tr>
      <w:tr>
        <w:trPr>
          <w:trHeight w:val="646"/>
        </w:trPr>
        <w:tc>
          <w:tcPr>
            <w:tcW w:w="1120" w:type="dxa"/>
            <w:vAlign w:val="bottom"/>
          </w:tcPr>
          <w:p>
            <w:pPr>
              <w:jc w:val="right"/>
              <w:ind w:right="380"/>
              <w:spacing w:after="0"/>
              <w:rPr>
                <w:sz w:val="20"/>
                <w:szCs w:val="20"/>
                <w:color w:val="auto"/>
              </w:rPr>
            </w:pPr>
            <w:r>
              <w:rPr>
                <w:rFonts w:ascii="PMingLiU" w:cs="PMingLiU" w:eastAsia="PMingLiU" w:hAnsi="PMingLiU"/>
                <w:sz w:val="48"/>
                <w:szCs w:val="48"/>
                <w:color w:val="FFFFFF"/>
              </w:rPr>
              <w:t/>
            </w:r>
          </w:p>
        </w:tc>
        <w:tc>
          <w:tcPr>
            <w:tcW w:w="7340" w:type="dxa"/>
            <w:vAlign w:val="bottom"/>
          </w:tcPr>
          <w:p>
            <w:pPr>
              <w:jc w:val="right"/>
              <w:ind w:right="1710"/>
              <w:spacing w:after="0"/>
              <w:rPr>
                <w:sz w:val="20"/>
                <w:szCs w:val="20"/>
                <w:color w:val="auto"/>
              </w:rPr>
            </w:pPr>
            <w:r>
              <w:rPr>
                <w:rFonts w:ascii="PMingLiU" w:cs="PMingLiU" w:eastAsia="PMingLiU" w:hAnsi="PMingLiU"/>
                <w:sz w:val="16"/>
                <w:szCs w:val="16"/>
                <w:b w:val="1"/>
                <w:bCs w:val="1"/>
                <w:color w:val="FFFFFF"/>
              </w:rPr>
              <w:t>285%2$5'5(&amp;200(1'6$927(³)257+,6352326$/</w:t>
            </w:r>
          </w:p>
        </w:tc>
        <w:tc>
          <w:tcPr>
            <w:tcW w:w="1120" w:type="dxa"/>
            <w:vAlign w:val="bottom"/>
          </w:tcPr>
          <w:p>
            <w:pPr>
              <w:ind w:left="220"/>
              <w:spacing w:after="0"/>
              <w:rPr>
                <w:sz w:val="20"/>
                <w:szCs w:val="20"/>
                <w:color w:val="auto"/>
              </w:rPr>
            </w:pPr>
            <w:r>
              <w:rPr>
                <w:rFonts w:ascii="PMingLiU" w:cs="PMingLiU" w:eastAsia="PMingLiU" w:hAnsi="PMingLiU"/>
                <w:sz w:val="16"/>
                <w:szCs w:val="16"/>
                <w:color w:val="FFFFFF"/>
              </w:rPr>
              <w:t>6HHSDJH</w:t>
            </w:r>
          </w:p>
        </w:tc>
      </w:tr>
    </w:tbl>
    <w:p>
      <w:pPr>
        <w:spacing w:after="0" w:line="200" w:lineRule="exact"/>
        <w:rPr>
          <w:sz w:val="20"/>
          <w:szCs w:val="20"/>
          <w:color w:val="auto"/>
        </w:rPr>
      </w:pPr>
    </w:p>
    <w:p>
      <w:pPr>
        <w:spacing w:after="0" w:line="353" w:lineRule="exact"/>
        <w:rPr>
          <w:sz w:val="20"/>
          <w:szCs w:val="20"/>
          <w:color w:val="auto"/>
        </w:rPr>
      </w:pPr>
    </w:p>
    <w:p>
      <w:pPr>
        <w:ind w:right="320"/>
        <w:spacing w:after="0" w:line="358" w:lineRule="auto"/>
        <w:rPr>
          <w:sz w:val="20"/>
          <w:szCs w:val="20"/>
          <w:color w:val="auto"/>
        </w:rPr>
      </w:pPr>
      <w:r>
        <w:rPr>
          <w:rFonts w:ascii="PMingLiU" w:cs="PMingLiU" w:eastAsia="PMingLiU" w:hAnsi="PMingLiU"/>
          <w:sz w:val="16"/>
          <w:szCs w:val="16"/>
          <w:color w:val="auto"/>
        </w:rPr>
        <w:t>:HDUHDVNLQJ\RXWRDSSURYHRQDQRQELQGLQJDGYLVRU\EDVLVWKHFRPSHQVDWLRQIRURXU1(2VDVGLVFORVHGLQRXUSUR[\ VWDWHPHQWFRPPRQO\UHIHUUHGWRDVD³VD\RQSD\´YRWH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200660</wp:posOffset>
            </wp:positionV>
            <wp:extent cx="6400800" cy="847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6400800" cy="847725"/>
                    </a:xfrm>
                    <a:prstGeom prst="rect">
                      <a:avLst/>
                    </a:prstGeom>
                    <a:noFill/>
                  </pic:spPr>
                </pic:pic>
              </a:graphicData>
            </a:graphic>
          </wp:anchor>
        </w:drawing>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338"/>
        </w:trPr>
        <w:tc>
          <w:tcPr>
            <w:tcW w:w="1120" w:type="dxa"/>
            <w:vAlign w:val="bottom"/>
          </w:tcPr>
          <w:p>
            <w:pPr>
              <w:jc w:val="right"/>
              <w:ind w:right="80"/>
              <w:spacing w:after="0"/>
              <w:rPr>
                <w:sz w:val="20"/>
                <w:szCs w:val="20"/>
                <w:color w:val="auto"/>
              </w:rPr>
            </w:pPr>
            <w:r>
              <w:rPr>
                <w:rFonts w:ascii="PMingLiU" w:cs="PMingLiU" w:eastAsia="PMingLiU" w:hAnsi="PMingLiU"/>
                <w:sz w:val="16"/>
                <w:szCs w:val="16"/>
                <w:b w:val="1"/>
                <w:bCs w:val="1"/>
                <w:color w:val="FFFFFF"/>
              </w:rPr>
              <w:t>352326$/</w:t>
            </w:r>
          </w:p>
        </w:tc>
        <w:tc>
          <w:tcPr>
            <w:tcW w:w="7020" w:type="dxa"/>
            <w:vAlign w:val="bottom"/>
          </w:tcPr>
          <w:p>
            <w:pPr>
              <w:jc w:val="right"/>
              <w:ind w:right="450"/>
              <w:spacing w:after="0"/>
              <w:rPr>
                <w:sz w:val="20"/>
                <w:szCs w:val="20"/>
                <w:color w:val="auto"/>
              </w:rPr>
            </w:pPr>
            <w:r>
              <w:rPr>
                <w:rFonts w:ascii="PMingLiU" w:cs="PMingLiU" w:eastAsia="PMingLiU" w:hAnsi="PMingLiU"/>
                <w:sz w:val="28"/>
                <w:szCs w:val="28"/>
                <w:color w:val="FFFFFF"/>
                <w:w w:val="83"/>
              </w:rPr>
              <w:t>%RDUG$XWKRULW\WR$OORWDQG,VVXH2UGLQDU\6KDUHV</w:t>
            </w:r>
          </w:p>
        </w:tc>
        <w:tc>
          <w:tcPr>
            <w:tcW w:w="1440" w:type="dxa"/>
            <w:vAlign w:val="bottom"/>
          </w:tcPr>
          <w:p>
            <w:pPr>
              <w:spacing w:after="0"/>
              <w:rPr>
                <w:sz w:val="24"/>
                <w:szCs w:val="24"/>
                <w:color w:val="auto"/>
              </w:rPr>
            </w:pPr>
          </w:p>
        </w:tc>
      </w:tr>
      <w:tr>
        <w:trPr>
          <w:trHeight w:val="646"/>
        </w:trPr>
        <w:tc>
          <w:tcPr>
            <w:tcW w:w="1120" w:type="dxa"/>
            <w:vAlign w:val="bottom"/>
          </w:tcPr>
          <w:p>
            <w:pPr>
              <w:jc w:val="right"/>
              <w:ind w:right="380"/>
              <w:spacing w:after="0"/>
              <w:rPr>
                <w:sz w:val="20"/>
                <w:szCs w:val="20"/>
                <w:color w:val="auto"/>
              </w:rPr>
            </w:pPr>
            <w:r>
              <w:rPr>
                <w:rFonts w:ascii="PMingLiU" w:cs="PMingLiU" w:eastAsia="PMingLiU" w:hAnsi="PMingLiU"/>
                <w:sz w:val="48"/>
                <w:szCs w:val="48"/>
                <w:color w:val="FFFFFF"/>
              </w:rPr>
              <w:t/>
            </w:r>
          </w:p>
        </w:tc>
        <w:tc>
          <w:tcPr>
            <w:tcW w:w="7020" w:type="dxa"/>
            <w:vAlign w:val="bottom"/>
          </w:tcPr>
          <w:p>
            <w:pPr>
              <w:jc w:val="right"/>
              <w:ind w:right="1310"/>
              <w:spacing w:after="0"/>
              <w:rPr>
                <w:sz w:val="20"/>
                <w:szCs w:val="20"/>
                <w:color w:val="auto"/>
              </w:rPr>
            </w:pPr>
            <w:r>
              <w:rPr>
                <w:rFonts w:ascii="PMingLiU" w:cs="PMingLiU" w:eastAsia="PMingLiU" w:hAnsi="PMingLiU"/>
                <w:sz w:val="16"/>
                <w:szCs w:val="16"/>
                <w:b w:val="1"/>
                <w:bCs w:val="1"/>
                <w:color w:val="FFFFFF"/>
              </w:rPr>
              <w:t>285%2$5'5(&amp;200(1'6$927(³)25´7+,6352326$/</w:t>
            </w:r>
          </w:p>
        </w:tc>
        <w:tc>
          <w:tcPr>
            <w:tcW w:w="1440" w:type="dxa"/>
            <w:vAlign w:val="bottom"/>
          </w:tcPr>
          <w:p>
            <w:pPr>
              <w:ind w:left="540"/>
              <w:spacing w:after="0"/>
              <w:rPr>
                <w:sz w:val="20"/>
                <w:szCs w:val="20"/>
                <w:color w:val="auto"/>
              </w:rPr>
            </w:pPr>
            <w:r>
              <w:rPr>
                <w:rFonts w:ascii="PMingLiU" w:cs="PMingLiU" w:eastAsia="PMingLiU" w:hAnsi="PMingLiU"/>
                <w:sz w:val="16"/>
                <w:szCs w:val="16"/>
                <w:color w:val="FFFFFF"/>
              </w:rPr>
              <w:t>6HHSDJH</w:t>
            </w:r>
          </w:p>
        </w:tc>
      </w:tr>
    </w:tbl>
    <w:p>
      <w:pPr>
        <w:spacing w:after="0" w:line="200" w:lineRule="exact"/>
        <w:rPr>
          <w:sz w:val="20"/>
          <w:szCs w:val="20"/>
          <w:color w:val="auto"/>
        </w:rPr>
      </w:pPr>
    </w:p>
    <w:p>
      <w:pPr>
        <w:spacing w:after="0" w:line="353" w:lineRule="exact"/>
        <w:rPr>
          <w:sz w:val="20"/>
          <w:szCs w:val="20"/>
          <w:color w:val="auto"/>
        </w:rPr>
      </w:pPr>
    </w:p>
    <w:p>
      <w:pPr>
        <w:ind w:right="440"/>
        <w:spacing w:after="0" w:line="342" w:lineRule="auto"/>
        <w:rPr>
          <w:sz w:val="20"/>
          <w:szCs w:val="20"/>
          <w:color w:val="auto"/>
        </w:rPr>
      </w:pPr>
      <w:r>
        <w:rPr>
          <w:rFonts w:ascii="PMingLiU" w:cs="PMingLiU" w:eastAsia="PMingLiU" w:hAnsi="PMingLiU"/>
          <w:sz w:val="14"/>
          <w:szCs w:val="14"/>
          <w:color w:val="auto"/>
        </w:rPr>
        <w:t>:HDUHDVNLQJRXUVKDUHKROGHUVWRUHQHZRXUDXWKRULW\JUDQWHGWRRXU%RDUGDWWKH$*0WRDOORWDQGLVVXHXSWRWKH DPRXQWRIVKDUHVWKDWDUHDOUHDG\ZLWKLQRXUDXWKRUL]HGVKDUHFDSLWDOIRUDQDGGLWLRQDOILYH\HDUV7KHGLUHFWRUVRIDQ,ULVK</w:t>
      </w:r>
    </w:p>
    <w:p>
      <w:pPr>
        <w:ind w:right="440"/>
        <w:spacing w:after="0" w:line="443" w:lineRule="auto"/>
        <w:rPr>
          <w:sz w:val="20"/>
          <w:szCs w:val="20"/>
          <w:color w:val="auto"/>
        </w:rPr>
      </w:pPr>
      <w:r>
        <w:rPr>
          <w:rFonts w:ascii="PMingLiU" w:cs="PMingLiU" w:eastAsia="PMingLiU" w:hAnsi="PMingLiU"/>
          <w:sz w:val="14"/>
          <w:szCs w:val="14"/>
          <w:color w:val="auto"/>
        </w:rPr>
        <w:t>SXEOLFOLPLWHGFRPSDQ\PXVWKDYHVSHFLILFDXWKRULW\IURPVKDUHKROGHUVWRLVVXHVKDUHVLQFOXGLQJULJKWVWRVXEVFULEHIRURU RWKHUZLVHDFTXLUHDQ\VKDUHV HYHQVKDUHVZKLFKDUHSDUWRIWKHFRPSDQ\¶VDXWKRUL]HGEXWXQLVVXHGVKDUHFDSLWDO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714375</wp:posOffset>
            </wp:positionV>
            <wp:extent cx="1386840" cy="233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12" w:name="page13"/>
    <w:bookmarkEnd w:id="12"/>
    <w:p>
      <w:pPr>
        <w:ind w:left="854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5913120</wp:posOffset>
                </wp:positionH>
                <wp:positionV relativeFrom="page">
                  <wp:posOffset>1270</wp:posOffset>
                </wp:positionV>
                <wp:extent cx="1057275" cy="4191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57275" cy="419100"/>
                        </a:xfrm>
                        <a:prstGeom prst="rect">
                          <a:avLst/>
                        </a:prstGeom>
                        <a:solidFill>
                          <a:srgbClr val="5C004D"/>
                        </a:solidFill>
                      </wps:spPr>
                      <wps:bodyPr/>
                    </wps:wsp>
                  </a:graphicData>
                </a:graphic>
              </wp:anchor>
            </w:drawing>
          </mc:Choice>
          <mc:Fallback>
            <w:pict>
              <v:rect id="Shape 49" o:spid="_x0000_s1074" style="position:absolute;margin-left:465.6pt;margin-top:0.1pt;width:83.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352;&lt;6800$5&lt;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676910</wp:posOffset>
            </wp:positionV>
            <wp:extent cx="6400800" cy="1066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6400800" cy="106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right="980" w:hanging="314"/>
        <w:spacing w:after="0" w:line="238" w:lineRule="auto"/>
        <w:rPr>
          <w:sz w:val="20"/>
          <w:szCs w:val="20"/>
          <w:color w:val="auto"/>
        </w:rPr>
      </w:pPr>
      <w:r>
        <w:rPr>
          <w:rFonts w:ascii="PMingLiU" w:cs="PMingLiU" w:eastAsia="PMingLiU" w:hAnsi="PMingLiU"/>
          <w:sz w:val="16"/>
          <w:szCs w:val="16"/>
          <w:b w:val="1"/>
          <w:bCs w:val="1"/>
          <w:color w:val="FFFFFF"/>
        </w:rPr>
        <w:t>352326$/</w:t>
      </w:r>
      <w:r>
        <w:rPr>
          <w:sz w:val="20"/>
          <w:szCs w:val="20"/>
          <w:color w:val="auto"/>
        </w:rPr>
        <w:t xml:space="preserve"> </w:t>
      </w:r>
      <w:r>
        <w:rPr>
          <w:rFonts w:ascii="PMingLiU" w:cs="PMingLiU" w:eastAsia="PMingLiU" w:hAnsi="PMingLiU"/>
          <w:sz w:val="26"/>
          <w:szCs w:val="26"/>
          <w:color w:val="FFFFFF"/>
        </w:rPr>
        <w:t xml:space="preserve">%RDUG$XWKRULW\WR$OORWDQG,VVXH2UGLQDU\6KDUHVIRU&amp;DVK </w:t>
      </w:r>
      <w:r>
        <w:rPr>
          <w:rFonts w:ascii="PMingLiU" w:cs="PMingLiU" w:eastAsia="PMingLiU" w:hAnsi="PMingLiU"/>
          <w:sz w:val="44"/>
          <w:szCs w:val="44"/>
          <w:color w:val="FFFFFF"/>
        </w:rPr>
        <w:t xml:space="preserve"> </w:t>
      </w:r>
      <w:r>
        <w:rPr>
          <w:rFonts w:ascii="PMingLiU" w:cs="PMingLiU" w:eastAsia="PMingLiU" w:hAnsi="PMingLiU"/>
          <w:sz w:val="26"/>
          <w:szCs w:val="26"/>
          <w:color w:val="FFFFFF"/>
        </w:rPr>
        <w:t>:LWKRXW)LUVW2IIHULQJ6KDUHVWR([LVWLQJ6KDUHKROGHUV</w:t>
      </w:r>
    </w:p>
    <w:p>
      <w:pPr>
        <w:spacing w:after="0" w:line="134" w:lineRule="exact"/>
        <w:rPr>
          <w:sz w:val="20"/>
          <w:szCs w:val="20"/>
          <w:color w:val="auto"/>
        </w:rPr>
      </w:pPr>
    </w:p>
    <w:p>
      <w:pPr>
        <w:ind w:left="2180"/>
        <w:spacing w:after="0"/>
        <w:tabs>
          <w:tab w:leader="none" w:pos="8820" w:val="left"/>
        </w:tabs>
        <w:rPr>
          <w:sz w:val="20"/>
          <w:szCs w:val="20"/>
          <w:color w:val="auto"/>
        </w:rPr>
      </w:pPr>
      <w:r>
        <w:rPr>
          <w:rFonts w:ascii="PMingLiU" w:cs="PMingLiU" w:eastAsia="PMingLiU" w:hAnsi="PMingLiU"/>
          <w:sz w:val="16"/>
          <w:szCs w:val="16"/>
          <w:b w:val="1"/>
          <w:bCs w:val="1"/>
          <w:color w:val="FFFFFF"/>
        </w:rPr>
        <w:t>285%2$5'5(&amp;200(1'6$927(³)25´7+,6352326$/</w:t>
      </w:r>
      <w:r>
        <w:rPr>
          <w:sz w:val="20"/>
          <w:szCs w:val="20"/>
          <w:color w:val="auto"/>
        </w:rPr>
        <w:tab/>
      </w:r>
      <w:r>
        <w:rPr>
          <w:rFonts w:ascii="PMingLiU" w:cs="PMingLiU" w:eastAsia="PMingLiU" w:hAnsi="PMingLiU"/>
          <w:sz w:val="16"/>
          <w:szCs w:val="16"/>
          <w:color w:val="FFFFFF"/>
        </w:rPr>
        <w:t>6HHSDJH</w:t>
      </w:r>
    </w:p>
    <w:p>
      <w:pPr>
        <w:spacing w:after="0" w:line="200" w:lineRule="exact"/>
        <w:rPr>
          <w:sz w:val="20"/>
          <w:szCs w:val="20"/>
          <w:color w:val="auto"/>
        </w:rPr>
      </w:pPr>
    </w:p>
    <w:p>
      <w:pPr>
        <w:spacing w:after="0" w:line="381" w:lineRule="exact"/>
        <w:rPr>
          <w:sz w:val="20"/>
          <w:szCs w:val="20"/>
          <w:color w:val="auto"/>
        </w:rPr>
      </w:pPr>
    </w:p>
    <w:p>
      <w:pPr>
        <w:ind w:right="40"/>
        <w:spacing w:after="0" w:line="345" w:lineRule="auto"/>
        <w:rPr>
          <w:sz w:val="20"/>
          <w:szCs w:val="20"/>
          <w:color w:val="auto"/>
        </w:rPr>
      </w:pPr>
      <w:r>
        <w:rPr>
          <w:rFonts w:ascii="PMingLiU" w:cs="PMingLiU" w:eastAsia="PMingLiU" w:hAnsi="PMingLiU"/>
          <w:sz w:val="15"/>
          <w:szCs w:val="15"/>
          <w:color w:val="auto"/>
        </w:rPr>
        <w:t>:HDUHDVNLQJRXUVKDUHKROGHUVWRUHQHZWKHDXWKRULW\JUDQWHGWRRXU%RDUGDWWKH$*0WRRSWRXWRIWKHSUHHPSWLRQ ULJKWVSURYLVLRQLQWKHHYHQWRIDQLVVXDQFHRIVKDUHVIRUFDVKXSWRWKHDPRXQWRIRIRXULVVXHGRUGLQDU\VKDUHFDSLWDOLQ WKHDJJUHJDWHIRUDSHULRGH[SLULQJRQWKHGDWHEHLQJPRQWKVIURPWKHSDVVLQJRIWKHUHVROXWLRQVHWIRUWKLQ3URSRVDO XQOHVVRWKHUZLVHYDULHGUHQHZHGRUUHYRNHG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6400800" cy="847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6400800" cy="847725"/>
                    </a:xfrm>
                    <a:prstGeom prst="rect">
                      <a:avLst/>
                    </a:prstGeom>
                    <a:noFill/>
                  </pic:spPr>
                </pic:pic>
              </a:graphicData>
            </a:graphic>
          </wp:anchor>
        </w:drawing>
      </w:r>
    </w:p>
    <w:p>
      <w:pPr>
        <w:spacing w:after="0" w:line="341" w:lineRule="exact"/>
        <w:rPr>
          <w:sz w:val="20"/>
          <w:szCs w:val="20"/>
          <w:color w:val="auto"/>
        </w:rPr>
      </w:pPr>
    </w:p>
    <w:tbl>
      <w:tblPr>
        <w:tblLayout w:type="fixed"/>
        <w:tblInd w:w="240" w:type="dxa"/>
        <w:tblCellMar>
          <w:top w:w="0" w:type="dxa"/>
          <w:left w:w="0" w:type="dxa"/>
          <w:bottom w:w="0" w:type="dxa"/>
          <w:right w:w="0" w:type="dxa"/>
        </w:tblCellMar>
      </w:tblPr>
      <w:tr>
        <w:trPr>
          <w:trHeight w:val="338"/>
        </w:trPr>
        <w:tc>
          <w:tcPr>
            <w:tcW w:w="1120" w:type="dxa"/>
            <w:vAlign w:val="bottom"/>
          </w:tcPr>
          <w:p>
            <w:pPr>
              <w:jc w:val="right"/>
              <w:ind w:right="80"/>
              <w:spacing w:after="0"/>
              <w:rPr>
                <w:sz w:val="20"/>
                <w:szCs w:val="20"/>
                <w:color w:val="auto"/>
              </w:rPr>
            </w:pPr>
            <w:r>
              <w:rPr>
                <w:rFonts w:ascii="PMingLiU" w:cs="PMingLiU" w:eastAsia="PMingLiU" w:hAnsi="PMingLiU"/>
                <w:sz w:val="16"/>
                <w:szCs w:val="16"/>
                <w:b w:val="1"/>
                <w:bCs w:val="1"/>
                <w:color w:val="FFFFFF"/>
              </w:rPr>
              <w:t>352326$/</w:t>
            </w:r>
          </w:p>
        </w:tc>
        <w:tc>
          <w:tcPr>
            <w:tcW w:w="6540" w:type="dxa"/>
            <w:vAlign w:val="bottom"/>
          </w:tcPr>
          <w:p>
            <w:pPr>
              <w:jc w:val="right"/>
              <w:ind w:right="3450"/>
              <w:spacing w:after="0"/>
              <w:rPr>
                <w:sz w:val="20"/>
                <w:szCs w:val="20"/>
                <w:color w:val="auto"/>
              </w:rPr>
            </w:pPr>
            <w:r>
              <w:rPr>
                <w:rFonts w:ascii="PMingLiU" w:cs="PMingLiU" w:eastAsia="PMingLiU" w:hAnsi="PMingLiU"/>
                <w:sz w:val="28"/>
                <w:szCs w:val="28"/>
                <w:color w:val="FFFFFF"/>
                <w:w w:val="85"/>
              </w:rPr>
              <w:t>$GMRXUQPHQW3URSRVDO</w:t>
            </w:r>
          </w:p>
        </w:tc>
        <w:tc>
          <w:tcPr>
            <w:tcW w:w="1920" w:type="dxa"/>
            <w:vAlign w:val="bottom"/>
          </w:tcPr>
          <w:p>
            <w:pPr>
              <w:spacing w:after="0"/>
              <w:rPr>
                <w:sz w:val="24"/>
                <w:szCs w:val="24"/>
                <w:color w:val="auto"/>
              </w:rPr>
            </w:pPr>
          </w:p>
        </w:tc>
      </w:tr>
      <w:tr>
        <w:trPr>
          <w:trHeight w:val="646"/>
        </w:trPr>
        <w:tc>
          <w:tcPr>
            <w:tcW w:w="1120" w:type="dxa"/>
            <w:vAlign w:val="bottom"/>
          </w:tcPr>
          <w:p>
            <w:pPr>
              <w:jc w:val="right"/>
              <w:ind w:right="380"/>
              <w:spacing w:after="0"/>
              <w:rPr>
                <w:sz w:val="20"/>
                <w:szCs w:val="20"/>
                <w:color w:val="auto"/>
              </w:rPr>
            </w:pPr>
            <w:r>
              <w:rPr>
                <w:rFonts w:ascii="PMingLiU" w:cs="PMingLiU" w:eastAsia="PMingLiU" w:hAnsi="PMingLiU"/>
                <w:sz w:val="48"/>
                <w:szCs w:val="48"/>
                <w:color w:val="FFFFFF"/>
              </w:rPr>
              <w:t/>
            </w:r>
          </w:p>
        </w:tc>
        <w:tc>
          <w:tcPr>
            <w:tcW w:w="6540" w:type="dxa"/>
            <w:vAlign w:val="bottom"/>
          </w:tcPr>
          <w:p>
            <w:pPr>
              <w:jc w:val="right"/>
              <w:ind w:right="830"/>
              <w:spacing w:after="0"/>
              <w:rPr>
                <w:sz w:val="20"/>
                <w:szCs w:val="20"/>
                <w:color w:val="auto"/>
              </w:rPr>
            </w:pPr>
            <w:r>
              <w:rPr>
                <w:rFonts w:ascii="PMingLiU" w:cs="PMingLiU" w:eastAsia="PMingLiU" w:hAnsi="PMingLiU"/>
                <w:sz w:val="16"/>
                <w:szCs w:val="16"/>
                <w:b w:val="1"/>
                <w:bCs w:val="1"/>
                <w:color w:val="FFFFFF"/>
              </w:rPr>
              <w:t>285%2$5'5(&amp;200(1'6$927(³)25´7+,6352326$/</w:t>
            </w:r>
          </w:p>
        </w:tc>
        <w:tc>
          <w:tcPr>
            <w:tcW w:w="1920" w:type="dxa"/>
            <w:vAlign w:val="bottom"/>
          </w:tcPr>
          <w:p>
            <w:pPr>
              <w:ind w:left="940"/>
              <w:spacing w:after="0"/>
              <w:rPr>
                <w:sz w:val="20"/>
                <w:szCs w:val="20"/>
                <w:color w:val="auto"/>
              </w:rPr>
            </w:pPr>
            <w:r>
              <w:rPr>
                <w:rFonts w:ascii="PMingLiU" w:cs="PMingLiU" w:eastAsia="PMingLiU" w:hAnsi="PMingLiU"/>
                <w:sz w:val="16"/>
                <w:szCs w:val="16"/>
                <w:color w:val="FFFFFF"/>
              </w:rPr>
              <w:t>6HHSDJH</w:t>
            </w:r>
          </w:p>
        </w:tc>
      </w:tr>
    </w:tbl>
    <w:p>
      <w:pPr>
        <w:spacing w:after="0" w:line="200" w:lineRule="exact"/>
        <w:rPr>
          <w:sz w:val="20"/>
          <w:szCs w:val="20"/>
          <w:color w:val="auto"/>
        </w:rPr>
      </w:pPr>
    </w:p>
    <w:p>
      <w:pPr>
        <w:spacing w:after="0" w:line="353" w:lineRule="exact"/>
        <w:rPr>
          <w:sz w:val="20"/>
          <w:szCs w:val="20"/>
          <w:color w:val="auto"/>
        </w:rPr>
      </w:pPr>
    </w:p>
    <w:p>
      <w:pPr>
        <w:ind w:right="100"/>
        <w:spacing w:after="0" w:line="392" w:lineRule="auto"/>
        <w:rPr>
          <w:sz w:val="20"/>
          <w:szCs w:val="20"/>
          <w:color w:val="auto"/>
        </w:rPr>
      </w:pPr>
      <w:r>
        <w:rPr>
          <w:rFonts w:ascii="PMingLiU" w:cs="PMingLiU" w:eastAsia="PMingLiU" w:hAnsi="PMingLiU"/>
          <w:sz w:val="14"/>
          <w:szCs w:val="14"/>
          <w:color w:val="auto"/>
        </w:rPr>
        <w:t>:HDUHDVNLQJRXUVKDUHKROGHUVWRYRWHRQDSURSRVDOWRDSSURYHDQ\PRWLRQWRDGMRXUQWKH$*0RUDQ\DGMRXUQPHQWV WKHUHRIWRDQRWKHUWLPHDQGSODFHWRVROLFLWDGGLWLRQDOSUR[LHVLIWKHUHDUHLQVXIILFLHQWYRWHVDWWKHWLPHRIWKH$*0WRDSSURYH HLWKHU3URSRVDORU3URSRVDO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4753610</wp:posOffset>
            </wp:positionV>
            <wp:extent cx="1386840" cy="233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00" w:top="377" w:right="959" w:bottom="0" w:gutter="0" w:footer="0" w:header="0"/>
        </w:sectPr>
      </w:pPr>
    </w:p>
    <w:bookmarkStart w:id="13" w:name="page14"/>
    <w:bookmarkEnd w:id="13"/>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2XU%RDUG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259715</wp:posOffset>
            </wp:positionV>
            <wp:extent cx="207327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2073275" cy="2540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Borders>
              <w:right w:val="single" w:sz="8" w:color="5C004D"/>
            </w:tcBorders>
          </w:tcPr>
          <w:p>
            <w:pPr>
              <w:spacing w:after="0"/>
              <w:rPr>
                <w:sz w:val="20"/>
                <w:szCs w:val="20"/>
                <w:color w:val="auto"/>
              </w:rPr>
            </w:pPr>
          </w:p>
        </w:tc>
        <w:tc>
          <w:tcPr>
            <w:tcW w:w="800" w:type="dxa"/>
            <w:vAlign w:val="bottom"/>
            <w:tcBorders>
              <w:top w:val="single" w:sz="8" w:color="5C004D"/>
            </w:tcBorders>
          </w:tcPr>
          <w:p>
            <w:pPr>
              <w:spacing w:after="0"/>
              <w:rPr>
                <w:sz w:val="20"/>
                <w:szCs w:val="20"/>
                <w:color w:val="auto"/>
              </w:rPr>
            </w:pPr>
          </w:p>
        </w:tc>
        <w:tc>
          <w:tcPr>
            <w:tcW w:w="2020" w:type="dxa"/>
            <w:vAlign w:val="bottom"/>
            <w:tcBorders>
              <w:top w:val="single" w:sz="8" w:color="5C004D"/>
            </w:tcBorders>
          </w:tcPr>
          <w:p>
            <w:pPr>
              <w:ind w:left="20"/>
              <w:spacing w:after="0"/>
              <w:rPr>
                <w:sz w:val="20"/>
                <w:szCs w:val="20"/>
                <w:color w:val="auto"/>
              </w:rPr>
            </w:pPr>
            <w:r>
              <w:rPr>
                <w:rFonts w:ascii="PMingLiU" w:cs="PMingLiU" w:eastAsia="PMingLiU" w:hAnsi="PMingLiU"/>
                <w:sz w:val="14"/>
                <w:szCs w:val="14"/>
                <w:b w:val="1"/>
                <w:bCs w:val="1"/>
                <w:color w:val="5C004D"/>
              </w:rPr>
              <w:t>&amp;RPPLWWHH0HPEHUVKLS</w:t>
            </w:r>
          </w:p>
        </w:tc>
        <w:tc>
          <w:tcPr>
            <w:tcW w:w="420" w:type="dxa"/>
            <w:vAlign w:val="bottom"/>
            <w:tcBorders>
              <w:top w:val="single" w:sz="8" w:color="5C004D"/>
              <w:right w:val="single" w:sz="8" w:color="5C004D"/>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120" w:type="dxa"/>
            <w:vAlign w:val="bottom"/>
            <w:tcBorders>
              <w:bottom w:val="single" w:sz="8" w:color="000046"/>
            </w:tcBorders>
          </w:tcPr>
          <w:p>
            <w:pPr>
              <w:spacing w:after="0"/>
              <w:rPr>
                <w:sz w:val="5"/>
                <w:szCs w:val="5"/>
                <w:color w:val="auto"/>
              </w:rPr>
            </w:pPr>
          </w:p>
        </w:tc>
        <w:tc>
          <w:tcPr>
            <w:tcW w:w="1720" w:type="dxa"/>
            <w:vAlign w:val="bottom"/>
            <w:tcBorders>
              <w:bottom w:val="single" w:sz="8" w:color="000046"/>
            </w:tcBorders>
          </w:tcPr>
          <w:p>
            <w:pPr>
              <w:spacing w:after="0"/>
              <w:rPr>
                <w:sz w:val="5"/>
                <w:szCs w:val="5"/>
                <w:color w:val="auto"/>
              </w:rPr>
            </w:pPr>
          </w:p>
        </w:tc>
        <w:tc>
          <w:tcPr>
            <w:tcW w:w="360" w:type="dxa"/>
            <w:vAlign w:val="bottom"/>
            <w:tcBorders>
              <w:bottom w:val="single" w:sz="8" w:color="000046"/>
            </w:tcBorders>
          </w:tcPr>
          <w:p>
            <w:pPr>
              <w:spacing w:after="0"/>
              <w:rPr>
                <w:sz w:val="5"/>
                <w:szCs w:val="5"/>
                <w:color w:val="auto"/>
              </w:rPr>
            </w:pPr>
          </w:p>
        </w:tc>
        <w:tc>
          <w:tcPr>
            <w:tcW w:w="1600" w:type="dxa"/>
            <w:vAlign w:val="bottom"/>
            <w:tcBorders>
              <w:bottom w:val="single" w:sz="8" w:color="000046"/>
            </w:tcBorders>
          </w:tcPr>
          <w:p>
            <w:pPr>
              <w:spacing w:after="0"/>
              <w:rPr>
                <w:sz w:val="5"/>
                <w:szCs w:val="5"/>
                <w:color w:val="auto"/>
              </w:rPr>
            </w:pPr>
          </w:p>
        </w:tc>
        <w:tc>
          <w:tcPr>
            <w:tcW w:w="1060" w:type="dxa"/>
            <w:vAlign w:val="bottom"/>
            <w:tcBorders>
              <w:bottom w:val="single" w:sz="8" w:color="000046"/>
              <w:right w:val="single" w:sz="8" w:color="5C004D"/>
            </w:tcBorders>
          </w:tcPr>
          <w:p>
            <w:pPr>
              <w:spacing w:after="0"/>
              <w:rPr>
                <w:sz w:val="5"/>
                <w:szCs w:val="5"/>
                <w:color w:val="auto"/>
              </w:rPr>
            </w:pPr>
          </w:p>
        </w:tc>
        <w:tc>
          <w:tcPr>
            <w:tcW w:w="800" w:type="dxa"/>
            <w:vAlign w:val="bottom"/>
            <w:tcBorders>
              <w:bottom w:val="single" w:sz="8" w:color="5C004D"/>
            </w:tcBorders>
          </w:tcPr>
          <w:p>
            <w:pPr>
              <w:spacing w:after="0"/>
              <w:rPr>
                <w:sz w:val="5"/>
                <w:szCs w:val="5"/>
                <w:color w:val="auto"/>
              </w:rPr>
            </w:pPr>
          </w:p>
        </w:tc>
        <w:tc>
          <w:tcPr>
            <w:tcW w:w="2020" w:type="dxa"/>
            <w:vAlign w:val="bottom"/>
            <w:tcBorders>
              <w:bottom w:val="single" w:sz="8" w:color="5C004D"/>
            </w:tcBorders>
          </w:tcPr>
          <w:p>
            <w:pPr>
              <w:spacing w:after="0"/>
              <w:rPr>
                <w:sz w:val="5"/>
                <w:szCs w:val="5"/>
                <w:color w:val="auto"/>
              </w:rPr>
            </w:pPr>
          </w:p>
        </w:tc>
        <w:tc>
          <w:tcPr>
            <w:tcW w:w="420" w:type="dxa"/>
            <w:vAlign w:val="bottom"/>
            <w:tcBorders>
              <w:bottom w:val="single" w:sz="8" w:color="5C004D"/>
              <w:right w:val="single" w:sz="8" w:color="5C004D"/>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000046"/>
          </w:tcPr>
          <w:p>
            <w:pPr>
              <w:spacing w:after="0"/>
              <w:rPr>
                <w:sz w:val="17"/>
                <w:szCs w:val="17"/>
                <w:color w:val="auto"/>
              </w:rPr>
            </w:pPr>
          </w:p>
        </w:tc>
        <w:tc>
          <w:tcPr>
            <w:tcW w:w="1720" w:type="dxa"/>
            <w:vAlign w:val="bottom"/>
            <w:shd w:val="clear" w:color="auto" w:fill="000046"/>
          </w:tcPr>
          <w:p>
            <w:pPr>
              <w:spacing w:after="0"/>
              <w:rPr>
                <w:sz w:val="17"/>
                <w:szCs w:val="17"/>
                <w:color w:val="auto"/>
              </w:rPr>
            </w:pPr>
          </w:p>
        </w:tc>
        <w:tc>
          <w:tcPr>
            <w:tcW w:w="360" w:type="dxa"/>
            <w:vAlign w:val="bottom"/>
            <w:shd w:val="clear" w:color="auto" w:fill="000046"/>
          </w:tcPr>
          <w:p>
            <w:pPr>
              <w:spacing w:after="0"/>
              <w:rPr>
                <w:sz w:val="17"/>
                <w:szCs w:val="17"/>
                <w:color w:val="auto"/>
              </w:rPr>
            </w:pPr>
          </w:p>
        </w:tc>
        <w:tc>
          <w:tcPr>
            <w:tcW w:w="1600" w:type="dxa"/>
            <w:vAlign w:val="bottom"/>
            <w:shd w:val="clear" w:color="auto" w:fill="000046"/>
          </w:tcPr>
          <w:p>
            <w:pPr>
              <w:jc w:val="right"/>
              <w:ind w:right="902"/>
              <w:spacing w:after="0"/>
              <w:rPr>
                <w:sz w:val="20"/>
                <w:szCs w:val="20"/>
                <w:color w:val="auto"/>
              </w:rPr>
            </w:pPr>
            <w:r>
              <w:rPr>
                <w:rFonts w:ascii="PMingLiU" w:cs="PMingLiU" w:eastAsia="PMingLiU" w:hAnsi="PMingLiU"/>
                <w:sz w:val="14"/>
                <w:szCs w:val="14"/>
                <w:b w:val="1"/>
                <w:bCs w:val="1"/>
                <w:color w:val="FFFFFF"/>
                <w:w w:val="88"/>
              </w:rPr>
              <w:t>'LUHFWRU</w:t>
            </w:r>
          </w:p>
        </w:tc>
        <w:tc>
          <w:tcPr>
            <w:tcW w:w="1060" w:type="dxa"/>
            <w:vAlign w:val="bottom"/>
            <w:tcBorders>
              <w:right w:val="single" w:sz="8" w:color="5C004D"/>
            </w:tcBorders>
            <w:shd w:val="clear" w:color="auto" w:fill="000046"/>
          </w:tcPr>
          <w:p>
            <w:pPr>
              <w:ind w:left="60"/>
              <w:spacing w:after="0"/>
              <w:rPr>
                <w:sz w:val="20"/>
                <w:szCs w:val="20"/>
                <w:color w:val="auto"/>
              </w:rPr>
            </w:pPr>
            <w:r>
              <w:rPr>
                <w:rFonts w:ascii="PMingLiU" w:cs="PMingLiU" w:eastAsia="PMingLiU" w:hAnsi="PMingLiU"/>
                <w:sz w:val="14"/>
                <w:szCs w:val="14"/>
                <w:b w:val="1"/>
                <w:bCs w:val="1"/>
                <w:color w:val="FFFFFF"/>
                <w:w w:val="81"/>
              </w:rPr>
              <w:t>2WKHU&amp;XUUHQW</w:t>
            </w:r>
          </w:p>
        </w:tc>
        <w:tc>
          <w:tcPr>
            <w:tcW w:w="800" w:type="dxa"/>
            <w:vAlign w:val="bottom"/>
            <w:shd w:val="clear" w:color="auto" w:fill="5C004D"/>
          </w:tcPr>
          <w:p>
            <w:pPr>
              <w:jc w:val="center"/>
              <w:spacing w:after="0"/>
              <w:rPr>
                <w:sz w:val="20"/>
                <w:szCs w:val="20"/>
                <w:color w:val="auto"/>
              </w:rPr>
            </w:pPr>
            <w:r>
              <w:rPr>
                <w:rFonts w:ascii="PMingLiU" w:cs="PMingLiU" w:eastAsia="PMingLiU" w:hAnsi="PMingLiU"/>
                <w:sz w:val="14"/>
                <w:szCs w:val="14"/>
                <w:b w:val="1"/>
                <w:bCs w:val="1"/>
                <w:color w:val="FFFFFF"/>
                <w:w w:val="86"/>
              </w:rPr>
              <w:t>$XGLW</w:t>
            </w:r>
          </w:p>
        </w:tc>
        <w:tc>
          <w:tcPr>
            <w:tcW w:w="2020" w:type="dxa"/>
            <w:vAlign w:val="bottom"/>
            <w:shd w:val="clear" w:color="auto" w:fill="5C004D"/>
          </w:tcPr>
          <w:p>
            <w:pPr>
              <w:ind w:left="80"/>
              <w:spacing w:after="0"/>
              <w:rPr>
                <w:sz w:val="20"/>
                <w:szCs w:val="20"/>
                <w:color w:val="auto"/>
              </w:rPr>
            </w:pPr>
            <w:r>
              <w:rPr>
                <w:rFonts w:ascii="PMingLiU" w:cs="PMingLiU" w:eastAsia="PMingLiU" w:hAnsi="PMingLiU"/>
                <w:sz w:val="14"/>
                <w:szCs w:val="14"/>
                <w:b w:val="1"/>
                <w:bCs w:val="1"/>
                <w:color w:val="FFFFFF"/>
                <w:w w:val="96"/>
              </w:rPr>
              <w:t>&amp;RPSHQVDWLRQ 1RPLQDWLQJ</w:t>
            </w:r>
          </w:p>
        </w:tc>
        <w:tc>
          <w:tcPr>
            <w:tcW w:w="420" w:type="dxa"/>
            <w:vAlign w:val="bottom"/>
            <w:tcBorders>
              <w:right w:val="single" w:sz="8" w:color="5C004D"/>
            </w:tcBorders>
            <w:shd w:val="clear" w:color="auto" w:fill="5C004D"/>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shd w:val="clear" w:color="auto" w:fill="000046"/>
          </w:tcPr>
          <w:p>
            <w:pPr>
              <w:ind w:left="100"/>
              <w:spacing w:after="0"/>
              <w:rPr>
                <w:sz w:val="20"/>
                <w:szCs w:val="20"/>
                <w:color w:val="auto"/>
              </w:rPr>
            </w:pPr>
            <w:r>
              <w:rPr>
                <w:rFonts w:ascii="PMingLiU" w:cs="PMingLiU" w:eastAsia="PMingLiU" w:hAnsi="PMingLiU"/>
                <w:sz w:val="14"/>
                <w:szCs w:val="14"/>
                <w:b w:val="1"/>
                <w:bCs w:val="1"/>
                <w:color w:val="FFFFFF"/>
                <w:w w:val="96"/>
              </w:rPr>
              <w:t>1DPHDQG3ULQFLSDO3RVLWLRQ</w:t>
            </w:r>
          </w:p>
        </w:tc>
        <w:tc>
          <w:tcPr>
            <w:tcW w:w="1720" w:type="dxa"/>
            <w:vAlign w:val="bottom"/>
            <w:shd w:val="clear" w:color="auto" w:fill="000046"/>
          </w:tcPr>
          <w:p>
            <w:pPr>
              <w:spacing w:after="0"/>
              <w:rPr>
                <w:sz w:val="17"/>
                <w:szCs w:val="17"/>
                <w:color w:val="auto"/>
              </w:rPr>
            </w:pPr>
          </w:p>
        </w:tc>
        <w:tc>
          <w:tcPr>
            <w:tcW w:w="360" w:type="dxa"/>
            <w:vAlign w:val="bottom"/>
            <w:shd w:val="clear" w:color="auto" w:fill="000046"/>
          </w:tcPr>
          <w:p>
            <w:pPr>
              <w:jc w:val="center"/>
              <w:spacing w:after="0"/>
              <w:rPr>
                <w:sz w:val="20"/>
                <w:szCs w:val="20"/>
                <w:color w:val="auto"/>
              </w:rPr>
            </w:pPr>
            <w:r>
              <w:rPr>
                <w:rFonts w:ascii="PMingLiU" w:cs="PMingLiU" w:eastAsia="PMingLiU" w:hAnsi="PMingLiU"/>
                <w:sz w:val="14"/>
                <w:szCs w:val="14"/>
                <w:b w:val="1"/>
                <w:bCs w:val="1"/>
                <w:color w:val="FFFFFF"/>
              </w:rPr>
              <w:t>$JH</w:t>
            </w:r>
          </w:p>
        </w:tc>
        <w:tc>
          <w:tcPr>
            <w:tcW w:w="160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6LQFH   ,QGHSHQGHQW</w:t>
            </w:r>
          </w:p>
        </w:tc>
        <w:tc>
          <w:tcPr>
            <w:tcW w:w="1060" w:type="dxa"/>
            <w:vAlign w:val="bottom"/>
            <w:tcBorders>
              <w:right w:val="single" w:sz="8" w:color="5C004D"/>
            </w:tcBorders>
            <w:shd w:val="clear" w:color="auto" w:fill="000046"/>
          </w:tcPr>
          <w:p>
            <w:pPr>
              <w:jc w:val="center"/>
              <w:spacing w:after="0"/>
              <w:rPr>
                <w:sz w:val="20"/>
                <w:szCs w:val="20"/>
                <w:color w:val="auto"/>
              </w:rPr>
            </w:pPr>
            <w:r>
              <w:rPr>
                <w:rFonts w:ascii="PMingLiU" w:cs="PMingLiU" w:eastAsia="PMingLiU" w:hAnsi="PMingLiU"/>
                <w:sz w:val="14"/>
                <w:szCs w:val="14"/>
                <w:b w:val="1"/>
                <w:bCs w:val="1"/>
                <w:color w:val="FFFFFF"/>
                <w:w w:val="89"/>
              </w:rPr>
              <w:t>3XEOLF%RDUGV</w:t>
            </w:r>
          </w:p>
        </w:tc>
        <w:tc>
          <w:tcPr>
            <w:tcW w:w="800" w:type="dxa"/>
            <w:vAlign w:val="bottom"/>
            <w:shd w:val="clear" w:color="auto" w:fill="5C004D"/>
          </w:tcPr>
          <w:p>
            <w:pPr>
              <w:jc w:val="center"/>
              <w:spacing w:after="0"/>
              <w:rPr>
                <w:sz w:val="20"/>
                <w:szCs w:val="20"/>
                <w:color w:val="auto"/>
              </w:rPr>
            </w:pPr>
            <w:r>
              <w:rPr>
                <w:rFonts w:ascii="PMingLiU" w:cs="PMingLiU" w:eastAsia="PMingLiU" w:hAnsi="PMingLiU"/>
                <w:sz w:val="14"/>
                <w:szCs w:val="14"/>
                <w:b w:val="1"/>
                <w:bCs w:val="1"/>
                <w:color w:val="FFFFFF"/>
                <w:w w:val="84"/>
              </w:rPr>
              <w:t>&amp;RPPLWWHH</w:t>
            </w:r>
          </w:p>
        </w:tc>
        <w:tc>
          <w:tcPr>
            <w:tcW w:w="2020" w:type="dxa"/>
            <w:vAlign w:val="bottom"/>
            <w:shd w:val="clear" w:color="auto" w:fill="5C004D"/>
          </w:tcPr>
          <w:p>
            <w:pPr>
              <w:ind w:left="220"/>
              <w:spacing w:after="0"/>
              <w:rPr>
                <w:sz w:val="20"/>
                <w:szCs w:val="20"/>
                <w:color w:val="auto"/>
              </w:rPr>
            </w:pPr>
            <w:r>
              <w:rPr>
                <w:rFonts w:ascii="PMingLiU" w:cs="PMingLiU" w:eastAsia="PMingLiU" w:hAnsi="PMingLiU"/>
                <w:sz w:val="14"/>
                <w:szCs w:val="14"/>
                <w:b w:val="1"/>
                <w:bCs w:val="1"/>
                <w:color w:val="FFFFFF"/>
                <w:w w:val="95"/>
              </w:rPr>
              <w:t>&amp;RPPLWWHH    &amp;RPPLWWHH</w:t>
            </w:r>
          </w:p>
        </w:tc>
        <w:tc>
          <w:tcPr>
            <w:tcW w:w="420" w:type="dxa"/>
            <w:vAlign w:val="bottom"/>
            <w:tcBorders>
              <w:right w:val="single" w:sz="8" w:color="5C004D"/>
            </w:tcBorders>
            <w:shd w:val="clear" w:color="auto" w:fill="5C004D"/>
          </w:tcPr>
          <w:p>
            <w:pPr>
              <w:jc w:val="center"/>
              <w:spacing w:after="0"/>
              <w:rPr>
                <w:sz w:val="20"/>
                <w:szCs w:val="20"/>
                <w:color w:val="auto"/>
              </w:rPr>
            </w:pPr>
            <w:r>
              <w:rPr>
                <w:rFonts w:ascii="PMingLiU" w:cs="PMingLiU" w:eastAsia="PMingLiU" w:hAnsi="PMingLiU"/>
                <w:sz w:val="14"/>
                <w:szCs w:val="14"/>
                <w:b w:val="1"/>
                <w:bCs w:val="1"/>
                <w:color w:val="FFFFFF"/>
              </w:rPr>
              <w:t>60&amp;</w:t>
            </w:r>
          </w:p>
        </w:tc>
        <w:tc>
          <w:tcPr>
            <w:tcW w:w="0" w:type="dxa"/>
            <w:vAlign w:val="bottom"/>
          </w:tcPr>
          <w:p>
            <w:pPr>
              <w:spacing w:after="0"/>
              <w:rPr>
                <w:sz w:val="1"/>
                <w:szCs w:val="1"/>
                <w:color w:val="auto"/>
              </w:rPr>
            </w:pPr>
          </w:p>
        </w:tc>
      </w:tr>
      <w:tr>
        <w:trPr>
          <w:trHeight w:val="64"/>
        </w:trPr>
        <w:tc>
          <w:tcPr>
            <w:tcW w:w="3840" w:type="dxa"/>
            <w:vAlign w:val="bottom"/>
            <w:gridSpan w:val="2"/>
            <w:shd w:val="clear" w:color="auto" w:fill="000046"/>
          </w:tcPr>
          <w:p>
            <w:pPr>
              <w:spacing w:after="0"/>
              <w:rPr>
                <w:sz w:val="5"/>
                <w:szCs w:val="5"/>
                <w:color w:val="auto"/>
              </w:rPr>
            </w:pPr>
          </w:p>
        </w:tc>
        <w:tc>
          <w:tcPr>
            <w:tcW w:w="360" w:type="dxa"/>
            <w:vAlign w:val="bottom"/>
            <w:shd w:val="clear" w:color="auto" w:fill="000046"/>
          </w:tcPr>
          <w:p>
            <w:pPr>
              <w:spacing w:after="0"/>
              <w:rPr>
                <w:sz w:val="5"/>
                <w:szCs w:val="5"/>
                <w:color w:val="auto"/>
              </w:rPr>
            </w:pPr>
          </w:p>
        </w:tc>
        <w:tc>
          <w:tcPr>
            <w:tcW w:w="1600" w:type="dxa"/>
            <w:vAlign w:val="bottom"/>
            <w:shd w:val="clear" w:color="auto" w:fill="000046"/>
          </w:tcPr>
          <w:p>
            <w:pPr>
              <w:spacing w:after="0"/>
              <w:rPr>
                <w:sz w:val="5"/>
                <w:szCs w:val="5"/>
                <w:color w:val="auto"/>
              </w:rPr>
            </w:pPr>
          </w:p>
        </w:tc>
        <w:tc>
          <w:tcPr>
            <w:tcW w:w="1060" w:type="dxa"/>
            <w:vAlign w:val="bottom"/>
            <w:tcBorders>
              <w:right w:val="single" w:sz="8" w:color="5C004D"/>
            </w:tcBorders>
            <w:shd w:val="clear" w:color="auto" w:fill="000046"/>
          </w:tcPr>
          <w:p>
            <w:pPr>
              <w:spacing w:after="0"/>
              <w:rPr>
                <w:sz w:val="5"/>
                <w:szCs w:val="5"/>
                <w:color w:val="auto"/>
              </w:rPr>
            </w:pPr>
          </w:p>
        </w:tc>
        <w:tc>
          <w:tcPr>
            <w:tcW w:w="800" w:type="dxa"/>
            <w:vAlign w:val="bottom"/>
            <w:shd w:val="clear" w:color="auto" w:fill="5C004D"/>
          </w:tcPr>
          <w:p>
            <w:pPr>
              <w:spacing w:after="0"/>
              <w:rPr>
                <w:sz w:val="5"/>
                <w:szCs w:val="5"/>
                <w:color w:val="auto"/>
              </w:rPr>
            </w:pPr>
          </w:p>
        </w:tc>
        <w:tc>
          <w:tcPr>
            <w:tcW w:w="2020" w:type="dxa"/>
            <w:vAlign w:val="bottom"/>
            <w:shd w:val="clear" w:color="auto" w:fill="5C004D"/>
          </w:tcPr>
          <w:p>
            <w:pPr>
              <w:spacing w:after="0"/>
              <w:rPr>
                <w:sz w:val="5"/>
                <w:szCs w:val="5"/>
                <w:color w:val="auto"/>
              </w:rPr>
            </w:pPr>
          </w:p>
        </w:tc>
        <w:tc>
          <w:tcPr>
            <w:tcW w:w="420" w:type="dxa"/>
            <w:vAlign w:val="bottom"/>
            <w:tcBorders>
              <w:right w:val="single" w:sz="8" w:color="5C004D"/>
            </w:tcBorders>
            <w:shd w:val="clear" w:color="auto" w:fill="5C004D"/>
          </w:tcPr>
          <w:p>
            <w:pPr>
              <w:spacing w:after="0"/>
              <w:rPr>
                <w:sz w:val="5"/>
                <w:szCs w:val="5"/>
                <w:color w:val="auto"/>
              </w:rPr>
            </w:pPr>
          </w:p>
        </w:tc>
        <w:tc>
          <w:tcPr>
            <w:tcW w:w="0" w:type="dxa"/>
            <w:vAlign w:val="bottom"/>
          </w:tcPr>
          <w:p>
            <w:pPr>
              <w:spacing w:after="0"/>
              <w:rPr>
                <w:sz w:val="1"/>
                <w:szCs w:val="1"/>
                <w:color w:val="auto"/>
              </w:rPr>
            </w:pPr>
          </w:p>
        </w:tc>
      </w:tr>
      <w:tr>
        <w:trPr>
          <w:trHeight w:val="293"/>
        </w:trPr>
        <w:tc>
          <w:tcPr>
            <w:tcW w:w="3840" w:type="dxa"/>
            <w:vAlign w:val="bottom"/>
            <w:gridSpan w:val="2"/>
            <w:shd w:val="clear" w:color="auto" w:fill="F3F3F1"/>
          </w:tcPr>
          <w:p>
            <w:pPr>
              <w:ind w:left="100"/>
              <w:spacing w:after="0"/>
              <w:rPr>
                <w:sz w:val="20"/>
                <w:szCs w:val="20"/>
                <w:color w:val="auto"/>
              </w:rPr>
            </w:pPr>
            <w:r>
              <w:rPr>
                <w:rFonts w:ascii="PMingLiU" w:cs="PMingLiU" w:eastAsia="PMingLiU" w:hAnsi="PMingLiU"/>
                <w:sz w:val="16"/>
                <w:szCs w:val="16"/>
                <w:b w:val="1"/>
                <w:bCs w:val="1"/>
                <w:color w:val="4454A7"/>
              </w:rPr>
              <w:t>',5(&amp;725120,1((6</w:t>
            </w:r>
          </w:p>
        </w:tc>
        <w:tc>
          <w:tcPr>
            <w:tcW w:w="360" w:type="dxa"/>
            <w:vAlign w:val="bottom"/>
            <w:shd w:val="clear" w:color="auto" w:fill="F3F3F1"/>
          </w:tcPr>
          <w:p>
            <w:pPr>
              <w:spacing w:after="0"/>
              <w:rPr>
                <w:sz w:val="24"/>
                <w:szCs w:val="24"/>
                <w:color w:val="auto"/>
              </w:rPr>
            </w:pPr>
          </w:p>
        </w:tc>
        <w:tc>
          <w:tcPr>
            <w:tcW w:w="1600" w:type="dxa"/>
            <w:vAlign w:val="bottom"/>
            <w:shd w:val="clear" w:color="auto" w:fill="F3F3F1"/>
          </w:tcPr>
          <w:p>
            <w:pPr>
              <w:spacing w:after="0"/>
              <w:rPr>
                <w:sz w:val="24"/>
                <w:szCs w:val="24"/>
                <w:color w:val="auto"/>
              </w:rPr>
            </w:pPr>
          </w:p>
        </w:tc>
        <w:tc>
          <w:tcPr>
            <w:tcW w:w="1060" w:type="dxa"/>
            <w:vAlign w:val="bottom"/>
            <w:tcBorders>
              <w:right w:val="single" w:sz="8" w:color="5C004D"/>
            </w:tcBorders>
            <w:shd w:val="clear" w:color="auto" w:fill="F3F3F1"/>
          </w:tcPr>
          <w:p>
            <w:pPr>
              <w:spacing w:after="0"/>
              <w:rPr>
                <w:sz w:val="24"/>
                <w:szCs w:val="24"/>
                <w:color w:val="auto"/>
              </w:rPr>
            </w:pPr>
          </w:p>
        </w:tc>
        <w:tc>
          <w:tcPr>
            <w:tcW w:w="800" w:type="dxa"/>
            <w:vAlign w:val="bottom"/>
            <w:shd w:val="clear" w:color="auto" w:fill="F3F3F1"/>
          </w:tcPr>
          <w:p>
            <w:pPr>
              <w:spacing w:after="0"/>
              <w:rPr>
                <w:sz w:val="24"/>
                <w:szCs w:val="24"/>
                <w:color w:val="auto"/>
              </w:rPr>
            </w:pPr>
          </w:p>
        </w:tc>
        <w:tc>
          <w:tcPr>
            <w:tcW w:w="2020" w:type="dxa"/>
            <w:vAlign w:val="bottom"/>
            <w:shd w:val="clear" w:color="auto" w:fill="F3F3F1"/>
          </w:tcPr>
          <w:p>
            <w:pPr>
              <w:spacing w:after="0"/>
              <w:rPr>
                <w:sz w:val="24"/>
                <w:szCs w:val="24"/>
                <w:color w:val="auto"/>
              </w:rPr>
            </w:pPr>
          </w:p>
        </w:tc>
        <w:tc>
          <w:tcPr>
            <w:tcW w:w="420" w:type="dxa"/>
            <w:vAlign w:val="bottom"/>
            <w:tcBorders>
              <w:right w:val="single" w:sz="8" w:color="5C004D"/>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120" w:type="dxa"/>
            <w:vAlign w:val="bottom"/>
            <w:shd w:val="clear" w:color="auto" w:fill="F3F3F1"/>
          </w:tcPr>
          <w:p>
            <w:pPr>
              <w:spacing w:after="0"/>
              <w:rPr>
                <w:sz w:val="5"/>
                <w:szCs w:val="5"/>
                <w:color w:val="auto"/>
              </w:rPr>
            </w:pPr>
          </w:p>
        </w:tc>
        <w:tc>
          <w:tcPr>
            <w:tcW w:w="1720" w:type="dxa"/>
            <w:vAlign w:val="bottom"/>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600" w:type="dxa"/>
            <w:vAlign w:val="bottom"/>
            <w:shd w:val="clear" w:color="auto" w:fill="F3F3F1"/>
          </w:tcPr>
          <w:p>
            <w:pPr>
              <w:spacing w:after="0"/>
              <w:rPr>
                <w:sz w:val="5"/>
                <w:szCs w:val="5"/>
                <w:color w:val="auto"/>
              </w:rPr>
            </w:pPr>
          </w:p>
        </w:tc>
        <w:tc>
          <w:tcPr>
            <w:tcW w:w="1060" w:type="dxa"/>
            <w:vAlign w:val="bottom"/>
            <w:tcBorders>
              <w:right w:val="single" w:sz="8" w:color="5C004D"/>
            </w:tcBorders>
            <w:shd w:val="clear" w:color="auto" w:fill="F3F3F1"/>
          </w:tcPr>
          <w:p>
            <w:pPr>
              <w:spacing w:after="0"/>
              <w:rPr>
                <w:sz w:val="5"/>
                <w:szCs w:val="5"/>
                <w:color w:val="auto"/>
              </w:rPr>
            </w:pPr>
          </w:p>
        </w:tc>
        <w:tc>
          <w:tcPr>
            <w:tcW w:w="800" w:type="dxa"/>
            <w:vAlign w:val="bottom"/>
            <w:shd w:val="clear" w:color="auto" w:fill="F3F3F1"/>
          </w:tcPr>
          <w:p>
            <w:pPr>
              <w:spacing w:after="0"/>
              <w:rPr>
                <w:sz w:val="5"/>
                <w:szCs w:val="5"/>
                <w:color w:val="auto"/>
              </w:rPr>
            </w:pPr>
          </w:p>
        </w:tc>
        <w:tc>
          <w:tcPr>
            <w:tcW w:w="2020" w:type="dxa"/>
            <w:vAlign w:val="bottom"/>
            <w:shd w:val="clear" w:color="auto" w:fill="F3F3F1"/>
          </w:tcPr>
          <w:p>
            <w:pPr>
              <w:spacing w:after="0"/>
              <w:rPr>
                <w:sz w:val="5"/>
                <w:szCs w:val="5"/>
                <w:color w:val="auto"/>
              </w:rPr>
            </w:pPr>
          </w:p>
        </w:tc>
        <w:tc>
          <w:tcPr>
            <w:tcW w:w="420" w:type="dxa"/>
            <w:vAlign w:val="bottom"/>
            <w:tcBorders>
              <w:right w:val="single" w:sz="8" w:color="5C004D"/>
            </w:tcBorders>
            <w:shd w:val="clear" w:color="auto" w:fill="F3F3F1"/>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120" w:type="dxa"/>
            <w:vAlign w:val="bottom"/>
          </w:tcPr>
          <w:p>
            <w:pPr>
              <w:ind w:left="700"/>
              <w:spacing w:after="0"/>
              <w:rPr>
                <w:sz w:val="20"/>
                <w:szCs w:val="20"/>
                <w:color w:val="auto"/>
              </w:rPr>
            </w:pPr>
            <w:r>
              <w:rPr>
                <w:rFonts w:ascii="PMingLiU" w:cs="PMingLiU" w:eastAsia="PMingLiU" w:hAnsi="PMingLiU"/>
                <w:sz w:val="16"/>
                <w:szCs w:val="16"/>
                <w:b w:val="1"/>
                <w:bCs w:val="1"/>
                <w:color w:val="5C004D"/>
              </w:rPr>
              <w:t>%UXFH&amp;&amp;R]DGG</w:t>
            </w:r>
          </w:p>
        </w:tc>
        <w:tc>
          <w:tcPr>
            <w:tcW w:w="1720" w:type="dxa"/>
            <w:vAlign w:val="bottom"/>
          </w:tcPr>
          <w:p>
            <w:pPr>
              <w:spacing w:after="0"/>
              <w:rPr>
                <w:sz w:val="24"/>
                <w:szCs w:val="24"/>
                <w:color w:val="auto"/>
              </w:rPr>
            </w:pP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22"/>
              <w:spacing w:after="0"/>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vertAlign w:val="superscript"/>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Borders>
              <w:right w:val="single" w:sz="8" w:color="5C004D"/>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w w:val="96"/>
              </w:rPr>
              <w:t>&amp;KDLUSHUVRQ-D]]3KDUPDFHXWLFDOVSOF</w:t>
            </w:r>
          </w:p>
        </w:tc>
        <w:tc>
          <w:tcPr>
            <w:tcW w:w="3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060" w:type="dxa"/>
            <w:vAlign w:val="bottom"/>
            <w:tcBorders>
              <w:right w:val="single" w:sz="8" w:color="5C004D"/>
            </w:tcBorders>
            <w:vMerge w:val="continue"/>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Borders>
              <w:right w:val="single" w:sz="8" w:color="5C004D"/>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38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60" w:type="dxa"/>
            <w:vAlign w:val="bottom"/>
            <w:tcBorders>
              <w:right w:val="single" w:sz="8" w:color="5C004D"/>
            </w:tcBorders>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20" w:type="dxa"/>
            <w:vAlign w:val="bottom"/>
            <w:tcBorders>
              <w:right w:val="single" w:sz="8" w:color="5C004D"/>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3840" w:type="dxa"/>
            <w:vAlign w:val="bottom"/>
            <w:tcBorders>
              <w:bottom w:val="single" w:sz="8" w:color="4454A7"/>
            </w:tcBorders>
            <w:gridSpan w:val="2"/>
          </w:tcPr>
          <w:p>
            <w:pPr>
              <w:spacing w:after="0"/>
              <w:rPr>
                <w:sz w:val="8"/>
                <w:szCs w:val="8"/>
                <w:color w:val="auto"/>
              </w:rPr>
            </w:pPr>
          </w:p>
        </w:tc>
        <w:tc>
          <w:tcPr>
            <w:tcW w:w="360" w:type="dxa"/>
            <w:vAlign w:val="bottom"/>
            <w:tcBorders>
              <w:bottom w:val="single" w:sz="8" w:color="4454A7"/>
            </w:tcBorders>
          </w:tcPr>
          <w:p>
            <w:pPr>
              <w:spacing w:after="0"/>
              <w:rPr>
                <w:sz w:val="8"/>
                <w:szCs w:val="8"/>
                <w:color w:val="auto"/>
              </w:rPr>
            </w:pPr>
          </w:p>
        </w:tc>
        <w:tc>
          <w:tcPr>
            <w:tcW w:w="1600" w:type="dxa"/>
            <w:vAlign w:val="bottom"/>
            <w:tcBorders>
              <w:bottom w:val="single" w:sz="8" w:color="4454A7"/>
            </w:tcBorders>
          </w:tcPr>
          <w:p>
            <w:pPr>
              <w:spacing w:after="0"/>
              <w:rPr>
                <w:sz w:val="8"/>
                <w:szCs w:val="8"/>
                <w:color w:val="auto"/>
              </w:rPr>
            </w:pPr>
          </w:p>
        </w:tc>
        <w:tc>
          <w:tcPr>
            <w:tcW w:w="1060" w:type="dxa"/>
            <w:vAlign w:val="bottom"/>
            <w:tcBorders>
              <w:bottom w:val="single" w:sz="8" w:color="4454A7"/>
              <w:right w:val="single" w:sz="8" w:color="5C004D"/>
            </w:tcBorders>
          </w:tcPr>
          <w:p>
            <w:pPr>
              <w:spacing w:after="0"/>
              <w:rPr>
                <w:sz w:val="8"/>
                <w:szCs w:val="8"/>
                <w:color w:val="auto"/>
              </w:rPr>
            </w:pPr>
          </w:p>
        </w:tc>
        <w:tc>
          <w:tcPr>
            <w:tcW w:w="800" w:type="dxa"/>
            <w:vAlign w:val="bottom"/>
            <w:tcBorders>
              <w:bottom w:val="single" w:sz="8" w:color="4454A7"/>
            </w:tcBorders>
          </w:tcPr>
          <w:p>
            <w:pPr>
              <w:spacing w:after="0"/>
              <w:rPr>
                <w:sz w:val="8"/>
                <w:szCs w:val="8"/>
                <w:color w:val="auto"/>
              </w:rPr>
            </w:pPr>
          </w:p>
        </w:tc>
        <w:tc>
          <w:tcPr>
            <w:tcW w:w="2020" w:type="dxa"/>
            <w:vAlign w:val="bottom"/>
            <w:tcBorders>
              <w:bottom w:val="single" w:sz="8" w:color="4454A7"/>
            </w:tcBorders>
          </w:tcPr>
          <w:p>
            <w:pPr>
              <w:spacing w:after="0"/>
              <w:rPr>
                <w:sz w:val="8"/>
                <w:szCs w:val="8"/>
                <w:color w:val="auto"/>
              </w:rPr>
            </w:pPr>
          </w:p>
        </w:tc>
        <w:tc>
          <w:tcPr>
            <w:tcW w:w="420" w:type="dxa"/>
            <w:vAlign w:val="bottom"/>
            <w:tcBorders>
              <w:bottom w:val="single" w:sz="8" w:color="4454A7"/>
              <w:right w:val="single" w:sz="8" w:color="5C004D"/>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700"/>
              <w:spacing w:after="0"/>
              <w:rPr>
                <w:sz w:val="20"/>
                <w:szCs w:val="20"/>
                <w:color w:val="auto"/>
              </w:rPr>
            </w:pPr>
            <w:r>
              <w:rPr>
                <w:rFonts w:ascii="PMingLiU" w:cs="PMingLiU" w:eastAsia="PMingLiU" w:hAnsi="PMingLiU"/>
                <w:sz w:val="16"/>
                <w:szCs w:val="16"/>
                <w:b w:val="1"/>
                <w:bCs w:val="1"/>
                <w:color w:val="5C004D"/>
              </w:rPr>
              <w:t>+HDWKHU$QQ0F6KDUU\</w:t>
            </w: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2020" w:type="dxa"/>
            <w:vAlign w:val="bottom"/>
            <w:vMerge w:val="restart"/>
          </w:tcPr>
          <w:p>
            <w:pPr>
              <w:ind w:left="1460"/>
              <w:spacing w:after="0"/>
              <w:rPr>
                <w:sz w:val="20"/>
                <w:szCs w:val="20"/>
                <w:color w:val="auto"/>
              </w:rPr>
            </w:pPr>
            <w:r>
              <w:rPr>
                <w:rFonts w:ascii="Arial" w:cs="Arial" w:eastAsia="Arial" w:hAnsi="Arial"/>
                <w:sz w:val="30"/>
                <w:szCs w:val="30"/>
                <w:color w:val="5C004D"/>
              </w:rPr>
              <w:t>Ɣ</w:t>
            </w:r>
          </w:p>
        </w:tc>
        <w:tc>
          <w:tcPr>
            <w:tcW w:w="420" w:type="dxa"/>
            <w:vAlign w:val="bottom"/>
            <w:tcBorders>
              <w:right w:val="single" w:sz="8" w:color="5C004D"/>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w w:val="73"/>
              </w:rPr>
              <w:t>'LUHFWRU,QWHUQDWLRQDO&amp;RQVROLGDWHG$LUOLQHV</w:t>
            </w:r>
          </w:p>
        </w:tc>
        <w:tc>
          <w:tcPr>
            <w:tcW w:w="3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60" w:type="dxa"/>
            <w:vAlign w:val="bottom"/>
            <w:tcBorders>
              <w:right w:val="single" w:sz="8" w:color="5C004D"/>
            </w:tcBorders>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420" w:type="dxa"/>
            <w:vAlign w:val="bottom"/>
            <w:tcBorders>
              <w:right w:val="single" w:sz="8" w:color="5C004D"/>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20" w:type="dxa"/>
            <w:vAlign w:val="bottom"/>
          </w:tcPr>
          <w:p>
            <w:pPr>
              <w:ind w:left="700"/>
              <w:spacing w:after="0"/>
              <w:rPr>
                <w:sz w:val="20"/>
                <w:szCs w:val="20"/>
                <w:color w:val="auto"/>
              </w:rPr>
            </w:pPr>
            <w:r>
              <w:rPr>
                <w:rFonts w:ascii="PMingLiU" w:cs="PMingLiU" w:eastAsia="PMingLiU" w:hAnsi="PMingLiU"/>
                <w:sz w:val="16"/>
                <w:szCs w:val="16"/>
                <w:color w:val="auto"/>
              </w:rPr>
              <w:t>*URXS6$</w:t>
            </w: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Borders>
              <w:right w:val="single" w:sz="8" w:color="5C004D"/>
            </w:tcBorders>
          </w:tcPr>
          <w:p>
            <w:pPr>
              <w:spacing w:after="0"/>
              <w:rPr>
                <w:sz w:val="22"/>
                <w:szCs w:val="22"/>
                <w:color w:val="auto"/>
              </w:rPr>
            </w:pPr>
          </w:p>
        </w:tc>
        <w:tc>
          <w:tcPr>
            <w:tcW w:w="80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420" w:type="dxa"/>
            <w:vAlign w:val="bottom"/>
            <w:tcBorders>
              <w:right w:val="single" w:sz="8" w:color="5C004D"/>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Borders>
              <w:top w:val="single" w:sz="8" w:color="4454A7"/>
            </w:tcBorders>
            <w:gridSpan w:val="2"/>
          </w:tcPr>
          <w:p>
            <w:pPr>
              <w:ind w:left="700"/>
              <w:spacing w:after="0"/>
              <w:rPr>
                <w:sz w:val="20"/>
                <w:szCs w:val="20"/>
                <w:color w:val="auto"/>
              </w:rPr>
            </w:pPr>
            <w:r>
              <w:rPr>
                <w:rFonts w:ascii="PMingLiU" w:cs="PMingLiU" w:eastAsia="PMingLiU" w:hAnsi="PMingLiU"/>
                <w:sz w:val="16"/>
                <w:szCs w:val="16"/>
                <w:b w:val="1"/>
                <w:bCs w:val="1"/>
                <w:color w:val="5C004D"/>
              </w:rPr>
              <w:t>5LFN(:LQQLQJKDP</w:t>
            </w:r>
          </w:p>
        </w:tc>
        <w:tc>
          <w:tcPr>
            <w:tcW w:w="360" w:type="dxa"/>
            <w:vAlign w:val="bottom"/>
            <w:tcBorders>
              <w:top w:val="single" w:sz="8" w:color="4454A7"/>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tcBorders>
              <w:top w:val="single" w:sz="8" w:color="4454A7"/>
            </w:tcBorders>
            <w:vMerge w:val="restart"/>
          </w:tcPr>
          <w:p>
            <w:pPr>
              <w:jc w:val="right"/>
              <w:ind w:right="922"/>
              <w:spacing w:after="0"/>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vertAlign w:val="superscript"/>
              </w:rPr>
              <w:t/>
            </w:r>
          </w:p>
        </w:tc>
        <w:tc>
          <w:tcPr>
            <w:tcW w:w="1060" w:type="dxa"/>
            <w:vAlign w:val="bottom"/>
            <w:tcBorders>
              <w:top w:val="single" w:sz="8" w:color="4454A7"/>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Borders>
              <w:top w:val="single" w:sz="8" w:color="4454A7"/>
            </w:tcBorders>
          </w:tcPr>
          <w:p>
            <w:pPr>
              <w:spacing w:after="0"/>
              <w:rPr>
                <w:sz w:val="21"/>
                <w:szCs w:val="21"/>
                <w:color w:val="auto"/>
              </w:rPr>
            </w:pPr>
          </w:p>
        </w:tc>
        <w:tc>
          <w:tcPr>
            <w:tcW w:w="2020" w:type="dxa"/>
            <w:vAlign w:val="bottom"/>
            <w:tcBorders>
              <w:top w:val="single" w:sz="8" w:color="4454A7"/>
            </w:tcBorders>
            <w:vMerge w:val="restart"/>
          </w:tcPr>
          <w:p>
            <w:pPr>
              <w:ind w:left="1460"/>
              <w:spacing w:after="0" w:line="480" w:lineRule="exact"/>
              <w:rPr>
                <w:sz w:val="20"/>
                <w:szCs w:val="20"/>
                <w:color w:val="auto"/>
              </w:rPr>
            </w:pPr>
            <w:r>
              <w:rPr>
                <w:rFonts w:ascii="PMingLiU" w:cs="PMingLiU" w:eastAsia="PMingLiU" w:hAnsi="PMingLiU"/>
                <w:sz w:val="40"/>
                <w:szCs w:val="40"/>
                <w:color w:val="5C004D"/>
              </w:rPr>
              <w:t/>
            </w:r>
          </w:p>
        </w:tc>
        <w:tc>
          <w:tcPr>
            <w:tcW w:w="420" w:type="dxa"/>
            <w:vAlign w:val="bottom"/>
            <w:tcBorders>
              <w:top w:val="single" w:sz="8" w:color="4454A7"/>
              <w:right w:val="single" w:sz="8" w:color="5C004D"/>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&amp;KLHI([HFXWLYH2IILFHU7KHUDYDQFH</w:t>
            </w:r>
          </w:p>
        </w:tc>
        <w:tc>
          <w:tcPr>
            <w:tcW w:w="3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60" w:type="dxa"/>
            <w:vAlign w:val="bottom"/>
            <w:tcBorders>
              <w:right w:val="single" w:sz="8" w:color="5C004D"/>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420" w:type="dxa"/>
            <w:vAlign w:val="bottom"/>
            <w:tcBorders>
              <w:right w:val="single" w:sz="8" w:color="5C004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700"/>
              <w:spacing w:after="0"/>
              <w:rPr>
                <w:sz w:val="20"/>
                <w:szCs w:val="20"/>
                <w:color w:val="auto"/>
              </w:rPr>
            </w:pPr>
            <w:r>
              <w:rPr>
                <w:rFonts w:ascii="PMingLiU" w:cs="PMingLiU" w:eastAsia="PMingLiU" w:hAnsi="PMingLiU"/>
                <w:sz w:val="16"/>
                <w:szCs w:val="16"/>
                <w:color w:val="auto"/>
              </w:rPr>
              <w:t>%LRSKDUPD,QF</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Borders>
              <w:right w:val="single" w:sz="8" w:color="5C004D"/>
            </w:tcBorders>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20" w:type="dxa"/>
            <w:vAlign w:val="bottom"/>
            <w:tcBorders>
              <w:right w:val="single" w:sz="8" w:color="5C004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384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60" w:type="dxa"/>
            <w:vAlign w:val="bottom"/>
            <w:tcBorders>
              <w:right w:val="single" w:sz="8" w:color="5C004D"/>
            </w:tcBorders>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20" w:type="dxa"/>
            <w:vAlign w:val="bottom"/>
            <w:tcBorders>
              <w:right w:val="single" w:sz="8" w:color="5C004D"/>
            </w:tcBorders>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3840" w:type="dxa"/>
            <w:vAlign w:val="bottom"/>
            <w:gridSpan w:val="2"/>
            <w:shd w:val="clear" w:color="auto" w:fill="F3F3F1"/>
          </w:tcPr>
          <w:p>
            <w:pPr>
              <w:ind w:left="100"/>
              <w:spacing w:after="0"/>
              <w:rPr>
                <w:sz w:val="20"/>
                <w:szCs w:val="20"/>
                <w:color w:val="auto"/>
              </w:rPr>
            </w:pPr>
            <w:r>
              <w:rPr>
                <w:rFonts w:ascii="PMingLiU" w:cs="PMingLiU" w:eastAsia="PMingLiU" w:hAnsi="PMingLiU"/>
                <w:sz w:val="16"/>
                <w:szCs w:val="16"/>
                <w:b w:val="1"/>
                <w:bCs w:val="1"/>
                <w:color w:val="4454A7"/>
              </w:rPr>
              <w:t>&amp;217,18,1*',5(&amp;7256</w:t>
            </w:r>
            <w:r>
              <w:rPr>
                <w:rFonts w:ascii="PMingLiU" w:cs="PMingLiU" w:eastAsia="PMingLiU" w:hAnsi="PMingLiU"/>
                <w:sz w:val="20"/>
                <w:szCs w:val="20"/>
                <w:b w:val="1"/>
                <w:bCs w:val="1"/>
                <w:color w:val="4454A7"/>
                <w:vertAlign w:val="superscript"/>
              </w:rPr>
              <w:t/>
            </w:r>
          </w:p>
        </w:tc>
        <w:tc>
          <w:tcPr>
            <w:tcW w:w="360" w:type="dxa"/>
            <w:vAlign w:val="bottom"/>
            <w:shd w:val="clear" w:color="auto" w:fill="F3F3F1"/>
          </w:tcPr>
          <w:p>
            <w:pPr>
              <w:spacing w:after="0"/>
              <w:rPr>
                <w:sz w:val="24"/>
                <w:szCs w:val="24"/>
                <w:color w:val="auto"/>
              </w:rPr>
            </w:pPr>
          </w:p>
        </w:tc>
        <w:tc>
          <w:tcPr>
            <w:tcW w:w="1600" w:type="dxa"/>
            <w:vAlign w:val="bottom"/>
            <w:shd w:val="clear" w:color="auto" w:fill="F3F3F1"/>
          </w:tcPr>
          <w:p>
            <w:pPr>
              <w:spacing w:after="0"/>
              <w:rPr>
                <w:sz w:val="24"/>
                <w:szCs w:val="24"/>
                <w:color w:val="auto"/>
              </w:rPr>
            </w:pPr>
          </w:p>
        </w:tc>
        <w:tc>
          <w:tcPr>
            <w:tcW w:w="1060" w:type="dxa"/>
            <w:vAlign w:val="bottom"/>
            <w:tcBorders>
              <w:right w:val="single" w:sz="8" w:color="5C004D"/>
            </w:tcBorders>
            <w:shd w:val="clear" w:color="auto" w:fill="F3F3F1"/>
          </w:tcPr>
          <w:p>
            <w:pPr>
              <w:spacing w:after="0"/>
              <w:rPr>
                <w:sz w:val="24"/>
                <w:szCs w:val="24"/>
                <w:color w:val="auto"/>
              </w:rPr>
            </w:pPr>
          </w:p>
        </w:tc>
        <w:tc>
          <w:tcPr>
            <w:tcW w:w="800" w:type="dxa"/>
            <w:vAlign w:val="bottom"/>
            <w:shd w:val="clear" w:color="auto" w:fill="F3F3F1"/>
          </w:tcPr>
          <w:p>
            <w:pPr>
              <w:spacing w:after="0"/>
              <w:rPr>
                <w:sz w:val="24"/>
                <w:szCs w:val="24"/>
                <w:color w:val="auto"/>
              </w:rPr>
            </w:pPr>
          </w:p>
        </w:tc>
        <w:tc>
          <w:tcPr>
            <w:tcW w:w="2020" w:type="dxa"/>
            <w:vAlign w:val="bottom"/>
            <w:shd w:val="clear" w:color="auto" w:fill="F3F3F1"/>
          </w:tcPr>
          <w:p>
            <w:pPr>
              <w:spacing w:after="0"/>
              <w:rPr>
                <w:sz w:val="24"/>
                <w:szCs w:val="24"/>
                <w:color w:val="auto"/>
              </w:rPr>
            </w:pPr>
          </w:p>
        </w:tc>
        <w:tc>
          <w:tcPr>
            <w:tcW w:w="420" w:type="dxa"/>
            <w:vAlign w:val="bottom"/>
            <w:tcBorders>
              <w:right w:val="single" w:sz="8" w:color="5C004D"/>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120" w:type="dxa"/>
            <w:vAlign w:val="bottom"/>
          </w:tcPr>
          <w:p>
            <w:pPr>
              <w:ind w:left="700"/>
              <w:spacing w:after="0"/>
              <w:rPr>
                <w:sz w:val="20"/>
                <w:szCs w:val="20"/>
                <w:color w:val="auto"/>
              </w:rPr>
            </w:pPr>
            <w:r>
              <w:rPr>
                <w:rFonts w:ascii="PMingLiU" w:cs="PMingLiU" w:eastAsia="PMingLiU" w:hAnsi="PMingLiU"/>
                <w:sz w:val="16"/>
                <w:szCs w:val="16"/>
                <w:b w:val="1"/>
                <w:bCs w:val="1"/>
                <w:color w:val="5C004D"/>
              </w:rPr>
              <w:t>-HQQLIHU(&amp;RRN</w:t>
            </w:r>
          </w:p>
        </w:tc>
        <w:tc>
          <w:tcPr>
            <w:tcW w:w="1720" w:type="dxa"/>
            <w:vAlign w:val="bottom"/>
          </w:tcPr>
          <w:p>
            <w:pPr>
              <w:spacing w:after="0"/>
              <w:rPr>
                <w:sz w:val="23"/>
                <w:szCs w:val="23"/>
                <w:color w:val="auto"/>
              </w:rPr>
            </w:pP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23"/>
                <w:szCs w:val="23"/>
                <w:color w:val="auto"/>
              </w:rPr>
            </w:pPr>
          </w:p>
        </w:tc>
        <w:tc>
          <w:tcPr>
            <w:tcW w:w="2020" w:type="dxa"/>
            <w:vAlign w:val="bottom"/>
            <w:vMerge w:val="restart"/>
          </w:tcPr>
          <w:p>
            <w:pPr>
              <w:ind w:left="480"/>
              <w:spacing w:after="0"/>
              <w:rPr>
                <w:sz w:val="20"/>
                <w:szCs w:val="20"/>
                <w:color w:val="auto"/>
              </w:rPr>
            </w:pPr>
            <w:r>
              <w:rPr>
                <w:rFonts w:ascii="Arial" w:cs="Arial" w:eastAsia="Arial" w:hAnsi="Arial"/>
                <w:sz w:val="30"/>
                <w:szCs w:val="30"/>
                <w:color w:val="5C004D"/>
              </w:rPr>
              <w:t>Ɣ</w:t>
            </w:r>
          </w:p>
        </w:tc>
        <w:tc>
          <w:tcPr>
            <w:tcW w:w="420" w:type="dxa"/>
            <w:vAlign w:val="bottom"/>
            <w:tcBorders>
              <w:right w:val="single" w:sz="8" w:color="5C004D"/>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'LUHFWRU%ULGJH%LR3KDUPD,QFDQG</w:t>
            </w:r>
          </w:p>
        </w:tc>
        <w:tc>
          <w:tcPr>
            <w:tcW w:w="3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60" w:type="dxa"/>
            <w:vAlign w:val="bottom"/>
            <w:tcBorders>
              <w:right w:val="single" w:sz="8" w:color="5C004D"/>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420" w:type="dxa"/>
            <w:vAlign w:val="bottom"/>
            <w:tcBorders>
              <w:right w:val="single" w:sz="8" w:color="5C004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'HQDOL7KHUDSHXWLFV,QF</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Borders>
              <w:right w:val="single" w:sz="8" w:color="5C004D"/>
            </w:tcBorders>
          </w:tcPr>
          <w:p>
            <w:pPr>
              <w:spacing w:after="0"/>
              <w:rPr>
                <w:sz w:val="22"/>
                <w:szCs w:val="22"/>
                <w:color w:val="auto"/>
              </w:rPr>
            </w:pPr>
          </w:p>
        </w:tc>
        <w:tc>
          <w:tcPr>
            <w:tcW w:w="800" w:type="dxa"/>
            <w:vAlign w:val="bottom"/>
          </w:tcPr>
          <w:p>
            <w:pPr>
              <w:spacing w:after="0"/>
              <w:rPr>
                <w:sz w:val="22"/>
                <w:szCs w:val="22"/>
                <w:color w:val="auto"/>
              </w:rPr>
            </w:pPr>
          </w:p>
        </w:tc>
        <w:tc>
          <w:tcPr>
            <w:tcW w:w="2020" w:type="dxa"/>
            <w:vAlign w:val="bottom"/>
            <w:vMerge w:val="continue"/>
          </w:tcPr>
          <w:p>
            <w:pPr>
              <w:spacing w:after="0"/>
              <w:rPr>
                <w:sz w:val="22"/>
                <w:szCs w:val="22"/>
                <w:color w:val="auto"/>
              </w:rPr>
            </w:pPr>
          </w:p>
        </w:tc>
        <w:tc>
          <w:tcPr>
            <w:tcW w:w="420" w:type="dxa"/>
            <w:vAlign w:val="bottom"/>
            <w:tcBorders>
              <w:right w:val="single" w:sz="8" w:color="5C004D"/>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120" w:type="dxa"/>
            <w:vAlign w:val="bottom"/>
            <w:tcBorders>
              <w:top w:val="single" w:sz="8" w:color="4454A7"/>
            </w:tcBorders>
          </w:tcPr>
          <w:p>
            <w:pPr>
              <w:ind w:left="700"/>
              <w:spacing w:after="0"/>
              <w:rPr>
                <w:sz w:val="20"/>
                <w:szCs w:val="20"/>
                <w:color w:val="auto"/>
              </w:rPr>
            </w:pPr>
            <w:r>
              <w:rPr>
                <w:rFonts w:ascii="PMingLiU" w:cs="PMingLiU" w:eastAsia="PMingLiU" w:hAnsi="PMingLiU"/>
                <w:sz w:val="16"/>
                <w:szCs w:val="16"/>
                <w:b w:val="1"/>
                <w:bCs w:val="1"/>
                <w:color w:val="5C004D"/>
                <w:w w:val="95"/>
              </w:rPr>
              <w:t>3DWULFN*(QULJKW</w:t>
            </w:r>
          </w:p>
        </w:tc>
        <w:tc>
          <w:tcPr>
            <w:tcW w:w="1720" w:type="dxa"/>
            <w:vAlign w:val="bottom"/>
            <w:tcBorders>
              <w:top w:val="single" w:sz="8" w:color="4454A7"/>
            </w:tcBorders>
          </w:tcPr>
          <w:p>
            <w:pPr>
              <w:spacing w:after="0"/>
              <w:rPr>
                <w:sz w:val="20"/>
                <w:szCs w:val="20"/>
                <w:color w:val="auto"/>
              </w:rPr>
            </w:pPr>
          </w:p>
        </w:tc>
        <w:tc>
          <w:tcPr>
            <w:tcW w:w="360" w:type="dxa"/>
            <w:vAlign w:val="bottom"/>
            <w:tcBorders>
              <w:top w:val="single" w:sz="8" w:color="4454A7"/>
            </w:tcBorders>
          </w:tcPr>
          <w:p>
            <w:pPr>
              <w:spacing w:after="0"/>
              <w:rPr>
                <w:sz w:val="20"/>
                <w:szCs w:val="20"/>
                <w:color w:val="auto"/>
              </w:rPr>
            </w:pPr>
          </w:p>
        </w:tc>
        <w:tc>
          <w:tcPr>
            <w:tcW w:w="1600" w:type="dxa"/>
            <w:vAlign w:val="bottom"/>
            <w:tcBorders>
              <w:top w:val="single" w:sz="8" w:color="4454A7"/>
            </w:tcBorders>
          </w:tcPr>
          <w:p>
            <w:pPr>
              <w:spacing w:after="0"/>
              <w:rPr>
                <w:sz w:val="20"/>
                <w:szCs w:val="20"/>
                <w:color w:val="auto"/>
              </w:rPr>
            </w:pPr>
          </w:p>
        </w:tc>
        <w:tc>
          <w:tcPr>
            <w:tcW w:w="1060" w:type="dxa"/>
            <w:vAlign w:val="bottom"/>
            <w:tcBorders>
              <w:top w:val="single" w:sz="8" w:color="4454A7"/>
              <w:right w:val="single" w:sz="8" w:color="5C004D"/>
            </w:tcBorders>
          </w:tcPr>
          <w:p>
            <w:pPr>
              <w:spacing w:after="0"/>
              <w:rPr>
                <w:sz w:val="20"/>
                <w:szCs w:val="20"/>
                <w:color w:val="auto"/>
              </w:rPr>
            </w:pPr>
          </w:p>
        </w:tc>
        <w:tc>
          <w:tcPr>
            <w:tcW w:w="800" w:type="dxa"/>
            <w:vAlign w:val="bottom"/>
            <w:tcBorders>
              <w:top w:val="single" w:sz="8" w:color="4454A7"/>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2020" w:type="dxa"/>
            <w:vAlign w:val="bottom"/>
            <w:tcBorders>
              <w:top w:val="single" w:sz="8" w:color="4454A7"/>
            </w:tcBorders>
            <w:vMerge w:val="restart"/>
          </w:tcPr>
          <w:p>
            <w:pPr>
              <w:ind w:left="480"/>
              <w:spacing w:after="0" w:line="480" w:lineRule="exact"/>
              <w:rPr>
                <w:sz w:val="20"/>
                <w:szCs w:val="20"/>
                <w:color w:val="auto"/>
              </w:rPr>
            </w:pPr>
            <w:r>
              <w:rPr>
                <w:rFonts w:ascii="PMingLiU" w:cs="PMingLiU" w:eastAsia="PMingLiU" w:hAnsi="PMingLiU"/>
                <w:sz w:val="40"/>
                <w:szCs w:val="40"/>
                <w:color w:val="5C004D"/>
              </w:rPr>
              <w:t/>
            </w:r>
          </w:p>
        </w:tc>
        <w:tc>
          <w:tcPr>
            <w:tcW w:w="420" w:type="dxa"/>
            <w:vAlign w:val="bottom"/>
            <w:tcBorders>
              <w:top w:val="single" w:sz="8" w:color="4454A7"/>
              <w:right w:val="single" w:sz="8" w:color="5C004D"/>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0DQDJLQJ'LUHFWRU/RQJLWXGH&amp;DSLWDO</w:t>
            </w: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22"/>
              <w:spacing w:after="0"/>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vertAlign w:val="superscript"/>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420" w:type="dxa"/>
            <w:vAlign w:val="bottom"/>
            <w:tcBorders>
              <w:right w:val="single" w:sz="8" w:color="5C004D"/>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DQG'LUHFWRU%LR$JH/DEV,QF</w:t>
            </w:r>
          </w:p>
        </w:tc>
        <w:tc>
          <w:tcPr>
            <w:tcW w:w="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060" w:type="dxa"/>
            <w:vAlign w:val="bottom"/>
            <w:tcBorders>
              <w:right w:val="single" w:sz="8" w:color="5C004D"/>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420" w:type="dxa"/>
            <w:vAlign w:val="bottom"/>
            <w:tcBorders>
              <w:right w:val="single" w:sz="8" w:color="5C004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w w:val="97"/>
              </w:rPr>
              <w:t>9HUD7KHUDSHXWLFV,QF9HUDGHUPLFV,QF</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60" w:type="dxa"/>
            <w:vAlign w:val="bottom"/>
            <w:tcBorders>
              <w:right w:val="single" w:sz="8" w:color="5C004D"/>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420" w:type="dxa"/>
            <w:vAlign w:val="bottom"/>
            <w:tcBorders>
              <w:right w:val="single" w:sz="8" w:color="5C004D"/>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DQG=HQDV%LR3KDUPD,QF</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60" w:type="dxa"/>
            <w:vAlign w:val="bottom"/>
            <w:tcBorders>
              <w:right w:val="single" w:sz="8" w:color="5C004D"/>
            </w:tcBorders>
          </w:tcPr>
          <w:p>
            <w:pPr>
              <w:spacing w:after="0"/>
              <w:rPr>
                <w:sz w:val="21"/>
                <w:szCs w:val="21"/>
                <w:color w:val="auto"/>
              </w:rPr>
            </w:pPr>
          </w:p>
        </w:tc>
        <w:tc>
          <w:tcPr>
            <w:tcW w:w="8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20" w:type="dxa"/>
            <w:vAlign w:val="bottom"/>
            <w:tcBorders>
              <w:right w:val="single" w:sz="8" w:color="5C004D"/>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120" w:type="dxa"/>
            <w:vAlign w:val="bottom"/>
            <w:tcBorders>
              <w:top w:val="single" w:sz="8" w:color="4454A7"/>
            </w:tcBorders>
          </w:tcPr>
          <w:p>
            <w:pPr>
              <w:ind w:left="700"/>
              <w:spacing w:after="0"/>
              <w:rPr>
                <w:sz w:val="20"/>
                <w:szCs w:val="20"/>
                <w:color w:val="auto"/>
              </w:rPr>
            </w:pPr>
            <w:r>
              <w:rPr>
                <w:rFonts w:ascii="PMingLiU" w:cs="PMingLiU" w:eastAsia="PMingLiU" w:hAnsi="PMingLiU"/>
                <w:sz w:val="16"/>
                <w:szCs w:val="16"/>
                <w:b w:val="1"/>
                <w:bCs w:val="1"/>
                <w:color w:val="5C004D"/>
              </w:rPr>
              <w:t>5HQHH'*DOD</w:t>
            </w:r>
          </w:p>
        </w:tc>
        <w:tc>
          <w:tcPr>
            <w:tcW w:w="1720" w:type="dxa"/>
            <w:vAlign w:val="bottom"/>
            <w:tcBorders>
              <w:top w:val="single" w:sz="8" w:color="4454A7"/>
            </w:tcBorders>
          </w:tcPr>
          <w:p>
            <w:pPr>
              <w:spacing w:after="0"/>
              <w:rPr>
                <w:sz w:val="21"/>
                <w:szCs w:val="21"/>
                <w:color w:val="auto"/>
              </w:rPr>
            </w:pPr>
          </w:p>
        </w:tc>
        <w:tc>
          <w:tcPr>
            <w:tcW w:w="360" w:type="dxa"/>
            <w:vAlign w:val="bottom"/>
            <w:tcBorders>
              <w:top w:val="single" w:sz="8" w:color="4454A7"/>
            </w:tcBorders>
          </w:tcPr>
          <w:p>
            <w:pPr>
              <w:spacing w:after="0"/>
              <w:rPr>
                <w:sz w:val="21"/>
                <w:szCs w:val="21"/>
                <w:color w:val="auto"/>
              </w:rPr>
            </w:pPr>
          </w:p>
        </w:tc>
        <w:tc>
          <w:tcPr>
            <w:tcW w:w="1600" w:type="dxa"/>
            <w:vAlign w:val="bottom"/>
            <w:tcBorders>
              <w:top w:val="single" w:sz="8" w:color="4454A7"/>
            </w:tcBorders>
          </w:tcPr>
          <w:p>
            <w:pPr>
              <w:spacing w:after="0"/>
              <w:rPr>
                <w:sz w:val="21"/>
                <w:szCs w:val="21"/>
                <w:color w:val="auto"/>
              </w:rPr>
            </w:pPr>
          </w:p>
        </w:tc>
        <w:tc>
          <w:tcPr>
            <w:tcW w:w="1060" w:type="dxa"/>
            <w:vAlign w:val="bottom"/>
            <w:tcBorders>
              <w:top w:val="single" w:sz="8" w:color="4454A7"/>
              <w:right w:val="single" w:sz="8" w:color="5C004D"/>
            </w:tcBorders>
          </w:tcPr>
          <w:p>
            <w:pPr>
              <w:spacing w:after="0"/>
              <w:rPr>
                <w:sz w:val="21"/>
                <w:szCs w:val="21"/>
                <w:color w:val="auto"/>
              </w:rPr>
            </w:pPr>
          </w:p>
        </w:tc>
        <w:tc>
          <w:tcPr>
            <w:tcW w:w="800" w:type="dxa"/>
            <w:vAlign w:val="bottom"/>
            <w:tcBorders>
              <w:top w:val="single" w:sz="8" w:color="4454A7"/>
            </w:tcBorders>
          </w:tcPr>
          <w:p>
            <w:pPr>
              <w:spacing w:after="0"/>
              <w:rPr>
                <w:sz w:val="21"/>
                <w:szCs w:val="21"/>
                <w:color w:val="auto"/>
              </w:rPr>
            </w:pPr>
          </w:p>
        </w:tc>
        <w:tc>
          <w:tcPr>
            <w:tcW w:w="2020" w:type="dxa"/>
            <w:vAlign w:val="bottom"/>
            <w:tcBorders>
              <w:top w:val="single" w:sz="8" w:color="4454A7"/>
            </w:tcBorders>
          </w:tcPr>
          <w:p>
            <w:pPr>
              <w:spacing w:after="0"/>
              <w:rPr>
                <w:sz w:val="21"/>
                <w:szCs w:val="21"/>
                <w:color w:val="auto"/>
              </w:rPr>
            </w:pPr>
          </w:p>
        </w:tc>
        <w:tc>
          <w:tcPr>
            <w:tcW w:w="420" w:type="dxa"/>
            <w:vAlign w:val="bottom"/>
            <w:tcBorders>
              <w:top w:val="single" w:sz="8" w:color="4454A7"/>
              <w:right w:val="single" w:sz="8" w:color="5C004D"/>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800" w:type="dxa"/>
            <w:vAlign w:val="bottom"/>
            <w:gridSpan w:val="4"/>
          </w:tcPr>
          <w:p>
            <w:pPr>
              <w:ind w:left="700"/>
              <w:spacing w:after="0"/>
              <w:rPr>
                <w:sz w:val="20"/>
                <w:szCs w:val="20"/>
                <w:color w:val="auto"/>
              </w:rPr>
            </w:pPr>
            <w:r>
              <w:rPr>
                <w:rFonts w:ascii="PMingLiU" w:cs="PMingLiU" w:eastAsia="PMingLiU" w:hAnsi="PMingLiU"/>
                <w:sz w:val="16"/>
                <w:szCs w:val="16"/>
                <w:color w:val="auto"/>
              </w:rPr>
              <w:t>3UHVLGHQWDQG&amp;(2-D]]3KDUPDFHXWLFDOV     </w:t>
            </w:r>
          </w:p>
        </w:tc>
        <w:tc>
          <w:tcPr>
            <w:tcW w:w="1060" w:type="dxa"/>
            <w:vAlign w:val="bottom"/>
            <w:tcBorders>
              <w:right w:val="single" w:sz="8" w:color="5C004D"/>
            </w:tcBorders>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Borders>
              <w:right w:val="single" w:sz="8" w:color="5C004D"/>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SOFDQG'LUHFWRU'H[FRP,QF</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Borders>
              <w:right w:val="single" w:sz="8" w:color="5C004D"/>
            </w:tcBorders>
          </w:tcPr>
          <w:p>
            <w:pPr>
              <w:spacing w:after="0"/>
              <w:rPr>
                <w:sz w:val="22"/>
                <w:szCs w:val="22"/>
                <w:color w:val="auto"/>
              </w:rPr>
            </w:pPr>
          </w:p>
        </w:tc>
        <w:tc>
          <w:tcPr>
            <w:tcW w:w="8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20" w:type="dxa"/>
            <w:vAlign w:val="bottom"/>
            <w:tcBorders>
              <w:right w:val="single" w:sz="8" w:color="5C004D"/>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120" w:type="dxa"/>
            <w:vAlign w:val="bottom"/>
            <w:tcBorders>
              <w:top w:val="single" w:sz="8" w:color="4454A7"/>
            </w:tcBorders>
          </w:tcPr>
          <w:p>
            <w:pPr>
              <w:ind w:left="700"/>
              <w:spacing w:after="0"/>
              <w:rPr>
                <w:sz w:val="20"/>
                <w:szCs w:val="20"/>
                <w:color w:val="auto"/>
              </w:rPr>
            </w:pPr>
            <w:r>
              <w:rPr>
                <w:rFonts w:ascii="PMingLiU" w:cs="PMingLiU" w:eastAsia="PMingLiU" w:hAnsi="PMingLiU"/>
                <w:sz w:val="16"/>
                <w:szCs w:val="16"/>
                <w:b w:val="1"/>
                <w:bCs w:val="1"/>
                <w:color w:val="5C004D"/>
              </w:rPr>
              <w:t>/DXUD-+DPLOO</w:t>
            </w:r>
          </w:p>
        </w:tc>
        <w:tc>
          <w:tcPr>
            <w:tcW w:w="1720" w:type="dxa"/>
            <w:vAlign w:val="bottom"/>
            <w:tcBorders>
              <w:top w:val="single" w:sz="8" w:color="4454A7"/>
            </w:tcBorders>
          </w:tcPr>
          <w:p>
            <w:pPr>
              <w:spacing w:after="0"/>
              <w:rPr>
                <w:sz w:val="24"/>
                <w:szCs w:val="24"/>
                <w:color w:val="auto"/>
              </w:rPr>
            </w:pPr>
          </w:p>
        </w:tc>
        <w:tc>
          <w:tcPr>
            <w:tcW w:w="360" w:type="dxa"/>
            <w:vAlign w:val="bottom"/>
            <w:tcBorders>
              <w:top w:val="single" w:sz="8" w:color="4454A7"/>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tcBorders>
              <w:top w:val="single" w:sz="8" w:color="4454A7"/>
            </w:tcBorders>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top w:val="single" w:sz="8" w:color="4454A7"/>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Borders>
              <w:top w:val="single" w:sz="8" w:color="4454A7"/>
            </w:tcBorders>
          </w:tcPr>
          <w:p>
            <w:pPr>
              <w:spacing w:after="0"/>
              <w:rPr>
                <w:sz w:val="24"/>
                <w:szCs w:val="24"/>
                <w:color w:val="auto"/>
              </w:rPr>
            </w:pPr>
          </w:p>
        </w:tc>
        <w:tc>
          <w:tcPr>
            <w:tcW w:w="2020" w:type="dxa"/>
            <w:vAlign w:val="bottom"/>
            <w:tcBorders>
              <w:top w:val="single" w:sz="8" w:color="4454A7"/>
            </w:tcBorders>
            <w:vMerge w:val="restart"/>
          </w:tcPr>
          <w:p>
            <w:pPr>
              <w:ind w:left="480"/>
              <w:spacing w:after="0" w:line="480" w:lineRule="exact"/>
              <w:rPr>
                <w:sz w:val="20"/>
                <w:szCs w:val="20"/>
                <w:color w:val="auto"/>
              </w:rPr>
            </w:pPr>
            <w:r>
              <w:rPr>
                <w:rFonts w:ascii="PMingLiU" w:cs="PMingLiU" w:eastAsia="PMingLiU" w:hAnsi="PMingLiU"/>
                <w:sz w:val="40"/>
                <w:szCs w:val="40"/>
                <w:color w:val="5C004D"/>
              </w:rPr>
              <w:t/>
            </w:r>
          </w:p>
        </w:tc>
        <w:tc>
          <w:tcPr>
            <w:tcW w:w="420" w:type="dxa"/>
            <w:vAlign w:val="bottom"/>
            <w:tcBorders>
              <w:top w:val="single" w:sz="8" w:color="4454A7"/>
              <w:right w:val="single" w:sz="8" w:color="5C004D"/>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rPr>
              <w:t>'LUHFWRU%%%LRWHFK$*</w:t>
            </w:r>
          </w:p>
        </w:tc>
        <w:tc>
          <w:tcPr>
            <w:tcW w:w="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60" w:type="dxa"/>
            <w:vAlign w:val="bottom"/>
            <w:tcBorders>
              <w:right w:val="single" w:sz="8" w:color="5C004D"/>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420" w:type="dxa"/>
            <w:vAlign w:val="bottom"/>
            <w:tcBorders>
              <w:right w:val="single" w:sz="8" w:color="5C004D"/>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Borders>
              <w:right w:val="single" w:sz="8" w:color="5C004D"/>
            </w:tcBorders>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20" w:type="dxa"/>
            <w:vAlign w:val="bottom"/>
            <w:tcBorders>
              <w:right w:val="single" w:sz="8" w:color="5C004D"/>
            </w:tcBorders>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120" w:type="dxa"/>
            <w:vAlign w:val="bottom"/>
            <w:tcBorders>
              <w:top w:val="single" w:sz="8" w:color="4454A7"/>
            </w:tcBorders>
          </w:tcPr>
          <w:p>
            <w:pPr>
              <w:ind w:left="700"/>
              <w:spacing w:after="0"/>
              <w:rPr>
                <w:sz w:val="20"/>
                <w:szCs w:val="20"/>
                <w:color w:val="auto"/>
              </w:rPr>
            </w:pPr>
            <w:r>
              <w:rPr>
                <w:rFonts w:ascii="PMingLiU" w:cs="PMingLiU" w:eastAsia="PMingLiU" w:hAnsi="PMingLiU"/>
                <w:sz w:val="16"/>
                <w:szCs w:val="16"/>
                <w:b w:val="1"/>
                <w:bCs w:val="1"/>
                <w:color w:val="5C004D"/>
              </w:rPr>
              <w:t>3DWULFN.HQQHG\</w:t>
            </w:r>
          </w:p>
        </w:tc>
        <w:tc>
          <w:tcPr>
            <w:tcW w:w="1720" w:type="dxa"/>
            <w:vAlign w:val="bottom"/>
            <w:tcBorders>
              <w:top w:val="single" w:sz="8" w:color="4454A7"/>
            </w:tcBorders>
          </w:tcPr>
          <w:p>
            <w:pPr>
              <w:spacing w:after="0"/>
              <w:rPr>
                <w:sz w:val="24"/>
                <w:szCs w:val="24"/>
                <w:color w:val="auto"/>
              </w:rPr>
            </w:pPr>
          </w:p>
        </w:tc>
        <w:tc>
          <w:tcPr>
            <w:tcW w:w="360" w:type="dxa"/>
            <w:vAlign w:val="bottom"/>
            <w:tcBorders>
              <w:top w:val="single" w:sz="8" w:color="4454A7"/>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tcBorders>
              <w:top w:val="single" w:sz="8" w:color="4454A7"/>
            </w:tcBorders>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top w:val="single" w:sz="8" w:color="4454A7"/>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Borders>
              <w:top w:val="single" w:sz="8" w:color="4454A7"/>
            </w:tcBorders>
            <w:vMerge w:val="restart"/>
          </w:tcPr>
          <w:p>
            <w:pPr>
              <w:jc w:val="center"/>
              <w:spacing w:after="0"/>
              <w:rPr>
                <w:sz w:val="20"/>
                <w:szCs w:val="20"/>
                <w:color w:val="auto"/>
              </w:rPr>
            </w:pPr>
            <w:r>
              <w:rPr>
                <w:rFonts w:ascii="Arial" w:cs="Arial" w:eastAsia="Arial" w:hAnsi="Arial"/>
                <w:sz w:val="30"/>
                <w:szCs w:val="30"/>
                <w:color w:val="5C004D"/>
                <w:w w:val="95"/>
              </w:rPr>
              <w:t>Ɣ</w:t>
            </w:r>
          </w:p>
        </w:tc>
        <w:tc>
          <w:tcPr>
            <w:tcW w:w="2020" w:type="dxa"/>
            <w:vAlign w:val="bottom"/>
            <w:tcBorders>
              <w:top w:val="single" w:sz="8" w:color="4454A7"/>
            </w:tcBorders>
          </w:tcPr>
          <w:p>
            <w:pPr>
              <w:spacing w:after="0"/>
              <w:rPr>
                <w:sz w:val="24"/>
                <w:szCs w:val="24"/>
                <w:color w:val="auto"/>
              </w:rPr>
            </w:pPr>
          </w:p>
        </w:tc>
        <w:tc>
          <w:tcPr>
            <w:tcW w:w="420" w:type="dxa"/>
            <w:vAlign w:val="bottom"/>
            <w:tcBorders>
              <w:top w:val="single" w:sz="8" w:color="4454A7"/>
              <w:right w:val="single" w:sz="8" w:color="5C004D"/>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rPr>
              <w:t>'LUHFWRU-D]]3KDUPDFHXWLFDOVSOF</w:t>
            </w:r>
          </w:p>
        </w:tc>
        <w:tc>
          <w:tcPr>
            <w:tcW w:w="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60" w:type="dxa"/>
            <w:vAlign w:val="bottom"/>
            <w:tcBorders>
              <w:right w:val="single" w:sz="8" w:color="5C004D"/>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420" w:type="dxa"/>
            <w:vAlign w:val="bottom"/>
            <w:tcBorders>
              <w:right w:val="single" w:sz="8" w:color="5C004D"/>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8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60" w:type="dxa"/>
            <w:vAlign w:val="bottom"/>
            <w:tcBorders>
              <w:right w:val="single" w:sz="8" w:color="5C004D"/>
            </w:tcBorders>
          </w:tcPr>
          <w:p>
            <w:pPr>
              <w:spacing w:after="0"/>
              <w:rPr>
                <w:sz w:val="9"/>
                <w:szCs w:val="9"/>
                <w:color w:val="auto"/>
              </w:rPr>
            </w:pPr>
          </w:p>
        </w:tc>
        <w:tc>
          <w:tcPr>
            <w:tcW w:w="80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420" w:type="dxa"/>
            <w:vAlign w:val="bottom"/>
            <w:tcBorders>
              <w:right w:val="single" w:sz="8" w:color="5C004D"/>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120" w:type="dxa"/>
            <w:vAlign w:val="bottom"/>
            <w:tcBorders>
              <w:bottom w:val="single" w:sz="8" w:color="4454A7"/>
            </w:tcBorders>
          </w:tcPr>
          <w:p>
            <w:pPr>
              <w:spacing w:after="0"/>
              <w:rPr>
                <w:sz w:val="8"/>
                <w:szCs w:val="8"/>
                <w:color w:val="auto"/>
              </w:rPr>
            </w:pPr>
          </w:p>
        </w:tc>
        <w:tc>
          <w:tcPr>
            <w:tcW w:w="1720" w:type="dxa"/>
            <w:vAlign w:val="bottom"/>
            <w:tcBorders>
              <w:bottom w:val="single" w:sz="8" w:color="4454A7"/>
            </w:tcBorders>
          </w:tcPr>
          <w:p>
            <w:pPr>
              <w:spacing w:after="0"/>
              <w:rPr>
                <w:sz w:val="8"/>
                <w:szCs w:val="8"/>
                <w:color w:val="auto"/>
              </w:rPr>
            </w:pPr>
          </w:p>
        </w:tc>
        <w:tc>
          <w:tcPr>
            <w:tcW w:w="360" w:type="dxa"/>
            <w:vAlign w:val="bottom"/>
            <w:tcBorders>
              <w:bottom w:val="single" w:sz="8" w:color="4454A7"/>
            </w:tcBorders>
          </w:tcPr>
          <w:p>
            <w:pPr>
              <w:spacing w:after="0"/>
              <w:rPr>
                <w:sz w:val="8"/>
                <w:szCs w:val="8"/>
                <w:color w:val="auto"/>
              </w:rPr>
            </w:pPr>
          </w:p>
        </w:tc>
        <w:tc>
          <w:tcPr>
            <w:tcW w:w="1600" w:type="dxa"/>
            <w:vAlign w:val="bottom"/>
            <w:tcBorders>
              <w:bottom w:val="single" w:sz="8" w:color="4454A7"/>
            </w:tcBorders>
          </w:tcPr>
          <w:p>
            <w:pPr>
              <w:spacing w:after="0"/>
              <w:rPr>
                <w:sz w:val="8"/>
                <w:szCs w:val="8"/>
                <w:color w:val="auto"/>
              </w:rPr>
            </w:pPr>
          </w:p>
        </w:tc>
        <w:tc>
          <w:tcPr>
            <w:tcW w:w="1060" w:type="dxa"/>
            <w:vAlign w:val="bottom"/>
            <w:tcBorders>
              <w:bottom w:val="single" w:sz="8" w:color="4454A7"/>
              <w:right w:val="single" w:sz="8" w:color="5C004D"/>
            </w:tcBorders>
          </w:tcPr>
          <w:p>
            <w:pPr>
              <w:spacing w:after="0"/>
              <w:rPr>
                <w:sz w:val="8"/>
                <w:szCs w:val="8"/>
                <w:color w:val="auto"/>
              </w:rPr>
            </w:pPr>
          </w:p>
        </w:tc>
        <w:tc>
          <w:tcPr>
            <w:tcW w:w="800" w:type="dxa"/>
            <w:vAlign w:val="bottom"/>
            <w:tcBorders>
              <w:bottom w:val="single" w:sz="8" w:color="4454A7"/>
            </w:tcBorders>
          </w:tcPr>
          <w:p>
            <w:pPr>
              <w:spacing w:after="0"/>
              <w:rPr>
                <w:sz w:val="8"/>
                <w:szCs w:val="8"/>
                <w:color w:val="auto"/>
              </w:rPr>
            </w:pPr>
          </w:p>
        </w:tc>
        <w:tc>
          <w:tcPr>
            <w:tcW w:w="2020" w:type="dxa"/>
            <w:vAlign w:val="bottom"/>
            <w:tcBorders>
              <w:bottom w:val="single" w:sz="8" w:color="4454A7"/>
            </w:tcBorders>
          </w:tcPr>
          <w:p>
            <w:pPr>
              <w:spacing w:after="0"/>
              <w:rPr>
                <w:sz w:val="8"/>
                <w:szCs w:val="8"/>
                <w:color w:val="auto"/>
              </w:rPr>
            </w:pPr>
          </w:p>
        </w:tc>
        <w:tc>
          <w:tcPr>
            <w:tcW w:w="420" w:type="dxa"/>
            <w:vAlign w:val="bottom"/>
            <w:tcBorders>
              <w:bottom w:val="single" w:sz="8" w:color="4454A7"/>
              <w:right w:val="single" w:sz="8" w:color="5C004D"/>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700"/>
              <w:spacing w:after="0"/>
              <w:rPr>
                <w:sz w:val="20"/>
                <w:szCs w:val="20"/>
                <w:color w:val="auto"/>
              </w:rPr>
            </w:pPr>
            <w:r>
              <w:rPr>
                <w:rFonts w:ascii="PMingLiU" w:cs="PMingLiU" w:eastAsia="PMingLiU" w:hAnsi="PMingLiU"/>
                <w:sz w:val="16"/>
                <w:szCs w:val="16"/>
                <w:b w:val="1"/>
                <w:bCs w:val="1"/>
                <w:color w:val="5C004D"/>
              </w:rPr>
              <w:t>7HG:/RYH0'</w:t>
            </w:r>
          </w:p>
        </w:tc>
        <w:tc>
          <w:tcPr>
            <w:tcW w:w="1720" w:type="dxa"/>
            <w:vAlign w:val="bottom"/>
          </w:tcPr>
          <w:p>
            <w:pPr>
              <w:spacing w:after="0"/>
              <w:rPr>
                <w:sz w:val="21"/>
                <w:szCs w:val="21"/>
                <w:color w:val="auto"/>
              </w:rPr>
            </w:pP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2020" w:type="dxa"/>
            <w:vAlign w:val="bottom"/>
          </w:tcPr>
          <w:p>
            <w:pPr>
              <w:spacing w:after="0"/>
              <w:rPr>
                <w:sz w:val="21"/>
                <w:szCs w:val="21"/>
                <w:color w:val="auto"/>
              </w:rPr>
            </w:pPr>
          </w:p>
        </w:tc>
        <w:tc>
          <w:tcPr>
            <w:tcW w:w="420" w:type="dxa"/>
            <w:vAlign w:val="bottom"/>
            <w:tcBorders>
              <w:right w:val="single" w:sz="8" w:color="5C004D"/>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'LUHFWRU*LOHDG6FLHQFHV,QF5R\DOW\</w:t>
            </w:r>
          </w:p>
        </w:tc>
        <w:tc>
          <w:tcPr>
            <w:tcW w:w="3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60" w:type="dxa"/>
            <w:vAlign w:val="bottom"/>
            <w:tcBorders>
              <w:right w:val="single" w:sz="8" w:color="5C004D"/>
            </w:tcBorders>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Borders>
              <w:right w:val="single" w:sz="8" w:color="5C004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w w:val="85"/>
              </w:rPr>
              <w:t>3KDUPDSOFDQG6WUXFWXUH7KHUDSHXWLFV,QF</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Borders>
              <w:right w:val="single" w:sz="8" w:color="5C004D"/>
            </w:tcBorders>
          </w:tcPr>
          <w:p>
            <w:pPr>
              <w:spacing w:after="0"/>
              <w:rPr>
                <w:sz w:val="22"/>
                <w:szCs w:val="22"/>
                <w:color w:val="auto"/>
              </w:rPr>
            </w:pPr>
          </w:p>
        </w:tc>
        <w:tc>
          <w:tcPr>
            <w:tcW w:w="800" w:type="dxa"/>
            <w:vAlign w:val="bottom"/>
            <w:vMerge w:val="continue"/>
          </w:tcPr>
          <w:p>
            <w:pPr>
              <w:spacing w:after="0"/>
              <w:rPr>
                <w:sz w:val="22"/>
                <w:szCs w:val="22"/>
                <w:color w:val="auto"/>
              </w:rPr>
            </w:pPr>
          </w:p>
        </w:tc>
        <w:tc>
          <w:tcPr>
            <w:tcW w:w="2020" w:type="dxa"/>
            <w:vAlign w:val="bottom"/>
          </w:tcPr>
          <w:p>
            <w:pPr>
              <w:spacing w:after="0"/>
              <w:rPr>
                <w:sz w:val="22"/>
                <w:szCs w:val="22"/>
                <w:color w:val="auto"/>
              </w:rPr>
            </w:pPr>
          </w:p>
        </w:tc>
        <w:tc>
          <w:tcPr>
            <w:tcW w:w="420" w:type="dxa"/>
            <w:vAlign w:val="bottom"/>
            <w:tcBorders>
              <w:right w:val="single" w:sz="8" w:color="5C004D"/>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4454A7"/>
            </w:tcBorders>
            <w:gridSpan w:val="2"/>
          </w:tcPr>
          <w:p>
            <w:pPr>
              <w:ind w:left="700"/>
              <w:spacing w:after="0"/>
              <w:rPr>
                <w:sz w:val="20"/>
                <w:szCs w:val="20"/>
                <w:color w:val="auto"/>
              </w:rPr>
            </w:pPr>
            <w:r>
              <w:rPr>
                <w:rFonts w:ascii="PMingLiU" w:cs="PMingLiU" w:eastAsia="PMingLiU" w:hAnsi="PMingLiU"/>
                <w:sz w:val="16"/>
                <w:szCs w:val="16"/>
                <w:b w:val="1"/>
                <w:bCs w:val="1"/>
                <w:color w:val="5C004D"/>
              </w:rPr>
              <w:t>6HDPXV&amp;0XOOLJDQ</w:t>
            </w:r>
          </w:p>
        </w:tc>
        <w:tc>
          <w:tcPr>
            <w:tcW w:w="360" w:type="dxa"/>
            <w:vAlign w:val="bottom"/>
            <w:tcBorders>
              <w:top w:val="single" w:sz="8" w:color="4454A7"/>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tcBorders>
              <w:top w:val="single" w:sz="8" w:color="4454A7"/>
            </w:tcBorders>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top w:val="single" w:sz="8" w:color="4454A7"/>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Borders>
              <w:top w:val="single" w:sz="8" w:color="4454A7"/>
            </w:tcBorders>
          </w:tcPr>
          <w:p>
            <w:pPr>
              <w:spacing w:after="0"/>
              <w:rPr>
                <w:sz w:val="24"/>
                <w:szCs w:val="24"/>
                <w:color w:val="auto"/>
              </w:rPr>
            </w:pPr>
          </w:p>
        </w:tc>
        <w:tc>
          <w:tcPr>
            <w:tcW w:w="2020" w:type="dxa"/>
            <w:vAlign w:val="bottom"/>
            <w:tcBorders>
              <w:top w:val="single" w:sz="8" w:color="4454A7"/>
            </w:tcBorders>
          </w:tcPr>
          <w:p>
            <w:pPr>
              <w:spacing w:after="0"/>
              <w:rPr>
                <w:sz w:val="24"/>
                <w:szCs w:val="24"/>
                <w:color w:val="auto"/>
              </w:rPr>
            </w:pPr>
          </w:p>
        </w:tc>
        <w:tc>
          <w:tcPr>
            <w:tcW w:w="420" w:type="dxa"/>
            <w:vAlign w:val="bottom"/>
            <w:tcBorders>
              <w:top w:val="single" w:sz="8" w:color="4454A7"/>
              <w:right w:val="single" w:sz="8" w:color="5C004D"/>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0" w:type="dxa"/>
            <w:vAlign w:val="bottom"/>
          </w:tcPr>
          <w:p>
            <w:pPr>
              <w:spacing w:after="0"/>
              <w:rPr>
                <w:sz w:val="1"/>
                <w:szCs w:val="1"/>
                <w:color w:val="auto"/>
              </w:rPr>
            </w:pPr>
          </w:p>
        </w:tc>
      </w:tr>
      <w:tr>
        <w:trPr>
          <w:trHeight w:val="108"/>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rPr>
              <w:t>'LUHFWRU-D]]3KDUPDFHXWLFDOVSOF</w:t>
            </w:r>
          </w:p>
        </w:tc>
        <w:tc>
          <w:tcPr>
            <w:tcW w:w="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60" w:type="dxa"/>
            <w:vAlign w:val="bottom"/>
            <w:tcBorders>
              <w:right w:val="single" w:sz="8" w:color="5C004D"/>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20" w:type="dxa"/>
            <w:vAlign w:val="bottom"/>
            <w:tcBorders>
              <w:right w:val="single" w:sz="8" w:color="5C004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Borders>
              <w:right w:val="single" w:sz="8" w:color="5C004D"/>
            </w:tcBorders>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Borders>
              <w:right w:val="single" w:sz="8" w:color="5C004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4454A7"/>
            </w:tcBorders>
            <w:gridSpan w:val="2"/>
          </w:tcPr>
          <w:p>
            <w:pPr>
              <w:ind w:left="700"/>
              <w:spacing w:after="0"/>
              <w:rPr>
                <w:sz w:val="20"/>
                <w:szCs w:val="20"/>
                <w:color w:val="auto"/>
              </w:rPr>
            </w:pPr>
            <w:r>
              <w:rPr>
                <w:rFonts w:ascii="PMingLiU" w:cs="PMingLiU" w:eastAsia="PMingLiU" w:hAnsi="PMingLiU"/>
                <w:sz w:val="16"/>
                <w:szCs w:val="16"/>
                <w:b w:val="1"/>
                <w:bCs w:val="1"/>
                <w:color w:val="5C004D"/>
              </w:rPr>
              <w:t>1RUEHUW*5LHGHO3K'</w:t>
            </w:r>
          </w:p>
        </w:tc>
        <w:tc>
          <w:tcPr>
            <w:tcW w:w="360" w:type="dxa"/>
            <w:vAlign w:val="bottom"/>
            <w:tcBorders>
              <w:top w:val="single" w:sz="8" w:color="4454A7"/>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tcBorders>
              <w:top w:val="single" w:sz="8" w:color="4454A7"/>
            </w:tcBorders>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top w:val="single" w:sz="8" w:color="4454A7"/>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Borders>
              <w:top w:val="single" w:sz="8" w:color="4454A7"/>
            </w:tcBorders>
          </w:tcPr>
          <w:p>
            <w:pPr>
              <w:spacing w:after="0"/>
              <w:rPr>
                <w:sz w:val="24"/>
                <w:szCs w:val="24"/>
                <w:color w:val="auto"/>
              </w:rPr>
            </w:pPr>
          </w:p>
        </w:tc>
        <w:tc>
          <w:tcPr>
            <w:tcW w:w="2020" w:type="dxa"/>
            <w:vAlign w:val="bottom"/>
            <w:tcBorders>
              <w:top w:val="single" w:sz="8" w:color="4454A7"/>
            </w:tcBorders>
            <w:vMerge w:val="restart"/>
          </w:tcPr>
          <w:p>
            <w:pPr>
              <w:ind w:left="1460"/>
              <w:spacing w:after="0" w:line="480" w:lineRule="exact"/>
              <w:rPr>
                <w:sz w:val="20"/>
                <w:szCs w:val="20"/>
                <w:color w:val="auto"/>
              </w:rPr>
            </w:pPr>
            <w:r>
              <w:rPr>
                <w:rFonts w:ascii="PMingLiU" w:cs="PMingLiU" w:eastAsia="PMingLiU" w:hAnsi="PMingLiU"/>
                <w:sz w:val="40"/>
                <w:szCs w:val="40"/>
                <w:color w:val="5C004D"/>
              </w:rPr>
              <w:t/>
            </w:r>
          </w:p>
        </w:tc>
        <w:tc>
          <w:tcPr>
            <w:tcW w:w="420" w:type="dxa"/>
            <w:vAlign w:val="bottom"/>
            <w:tcBorders>
              <w:top w:val="single" w:sz="8" w:color="4454A7"/>
              <w:right w:val="single" w:sz="8" w:color="5C004D"/>
            </w:tcBorders>
            <w:vMerge w:val="restart"/>
          </w:tcPr>
          <w:p>
            <w:pPr>
              <w:jc w:val="center"/>
              <w:spacing w:after="0"/>
              <w:rPr>
                <w:sz w:val="20"/>
                <w:szCs w:val="20"/>
                <w:color w:val="auto"/>
              </w:rPr>
            </w:pPr>
            <w:r>
              <w:rPr>
                <w:rFonts w:ascii="Arial" w:cs="Arial" w:eastAsia="Arial" w:hAnsi="Arial"/>
                <w:sz w:val="30"/>
                <w:szCs w:val="30"/>
                <w:color w:val="5C004D"/>
                <w:w w:val="95"/>
              </w:rPr>
              <w:t>Ɣ</w:t>
            </w:r>
          </w:p>
        </w:tc>
        <w:tc>
          <w:tcPr>
            <w:tcW w:w="0" w:type="dxa"/>
            <w:vAlign w:val="bottom"/>
          </w:tcPr>
          <w:p>
            <w:pPr>
              <w:spacing w:after="0"/>
              <w:rPr>
                <w:sz w:val="1"/>
                <w:szCs w:val="1"/>
                <w:color w:val="auto"/>
              </w:rPr>
            </w:pPr>
          </w:p>
        </w:tc>
      </w:tr>
      <w:tr>
        <w:trPr>
          <w:trHeight w:val="108"/>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w w:val="94"/>
              </w:rPr>
              <w:t>&amp;KDLUSHUVRQ(WRQ3KDUPDFHXWLFDOV,QF</w:t>
            </w:r>
          </w:p>
        </w:tc>
        <w:tc>
          <w:tcPr>
            <w:tcW w:w="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60" w:type="dxa"/>
            <w:vAlign w:val="bottom"/>
            <w:tcBorders>
              <w:right w:val="single" w:sz="8" w:color="5C004D"/>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420" w:type="dxa"/>
            <w:vAlign w:val="bottom"/>
            <w:tcBorders>
              <w:right w:val="single" w:sz="8" w:color="5C004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Borders>
              <w:right w:val="single" w:sz="8" w:color="5C004D"/>
            </w:tcBorders>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20" w:type="dxa"/>
            <w:vAlign w:val="bottom"/>
            <w:tcBorders>
              <w:right w:val="single" w:sz="8" w:color="5C004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4454A7"/>
            </w:tcBorders>
            <w:gridSpan w:val="2"/>
          </w:tcPr>
          <w:p>
            <w:pPr>
              <w:ind w:left="700"/>
              <w:spacing w:after="0"/>
              <w:rPr>
                <w:sz w:val="20"/>
                <w:szCs w:val="20"/>
                <w:color w:val="auto"/>
              </w:rPr>
            </w:pPr>
            <w:r>
              <w:rPr>
                <w:rFonts w:ascii="PMingLiU" w:cs="PMingLiU" w:eastAsia="PMingLiU" w:hAnsi="PMingLiU"/>
                <w:sz w:val="16"/>
                <w:szCs w:val="16"/>
                <w:b w:val="1"/>
                <w:bCs w:val="1"/>
                <w:color w:val="5C004D"/>
              </w:rPr>
              <w:t>0DUN'6PLWK0'</w:t>
            </w:r>
            <w:r>
              <w:rPr>
                <w:rFonts w:ascii="PMingLiU" w:cs="PMingLiU" w:eastAsia="PMingLiU" w:hAnsi="PMingLiU"/>
                <w:sz w:val="16"/>
                <w:szCs w:val="16"/>
                <w:color w:val="000000"/>
              </w:rPr>
              <w:t/>
            </w:r>
          </w:p>
        </w:tc>
        <w:tc>
          <w:tcPr>
            <w:tcW w:w="360" w:type="dxa"/>
            <w:vAlign w:val="bottom"/>
            <w:tcBorders>
              <w:top w:val="single" w:sz="8" w:color="4454A7"/>
            </w:tcBorders>
          </w:tcPr>
          <w:p>
            <w:pPr>
              <w:spacing w:after="0"/>
              <w:rPr>
                <w:sz w:val="20"/>
                <w:szCs w:val="20"/>
                <w:color w:val="auto"/>
              </w:rPr>
            </w:pPr>
          </w:p>
        </w:tc>
        <w:tc>
          <w:tcPr>
            <w:tcW w:w="1600" w:type="dxa"/>
            <w:vAlign w:val="bottom"/>
            <w:tcBorders>
              <w:top w:val="single" w:sz="8" w:color="4454A7"/>
            </w:tcBorders>
          </w:tcPr>
          <w:p>
            <w:pPr>
              <w:spacing w:after="0"/>
              <w:rPr>
                <w:sz w:val="20"/>
                <w:szCs w:val="20"/>
                <w:color w:val="auto"/>
              </w:rPr>
            </w:pPr>
          </w:p>
        </w:tc>
        <w:tc>
          <w:tcPr>
            <w:tcW w:w="1060" w:type="dxa"/>
            <w:vAlign w:val="bottom"/>
            <w:tcBorders>
              <w:top w:val="single" w:sz="8" w:color="4454A7"/>
              <w:right w:val="single" w:sz="8" w:color="5C004D"/>
            </w:tcBorders>
          </w:tcPr>
          <w:p>
            <w:pPr>
              <w:spacing w:after="0"/>
              <w:rPr>
                <w:sz w:val="20"/>
                <w:szCs w:val="20"/>
                <w:color w:val="auto"/>
              </w:rPr>
            </w:pPr>
          </w:p>
        </w:tc>
        <w:tc>
          <w:tcPr>
            <w:tcW w:w="800" w:type="dxa"/>
            <w:vAlign w:val="bottom"/>
            <w:tcBorders>
              <w:top w:val="single" w:sz="8" w:color="4454A7"/>
            </w:tcBorders>
          </w:tcPr>
          <w:p>
            <w:pPr>
              <w:spacing w:after="0"/>
              <w:rPr>
                <w:sz w:val="20"/>
                <w:szCs w:val="20"/>
                <w:color w:val="auto"/>
              </w:rPr>
            </w:pPr>
          </w:p>
        </w:tc>
        <w:tc>
          <w:tcPr>
            <w:tcW w:w="2020" w:type="dxa"/>
            <w:vAlign w:val="bottom"/>
            <w:tcBorders>
              <w:top w:val="single" w:sz="8" w:color="4454A7"/>
            </w:tcBorders>
            <w:vMerge w:val="restart"/>
          </w:tcPr>
          <w:p>
            <w:pPr>
              <w:ind w:left="1460"/>
              <w:spacing w:after="0" w:line="480" w:lineRule="exact"/>
              <w:rPr>
                <w:sz w:val="20"/>
                <w:szCs w:val="20"/>
                <w:color w:val="auto"/>
              </w:rPr>
            </w:pPr>
            <w:r>
              <w:rPr>
                <w:rFonts w:ascii="PMingLiU" w:cs="PMingLiU" w:eastAsia="PMingLiU" w:hAnsi="PMingLiU"/>
                <w:sz w:val="40"/>
                <w:szCs w:val="40"/>
                <w:color w:val="5C004D"/>
              </w:rPr>
              <w:t/>
            </w:r>
          </w:p>
        </w:tc>
        <w:tc>
          <w:tcPr>
            <w:tcW w:w="420" w:type="dxa"/>
            <w:vAlign w:val="bottom"/>
            <w:tcBorders>
              <w:top w:val="single" w:sz="8" w:color="4454A7"/>
              <w:right w:val="single" w:sz="8" w:color="5C004D"/>
            </w:tcBorders>
            <w:vMerge w:val="restart"/>
          </w:tcPr>
          <w:p>
            <w:pPr>
              <w:jc w:val="center"/>
              <w:spacing w:after="0" w:line="480" w:lineRule="exact"/>
              <w:rPr>
                <w:sz w:val="20"/>
                <w:szCs w:val="20"/>
                <w:color w:val="auto"/>
              </w:rPr>
            </w:pPr>
            <w:r>
              <w:rPr>
                <w:rFonts w:ascii="PMingLiU" w:cs="PMingLiU" w:eastAsia="PMingLiU" w:hAnsi="PMingLiU"/>
                <w:sz w:val="40"/>
                <w:szCs w:val="40"/>
                <w:color w:val="5C004D"/>
              </w:rPr>
              <w:t/>
            </w:r>
          </w:p>
        </w:tc>
        <w:tc>
          <w:tcPr>
            <w:tcW w:w="0" w:type="dxa"/>
            <w:vAlign w:val="bottom"/>
          </w:tcPr>
          <w:p>
            <w:pPr>
              <w:spacing w:after="0"/>
              <w:rPr>
                <w:sz w:val="1"/>
                <w:szCs w:val="1"/>
                <w:color w:val="auto"/>
              </w:rPr>
            </w:pPr>
          </w:p>
        </w:tc>
      </w:tr>
      <w:tr>
        <w:trPr>
          <w:trHeight w:val="204"/>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w w:val="94"/>
              </w:rPr>
              <w:t>3URIHVVRU8QLYHUVLW\RI&amp;DOLIRUQLD6DQ</w:t>
            </w:r>
          </w:p>
        </w:tc>
        <w:tc>
          <w:tcPr>
            <w:tcW w:w="360" w:type="dxa"/>
            <w:vAlign w:val="bottom"/>
            <w:vMerge w:val="restart"/>
          </w:tcPr>
          <w:p>
            <w:pPr>
              <w:jc w:val="center"/>
              <w:spacing w:after="0"/>
              <w:rPr>
                <w:sz w:val="20"/>
                <w:szCs w:val="20"/>
                <w:color w:val="auto"/>
              </w:rPr>
            </w:pPr>
            <w:r>
              <w:rPr>
                <w:rFonts w:ascii="PMingLiU" w:cs="PMingLiU" w:eastAsia="PMingLiU" w:hAnsi="PMingLiU"/>
                <w:sz w:val="16"/>
                <w:szCs w:val="16"/>
                <w:color w:val="auto"/>
              </w:rPr>
              <w:t/>
            </w:r>
          </w:p>
        </w:tc>
        <w:tc>
          <w:tcPr>
            <w:tcW w:w="1600" w:type="dxa"/>
            <w:vAlign w:val="bottom"/>
            <w:vMerge w:val="restart"/>
          </w:tcPr>
          <w:p>
            <w:pPr>
              <w:jc w:val="right"/>
              <w:ind w:right="902"/>
              <w:spacing w:after="0"/>
              <w:rPr>
                <w:sz w:val="20"/>
                <w:szCs w:val="20"/>
                <w:color w:val="auto"/>
              </w:rPr>
            </w:pPr>
            <w:r>
              <w:rPr>
                <w:rFonts w:ascii="PMingLiU" w:cs="PMingLiU" w:eastAsia="PMingLiU" w:hAnsi="PMingLiU"/>
                <w:sz w:val="16"/>
                <w:szCs w:val="16"/>
                <w:color w:val="auto"/>
              </w:rPr>
              <w:t/>
            </w:r>
          </w:p>
        </w:tc>
        <w:tc>
          <w:tcPr>
            <w:tcW w:w="1060" w:type="dxa"/>
            <w:vAlign w:val="bottom"/>
            <w:tcBorders>
              <w:right w:val="single" w:sz="8" w:color="5C004D"/>
            </w:tcBorders>
            <w:vMerge w:val="restart"/>
          </w:tcPr>
          <w:p>
            <w:pPr>
              <w:jc w:val="center"/>
              <w:spacing w:after="0"/>
              <w:rPr>
                <w:sz w:val="20"/>
                <w:szCs w:val="20"/>
                <w:color w:val="auto"/>
              </w:rPr>
            </w:pPr>
            <w:r>
              <w:rPr>
                <w:rFonts w:ascii="PMingLiU" w:cs="PMingLiU" w:eastAsia="PMingLiU" w:hAnsi="PMingLiU"/>
                <w:sz w:val="16"/>
                <w:szCs w:val="16"/>
                <w:color w:val="auto"/>
              </w:rPr>
              <w:t/>
            </w:r>
          </w:p>
        </w:tc>
        <w:tc>
          <w:tcPr>
            <w:tcW w:w="80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420" w:type="dxa"/>
            <w:vAlign w:val="bottom"/>
            <w:tcBorders>
              <w:right w:val="single" w:sz="8" w:color="5C004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840" w:type="dxa"/>
            <w:vAlign w:val="bottom"/>
            <w:gridSpan w:val="2"/>
            <w:vMerge w:val="restart"/>
          </w:tcPr>
          <w:p>
            <w:pPr>
              <w:ind w:left="700"/>
              <w:spacing w:after="0"/>
              <w:rPr>
                <w:sz w:val="20"/>
                <w:szCs w:val="20"/>
                <w:color w:val="auto"/>
              </w:rPr>
            </w:pPr>
            <w:r>
              <w:rPr>
                <w:rFonts w:ascii="PMingLiU" w:cs="PMingLiU" w:eastAsia="PMingLiU" w:hAnsi="PMingLiU"/>
                <w:sz w:val="16"/>
                <w:szCs w:val="16"/>
                <w:color w:val="auto"/>
              </w:rPr>
              <w:t>)UDQFLVFRDQG'LUHFWRU3KUHHVLD,QF</w:t>
            </w:r>
          </w:p>
        </w:tc>
        <w:tc>
          <w:tcPr>
            <w:tcW w:w="3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060" w:type="dxa"/>
            <w:vAlign w:val="bottom"/>
            <w:tcBorders>
              <w:right w:val="single" w:sz="8" w:color="5C004D"/>
            </w:tcBorders>
            <w:vMerge w:val="continue"/>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420" w:type="dxa"/>
            <w:vAlign w:val="bottom"/>
            <w:tcBorders>
              <w:right w:val="single" w:sz="8" w:color="5C004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Borders>
              <w:right w:val="single" w:sz="8" w:color="5C004D"/>
            </w:tcBorders>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420" w:type="dxa"/>
            <w:vAlign w:val="bottom"/>
            <w:tcBorders>
              <w:right w:val="single" w:sz="8" w:color="5C004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840" w:type="dxa"/>
            <w:vAlign w:val="bottom"/>
            <w:gridSpan w:val="2"/>
          </w:tcPr>
          <w:p>
            <w:pPr>
              <w:ind w:left="700"/>
              <w:spacing w:after="0"/>
              <w:rPr>
                <w:sz w:val="20"/>
                <w:szCs w:val="20"/>
                <w:color w:val="auto"/>
              </w:rPr>
            </w:pPr>
            <w:r>
              <w:rPr>
                <w:rFonts w:ascii="PMingLiU" w:cs="PMingLiU" w:eastAsia="PMingLiU" w:hAnsi="PMingLiU"/>
                <w:sz w:val="16"/>
                <w:szCs w:val="16"/>
                <w:color w:val="auto"/>
              </w:rPr>
              <w:t>DQG7HODGRF+HDOWK,QF</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Borders>
              <w:right w:val="single" w:sz="8" w:color="5C004D"/>
            </w:tcBorders>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Borders>
              <w:right w:val="single" w:sz="8" w:color="5C004D"/>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120" w:type="dxa"/>
            <w:vAlign w:val="bottom"/>
            <w:tcBorders>
              <w:bottom w:val="single" w:sz="8" w:color="5C004D"/>
            </w:tcBorders>
          </w:tcPr>
          <w:p>
            <w:pPr>
              <w:spacing w:after="0"/>
              <w:rPr>
                <w:sz w:val="2"/>
                <w:szCs w:val="2"/>
                <w:color w:val="auto"/>
              </w:rPr>
            </w:pPr>
          </w:p>
        </w:tc>
        <w:tc>
          <w:tcPr>
            <w:tcW w:w="1720" w:type="dxa"/>
            <w:vAlign w:val="bottom"/>
            <w:tcBorders>
              <w:bottom w:val="single" w:sz="8" w:color="5C004D"/>
            </w:tcBorders>
          </w:tcPr>
          <w:p>
            <w:pPr>
              <w:spacing w:after="0"/>
              <w:rPr>
                <w:sz w:val="2"/>
                <w:szCs w:val="2"/>
                <w:color w:val="auto"/>
              </w:rPr>
            </w:pPr>
          </w:p>
        </w:tc>
        <w:tc>
          <w:tcPr>
            <w:tcW w:w="360" w:type="dxa"/>
            <w:vAlign w:val="bottom"/>
            <w:tcBorders>
              <w:bottom w:val="single" w:sz="8" w:color="5C004D"/>
            </w:tcBorders>
          </w:tcPr>
          <w:p>
            <w:pPr>
              <w:spacing w:after="0"/>
              <w:rPr>
                <w:sz w:val="2"/>
                <w:szCs w:val="2"/>
                <w:color w:val="auto"/>
              </w:rPr>
            </w:pPr>
          </w:p>
        </w:tc>
        <w:tc>
          <w:tcPr>
            <w:tcW w:w="1600" w:type="dxa"/>
            <w:vAlign w:val="bottom"/>
            <w:tcBorders>
              <w:bottom w:val="single" w:sz="8" w:color="5C004D"/>
            </w:tcBorders>
          </w:tcPr>
          <w:p>
            <w:pPr>
              <w:spacing w:after="0"/>
              <w:rPr>
                <w:sz w:val="2"/>
                <w:szCs w:val="2"/>
                <w:color w:val="auto"/>
              </w:rPr>
            </w:pPr>
          </w:p>
        </w:tc>
        <w:tc>
          <w:tcPr>
            <w:tcW w:w="1060" w:type="dxa"/>
            <w:vAlign w:val="bottom"/>
            <w:tcBorders>
              <w:bottom w:val="single" w:sz="8" w:color="5C004D"/>
              <w:right w:val="single" w:sz="8" w:color="5C004D"/>
            </w:tcBorders>
          </w:tcPr>
          <w:p>
            <w:pPr>
              <w:spacing w:after="0"/>
              <w:rPr>
                <w:sz w:val="2"/>
                <w:szCs w:val="2"/>
                <w:color w:val="auto"/>
              </w:rPr>
            </w:pPr>
          </w:p>
        </w:tc>
        <w:tc>
          <w:tcPr>
            <w:tcW w:w="800" w:type="dxa"/>
            <w:vAlign w:val="bottom"/>
            <w:tcBorders>
              <w:bottom w:val="single" w:sz="8" w:color="5C004D"/>
            </w:tcBorders>
          </w:tcPr>
          <w:p>
            <w:pPr>
              <w:spacing w:after="0"/>
              <w:rPr>
                <w:sz w:val="2"/>
                <w:szCs w:val="2"/>
                <w:color w:val="auto"/>
              </w:rPr>
            </w:pPr>
          </w:p>
        </w:tc>
        <w:tc>
          <w:tcPr>
            <w:tcW w:w="2020" w:type="dxa"/>
            <w:vAlign w:val="bottom"/>
            <w:tcBorders>
              <w:bottom w:val="single" w:sz="8" w:color="5C004D"/>
            </w:tcBorders>
          </w:tcPr>
          <w:p>
            <w:pPr>
              <w:spacing w:after="0"/>
              <w:rPr>
                <w:sz w:val="2"/>
                <w:szCs w:val="2"/>
                <w:color w:val="auto"/>
              </w:rPr>
            </w:pPr>
          </w:p>
        </w:tc>
        <w:tc>
          <w:tcPr>
            <w:tcW w:w="420" w:type="dxa"/>
            <w:vAlign w:val="bottom"/>
            <w:tcBorders>
              <w:bottom w:val="single" w:sz="8" w:color="5C004D"/>
              <w:right w:val="single" w:sz="8" w:color="5C004D"/>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2120" w:type="dxa"/>
            <w:vAlign w:val="bottom"/>
          </w:tcPr>
          <w:p>
            <w:pPr>
              <w:spacing w:after="0" w:line="192" w:lineRule="exact"/>
              <w:rPr>
                <w:sz w:val="20"/>
                <w:szCs w:val="20"/>
                <w:color w:val="auto"/>
              </w:rPr>
            </w:pPr>
            <w:r>
              <w:rPr>
                <w:rFonts w:ascii="PMingLiU" w:cs="PMingLiU" w:eastAsia="PMingLiU" w:hAnsi="PMingLiU"/>
                <w:sz w:val="16"/>
                <w:szCs w:val="16"/>
                <w:color w:val="5C004D"/>
              </w:rPr>
              <w:t/>
            </w:r>
            <w:r>
              <w:rPr>
                <w:rFonts w:ascii="PMingLiU" w:cs="PMingLiU" w:eastAsia="PMingLiU" w:hAnsi="PMingLiU"/>
                <w:sz w:val="16"/>
                <w:szCs w:val="16"/>
                <w:color w:val="auto"/>
              </w:rPr>
              <w:t> &amp;RPPLWWHH0HPEHU</w:t>
            </w:r>
          </w:p>
        </w:tc>
        <w:tc>
          <w:tcPr>
            <w:tcW w:w="1720" w:type="dxa"/>
            <w:vAlign w:val="bottom"/>
          </w:tcPr>
          <w:p>
            <w:pPr>
              <w:ind w:left="40"/>
              <w:spacing w:after="0" w:line="192" w:lineRule="exact"/>
              <w:rPr>
                <w:sz w:val="20"/>
                <w:szCs w:val="20"/>
                <w:color w:val="auto"/>
              </w:rPr>
            </w:pPr>
            <w:r>
              <w:rPr>
                <w:rFonts w:ascii="PMingLiU" w:cs="PMingLiU" w:eastAsia="PMingLiU" w:hAnsi="PMingLiU"/>
                <w:sz w:val="12"/>
                <w:szCs w:val="12"/>
                <w:color w:val="5C004D"/>
              </w:rPr>
              <w:t/>
            </w:r>
            <w:r>
              <w:rPr>
                <w:rFonts w:ascii="PMingLiU" w:cs="PMingLiU" w:eastAsia="PMingLiU" w:hAnsi="PMingLiU"/>
                <w:sz w:val="16"/>
                <w:szCs w:val="16"/>
                <w:color w:val="auto"/>
              </w:rPr>
              <w:t> &amp;RPPLWWHH&amp;KDLU</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-6057900</wp:posOffset>
            </wp:positionV>
            <wp:extent cx="6426200" cy="5849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6426200" cy="5849620"/>
                    </a:xfrm>
                    <a:prstGeom prst="rect">
                      <a:avLst/>
                    </a:prstGeom>
                    <a:noFill/>
                  </pic:spPr>
                </pic:pic>
              </a:graphicData>
            </a:graphic>
          </wp:anchor>
        </w:drawing>
      </w:r>
    </w:p>
    <w:p>
      <w:pPr>
        <w:spacing w:after="0" w:line="39"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3"/>
          <w:szCs w:val="13"/>
          <w:color w:val="auto"/>
        </w:rPr>
        <w:t>,QFOXGHVVHUYLFHRQWKHERDUGRIGLUHFWRUVRI-D]]3KDUPDFHXWLFDOV,QFRXUSUHGHFHVVRU</w:t>
      </w:r>
    </w:p>
    <w:p>
      <w:pPr>
        <w:spacing w:after="0" w:line="90" w:lineRule="exact"/>
        <w:rPr>
          <w:sz w:val="20"/>
          <w:szCs w:val="20"/>
          <w:color w:val="auto"/>
        </w:rPr>
      </w:pPr>
    </w:p>
    <w:p>
      <w:pPr>
        <w:ind w:left="360" w:right="100" w:hanging="359"/>
        <w:spacing w:after="0" w:line="383" w:lineRule="auto"/>
        <w:tabs>
          <w:tab w:leader="none" w:pos="340" w:val="left"/>
        </w:tabs>
        <w:rPr>
          <w:sz w:val="20"/>
          <w:szCs w:val="20"/>
          <w:color w:val="auto"/>
        </w:rPr>
      </w:pPr>
      <w:r>
        <w:rPr>
          <w:rFonts w:ascii="PMingLiU" w:cs="PMingLiU" w:eastAsia="PMingLiU" w:hAnsi="PMingLiU"/>
          <w:sz w:val="13"/>
          <w:szCs w:val="13"/>
          <w:color w:val="auto"/>
        </w:rPr>
        <w:t/>
        <w:tab/>
        <w:t>&amp;RQWLQXLQJGLUHFWRUVGRQRWLQFOXGH$QQH2¶5LRUGDQZKRQRWLILHGXVWKDWVKHLVQRWVWDQGLQJIRUUHHOHFWLRQDWWKH$*0+HUWHUPRI RIILFHDVDGLUHFWRUZLOOH[SLUHDWWKH$*0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179705</wp:posOffset>
            </wp:positionV>
            <wp:extent cx="1389380" cy="234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6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1440" w:right="899" w:bottom="0" w:gutter="0" w:footer="0" w:header="0"/>
        </w:sectPr>
      </w:pPr>
    </w:p>
    <w:bookmarkStart w:id="14" w:name="page15"/>
    <w:bookmarkEnd w:id="14"/>
    <w:p>
      <w:pPr>
        <w:ind w:left="89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6198870</wp:posOffset>
                </wp:positionH>
                <wp:positionV relativeFrom="page">
                  <wp:posOffset>1270</wp:posOffset>
                </wp:positionV>
                <wp:extent cx="771525" cy="4191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19100"/>
                        </a:xfrm>
                        <a:prstGeom prst="rect">
                          <a:avLst/>
                        </a:prstGeom>
                        <a:solidFill>
                          <a:srgbClr val="5C004D"/>
                        </a:solidFill>
                      </wps:spPr>
                      <wps:bodyPr/>
                    </wps:wsp>
                  </a:graphicData>
                </a:graphic>
              </wp:anchor>
            </w:drawing>
          </mc:Choice>
          <mc:Fallback>
            <w:pict>
              <v:rect id="Shape 57" o:spid="_x0000_s1082" style="position:absolute;margin-left:488.1pt;margin-top:0.1pt;width:6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&amp;,)&amp;)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!@I&lt;:KFI0B@CCJ"OG&lt;I@&lt;E:&lt;8E;8:B&gt;IFLE;</w:t>
      </w:r>
    </w:p>
    <w:p>
      <w:pPr>
        <w:spacing w:after="0" w:line="219" w:lineRule="exact"/>
        <w:rPr>
          <w:sz w:val="20"/>
          <w:szCs w:val="20"/>
          <w:color w:val="auto"/>
        </w:rPr>
      </w:pPr>
    </w:p>
    <w:p>
      <w:pPr>
        <w:ind w:right="140"/>
        <w:spacing w:after="0" w:line="368" w:lineRule="auto"/>
        <w:rPr>
          <w:sz w:val="20"/>
          <w:szCs w:val="20"/>
          <w:color w:val="auto"/>
        </w:rPr>
      </w:pPr>
      <w:r>
        <w:rPr>
          <w:rFonts w:ascii="PMingLiU" w:cs="PMingLiU" w:eastAsia="PMingLiU" w:hAnsi="PMingLiU"/>
          <w:sz w:val="13"/>
          <w:szCs w:val="13"/>
          <w:color w:val="auto"/>
        </w:rPr>
        <w:t>,LIF8I;@J:FDGFJ&lt;;F=@E;@M@;L8CJN@K?8M8I@&lt;KPF=HL8C@=@:8K@FEJJB@CCJ&lt;OG&lt;I@&lt;E:&lt;98:B&gt;IFLE;J8E;FK?&lt;I=8:KFIJN?@:? N?&lt;EK8B&lt;EKF&gt;&lt;K?&lt;IGIFM@;&lt;FLIF8I;N@K?8I@:?D@OF=G&lt;IJG&lt;:K@M&lt;JKF&gt;L@;&lt;8E;FM&lt;IJ&lt;&lt;FLI&lt;MFCM@E&gt;JKI8K&lt;&gt;P8E;K?&lt;</w:t>
      </w:r>
    </w:p>
    <w:p>
      <w:pPr>
        <w:spacing w:after="0" w:line="1" w:lineRule="exact"/>
        <w:rPr>
          <w:sz w:val="20"/>
          <w:szCs w:val="20"/>
          <w:color w:val="auto"/>
        </w:rPr>
      </w:pPr>
    </w:p>
    <w:p>
      <w:pPr>
        <w:spacing w:after="0" w:line="557" w:lineRule="auto"/>
        <w:rPr>
          <w:sz w:val="20"/>
          <w:szCs w:val="20"/>
          <w:color w:val="auto"/>
        </w:rPr>
      </w:pPr>
      <w:r>
        <w:rPr>
          <w:rFonts w:ascii="PMingLiU" w:cs="PMingLiU" w:eastAsia="PMingLiU" w:hAnsi="PMingLiU"/>
          <w:sz w:val="12"/>
          <w:szCs w:val="12"/>
          <w:color w:val="auto"/>
        </w:rPr>
        <w:t>CFE&gt;K&lt;ID@EK&lt;I&lt;JKJF=J?8I&lt;?FC;&lt;IJ&amp;E8;;@K@FEN&lt;9&lt;C@&lt;M&lt;K?8K@K@J@DGFIK8EK=FIFLIF8I;KF9&lt;:FDGI@J&lt;;F=@E;@M@;L8CJN@K? M8I@&lt;;K&lt;ELI&lt;JKFGIFM@;&lt;=FI9FK?=I&lt;J?G&lt;IJG&lt;:K@M&lt;J8E;;&lt;&lt;G&lt;OG&lt;I@&lt;E:&lt;8E;BEFNC&lt;;&gt;&lt;F=FLI FDG8EP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6419850" cy="649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6419850" cy="6496050"/>
                    </a:xfrm>
                    <a:prstGeom prst="rect">
                      <a:avLst/>
                    </a:prstGeom>
                    <a:noFill/>
                  </pic:spPr>
                </pic:pic>
              </a:graphicData>
            </a:graphic>
          </wp:anchor>
        </w:drawing>
      </w:r>
    </w:p>
    <w:p>
      <w:pPr>
        <w:sectPr>
          <w:pgSz w:w="11880" w:h="15479" w:orient="portrait"/>
          <w:cols w:equalWidth="0" w:num="1">
            <w:col w:w="10120"/>
          </w:cols>
          <w:pgMar w:left="900" w:top="377" w:right="8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PMingLiU" w:cs="PMingLiU" w:eastAsia="PMingLiU" w:hAnsi="PMingLiU"/>
          <w:sz w:val="16"/>
          <w:szCs w:val="16"/>
          <w:b w:val="1"/>
          <w:bCs w:val="1"/>
          <w:color w:val="FFFFFF"/>
        </w:rPr>
        <w:t>*&lt;:==D2?5IA6C:6?46D</w:t>
      </w:r>
    </w:p>
    <w:p>
      <w:pPr>
        <w:spacing w:after="0" w:line="168" w:lineRule="exact"/>
        <w:rPr>
          <w:sz w:val="20"/>
          <w:szCs w:val="20"/>
          <w:color w:val="auto"/>
        </w:rPr>
      </w:pPr>
    </w:p>
    <w:p>
      <w:pPr>
        <w:ind w:left="540"/>
        <w:spacing w:after="0"/>
        <w:rPr>
          <w:sz w:val="20"/>
          <w:szCs w:val="20"/>
          <w:color w:val="auto"/>
        </w:rPr>
      </w:pPr>
      <w:r>
        <w:rPr>
          <w:rFonts w:ascii="PMingLiU" w:cs="PMingLiU" w:eastAsia="PMingLiU" w:hAnsi="PMingLiU"/>
          <w:sz w:val="16"/>
          <w:szCs w:val="16"/>
          <w:b w:val="1"/>
          <w:bCs w:val="1"/>
          <w:color w:val="5C004D"/>
        </w:rPr>
        <w:t>'F3=:4@&gt;A2?J@2C5IA6C:6?46</w:t>
      </w:r>
    </w:p>
    <w:p>
      <w:pPr>
        <w:spacing w:after="0" w:line="41" w:lineRule="exact"/>
        <w:rPr>
          <w:sz w:val="20"/>
          <w:szCs w:val="20"/>
          <w:color w:val="auto"/>
        </w:rPr>
      </w:pPr>
    </w:p>
    <w:p>
      <w:pPr>
        <w:ind w:left="540"/>
        <w:spacing w:after="0"/>
        <w:rPr>
          <w:sz w:val="20"/>
          <w:szCs w:val="20"/>
          <w:color w:val="auto"/>
        </w:rPr>
      </w:pPr>
      <w:r>
        <w:rPr>
          <w:rFonts w:ascii="PMingLiU" w:cs="PMingLiU" w:eastAsia="PMingLiU" w:hAnsi="PMingLiU"/>
          <w:sz w:val="15"/>
          <w:szCs w:val="15"/>
          <w:color w:val="auto"/>
        </w:rPr>
        <w:t>"OG&lt;I@&lt;E:&lt;8J89F8I;D&lt;D9&lt;IF=8GL9C@:CPKI8;&lt;;:FDG8EP</w:t>
      </w:r>
    </w:p>
    <w:p>
      <w:pPr>
        <w:spacing w:after="0" w:line="181" w:lineRule="exact"/>
        <w:rPr>
          <w:sz w:val="20"/>
          <w:szCs w:val="20"/>
          <w:color w:val="auto"/>
        </w:rPr>
      </w:pPr>
    </w:p>
    <w:p>
      <w:pPr>
        <w:ind w:left="540"/>
        <w:spacing w:after="0"/>
        <w:rPr>
          <w:sz w:val="20"/>
          <w:szCs w:val="20"/>
          <w:color w:val="auto"/>
        </w:rPr>
      </w:pPr>
      <w:r>
        <w:rPr>
          <w:rFonts w:ascii="PMingLiU" w:cs="PMingLiU" w:eastAsia="PMingLiU" w:hAnsi="PMingLiU"/>
          <w:sz w:val="16"/>
          <w:szCs w:val="16"/>
          <w:b w:val="1"/>
          <w:bCs w:val="1"/>
          <w:color w:val="5C004D"/>
        </w:rPr>
        <w:t> *F:E6$2?286&gt;6?EIA6C:6?46</w:t>
      </w:r>
    </w:p>
    <w:p>
      <w:pPr>
        <w:spacing w:after="0" w:line="41" w:lineRule="exact"/>
        <w:rPr>
          <w:sz w:val="20"/>
          <w:szCs w:val="20"/>
          <w:color w:val="auto"/>
        </w:rPr>
      </w:pPr>
    </w:p>
    <w:p>
      <w:pPr>
        <w:ind w:left="540" w:right="80"/>
        <w:spacing w:after="0" w:line="435" w:lineRule="auto"/>
        <w:rPr>
          <w:sz w:val="20"/>
          <w:szCs w:val="20"/>
          <w:color w:val="auto"/>
        </w:rPr>
      </w:pPr>
      <w:r>
        <w:rPr>
          <w:rFonts w:ascii="PMingLiU" w:cs="PMingLiU" w:eastAsia="PMingLiU" w:hAnsi="PMingLiU"/>
          <w:sz w:val="12"/>
          <w:szCs w:val="12"/>
          <w:color w:val="auto"/>
        </w:rPr>
        <w:t>"OG&lt;I@&lt;E:&lt;8J8 JL@K&lt;F==@:&lt;IFI8J8D&lt;D9&lt;IF=J&lt;E@FID8E8&gt;&lt;D&lt;EK F=8C8I&gt;&lt;FI&gt;IFN@E&gt;9LJ@E&lt;JJ</w:t>
      </w:r>
    </w:p>
    <w:p>
      <w:pPr>
        <w:spacing w:after="0" w:line="27" w:lineRule="exact"/>
        <w:rPr>
          <w:sz w:val="20"/>
          <w:szCs w:val="20"/>
          <w:color w:val="auto"/>
        </w:rPr>
      </w:pPr>
    </w:p>
    <w:p>
      <w:pPr>
        <w:ind w:left="580"/>
        <w:spacing w:after="0"/>
        <w:rPr>
          <w:sz w:val="20"/>
          <w:szCs w:val="20"/>
          <w:color w:val="auto"/>
        </w:rPr>
      </w:pPr>
      <w:r>
        <w:rPr>
          <w:rFonts w:ascii="PMingLiU" w:cs="PMingLiU" w:eastAsia="PMingLiU" w:hAnsi="PMingLiU"/>
          <w:sz w:val="16"/>
          <w:szCs w:val="16"/>
          <w:b w:val="1"/>
          <w:bCs w:val="1"/>
          <w:color w:val="5C004D"/>
        </w:rPr>
        <w:t>?5FDECJIA6CE:D6</w:t>
      </w:r>
    </w:p>
    <w:p>
      <w:pPr>
        <w:spacing w:after="0" w:line="41" w:lineRule="exact"/>
        <w:rPr>
          <w:sz w:val="20"/>
          <w:szCs w:val="20"/>
          <w:color w:val="auto"/>
        </w:rPr>
      </w:pPr>
    </w:p>
    <w:p>
      <w:pPr>
        <w:ind w:left="540" w:right="700"/>
        <w:spacing w:after="0" w:line="928" w:lineRule="auto"/>
        <w:rPr>
          <w:sz w:val="20"/>
          <w:szCs w:val="20"/>
          <w:color w:val="auto"/>
        </w:rPr>
      </w:pPr>
      <w:r>
        <w:rPr>
          <w:rFonts w:ascii="PMingLiU" w:cs="PMingLiU" w:eastAsia="PMingLiU" w:hAnsi="PMingLiU"/>
          <w:sz w:val="8"/>
          <w:szCs w:val="8"/>
          <w:color w:val="auto"/>
        </w:rPr>
        <w:t>(EFNC&lt;;&gt;&lt;F=K?&lt;?&lt;8CK?:8I&lt;8E;9@FG?8ID8:&lt;LK@:8C@E;LJKIP @E:CL;@E&gt;8J8GGC@:89C&lt;J:@&lt;E:&lt;D8EL=8:KLI@E&gt;I&lt;&gt;LC8KFIP :FDGC@8E:&lt;8E;G8P&lt;I;PE8D@:J</w:t>
      </w:r>
    </w:p>
    <w:p>
      <w:pPr>
        <w:ind w:left="540"/>
        <w:spacing w:after="0"/>
        <w:rPr>
          <w:sz w:val="20"/>
          <w:szCs w:val="20"/>
          <w:color w:val="auto"/>
        </w:rPr>
      </w:pPr>
      <w:r>
        <w:rPr>
          <w:rFonts w:ascii="PMingLiU" w:cs="PMingLiU" w:eastAsia="PMingLiU" w:hAnsi="PMingLiU"/>
          <w:sz w:val="16"/>
          <w:szCs w:val="16"/>
          <w:b w:val="1"/>
          <w:bCs w:val="1"/>
          <w:color w:val="5C004D"/>
        </w:rPr>
        <w:t>:?2?4:2=IA6C:6?46</w:t>
      </w:r>
    </w:p>
    <w:p>
      <w:pPr>
        <w:spacing w:after="0" w:line="41" w:lineRule="exact"/>
        <w:rPr>
          <w:sz w:val="20"/>
          <w:szCs w:val="20"/>
          <w:color w:val="auto"/>
        </w:rPr>
      </w:pPr>
    </w:p>
    <w:p>
      <w:pPr>
        <w:ind w:left="540" w:right="320"/>
        <w:spacing w:after="0" w:line="823" w:lineRule="auto"/>
        <w:rPr>
          <w:sz w:val="20"/>
          <w:szCs w:val="20"/>
          <w:color w:val="auto"/>
        </w:rPr>
      </w:pPr>
      <w:r>
        <w:rPr>
          <w:rFonts w:ascii="PMingLiU" w:cs="PMingLiU" w:eastAsia="PMingLiU" w:hAnsi="PMingLiU"/>
          <w:sz w:val="9"/>
          <w:szCs w:val="9"/>
          <w:color w:val="auto"/>
        </w:rPr>
        <w:t>"OG&lt;I@&lt;E:&lt;@EGFJ@K@FEJI&lt;HL@I@E&gt;=@E8E:@8CBEFNC&lt;;&gt;&lt;8E;8E8CPJ@J N@K?&lt;OG&lt;IK@J&lt;@EK?&lt;&lt;M8CL8K@FEF=8C8I&gt;&lt;FI&gt;IFN@E&gt;:FDG8EP\J :8G@K8CJKIL:KLI&lt;</w:t>
      </w:r>
    </w:p>
    <w:p>
      <w:pPr>
        <w:ind w:left="540"/>
        <w:spacing w:after="0"/>
        <w:rPr>
          <w:sz w:val="20"/>
          <w:szCs w:val="20"/>
          <w:color w:val="auto"/>
        </w:rPr>
      </w:pPr>
      <w:r>
        <w:rPr>
          <w:rFonts w:ascii="PMingLiU" w:cs="PMingLiU" w:eastAsia="PMingLiU" w:hAnsi="PMingLiU"/>
          <w:sz w:val="16"/>
          <w:szCs w:val="16"/>
          <w:b w:val="1"/>
          <w:bCs w:val="1"/>
          <w:color w:val="5C004D"/>
        </w:rPr>
        <w:t>$6C86C4BF:D:E:@?@CA@C2E66G6=@A&gt;6?E</w:t>
      </w:r>
    </w:p>
    <w:p>
      <w:pPr>
        <w:spacing w:after="0" w:line="41" w:lineRule="exact"/>
        <w:rPr>
          <w:sz w:val="20"/>
          <w:szCs w:val="20"/>
          <w:color w:val="auto"/>
        </w:rPr>
      </w:pPr>
    </w:p>
    <w:p>
      <w:pPr>
        <w:ind w:left="540"/>
        <w:spacing w:after="0" w:line="496" w:lineRule="auto"/>
        <w:rPr>
          <w:sz w:val="20"/>
          <w:szCs w:val="20"/>
          <w:color w:val="auto"/>
        </w:rPr>
      </w:pPr>
      <w:r>
        <w:rPr>
          <w:rFonts w:ascii="PMingLiU" w:cs="PMingLiU" w:eastAsia="PMingLiU" w:hAnsi="PMingLiU"/>
          <w:sz w:val="11"/>
          <w:szCs w:val="11"/>
          <w:color w:val="auto"/>
        </w:rPr>
        <w:t>"OG&lt;I@&lt;E:&lt;FI&lt;OG&lt;IK@J&lt;@EJKIL:KLI@E&gt;=@E8E:@E&gt;8E;&lt;O&lt;:LK@E&gt;JKI8K&lt;&gt;@: 8:HL@J@K@FEJG8IKE&lt;IJ?@GJ8E;FK?&lt;I:FIGFI8K&lt;;&lt;M&lt;CFGD&lt;EK8:K@M@K@&lt;J</w:t>
      </w:r>
    </w:p>
    <w:p>
      <w:pPr>
        <w:spacing w:after="0" w:line="13" w:lineRule="exact"/>
        <w:rPr>
          <w:sz w:val="20"/>
          <w:szCs w:val="20"/>
          <w:color w:val="auto"/>
        </w:rPr>
      </w:pPr>
    </w:p>
    <w:p>
      <w:pPr>
        <w:ind w:left="540"/>
        <w:spacing w:after="0"/>
        <w:rPr>
          <w:sz w:val="20"/>
          <w:szCs w:val="20"/>
          <w:color w:val="auto"/>
        </w:rPr>
      </w:pPr>
      <w:r>
        <w:rPr>
          <w:rFonts w:ascii="PMingLiU" w:cs="PMingLiU" w:eastAsia="PMingLiU" w:hAnsi="PMingLiU"/>
          <w:sz w:val="16"/>
          <w:szCs w:val="16"/>
          <w:b w:val="1"/>
          <w:bCs w:val="1"/>
          <w:color w:val="5C004D"/>
        </w:rPr>
        <w:t>@&gt;&gt;6C4:2=IA6C:6?46</w:t>
      </w:r>
    </w:p>
    <w:p>
      <w:pPr>
        <w:spacing w:after="0" w:line="41" w:lineRule="exact"/>
        <w:rPr>
          <w:sz w:val="20"/>
          <w:szCs w:val="20"/>
          <w:color w:val="auto"/>
        </w:rPr>
      </w:pPr>
    </w:p>
    <w:p>
      <w:pPr>
        <w:ind w:left="540" w:right="300"/>
        <w:spacing w:after="0" w:line="398" w:lineRule="auto"/>
        <w:rPr>
          <w:sz w:val="20"/>
          <w:szCs w:val="20"/>
          <w:color w:val="auto"/>
        </w:rPr>
      </w:pPr>
      <w:r>
        <w:rPr>
          <w:rFonts w:ascii="PMingLiU" w:cs="PMingLiU" w:eastAsia="PMingLiU" w:hAnsi="PMingLiU"/>
          <w:sz w:val="11"/>
          <w:szCs w:val="11"/>
          <w:color w:val="auto"/>
        </w:rPr>
        <w:t>"OG&lt;I@&lt;E:&lt;FI&lt;OG&lt;IK@J&lt;@E:LCK@M8K@E&gt;8C8I&gt;&lt;FI&gt;IFN@E&gt;9LJ@E&lt;JJ\J 9I8E;&lt;HL@KPK?&lt;;&lt;M&lt;CFGD&lt;EK8E;D8E8&gt;&lt;D&lt;EKF=9LJ@E&lt;JJ I&lt;C8K@FEJ?@GJN@K?:LJKFD&lt;IJ8E;K?&lt;GIF:&lt;JJF=I&lt;@D9LIJ&lt;D&lt;EKF= G?8ID8:&lt;LK@:8CGIF;L:KJ</w:t>
      </w:r>
    </w:p>
    <w:p>
      <w:pPr>
        <w:spacing w:after="0" w:line="70" w:lineRule="exact"/>
        <w:rPr>
          <w:sz w:val="20"/>
          <w:szCs w:val="20"/>
          <w:color w:val="auto"/>
        </w:rPr>
      </w:pPr>
    </w:p>
    <w:p>
      <w:pPr>
        <w:ind w:left="540" w:right="400"/>
        <w:spacing w:after="0" w:line="394" w:lineRule="auto"/>
        <w:rPr>
          <w:sz w:val="20"/>
          <w:szCs w:val="20"/>
          <w:color w:val="auto"/>
        </w:rPr>
      </w:pPr>
      <w:r>
        <w:rPr>
          <w:rFonts w:ascii="PMingLiU" w:cs="PMingLiU" w:eastAsia="PMingLiU" w:hAnsi="PMingLiU"/>
          <w:sz w:val="12"/>
          <w:szCs w:val="12"/>
          <w:b w:val="1"/>
          <w:bCs w:val="1"/>
          <w:color w:val="5C004D"/>
        </w:rPr>
        <w:t xml:space="preserve">*4:6?E:7:4)6D62C492?5CF86G6=@A&gt;6?EIA6C:6?46 </w:t>
      </w:r>
      <w:r>
        <w:rPr>
          <w:rFonts w:ascii="PMingLiU" w:cs="PMingLiU" w:eastAsia="PMingLiU" w:hAnsi="PMingLiU"/>
          <w:sz w:val="12"/>
          <w:szCs w:val="12"/>
          <w:color w:val="000000"/>
        </w:rPr>
        <w:t>/&lt;C&lt;M8EK98:B&gt;IFLE;J@E8:8;&lt;D@8:C@E@:8CGI8:K@:&lt;J:@&lt;E:&lt;8E; K&lt;:?EFCF&gt;P8E;@EG8IK@:LC8IK?&lt;/!F=G?8ID8:&lt;LK@:8CGIF;L:KJ</w:t>
      </w:r>
    </w:p>
    <w:p>
      <w:pPr>
        <w:spacing w:after="0" w:line="53" w:lineRule="exact"/>
        <w:rPr>
          <w:sz w:val="20"/>
          <w:szCs w:val="20"/>
          <w:color w:val="auto"/>
        </w:rPr>
      </w:pPr>
    </w:p>
    <w:p>
      <w:pPr>
        <w:ind w:left="580"/>
        <w:spacing w:after="0"/>
        <w:rPr>
          <w:sz w:val="20"/>
          <w:szCs w:val="20"/>
          <w:color w:val="auto"/>
        </w:rPr>
      </w:pPr>
      <w:r>
        <w:rPr>
          <w:rFonts w:ascii="PMingLiU" w:cs="PMingLiU" w:eastAsia="PMingLiU" w:hAnsi="PMingLiU"/>
          <w:sz w:val="16"/>
          <w:szCs w:val="16"/>
          <w:b w:val="1"/>
          <w:bCs w:val="1"/>
          <w:color w:val="5C004D"/>
        </w:rPr>
        <w:t>?E6C?2E:@?2='6CDA64E:G6</w:t>
      </w:r>
    </w:p>
    <w:p>
      <w:pPr>
        <w:spacing w:after="0" w:line="41" w:lineRule="exact"/>
        <w:rPr>
          <w:sz w:val="20"/>
          <w:szCs w:val="20"/>
          <w:color w:val="auto"/>
        </w:rPr>
      </w:pPr>
    </w:p>
    <w:p>
      <w:pPr>
        <w:ind w:left="540" w:right="420"/>
        <w:spacing w:after="0" w:line="492" w:lineRule="auto"/>
        <w:rPr>
          <w:sz w:val="20"/>
          <w:szCs w:val="20"/>
          <w:color w:val="auto"/>
        </w:rPr>
      </w:pPr>
      <w:r>
        <w:rPr>
          <w:rFonts w:ascii="PMingLiU" w:cs="PMingLiU" w:eastAsia="PMingLiU" w:hAnsi="PMingLiU"/>
          <w:sz w:val="11"/>
          <w:szCs w:val="11"/>
          <w:color w:val="auto"/>
        </w:rPr>
        <w:t>"OG&lt;I@&lt;E:&lt;FI&lt;OG&lt;IK@J&lt;@EK?&lt;FG&lt;I8K@FEF=:FDGC&lt;ODLCK@E8K@FE8C FI&gt;8E@Q8K@FEJ</w:t>
      </w:r>
    </w:p>
    <w:p>
      <w:pPr>
        <w:spacing w:after="0" w:line="8" w:lineRule="exact"/>
        <w:rPr>
          <w:sz w:val="20"/>
          <w:szCs w:val="20"/>
          <w:color w:val="auto"/>
        </w:rPr>
      </w:pPr>
    </w:p>
    <w:p>
      <w:pPr>
        <w:ind w:left="540"/>
        <w:spacing w:after="0"/>
        <w:rPr>
          <w:sz w:val="20"/>
          <w:szCs w:val="20"/>
          <w:color w:val="auto"/>
        </w:rPr>
      </w:pPr>
      <w:r>
        <w:rPr>
          <w:rFonts w:ascii="PMingLiU" w:cs="PMingLiU" w:eastAsia="PMingLiU" w:hAnsi="PMingLiU"/>
          <w:sz w:val="16"/>
          <w:szCs w:val="16"/>
          <w:b w:val="1"/>
          <w:bCs w:val="1"/>
          <w:color w:val="5C004D"/>
        </w:rPr>
        <w:t>'F3=:4'@=:4J2?5)68F=2E:@?</w:t>
      </w:r>
    </w:p>
    <w:p>
      <w:pPr>
        <w:spacing w:after="0" w:line="41" w:lineRule="exact"/>
        <w:rPr>
          <w:sz w:val="20"/>
          <w:szCs w:val="20"/>
          <w:color w:val="auto"/>
        </w:rPr>
      </w:pPr>
    </w:p>
    <w:p>
      <w:pPr>
        <w:ind w:left="540"/>
        <w:spacing w:after="0"/>
        <w:rPr>
          <w:sz w:val="20"/>
          <w:szCs w:val="20"/>
          <w:color w:val="auto"/>
        </w:rPr>
      </w:pPr>
      <w:r>
        <w:rPr>
          <w:rFonts w:ascii="PMingLiU" w:cs="PMingLiU" w:eastAsia="PMingLiU" w:hAnsi="PMingLiU"/>
          <w:sz w:val="13"/>
          <w:szCs w:val="13"/>
          <w:color w:val="auto"/>
        </w:rPr>
        <w:t>"OG&lt;I@&lt;E:&lt;FG&lt;I8K@E&gt;@E8?@&gt;?CPI&lt;&gt;LC8K&lt;;@E;LJKIPE8M@&gt;8K@E&gt;</w:t>
      </w:r>
    </w:p>
    <w:p>
      <w:pPr>
        <w:spacing w:after="0" w:line="52" w:lineRule="exact"/>
        <w:rPr>
          <w:sz w:val="20"/>
          <w:szCs w:val="20"/>
          <w:color w:val="auto"/>
        </w:rPr>
      </w:pPr>
    </w:p>
    <w:p>
      <w:pPr>
        <w:ind w:left="540"/>
        <w:spacing w:after="0"/>
        <w:rPr>
          <w:sz w:val="20"/>
          <w:szCs w:val="20"/>
          <w:color w:val="auto"/>
        </w:rPr>
      </w:pPr>
      <w:r>
        <w:rPr>
          <w:rFonts w:ascii="PMingLiU" w:cs="PMingLiU" w:eastAsia="PMingLiU" w:hAnsi="PMingLiU"/>
          <w:sz w:val="13"/>
          <w:szCs w:val="13"/>
          <w:color w:val="auto"/>
        </w:rPr>
        <w:t>&gt;FM&lt;IED&lt;EK8CFIGL9C@:GFC@:PD8KK&lt;IJI&lt;C8K&lt;;KFD&lt;;@:@E&lt;J8E;</w:t>
      </w:r>
    </w:p>
    <w:p>
      <w:pPr>
        <w:spacing w:after="0" w:line="36" w:lineRule="exact"/>
        <w:rPr>
          <w:sz w:val="20"/>
          <w:szCs w:val="20"/>
          <w:color w:val="auto"/>
        </w:rPr>
      </w:pPr>
    </w:p>
    <w:p>
      <w:pPr>
        <w:ind w:left="540"/>
        <w:spacing w:after="0"/>
        <w:rPr>
          <w:sz w:val="20"/>
          <w:szCs w:val="20"/>
          <w:color w:val="auto"/>
        </w:rPr>
      </w:pPr>
      <w:r>
        <w:rPr>
          <w:rFonts w:ascii="PMingLiU" w:cs="PMingLiU" w:eastAsia="PMingLiU" w:hAnsi="PMingLiU"/>
          <w:sz w:val="16"/>
          <w:szCs w:val="16"/>
          <w:color w:val="auto"/>
        </w:rPr>
        <w:t>?&lt;8CK?:8I&lt;GIF;L:KJ</w:t>
      </w:r>
    </w:p>
    <w:p>
      <w:pPr>
        <w:spacing w:after="0" w:line="159" w:lineRule="exact"/>
        <w:rPr>
          <w:sz w:val="20"/>
          <w:szCs w:val="20"/>
          <w:color w:val="auto"/>
        </w:rPr>
      </w:pPr>
    </w:p>
    <w:p>
      <w:pPr>
        <w:ind w:left="540"/>
        <w:spacing w:after="0"/>
        <w:rPr>
          <w:sz w:val="20"/>
          <w:szCs w:val="20"/>
          <w:color w:val="auto"/>
        </w:rPr>
      </w:pPr>
      <w:r>
        <w:rPr>
          <w:rFonts w:ascii="PMingLiU" w:cs="PMingLiU" w:eastAsia="PMingLiU" w:hAnsi="PMingLiU"/>
          <w:sz w:val="16"/>
          <w:szCs w:val="16"/>
          <w:b w:val="1"/>
          <w:bCs w:val="1"/>
          <w:color w:val="5C004D"/>
        </w:rPr>
        <w:t>F&gt;2?2A:E2=</w:t>
      </w:r>
    </w:p>
    <w:p>
      <w:pPr>
        <w:spacing w:after="0" w:line="41" w:lineRule="exact"/>
        <w:rPr>
          <w:sz w:val="20"/>
          <w:szCs w:val="20"/>
          <w:color w:val="auto"/>
        </w:rPr>
      </w:pPr>
    </w:p>
    <w:p>
      <w:pPr>
        <w:ind w:left="540" w:right="40"/>
        <w:spacing w:after="0" w:line="1647" w:lineRule="auto"/>
        <w:rPr>
          <w:sz w:val="20"/>
          <w:szCs w:val="20"/>
          <w:color w:val="auto"/>
        </w:rPr>
      </w:pPr>
      <w:r>
        <w:rPr>
          <w:rFonts w:ascii="PMingLiU" w:cs="PMingLiU" w:eastAsia="PMingLiU" w:hAnsi="PMingLiU"/>
          <w:sz w:val="6"/>
          <w:szCs w:val="6"/>
          <w:color w:val="auto"/>
        </w:rPr>
        <w:t>"OG&lt;I@&lt;E:&lt;C&lt;8;@E&gt;C8I&gt;&lt;IK&lt;8DJN@K?;@M&lt;IJ&lt;=LE:K@FEJ8E;?LD8E :8G@K8CD8E8&gt;&lt;D&lt;EK@E@K@8K@M&lt;J&gt;&lt;E&lt;I8CCP@E:CL;@E&gt;C&lt;8;&lt;IJ?@G ;&lt;M&lt;CFGD&lt;EKJL::&lt;JJ@FEGC8EE@E&gt;&lt;O&lt;:LK@M&lt;I&lt;:IL@KD&lt;EKFM&lt;IJ@&gt;?KF= :FIGFI8K&lt;:LCKLI&lt;NFIB=FI:&lt;D8KK&lt;IJ8E;:FDG&lt;EJ8K@FE</w:t>
      </w:r>
    </w:p>
    <w:p>
      <w:pPr>
        <w:spacing w:after="0"/>
        <w:rPr>
          <w:sz w:val="20"/>
          <w:szCs w:val="20"/>
          <w:color w:val="auto"/>
        </w:rPr>
      </w:pPr>
      <w:r>
        <w:rPr>
          <w:rFonts w:ascii="PMingLiU" w:cs="PMingLiU" w:eastAsia="PMingLiU" w:hAnsi="PMingLiU"/>
          <w:sz w:val="16"/>
          <w:szCs w:val="16"/>
          <w:color w:val="auto"/>
        </w:rPr>
        <w:t>&amp;E;@:8K&lt;J&lt;OG&lt;I@&lt;E:&lt;&lt;OG&lt;IK@J&lt;@EJL9A&lt;:KD8KK&lt;I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9"/>
        </w:trPr>
        <w:tc>
          <w:tcPr>
            <w:tcW w:w="240" w:type="dxa"/>
            <w:vAlign w:val="bottom"/>
            <w:textDirection w:val="btLr"/>
          </w:tcPr>
          <w:p>
            <w:pPr>
              <w:spacing w:after="0"/>
              <w:rPr>
                <w:sz w:val="20"/>
                <w:szCs w:val="20"/>
                <w:color w:val="auto"/>
              </w:rPr>
            </w:pPr>
            <w:r>
              <w:rPr>
                <w:rFonts w:ascii="PMingLiU" w:cs="PMingLiU" w:eastAsia="PMingLiU" w:hAnsi="PMingLiU"/>
                <w:sz w:val="16"/>
                <w:szCs w:val="16"/>
                <w:b w:val="1"/>
                <w:bCs w:val="1"/>
                <w:color w:val="FFFFFF"/>
              </w:rPr>
              <w:t>@@&lt;</w:t>
            </w:r>
          </w:p>
        </w:tc>
        <w:tc>
          <w:tcPr>
            <w:tcW w:w="320" w:type="dxa"/>
            <w:vAlign w:val="bottom"/>
            <w:textDirection w:val="btLr"/>
          </w:tcPr>
          <w:p>
            <w:pPr>
              <w:ind w:left="103"/>
              <w:spacing w:after="0"/>
              <w:rPr>
                <w:sz w:val="20"/>
                <w:szCs w:val="20"/>
                <w:color w:val="auto"/>
              </w:rPr>
            </w:pPr>
            <w:r>
              <w:rPr>
                <w:rFonts w:ascii="PMingLiU" w:cs="PMingLiU" w:eastAsia="PMingLiU" w:hAnsi="PMingLiU"/>
                <w:sz w:val="16"/>
                <w:szCs w:val="16"/>
                <w:b w:val="1"/>
                <w:bCs w:val="1"/>
                <w:color w:val="FFFFFF"/>
              </w:rPr>
              <w:t>@K255</w:t>
            </w:r>
          </w:p>
        </w:tc>
        <w:tc>
          <w:tcPr>
            <w:tcW w:w="340" w:type="dxa"/>
            <w:vAlign w:val="bottom"/>
            <w:textDirection w:val="btLr"/>
          </w:tcPr>
          <w:p>
            <w:pPr>
              <w:ind w:left="113"/>
              <w:spacing w:after="0"/>
              <w:rPr>
                <w:sz w:val="20"/>
                <w:szCs w:val="20"/>
                <w:color w:val="auto"/>
              </w:rPr>
            </w:pPr>
            <w:r>
              <w:rPr>
                <w:rFonts w:ascii="PMingLiU" w:cs="PMingLiU" w:eastAsia="PMingLiU" w:hAnsi="PMingLiU"/>
                <w:sz w:val="16"/>
                <w:szCs w:val="16"/>
                <w:b w:val="1"/>
                <w:bCs w:val="1"/>
                <w:color w:val="FFFFFF"/>
              </w:rPr>
              <w:t>?C:89E</w:t>
            </w:r>
          </w:p>
        </w:tc>
        <w:tc>
          <w:tcPr>
            <w:tcW w:w="320" w:type="dxa"/>
            <w:vAlign w:val="bottom"/>
            <w:textDirection w:val="btLr"/>
          </w:tcPr>
          <w:p>
            <w:pPr>
              <w:spacing w:after="0"/>
              <w:rPr>
                <w:sz w:val="20"/>
                <w:szCs w:val="20"/>
                <w:color w:val="auto"/>
              </w:rPr>
            </w:pPr>
            <w:r>
              <w:rPr>
                <w:rFonts w:ascii="PMingLiU" w:cs="PMingLiU" w:eastAsia="PMingLiU" w:hAnsi="PMingLiU"/>
                <w:sz w:val="16"/>
                <w:szCs w:val="16"/>
                <w:b w:val="1"/>
                <w:bCs w:val="1"/>
                <w:color w:val="FFFFFF"/>
              </w:rPr>
              <w:t>2=2</w:t>
            </w:r>
          </w:p>
        </w:tc>
        <w:tc>
          <w:tcPr>
            <w:tcW w:w="340" w:type="dxa"/>
            <w:vAlign w:val="bottom"/>
            <w:textDirection w:val="btLr"/>
          </w:tcPr>
          <w:p>
            <w:pPr>
              <w:spacing w:after="0"/>
              <w:rPr>
                <w:sz w:val="20"/>
                <w:szCs w:val="20"/>
                <w:color w:val="auto"/>
              </w:rPr>
            </w:pPr>
            <w:r>
              <w:rPr>
                <w:rFonts w:ascii="PMingLiU" w:cs="PMingLiU" w:eastAsia="PMingLiU" w:hAnsi="PMingLiU"/>
                <w:sz w:val="16"/>
                <w:szCs w:val="16"/>
                <w:b w:val="1"/>
                <w:bCs w:val="1"/>
                <w:color w:val="FFFFFF"/>
              </w:rPr>
              <w:t>2&gt;:==</w:t>
            </w:r>
          </w:p>
        </w:tc>
        <w:tc>
          <w:tcPr>
            <w:tcW w:w="320" w:type="dxa"/>
            <w:vAlign w:val="bottom"/>
            <w:textDirection w:val="btLr"/>
          </w:tcPr>
          <w:p>
            <w:pPr>
              <w:ind w:left="103"/>
              <w:spacing w:after="0"/>
              <w:rPr>
                <w:sz w:val="20"/>
                <w:szCs w:val="20"/>
                <w:color w:val="auto"/>
              </w:rPr>
            </w:pPr>
            <w:r>
              <w:rPr>
                <w:rFonts w:ascii="PMingLiU" w:cs="PMingLiU" w:eastAsia="PMingLiU" w:hAnsi="PMingLiU"/>
                <w:sz w:val="16"/>
                <w:szCs w:val="16"/>
                <w:b w:val="1"/>
                <w:bCs w:val="1"/>
                <w:color w:val="FFFFFF"/>
              </w:rPr>
              <w:t>"6??65J</w:t>
            </w:r>
          </w:p>
        </w:tc>
        <w:tc>
          <w:tcPr>
            <w:tcW w:w="340" w:type="dxa"/>
            <w:vAlign w:val="bottom"/>
            <w:textDirection w:val="btLr"/>
          </w:tcPr>
          <w:p>
            <w:pPr>
              <w:ind w:left="113"/>
              <w:spacing w:after="0"/>
              <w:rPr>
                <w:sz w:val="20"/>
                <w:szCs w:val="20"/>
                <w:color w:val="auto"/>
              </w:rPr>
            </w:pPr>
            <w:r>
              <w:rPr>
                <w:rFonts w:ascii="PMingLiU" w:cs="PMingLiU" w:eastAsia="PMingLiU" w:hAnsi="PMingLiU"/>
                <w:sz w:val="16"/>
                <w:szCs w:val="16"/>
                <w:b w:val="1"/>
                <w:bCs w:val="1"/>
                <w:color w:val="FFFFFF"/>
                <w:w w:val="95"/>
              </w:rPr>
              <w:t>#@G6</w:t>
            </w:r>
          </w:p>
        </w:tc>
        <w:tc>
          <w:tcPr>
            <w:tcW w:w="320" w:type="dxa"/>
            <w:vAlign w:val="bottom"/>
            <w:textDirection w:val="btLr"/>
          </w:tcPr>
          <w:p>
            <w:pPr>
              <w:ind w:left="103"/>
              <w:spacing w:after="0"/>
              <w:rPr>
                <w:sz w:val="20"/>
                <w:szCs w:val="20"/>
                <w:color w:val="auto"/>
              </w:rPr>
            </w:pPr>
            <w:r>
              <w:rPr>
                <w:rFonts w:ascii="PMingLiU" w:cs="PMingLiU" w:eastAsia="PMingLiU" w:hAnsi="PMingLiU"/>
                <w:sz w:val="16"/>
                <w:szCs w:val="16"/>
                <w:b w:val="1"/>
                <w:bCs w:val="1"/>
                <w:color w:val="FFFFFF"/>
              </w:rPr>
              <w:t>$4*92CCJ</w:t>
            </w:r>
          </w:p>
        </w:tc>
        <w:tc>
          <w:tcPr>
            <w:tcW w:w="340" w:type="dxa"/>
            <w:vAlign w:val="bottom"/>
            <w:textDirection w:val="btLr"/>
          </w:tcPr>
          <w:p>
            <w:pPr>
              <w:ind w:left="113"/>
              <w:spacing w:after="0"/>
              <w:rPr>
                <w:sz w:val="20"/>
                <w:szCs w:val="20"/>
                <w:color w:val="auto"/>
              </w:rPr>
            </w:pPr>
            <w:r>
              <w:rPr>
                <w:rFonts w:ascii="PMingLiU" w:cs="PMingLiU" w:eastAsia="PMingLiU" w:hAnsi="PMingLiU"/>
                <w:sz w:val="16"/>
                <w:szCs w:val="16"/>
                <w:b w:val="1"/>
                <w:bCs w:val="1"/>
                <w:color w:val="FFFFFF"/>
              </w:rPr>
              <w:t>$F==:82?</w:t>
            </w:r>
          </w:p>
        </w:tc>
        <w:tc>
          <w:tcPr>
            <w:tcW w:w="320" w:type="dxa"/>
            <w:vAlign w:val="bottom"/>
            <w:textDirection w:val="btLr"/>
          </w:tcPr>
          <w:p>
            <w:pPr>
              <w:ind w:left="103"/>
              <w:spacing w:after="0"/>
              <w:rPr>
                <w:sz w:val="20"/>
                <w:szCs w:val="20"/>
                <w:color w:val="auto"/>
              </w:rPr>
            </w:pPr>
            <w:r>
              <w:rPr>
                <w:rFonts w:ascii="PMingLiU" w:cs="PMingLiU" w:eastAsia="PMingLiU" w:hAnsi="PMingLiU"/>
                <w:sz w:val="16"/>
                <w:szCs w:val="16"/>
                <w:b w:val="1"/>
                <w:bCs w:val="1"/>
                <w:color w:val="FFFFFF"/>
              </w:rPr>
              <w:t>&amp;N):@C52?</w:t>
            </w:r>
            <w:r>
              <w:rPr>
                <w:rFonts w:ascii="PMingLiU" w:cs="PMingLiU" w:eastAsia="PMingLiU" w:hAnsi="PMingLiU"/>
                <w:sz w:val="10"/>
                <w:szCs w:val="10"/>
                <w:b w:val="1"/>
                <w:bCs w:val="1"/>
                <w:color w:val="FFFFFF"/>
              </w:rPr>
              <w:t/>
            </w:r>
          </w:p>
        </w:tc>
        <w:tc>
          <w:tcPr>
            <w:tcW w:w="340" w:type="dxa"/>
            <w:vAlign w:val="bottom"/>
            <w:textDirection w:val="btLr"/>
          </w:tcPr>
          <w:p>
            <w:pPr>
              <w:spacing w:after="0"/>
              <w:rPr>
                <w:sz w:val="20"/>
                <w:szCs w:val="20"/>
                <w:color w:val="auto"/>
              </w:rPr>
            </w:pPr>
            <w:r>
              <w:rPr>
                <w:rFonts w:ascii="PMingLiU" w:cs="PMingLiU" w:eastAsia="PMingLiU" w:hAnsi="PMingLiU"/>
                <w:sz w:val="16"/>
                <w:szCs w:val="16"/>
                <w:b w:val="1"/>
                <w:bCs w:val="1"/>
                <w:color w:val="FFFFFF"/>
              </w:rPr>
              <w:t>):656=</w:t>
            </w:r>
          </w:p>
        </w:tc>
        <w:tc>
          <w:tcPr>
            <w:tcW w:w="320" w:type="dxa"/>
            <w:vAlign w:val="bottom"/>
            <w:textDirection w:val="btLr"/>
          </w:tcPr>
          <w:p>
            <w:pPr>
              <w:ind w:left="103"/>
              <w:spacing w:after="0"/>
              <w:rPr>
                <w:sz w:val="20"/>
                <w:szCs w:val="20"/>
                <w:color w:val="auto"/>
              </w:rPr>
            </w:pPr>
            <w:r>
              <w:rPr>
                <w:rFonts w:ascii="PMingLiU" w:cs="PMingLiU" w:eastAsia="PMingLiU" w:hAnsi="PMingLiU"/>
                <w:sz w:val="16"/>
                <w:szCs w:val="16"/>
                <w:b w:val="1"/>
                <w:bCs w:val="1"/>
                <w:color w:val="FFFFFF"/>
              </w:rPr>
              <w:t>*&gt;:E9</w:t>
            </w:r>
          </w:p>
        </w:tc>
        <w:tc>
          <w:tcPr>
            <w:tcW w:w="240" w:type="dxa"/>
            <w:vAlign w:val="bottom"/>
            <w:textDirection w:val="btLr"/>
          </w:tcPr>
          <w:p>
            <w:pPr>
              <w:spacing w:after="0"/>
              <w:rPr>
                <w:sz w:val="20"/>
                <w:szCs w:val="20"/>
                <w:color w:val="auto"/>
              </w:rPr>
            </w:pPr>
            <w:r>
              <w:rPr>
                <w:rFonts w:ascii="PMingLiU" w:cs="PMingLiU" w:eastAsia="PMingLiU" w:hAnsi="PMingLiU"/>
                <w:sz w:val="16"/>
                <w:szCs w:val="16"/>
                <w:b w:val="1"/>
                <w:bCs w:val="1"/>
                <w:color w:val="FFFFFF"/>
              </w:rPr>
              <w:t>.:??:?892&gt;</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690"/>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877"/>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975"/>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878"/>
        </w:trPr>
        <w:tc>
          <w:tcPr>
            <w:tcW w:w="28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982"/>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975"/>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773"/>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877"/>
        </w:trPr>
        <w:tc>
          <w:tcPr>
            <w:tcW w:w="28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1080"/>
        </w:trPr>
        <w:tc>
          <w:tcPr>
            <w:tcW w:w="280" w:type="dxa"/>
            <w:vAlign w:val="bottom"/>
            <w:tcBorders>
              <w:right w:val="single" w:sz="8" w:color="4454A7"/>
            </w:tcBorders>
          </w:tcPr>
          <w:p>
            <w:pPr>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4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320" w:type="dxa"/>
            <w:vAlign w:val="bottom"/>
            <w:tcBorders>
              <w:right w:val="single" w:sz="8" w:color="4454A7"/>
            </w:tcBorders>
          </w:tcPr>
          <w:p>
            <w:pPr>
              <w:ind w:left="60"/>
              <w:spacing w:after="0"/>
              <w:rPr>
                <w:sz w:val="20"/>
                <w:szCs w:val="20"/>
                <w:color w:val="auto"/>
              </w:rPr>
            </w:pPr>
            <w:r>
              <w:rPr>
                <w:rFonts w:ascii="Arial" w:cs="Arial" w:eastAsia="Arial" w:hAnsi="Arial"/>
                <w:sz w:val="30"/>
                <w:szCs w:val="30"/>
                <w:color w:val="4454A7"/>
              </w:rPr>
              <w:t>c</w:t>
            </w:r>
          </w:p>
        </w:tc>
        <w:tc>
          <w:tcPr>
            <w:tcW w:w="240" w:type="dxa"/>
            <w:vAlign w:val="bottom"/>
          </w:tcPr>
          <w:p>
            <w:pPr>
              <w:ind w:left="60"/>
              <w:spacing w:after="0"/>
              <w:rPr>
                <w:sz w:val="20"/>
                <w:szCs w:val="20"/>
                <w:color w:val="auto"/>
              </w:rPr>
            </w:pPr>
            <w:r>
              <w:rPr>
                <w:rFonts w:ascii="Arial" w:cs="Arial" w:eastAsia="Arial" w:hAnsi="Arial"/>
                <w:sz w:val="30"/>
                <w:szCs w:val="30"/>
                <w:color w:val="4454A7"/>
              </w:rPr>
              <w:t>c</w:t>
            </w:r>
          </w:p>
        </w:tc>
      </w:tr>
      <w:tr>
        <w:trPr>
          <w:trHeight w:val="408"/>
        </w:trPr>
        <w:tc>
          <w:tcPr>
            <w:tcW w:w="28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340" w:type="dxa"/>
            <w:vAlign w:val="bottom"/>
            <w:tcBorders>
              <w:right w:val="single" w:sz="8" w:color="4454A7"/>
            </w:tcBorders>
          </w:tcPr>
          <w:p>
            <w:pPr>
              <w:spacing w:after="0"/>
              <w:rPr>
                <w:sz w:val="24"/>
                <w:szCs w:val="24"/>
                <w:color w:val="auto"/>
              </w:rPr>
            </w:pPr>
          </w:p>
        </w:tc>
        <w:tc>
          <w:tcPr>
            <w:tcW w:w="320" w:type="dxa"/>
            <w:vAlign w:val="bottom"/>
            <w:tcBorders>
              <w:right w:val="single" w:sz="8" w:color="4454A7"/>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397" w:lineRule="exact"/>
        <w:rPr>
          <w:sz w:val="20"/>
          <w:szCs w:val="20"/>
          <w:color w:val="auto"/>
        </w:rPr>
      </w:pPr>
    </w:p>
    <w:p>
      <w:pPr>
        <w:sectPr>
          <w:pgSz w:w="11880" w:h="15479" w:orient="portrait"/>
          <w:cols w:equalWidth="0" w:num="2">
            <w:col w:w="5600" w:space="260"/>
            <w:col w:w="4260"/>
          </w:cols>
          <w:pgMar w:left="900" w:top="377" w:right="859" w:bottom="0" w:gutter="0" w:footer="0" w:header="0"/>
          <w:type w:val="continuous"/>
        </w:sectPr>
      </w:pPr>
    </w:p>
    <w:p>
      <w:pPr>
        <w:ind w:left="360" w:right="180" w:hanging="359"/>
        <w:spacing w:after="0" w:line="366" w:lineRule="auto"/>
        <w:tabs>
          <w:tab w:leader="none" w:pos="340" w:val="left"/>
        </w:tabs>
        <w:rPr>
          <w:sz w:val="20"/>
          <w:szCs w:val="20"/>
          <w:color w:val="auto"/>
        </w:rPr>
      </w:pPr>
      <w:r>
        <w:rPr>
          <w:rFonts w:ascii="PMingLiU" w:cs="PMingLiU" w:eastAsia="PMingLiU" w:hAnsi="PMingLiU"/>
          <w:sz w:val="11"/>
          <w:szCs w:val="11"/>
          <w:color w:val="auto"/>
        </w:rPr>
        <w:t/>
        <w:tab/>
        <w:t>*J,\/@FI;8EEFK@=@&lt;;LJK?8KJ?&lt;@JEFKJK8E;@E&gt;=FII&lt;&lt;C&lt;:K@FE8KK?&lt;$*%&lt;IK&lt;IDF=F==@:&lt;8J8;@I&lt;:KFIN@CC&lt;OG@I&lt;8KK?&lt;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763905</wp:posOffset>
            </wp:positionV>
            <wp:extent cx="1389380" cy="234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ectPr>
          <w:pgSz w:w="11880" w:h="15479" w:orient="portrait"/>
          <w:cols w:equalWidth="0" w:num="1">
            <w:col w:w="10120"/>
          </w:cols>
          <w:pgMar w:left="900" w:top="377" w:right="8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20"/>
        <w:spacing w:after="0"/>
        <w:tabs>
          <w:tab w:leader="none" w:pos="9900" w:val="left"/>
        </w:tabs>
        <w:rPr>
          <w:sz w:val="20"/>
          <w:szCs w:val="20"/>
          <w:color w:val="auto"/>
        </w:rPr>
      </w:pPr>
      <w:r>
        <w:rPr>
          <w:rFonts w:ascii="PMingLiU" w:cs="PMingLiU" w:eastAsia="PMingLiU" w:hAnsi="PMingLiU"/>
          <w:sz w:val="16"/>
          <w:szCs w:val="16"/>
          <w:color w:val="2D2C36"/>
        </w:rPr>
        <w:t>-/,56011"*"+1</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type w:val="continuous"/>
        </w:sectPr>
      </w:pPr>
    </w:p>
    <w:bookmarkStart w:id="15" w:name="page16"/>
    <w:bookmarkEnd w:id="1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771525" cy="4191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19100"/>
                        </a:xfrm>
                        <a:prstGeom prst="rect">
                          <a:avLst/>
                        </a:prstGeom>
                        <a:solidFill>
                          <a:srgbClr val="5C004D"/>
                        </a:solidFill>
                      </wps:spPr>
                      <wps:bodyPr/>
                    </wps:wsp>
                  </a:graphicData>
                </a:graphic>
              </wp:anchor>
            </w:drawing>
          </mc:Choice>
          <mc:Fallback>
            <w:pict>
              <v:rect id="Shape 60" o:spid="_x0000_s1085" style="position:absolute;margin-left:44.85pt;margin-top:0.1pt;width:6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285%2$5'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%RDUG7HQXUH</w:t>
      </w:r>
      <w:r>
        <w:rPr>
          <w:rFonts w:ascii="PMingLiU" w:cs="PMingLiU" w:eastAsia="PMingLiU" w:hAnsi="PMingLiU"/>
          <w:sz w:val="28"/>
          <w:szCs w:val="28"/>
          <w:b w:val="1"/>
          <w:bCs w:val="1"/>
          <w:color w:val="000046"/>
          <w:vertAlign w:val="superscript"/>
        </w:rPr>
        <w:t/>
      </w:r>
    </w:p>
    <w:p>
      <w:pPr>
        <w:ind w:left="5860"/>
        <w:spacing w:after="0" w:line="225" w:lineRule="auto"/>
        <w:rPr>
          <w:sz w:val="20"/>
          <w:szCs w:val="20"/>
          <w:color w:val="auto"/>
        </w:rPr>
      </w:pPr>
      <w:r>
        <w:rPr>
          <w:rFonts w:ascii="PMingLiU" w:cs="PMingLiU" w:eastAsia="PMingLiU" w:hAnsi="PMingLiU"/>
          <w:sz w:val="20"/>
          <w:szCs w:val="20"/>
          <w:b w:val="1"/>
          <w:bCs w:val="1"/>
          <w:color w:val="5C004D"/>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-100965</wp:posOffset>
            </wp:positionV>
            <wp:extent cx="1294130" cy="1256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extLst>
                    </a:blip>
                    <a:srcRect/>
                    <a:stretch>
                      <a:fillRect/>
                    </a:stretch>
                  </pic:blipFill>
                  <pic:spPr bwMode="auto">
                    <a:xfrm>
                      <a:off x="0" y="0"/>
                      <a:ext cx="1294130" cy="1256665"/>
                    </a:xfrm>
                    <a:prstGeom prst="rect">
                      <a:avLst/>
                    </a:prstGeom>
                    <a:noFill/>
                  </pic:spPr>
                </pic:pic>
              </a:graphicData>
            </a:graphic>
          </wp:anchor>
        </w:drawing>
      </w:r>
    </w:p>
    <w:p>
      <w:pPr>
        <w:ind w:left="5880"/>
        <w:spacing w:after="0"/>
        <w:rPr>
          <w:sz w:val="20"/>
          <w:szCs w:val="20"/>
          <w:color w:val="auto"/>
        </w:rPr>
      </w:pPr>
      <w:r>
        <w:rPr>
          <w:rFonts w:ascii="PMingLiU" w:cs="PMingLiU" w:eastAsia="PMingLiU" w:hAnsi="PMingLiU"/>
          <w:sz w:val="16"/>
          <w:szCs w:val="16"/>
          <w:color w:val="2D2C36"/>
        </w:rPr>
        <w:t>&lt;($56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80"/>
        <w:spacing w:after="0"/>
        <w:tabs>
          <w:tab w:leader="none" w:pos="5860" w:val="left"/>
        </w:tabs>
        <w:rPr>
          <w:sz w:val="20"/>
          <w:szCs w:val="20"/>
          <w:color w:val="auto"/>
        </w:rPr>
      </w:pPr>
      <w:r>
        <w:rPr>
          <w:rFonts w:ascii="PMingLiU" w:cs="PMingLiU" w:eastAsia="PMingLiU" w:hAnsi="PMingLiU"/>
          <w:sz w:val="20"/>
          <w:szCs w:val="20"/>
          <w:b w:val="1"/>
          <w:bCs w:val="1"/>
          <w:color w:val="000046"/>
        </w:rPr>
        <w:t/>
      </w:r>
      <w:r>
        <w:rPr>
          <w:sz w:val="20"/>
          <w:szCs w:val="20"/>
          <w:color w:val="auto"/>
        </w:rPr>
        <w:tab/>
      </w:r>
      <w:r>
        <w:rPr>
          <w:rFonts w:ascii="PMingLiU" w:cs="PMingLiU" w:eastAsia="PMingLiU" w:hAnsi="PMingLiU"/>
          <w:sz w:val="20"/>
          <w:szCs w:val="20"/>
          <w:b w:val="1"/>
          <w:bCs w:val="1"/>
          <w:color w:val="4454A7"/>
        </w:rPr>
        <w:t/>
      </w:r>
    </w:p>
    <w:p>
      <w:pPr>
        <w:spacing w:after="0" w:line="29" w:lineRule="exact"/>
        <w:rPr>
          <w:sz w:val="20"/>
          <w:szCs w:val="20"/>
          <w:color w:val="auto"/>
        </w:rPr>
      </w:pPr>
    </w:p>
    <w:p>
      <w:pPr>
        <w:ind w:left="3440"/>
        <w:spacing w:after="0"/>
        <w:tabs>
          <w:tab w:leader="none" w:pos="5860" w:val="left"/>
        </w:tabs>
        <w:rPr>
          <w:sz w:val="20"/>
          <w:szCs w:val="20"/>
          <w:color w:val="auto"/>
        </w:rPr>
      </w:pPr>
      <w:r>
        <w:rPr>
          <w:rFonts w:ascii="PMingLiU" w:cs="PMingLiU" w:eastAsia="PMingLiU" w:hAnsi="PMingLiU"/>
          <w:sz w:val="16"/>
          <w:szCs w:val="16"/>
          <w:color w:val="2D2C36"/>
        </w:rPr>
        <w:t>&lt;($56</w:t>
      </w:r>
      <w:r>
        <w:rPr>
          <w:sz w:val="20"/>
          <w:szCs w:val="20"/>
          <w:color w:val="auto"/>
        </w:rPr>
        <w:tab/>
      </w:r>
      <w:r>
        <w:rPr>
          <w:rFonts w:ascii="PMingLiU" w:cs="PMingLiU" w:eastAsia="PMingLiU" w:hAnsi="PMingLiU"/>
          <w:sz w:val="16"/>
          <w:szCs w:val="16"/>
          <w:color w:val="2D2C36"/>
        </w:rPr>
        <w:t>&lt;($56</w:t>
      </w:r>
    </w:p>
    <w:p>
      <w:pPr>
        <w:spacing w:after="0" w:line="104" w:lineRule="exact"/>
        <w:rPr>
          <w:sz w:val="20"/>
          <w:szCs w:val="20"/>
          <w:color w:val="auto"/>
        </w:rPr>
      </w:pPr>
    </w:p>
    <w:p>
      <w:pPr>
        <w:ind w:left="360" w:right="160" w:hanging="359"/>
        <w:spacing w:after="0" w:line="289" w:lineRule="auto"/>
        <w:tabs>
          <w:tab w:leader="none" w:pos="340" w:val="left"/>
        </w:tabs>
        <w:rPr>
          <w:sz w:val="20"/>
          <w:szCs w:val="20"/>
          <w:color w:val="auto"/>
        </w:rPr>
      </w:pPr>
      <w:r>
        <w:rPr>
          <w:rFonts w:ascii="PMingLiU" w:cs="PMingLiU" w:eastAsia="PMingLiU" w:hAnsi="PMingLiU"/>
          <w:sz w:val="14"/>
          <w:szCs w:val="14"/>
          <w:color w:val="auto"/>
        </w:rPr>
        <w:t/>
        <w:tab/>
        <w:t>,QFOXGHV$QQH25LRUGDQZKRLVQRWVWDQGLQJIRUUHHOHFWLRQDWWKH$*0+HUWHUPRIRIILFHDVDGLUHFWRUZLOOH[SLUHDWWKH $*0</w:t>
      </w:r>
    </w:p>
    <w:p>
      <w:pPr>
        <w:spacing w:after="0" w:line="357"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%RDUG(YDOXDWLRQ</w:t>
      </w:r>
    </w:p>
    <w:p>
      <w:pPr>
        <w:spacing w:after="0" w:line="219" w:lineRule="exact"/>
        <w:rPr>
          <w:sz w:val="20"/>
          <w:szCs w:val="20"/>
          <w:color w:val="auto"/>
        </w:rPr>
      </w:pPr>
    </w:p>
    <w:p>
      <w:pPr>
        <w:ind w:right="120"/>
        <w:spacing w:after="0" w:line="358" w:lineRule="auto"/>
        <w:rPr>
          <w:sz w:val="20"/>
          <w:szCs w:val="20"/>
          <w:color w:val="auto"/>
        </w:rPr>
      </w:pPr>
      <w:r>
        <w:rPr>
          <w:rFonts w:ascii="PMingLiU" w:cs="PMingLiU" w:eastAsia="PMingLiU" w:hAnsi="PMingLiU"/>
          <w:sz w:val="15"/>
          <w:szCs w:val="15"/>
          <w:color w:val="auto"/>
        </w:rPr>
        <w:t>2XU%RDUGDQGLWVFRPPLWWHHVDUHFRPPLWWHGWRFRQGXFWLQJDWKRURXJKDQQXDOVHOIHYDOXDWLRQ2XWOLQHGEHORZLVDVHOI HYDOXDWLRQF\FOHWKDWZHXVHDVDJXLGH7KHVFRSHDQGVWUXFWXUHRIRXUDQQXDOVHOIHYDOXDWLRQSURFHVVZDVGHYHORSHGLQ FRQMXQFWLRQZLWKRXU&amp;KDLUSHUVRQ/,'FKDLURIRXU1RPLQDWLQJ&amp;RPPLWWHH&amp;KLHI/HJDO2IILFHUDQG&amp;RPSDQ\6HFUHWDU\</w:t>
      </w:r>
    </w:p>
    <w:p>
      <w:pPr>
        <w:spacing w:after="0" w:line="93" w:lineRule="exact"/>
        <w:rPr>
          <w:sz w:val="20"/>
          <w:szCs w:val="20"/>
          <w:color w:val="auto"/>
        </w:rPr>
      </w:pPr>
    </w:p>
    <w:p>
      <w:pPr>
        <w:ind w:right="40"/>
        <w:spacing w:after="0" w:line="376" w:lineRule="auto"/>
        <w:rPr>
          <w:sz w:val="20"/>
          <w:szCs w:val="20"/>
          <w:color w:val="auto"/>
        </w:rPr>
      </w:pPr>
      <w:r>
        <w:rPr>
          <w:rFonts w:ascii="PMingLiU" w:cs="PMingLiU" w:eastAsia="PMingLiU" w:hAnsi="PMingLiU"/>
          <w:sz w:val="14"/>
          <w:szCs w:val="14"/>
          <w:color w:val="auto"/>
        </w:rPr>
        <w:t>:HSHULRGLFDOO\HQJDJHDQLQGHSHQGHQWWKLUGSDUW\DGYLVRUH[SHULHQFHGLQFRUSRUDWHJRYHUQDQFHPDWWHUVWRIDFLOLWDWHD WDUJHWHGDVVHVVPHQWRQFHUWDLQVWUDWHJLFWKHPHVDQGEULQJDQRXWVLGHSHUVSHFWLYHWRRXUDQQXDOVHOIHYDOXDWLRQSURFHVV 2XU%RDUGHQJDJHGVXFKDQDGYLVRULQ7KHWKLUGSDUW\DGYLVRUUDQDZRUNVKRSZLWKRXU%RDUGFRQGXFWHGLQGLYLGXDO LQWHUYLHZVZLWKHDFKGLUHFWRUDQGSUHVHQWHGLWVILQGLQJVWRRXU%RDUGDWDQH[HFXWLYHVHVVLRQ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160020</wp:posOffset>
                </wp:positionH>
                <wp:positionV relativeFrom="paragraph">
                  <wp:posOffset>53975</wp:posOffset>
                </wp:positionV>
                <wp:extent cx="6076950" cy="1238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6950" cy="123825"/>
                        </a:xfrm>
                        <a:prstGeom prst="rect">
                          <a:avLst/>
                        </a:prstGeom>
                        <a:solidFill>
                          <a:srgbClr val="F3F3F1"/>
                        </a:solidFill>
                      </wps:spPr>
                      <wps:bodyPr/>
                    </wps:wsp>
                  </a:graphicData>
                </a:graphic>
              </wp:anchor>
            </w:drawing>
          </mc:Choice>
          <mc:Fallback>
            <w:pict>
              <v:rect id="Shape 62" o:spid="_x0000_s1087" style="position:absolute;margin-left:12.6pt;margin-top:4.25pt;width:478.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6236970</wp:posOffset>
                </wp:positionH>
                <wp:positionV relativeFrom="paragraph">
                  <wp:posOffset>53975</wp:posOffset>
                </wp:positionV>
                <wp:extent cx="161925" cy="448627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4486275"/>
                        </a:xfrm>
                        <a:prstGeom prst="rect">
                          <a:avLst/>
                        </a:prstGeom>
                        <a:solidFill>
                          <a:srgbClr val="F3F3F1"/>
                        </a:solidFill>
                      </wps:spPr>
                      <wps:bodyPr/>
                    </wps:wsp>
                  </a:graphicData>
                </a:graphic>
              </wp:anchor>
            </w:drawing>
          </mc:Choice>
          <mc:Fallback>
            <w:pict>
              <v:rect id="Shape 63" o:spid="_x0000_s1088" style="position:absolute;margin-left:491.1pt;margin-top:4.25pt;width:12.75pt;height:35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53975</wp:posOffset>
                </wp:positionV>
                <wp:extent cx="161290" cy="4953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290" cy="495300"/>
                        </a:xfrm>
                        <a:prstGeom prst="rect">
                          <a:avLst/>
                        </a:prstGeom>
                        <a:solidFill>
                          <a:srgbClr val="F3F3F1"/>
                        </a:solidFill>
                      </wps:spPr>
                      <wps:bodyPr/>
                    </wps:wsp>
                  </a:graphicData>
                </a:graphic>
              </wp:anchor>
            </w:drawing>
          </mc:Choice>
          <mc:Fallback>
            <w:pict>
              <v:rect id="Shape 64" o:spid="_x0000_s1089" style="position:absolute;margin-left:-0.0999pt;margin-top:4.25pt;width:12.7pt;height: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160020</wp:posOffset>
                </wp:positionH>
                <wp:positionV relativeFrom="paragraph">
                  <wp:posOffset>177800</wp:posOffset>
                </wp:positionV>
                <wp:extent cx="6076950" cy="37147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6950" cy="371475"/>
                        </a:xfrm>
                        <a:prstGeom prst="rect">
                          <a:avLst/>
                        </a:prstGeom>
                        <a:solidFill>
                          <a:srgbClr val="D0CECA"/>
                        </a:solidFill>
                      </wps:spPr>
                      <wps:bodyPr/>
                    </wps:wsp>
                  </a:graphicData>
                </a:graphic>
              </wp:anchor>
            </w:drawing>
          </mc:Choice>
          <mc:Fallback>
            <w:pict>
              <v:rect id="Shape 65" o:spid="_x0000_s1090" style="position:absolute;margin-left:12.6pt;margin-top:14pt;width:478.5pt;height:2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CECA" stroked="f"/>
            </w:pict>
          </mc:Fallback>
        </mc:AlternateContent>
      </w:r>
    </w:p>
    <w:p>
      <w:pPr>
        <w:spacing w:after="0" w:line="348" w:lineRule="exact"/>
        <w:rPr>
          <w:sz w:val="20"/>
          <w:szCs w:val="20"/>
          <w:color w:val="auto"/>
        </w:rPr>
      </w:pPr>
    </w:p>
    <w:p>
      <w:pPr>
        <w:jc w:val="center"/>
        <w:ind w:left="1200" w:right="120"/>
        <w:spacing w:after="0" w:line="427" w:lineRule="auto"/>
        <w:rPr>
          <w:sz w:val="20"/>
          <w:szCs w:val="20"/>
          <w:color w:val="auto"/>
        </w:rPr>
      </w:pPr>
      <w:r>
        <w:rPr>
          <w:rFonts w:ascii="PMingLiU" w:cs="PMingLiU" w:eastAsia="PMingLiU" w:hAnsi="PMingLiU"/>
          <w:sz w:val="13"/>
          <w:szCs w:val="13"/>
          <w:b w:val="1"/>
          <w:bCs w:val="1"/>
          <w:color w:val="000046"/>
        </w:rPr>
        <w:t>3ULRUWRFRPPHQFLQJDVHOIHYDOXDWLRQF\FOHFRQVLGHUDWLRQLVJLYHQWRRXUFRUSRUDWHVWUDWHJ\DQGWKHTXDOLILFDWLRQVVNLOOV DQGH[SHULHQFHRIRXU%RDUGUHTXLUHGWRDFKLHYHVXFKVWUDWHJ\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-36195</wp:posOffset>
                </wp:positionV>
                <wp:extent cx="6238240" cy="755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8240" cy="75565"/>
                        </a:xfrm>
                        <a:prstGeom prst="rect">
                          <a:avLst/>
                        </a:prstGeom>
                        <a:solidFill>
                          <a:srgbClr val="F3F3F1"/>
                        </a:solidFill>
                      </wps:spPr>
                      <wps:bodyPr/>
                    </wps:wsp>
                  </a:graphicData>
                </a:graphic>
              </wp:anchor>
            </w:drawing>
          </mc:Choice>
          <mc:Fallback>
            <w:pict>
              <v:rect id="Shape 66" o:spid="_x0000_s1091" style="position:absolute;margin-left:-0.0999pt;margin-top:-2.8499pt;width:491.2pt;height: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2217420</wp:posOffset>
                </wp:positionH>
                <wp:positionV relativeFrom="paragraph">
                  <wp:posOffset>39370</wp:posOffset>
                </wp:positionV>
                <wp:extent cx="1962150" cy="2286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0" cy="228600"/>
                        </a:xfrm>
                        <a:prstGeom prst="rect">
                          <a:avLst/>
                        </a:prstGeom>
                        <a:solidFill>
                          <a:srgbClr val="5C004D"/>
                        </a:solidFill>
                      </wps:spPr>
                      <wps:bodyPr/>
                    </wps:wsp>
                  </a:graphicData>
                </a:graphic>
              </wp:anchor>
            </w:drawing>
          </mc:Choice>
          <mc:Fallback>
            <w:pict>
              <v:rect id="Shape 67" o:spid="_x0000_s1092" style="position:absolute;margin-left:174.6pt;margin-top:3.1pt;width:154.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mc:AlternateContent>
          <mc:Choice Requires="wps">
            <w:drawing>
              <wp:anchor simplePos="0" relativeHeight="251657728" behindDoc="1" locked="0" layoutInCell="0" allowOverlap="1">
                <wp:simplePos x="0" y="0"/>
                <wp:positionH relativeFrom="column">
                  <wp:posOffset>4179570</wp:posOffset>
                </wp:positionH>
                <wp:positionV relativeFrom="paragraph">
                  <wp:posOffset>39370</wp:posOffset>
                </wp:positionV>
                <wp:extent cx="2057400" cy="9429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0" cy="942975"/>
                        </a:xfrm>
                        <a:prstGeom prst="rect">
                          <a:avLst/>
                        </a:prstGeom>
                        <a:solidFill>
                          <a:srgbClr val="F3F3F1"/>
                        </a:solidFill>
                      </wps:spPr>
                      <wps:bodyPr/>
                    </wps:wsp>
                  </a:graphicData>
                </a:graphic>
              </wp:anchor>
            </w:drawing>
          </mc:Choice>
          <mc:Fallback>
            <w:pict>
              <v:rect id="Shape 68" o:spid="_x0000_s1093" style="position:absolute;margin-left:329.1pt;margin-top:3.1pt;width:162pt;height:7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39370</wp:posOffset>
                </wp:positionV>
                <wp:extent cx="2218690" cy="9429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8690" cy="942975"/>
                        </a:xfrm>
                        <a:prstGeom prst="rect">
                          <a:avLst/>
                        </a:prstGeom>
                        <a:solidFill>
                          <a:srgbClr val="F3F3F1"/>
                        </a:solidFill>
                      </wps:spPr>
                      <wps:bodyPr/>
                    </wps:wsp>
                  </a:graphicData>
                </a:graphic>
              </wp:anchor>
            </w:drawing>
          </mc:Choice>
          <mc:Fallback>
            <w:pict>
              <v:rect id="Shape 69" o:spid="_x0000_s1094" style="position:absolute;margin-left:-0.0999pt;margin-top:3.1pt;width:174.7pt;height:7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85" w:lineRule="exact"/>
        <w:rPr>
          <w:sz w:val="20"/>
          <w:szCs w:val="20"/>
          <w:color w:val="auto"/>
        </w:rPr>
      </w:pPr>
    </w:p>
    <w:p>
      <w:pPr>
        <w:jc w:val="center"/>
        <w:ind w:right="-259"/>
        <w:spacing w:after="0"/>
        <w:rPr>
          <w:sz w:val="20"/>
          <w:szCs w:val="20"/>
          <w:color w:val="auto"/>
        </w:rPr>
      </w:pPr>
      <w:r>
        <w:rPr>
          <w:rFonts w:ascii="PMingLiU" w:cs="PMingLiU" w:eastAsia="PMingLiU" w:hAnsi="PMingLiU"/>
          <w:sz w:val="20"/>
          <w:szCs w:val="20"/>
          <w:b w:val="1"/>
          <w:bCs w:val="1"/>
          <w:color w:val="FFFFFF"/>
        </w:rPr>
        <w:t>&lt;($5</w:t>
      </w:r>
    </w:p>
    <w:p>
      <w:pPr>
        <w:spacing w:after="0" w:line="146" w:lineRule="exact"/>
        <w:rPr>
          <w:sz w:val="20"/>
          <w:szCs w:val="20"/>
          <w:color w:val="auto"/>
        </w:rPr>
      </w:pPr>
    </w:p>
    <w:p>
      <w:pPr>
        <w:ind w:left="3640"/>
        <w:spacing w:after="0"/>
        <w:rPr>
          <w:sz w:val="20"/>
          <w:szCs w:val="20"/>
          <w:color w:val="auto"/>
        </w:rPr>
      </w:pPr>
      <w:r>
        <w:rPr>
          <w:rFonts w:ascii="PMingLiU" w:cs="PMingLiU" w:eastAsia="PMingLiU" w:hAnsi="PMingLiU"/>
          <w:sz w:val="16"/>
          <w:szCs w:val="16"/>
          <w:b w:val="1"/>
          <w:bCs w:val="1"/>
          <w:color w:val="2D2C36"/>
        </w:rPr>
        <w:t xml:space="preserve">  </w:t>
      </w:r>
      <w:r>
        <w:rPr>
          <w:rFonts w:ascii="PMingLiU" w:cs="PMingLiU" w:eastAsia="PMingLiU" w:hAnsi="PMingLiU"/>
          <w:sz w:val="16"/>
          <w:szCs w:val="16"/>
          <w:color w:val="000000"/>
        </w:rPr>
        <w:t>LQWHUYLHZVDUHKHOGZLWKHDFK</w:t>
      </w:r>
    </w:p>
    <w:p>
      <w:pPr>
        <w:spacing w:after="0" w:line="16" w:lineRule="exact"/>
        <w:rPr>
          <w:sz w:val="20"/>
          <w:szCs w:val="20"/>
          <w:color w:val="auto"/>
        </w:rPr>
      </w:pPr>
    </w:p>
    <w:p>
      <w:pPr>
        <w:ind w:left="3820"/>
        <w:spacing w:after="0"/>
        <w:rPr>
          <w:sz w:val="20"/>
          <w:szCs w:val="20"/>
          <w:color w:val="auto"/>
        </w:rPr>
      </w:pPr>
      <w:r>
        <w:rPr>
          <w:rFonts w:ascii="PMingLiU" w:cs="PMingLiU" w:eastAsia="PMingLiU" w:hAnsi="PMingLiU"/>
          <w:sz w:val="16"/>
          <w:szCs w:val="16"/>
          <w:color w:val="auto"/>
        </w:rPr>
        <w:t>GLUHFWRU</w:t>
      </w:r>
    </w:p>
    <w:p>
      <w:pPr>
        <w:spacing w:after="0" w:line="44" w:lineRule="exact"/>
        <w:rPr>
          <w:sz w:val="20"/>
          <w:szCs w:val="20"/>
          <w:color w:val="auto"/>
        </w:rPr>
      </w:pPr>
    </w:p>
    <w:p>
      <w:pPr>
        <w:ind w:left="3640"/>
        <w:spacing w:after="0"/>
        <w:rPr>
          <w:sz w:val="20"/>
          <w:szCs w:val="20"/>
          <w:color w:val="auto"/>
        </w:rPr>
      </w:pPr>
      <w:r>
        <w:rPr>
          <w:rFonts w:ascii="PMingLiU" w:cs="PMingLiU" w:eastAsia="PMingLiU" w:hAnsi="PMingLiU"/>
          <w:sz w:val="16"/>
          <w:szCs w:val="16"/>
          <w:b w:val="1"/>
          <w:bCs w:val="1"/>
          <w:color w:val="2D2C36"/>
        </w:rPr>
        <w:t xml:space="preserve">  </w:t>
      </w:r>
      <w:r>
        <w:rPr>
          <w:rFonts w:ascii="PMingLiU" w:cs="PMingLiU" w:eastAsia="PMingLiU" w:hAnsi="PMingLiU"/>
          <w:sz w:val="16"/>
          <w:szCs w:val="16"/>
          <w:color w:val="000000"/>
        </w:rPr>
        <w:t>$PHPRLVLVVXHGWRRXU%RDUGDQG</w:t>
      </w:r>
    </w:p>
    <w:p>
      <w:pPr>
        <w:spacing w:after="0" w:line="16" w:lineRule="exact"/>
        <w:rPr>
          <w:sz w:val="20"/>
          <w:szCs w:val="20"/>
          <w:color w:val="auto"/>
        </w:rPr>
      </w:pPr>
    </w:p>
    <w:p>
      <w:pPr>
        <w:ind w:left="3820"/>
        <w:spacing w:after="0"/>
        <w:rPr>
          <w:sz w:val="20"/>
          <w:szCs w:val="20"/>
          <w:color w:val="auto"/>
        </w:rPr>
      </w:pPr>
      <w:r>
        <w:rPr>
          <w:rFonts w:ascii="PMingLiU" w:cs="PMingLiU" w:eastAsia="PMingLiU" w:hAnsi="PMingLiU"/>
          <w:sz w:val="16"/>
          <w:szCs w:val="16"/>
          <w:color w:val="auto"/>
        </w:rPr>
        <w:t>LWVILQGLQJVDUHGLVFXVVHGLQ</w:t>
      </w:r>
    </w:p>
    <w:p>
      <w:pPr>
        <w:ind w:left="3820"/>
        <w:spacing w:after="0"/>
        <w:rPr>
          <w:sz w:val="20"/>
          <w:szCs w:val="20"/>
          <w:color w:val="auto"/>
        </w:rPr>
      </w:pPr>
      <w:r>
        <w:rPr>
          <w:rFonts w:ascii="PMingLiU" w:cs="PMingLiU" w:eastAsia="PMingLiU" w:hAnsi="PMingLiU"/>
          <w:sz w:val="16"/>
          <w:szCs w:val="16"/>
          <w:color w:val="auto"/>
        </w:rPr>
        <w:t>H[HFXWLYHVHVVLRQ</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56"/>
        </w:trPr>
        <w:tc>
          <w:tcPr>
            <w:tcW w:w="260" w:type="dxa"/>
            <w:vAlign w:val="bottom"/>
            <w:shd w:val="clear" w:color="auto" w:fill="F3F3F1"/>
          </w:tcPr>
          <w:p>
            <w:pPr>
              <w:spacing w:after="0"/>
              <w:rPr>
                <w:sz w:val="4"/>
                <w:szCs w:val="4"/>
                <w:color w:val="auto"/>
              </w:rPr>
            </w:pPr>
          </w:p>
        </w:tc>
        <w:tc>
          <w:tcPr>
            <w:tcW w:w="260" w:type="dxa"/>
            <w:vAlign w:val="bottom"/>
            <w:shd w:val="clear" w:color="auto" w:fill="000046"/>
          </w:tcPr>
          <w:p>
            <w:pPr>
              <w:spacing w:after="0"/>
              <w:rPr>
                <w:sz w:val="4"/>
                <w:szCs w:val="4"/>
                <w:color w:val="auto"/>
              </w:rPr>
            </w:pPr>
          </w:p>
        </w:tc>
        <w:tc>
          <w:tcPr>
            <w:tcW w:w="2800" w:type="dxa"/>
            <w:vAlign w:val="bottom"/>
            <w:vMerge w:val="restart"/>
            <w:shd w:val="clear" w:color="auto" w:fill="000046"/>
          </w:tcPr>
          <w:p>
            <w:pPr>
              <w:ind w:left="900"/>
              <w:spacing w:after="0"/>
              <w:rPr>
                <w:sz w:val="20"/>
                <w:szCs w:val="20"/>
                <w:color w:val="auto"/>
              </w:rPr>
            </w:pPr>
            <w:r>
              <w:rPr>
                <w:rFonts w:ascii="PMingLiU" w:cs="PMingLiU" w:eastAsia="PMingLiU" w:hAnsi="PMingLiU"/>
                <w:sz w:val="20"/>
                <w:szCs w:val="20"/>
                <w:b w:val="1"/>
                <w:bCs w:val="1"/>
                <w:color w:val="FFFFFF"/>
              </w:rPr>
              <w:t>&lt;($5</w:t>
            </w:r>
          </w:p>
        </w:tc>
        <w:tc>
          <w:tcPr>
            <w:tcW w:w="180" w:type="dxa"/>
            <w:vAlign w:val="bottom"/>
            <w:shd w:val="clear" w:color="auto" w:fill="F3F3F1"/>
          </w:tcPr>
          <w:p>
            <w:pPr>
              <w:spacing w:after="0"/>
              <w:rPr>
                <w:sz w:val="4"/>
                <w:szCs w:val="4"/>
                <w:color w:val="auto"/>
              </w:rPr>
            </w:pPr>
          </w:p>
        </w:tc>
        <w:tc>
          <w:tcPr>
            <w:tcW w:w="2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shd w:val="clear" w:color="auto" w:fill="F3F3F1"/>
          </w:tcPr>
          <w:p>
            <w:pPr>
              <w:spacing w:after="0"/>
              <w:rPr>
                <w:sz w:val="4"/>
                <w:szCs w:val="4"/>
                <w:color w:val="auto"/>
              </w:rPr>
            </w:pPr>
          </w:p>
        </w:tc>
        <w:tc>
          <w:tcPr>
            <w:tcW w:w="280" w:type="dxa"/>
            <w:vAlign w:val="bottom"/>
            <w:shd w:val="clear" w:color="auto" w:fill="D25F0C"/>
          </w:tcPr>
          <w:p>
            <w:pPr>
              <w:spacing w:after="0"/>
              <w:rPr>
                <w:sz w:val="4"/>
                <w:szCs w:val="4"/>
                <w:color w:val="auto"/>
              </w:rPr>
            </w:pPr>
          </w:p>
        </w:tc>
        <w:tc>
          <w:tcPr>
            <w:tcW w:w="2800" w:type="dxa"/>
            <w:vAlign w:val="bottom"/>
            <w:vMerge w:val="restart"/>
            <w:shd w:val="clear" w:color="auto" w:fill="D25F0C"/>
          </w:tcPr>
          <w:p>
            <w:pPr>
              <w:ind w:left="900"/>
              <w:spacing w:after="0"/>
              <w:rPr>
                <w:sz w:val="20"/>
                <w:szCs w:val="20"/>
                <w:color w:val="auto"/>
              </w:rPr>
            </w:pPr>
            <w:r>
              <w:rPr>
                <w:rFonts w:ascii="PMingLiU" w:cs="PMingLiU" w:eastAsia="PMingLiU" w:hAnsi="PMingLiU"/>
                <w:sz w:val="20"/>
                <w:szCs w:val="20"/>
                <w:b w:val="1"/>
                <w:bCs w:val="1"/>
                <w:color w:val="FFFFFF"/>
              </w:rPr>
              <w:t>&lt;($5</w:t>
            </w:r>
          </w:p>
        </w:tc>
        <w:tc>
          <w:tcPr>
            <w:tcW w:w="0" w:type="dxa"/>
            <w:vAlign w:val="bottom"/>
          </w:tcPr>
          <w:p>
            <w:pPr>
              <w:spacing w:after="0"/>
              <w:rPr>
                <w:sz w:val="1"/>
                <w:szCs w:val="1"/>
                <w:color w:val="auto"/>
              </w:rPr>
            </w:pPr>
          </w:p>
        </w:tc>
      </w:tr>
      <w:tr>
        <w:trPr>
          <w:trHeight w:val="280"/>
        </w:trPr>
        <w:tc>
          <w:tcPr>
            <w:tcW w:w="260" w:type="dxa"/>
            <w:vAlign w:val="bottom"/>
            <w:tcBorders>
              <w:bottom w:val="single" w:sz="8" w:color="F3F3F1"/>
            </w:tcBorders>
            <w:shd w:val="clear" w:color="auto" w:fill="F3F3F1"/>
          </w:tcPr>
          <w:p>
            <w:pPr>
              <w:spacing w:after="0"/>
              <w:rPr>
                <w:sz w:val="24"/>
                <w:szCs w:val="24"/>
                <w:color w:val="auto"/>
              </w:rPr>
            </w:pPr>
          </w:p>
        </w:tc>
        <w:tc>
          <w:tcPr>
            <w:tcW w:w="260" w:type="dxa"/>
            <w:vAlign w:val="bottom"/>
            <w:tcBorders>
              <w:bottom w:val="single" w:sz="8" w:color="000046"/>
            </w:tcBorders>
            <w:shd w:val="clear" w:color="auto" w:fill="000046"/>
          </w:tcPr>
          <w:p>
            <w:pPr>
              <w:spacing w:after="0"/>
              <w:rPr>
                <w:sz w:val="24"/>
                <w:szCs w:val="24"/>
                <w:color w:val="auto"/>
              </w:rPr>
            </w:pPr>
          </w:p>
        </w:tc>
        <w:tc>
          <w:tcPr>
            <w:tcW w:w="2800" w:type="dxa"/>
            <w:vAlign w:val="bottom"/>
            <w:tcBorders>
              <w:bottom w:val="single" w:sz="8" w:color="000046"/>
            </w:tcBorders>
            <w:vMerge w:val="continue"/>
            <w:shd w:val="clear" w:color="auto" w:fill="000046"/>
          </w:tcPr>
          <w:p>
            <w:pPr>
              <w:spacing w:after="0"/>
              <w:rPr>
                <w:sz w:val="24"/>
                <w:szCs w:val="24"/>
                <w:color w:val="auto"/>
              </w:rPr>
            </w:pPr>
          </w:p>
        </w:tc>
        <w:tc>
          <w:tcPr>
            <w:tcW w:w="180" w:type="dxa"/>
            <w:vAlign w:val="bottom"/>
            <w:tcBorders>
              <w:bottom w:val="single" w:sz="8" w:color="F3F3F1"/>
            </w:tcBorders>
            <w:shd w:val="clear" w:color="auto" w:fill="F3F3F1"/>
          </w:tcPr>
          <w:p>
            <w:pPr>
              <w:spacing w:after="0"/>
              <w:rPr>
                <w:sz w:val="24"/>
                <w:szCs w:val="24"/>
                <w:color w:val="auto"/>
              </w:rPr>
            </w:pPr>
          </w:p>
        </w:tc>
        <w:tc>
          <w:tcPr>
            <w:tcW w:w="260" w:type="dxa"/>
            <w:vAlign w:val="bottom"/>
            <w:tcBorders>
              <w:bottom w:val="single" w:sz="8" w:color="F3F3F1"/>
            </w:tcBorders>
            <w:shd w:val="clear" w:color="auto" w:fill="F3F3F1"/>
          </w:tcPr>
          <w:p>
            <w:pPr>
              <w:spacing w:after="0"/>
              <w:rPr>
                <w:sz w:val="24"/>
                <w:szCs w:val="24"/>
                <w:color w:val="auto"/>
              </w:rPr>
            </w:pPr>
          </w:p>
        </w:tc>
        <w:tc>
          <w:tcPr>
            <w:tcW w:w="2820" w:type="dxa"/>
            <w:vAlign w:val="bottom"/>
            <w:tcBorders>
              <w:bottom w:val="single" w:sz="8" w:color="F3F3F1"/>
            </w:tcBorders>
            <w:shd w:val="clear" w:color="auto" w:fill="F3F3F1"/>
          </w:tcPr>
          <w:p>
            <w:pPr>
              <w:spacing w:after="0"/>
              <w:rPr>
                <w:sz w:val="24"/>
                <w:szCs w:val="24"/>
                <w:color w:val="auto"/>
              </w:rPr>
            </w:pPr>
          </w:p>
        </w:tc>
        <w:tc>
          <w:tcPr>
            <w:tcW w:w="160" w:type="dxa"/>
            <w:vAlign w:val="bottom"/>
            <w:tcBorders>
              <w:bottom w:val="single" w:sz="8" w:color="F3F3F1"/>
            </w:tcBorders>
            <w:shd w:val="clear" w:color="auto" w:fill="F3F3F1"/>
          </w:tcPr>
          <w:p>
            <w:pPr>
              <w:spacing w:after="0"/>
              <w:rPr>
                <w:sz w:val="24"/>
                <w:szCs w:val="24"/>
                <w:color w:val="auto"/>
              </w:rPr>
            </w:pPr>
          </w:p>
        </w:tc>
        <w:tc>
          <w:tcPr>
            <w:tcW w:w="280" w:type="dxa"/>
            <w:vAlign w:val="bottom"/>
            <w:tcBorders>
              <w:bottom w:val="single" w:sz="8" w:color="D25F0C"/>
            </w:tcBorders>
            <w:shd w:val="clear" w:color="auto" w:fill="D25F0C"/>
          </w:tcPr>
          <w:p>
            <w:pPr>
              <w:spacing w:after="0"/>
              <w:rPr>
                <w:sz w:val="24"/>
                <w:szCs w:val="24"/>
                <w:color w:val="auto"/>
              </w:rPr>
            </w:pPr>
          </w:p>
        </w:tc>
        <w:tc>
          <w:tcPr>
            <w:tcW w:w="2800" w:type="dxa"/>
            <w:vAlign w:val="bottom"/>
            <w:tcBorders>
              <w:bottom w:val="single" w:sz="8" w:color="D25F0C"/>
            </w:tcBorders>
            <w:vMerge w:val="continue"/>
            <w:shd w:val="clear" w:color="auto" w:fill="D25F0C"/>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60" w:type="dxa"/>
            <w:vAlign w:val="bottom"/>
            <w:shd w:val="clear" w:color="auto" w:fill="F3F3F1"/>
          </w:tcPr>
          <w:p>
            <w:pPr>
              <w:spacing w:after="0"/>
              <w:rPr>
                <w:sz w:val="23"/>
                <w:szCs w:val="23"/>
                <w:color w:val="auto"/>
              </w:rPr>
            </w:pPr>
          </w:p>
        </w:tc>
        <w:tc>
          <w:tcPr>
            <w:tcW w:w="260" w:type="dxa"/>
            <w:vAlign w:val="bottom"/>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tcPr>
          <w:p>
            <w:pPr>
              <w:ind w:left="60"/>
              <w:spacing w:after="0"/>
              <w:rPr>
                <w:sz w:val="20"/>
                <w:szCs w:val="20"/>
                <w:color w:val="auto"/>
              </w:rPr>
            </w:pPr>
            <w:r>
              <w:rPr>
                <w:rFonts w:ascii="PMingLiU" w:cs="PMingLiU" w:eastAsia="PMingLiU" w:hAnsi="PMingLiU"/>
                <w:sz w:val="16"/>
                <w:szCs w:val="16"/>
                <w:color w:val="auto"/>
              </w:rPr>
              <w:t>LQWHUYLHZVDUHKHOGZLWKHDFK</w:t>
            </w:r>
          </w:p>
        </w:tc>
        <w:tc>
          <w:tcPr>
            <w:tcW w:w="440" w:type="dxa"/>
            <w:vAlign w:val="bottom"/>
            <w:gridSpan w:val="2"/>
            <w:shd w:val="clear" w:color="auto" w:fill="F3F3F1"/>
          </w:tcPr>
          <w:p>
            <w:pPr>
              <w:spacing w:after="0"/>
              <w:rPr>
                <w:sz w:val="23"/>
                <w:szCs w:val="23"/>
                <w:color w:val="auto"/>
              </w:rPr>
            </w:pPr>
          </w:p>
        </w:tc>
        <w:tc>
          <w:tcPr>
            <w:tcW w:w="2820" w:type="dxa"/>
            <w:vAlign w:val="bottom"/>
            <w:shd w:val="clear" w:color="auto" w:fill="F3F3F1"/>
          </w:tcPr>
          <w:p>
            <w:pPr>
              <w:spacing w:after="0"/>
              <w:rPr>
                <w:sz w:val="23"/>
                <w:szCs w:val="23"/>
                <w:color w:val="auto"/>
              </w:rPr>
            </w:pPr>
          </w:p>
        </w:tc>
        <w:tc>
          <w:tcPr>
            <w:tcW w:w="160" w:type="dxa"/>
            <w:vAlign w:val="bottom"/>
            <w:shd w:val="clear" w:color="auto" w:fill="F3F3F1"/>
          </w:tcPr>
          <w:p>
            <w:pPr>
              <w:spacing w:after="0"/>
              <w:rPr>
                <w:sz w:val="23"/>
                <w:szCs w:val="23"/>
                <w:color w:val="auto"/>
              </w:rPr>
            </w:pPr>
          </w:p>
        </w:tc>
        <w:tc>
          <w:tcPr>
            <w:tcW w:w="280" w:type="dxa"/>
            <w:vAlign w:val="bottom"/>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tcPr>
          <w:p>
            <w:pPr>
              <w:ind w:left="60"/>
              <w:spacing w:after="0"/>
              <w:rPr>
                <w:sz w:val="20"/>
                <w:szCs w:val="20"/>
                <w:color w:val="auto"/>
              </w:rPr>
            </w:pPr>
            <w:r>
              <w:rPr>
                <w:rFonts w:ascii="PMingLiU" w:cs="PMingLiU" w:eastAsia="PMingLiU" w:hAnsi="PMingLiU"/>
                <w:sz w:val="16"/>
                <w:szCs w:val="16"/>
                <w:color w:val="auto"/>
                <w:w w:val="87"/>
              </w:rPr>
              <w:t>$QLQWHUQDOVXUYH\IRURXU%RDUGDQG</w:t>
            </w:r>
          </w:p>
        </w:tc>
        <w:tc>
          <w:tcPr>
            <w:tcW w:w="0" w:type="dxa"/>
            <w:vAlign w:val="bottom"/>
          </w:tcPr>
          <w:p>
            <w:pPr>
              <w:spacing w:after="0"/>
              <w:rPr>
                <w:sz w:val="1"/>
                <w:szCs w:val="1"/>
                <w:color w:val="auto"/>
              </w:rPr>
            </w:pPr>
          </w:p>
        </w:tc>
      </w:tr>
      <w:tr>
        <w:trPr>
          <w:trHeight w:val="192"/>
        </w:trPr>
        <w:tc>
          <w:tcPr>
            <w:tcW w:w="260" w:type="dxa"/>
            <w:vAlign w:val="bottom"/>
            <w:shd w:val="clear" w:color="auto" w:fill="F3F3F1"/>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PMingLiU" w:cs="PMingLiU" w:eastAsia="PMingLiU" w:hAnsi="PMingLiU"/>
                <w:sz w:val="16"/>
                <w:szCs w:val="16"/>
                <w:color w:val="auto"/>
              </w:rPr>
              <w:t>GLUHFWRU</w:t>
            </w:r>
          </w:p>
        </w:tc>
        <w:tc>
          <w:tcPr>
            <w:tcW w:w="440" w:type="dxa"/>
            <w:vAlign w:val="bottom"/>
            <w:gridSpan w:val="2"/>
            <w:shd w:val="clear" w:color="auto" w:fill="F3F3F1"/>
          </w:tcPr>
          <w:p>
            <w:pPr>
              <w:spacing w:after="0"/>
              <w:rPr>
                <w:sz w:val="16"/>
                <w:szCs w:val="16"/>
                <w:color w:val="auto"/>
              </w:rPr>
            </w:pPr>
          </w:p>
        </w:tc>
        <w:tc>
          <w:tcPr>
            <w:tcW w:w="2820" w:type="dxa"/>
            <w:vAlign w:val="bottom"/>
            <w:shd w:val="clear" w:color="auto" w:fill="F3F3F1"/>
          </w:tcPr>
          <w:p>
            <w:pPr>
              <w:spacing w:after="0"/>
              <w:rPr>
                <w:sz w:val="16"/>
                <w:szCs w:val="16"/>
                <w:color w:val="auto"/>
              </w:rPr>
            </w:pPr>
          </w:p>
        </w:tc>
        <w:tc>
          <w:tcPr>
            <w:tcW w:w="160" w:type="dxa"/>
            <w:vAlign w:val="bottom"/>
            <w:shd w:val="clear" w:color="auto" w:fill="F3F3F1"/>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PMingLiU" w:cs="PMingLiU" w:eastAsia="PMingLiU" w:hAnsi="PMingLiU"/>
                <w:sz w:val="16"/>
                <w:szCs w:val="16"/>
                <w:color w:val="auto"/>
                <w:w w:val="95"/>
              </w:rPr>
              <w:t>HDFK&amp;RPPLWWHHLVSUHSDUHGE\RXU</w:t>
            </w:r>
          </w:p>
        </w:tc>
        <w:tc>
          <w:tcPr>
            <w:tcW w:w="0" w:type="dxa"/>
            <w:vAlign w:val="bottom"/>
          </w:tcPr>
          <w:p>
            <w:pPr>
              <w:spacing w:after="0"/>
              <w:rPr>
                <w:sz w:val="1"/>
                <w:szCs w:val="1"/>
                <w:color w:val="auto"/>
              </w:rPr>
            </w:pPr>
          </w:p>
        </w:tc>
      </w:tr>
      <w:tr>
        <w:trPr>
          <w:trHeight w:val="192"/>
        </w:trPr>
        <w:tc>
          <w:tcPr>
            <w:tcW w:w="260" w:type="dxa"/>
            <w:vAlign w:val="bottom"/>
            <w:shd w:val="clear" w:color="auto" w:fill="F3F3F1"/>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$PHPRLVLVVXHGWRRXU%RDUGDQG</w:t>
            </w:r>
          </w:p>
        </w:tc>
        <w:tc>
          <w:tcPr>
            <w:tcW w:w="180" w:type="dxa"/>
            <w:vAlign w:val="bottom"/>
            <w:shd w:val="clear" w:color="auto" w:fill="F3F3F1"/>
          </w:tcPr>
          <w:p>
            <w:pPr>
              <w:spacing w:after="0"/>
              <w:rPr>
                <w:sz w:val="16"/>
                <w:szCs w:val="16"/>
                <w:color w:val="auto"/>
              </w:rPr>
            </w:pPr>
          </w:p>
        </w:tc>
        <w:tc>
          <w:tcPr>
            <w:tcW w:w="260" w:type="dxa"/>
            <w:vAlign w:val="bottom"/>
            <w:shd w:val="clear" w:color="auto" w:fill="F3F3F1"/>
          </w:tcPr>
          <w:p>
            <w:pPr>
              <w:spacing w:after="0"/>
              <w:rPr>
                <w:sz w:val="16"/>
                <w:szCs w:val="16"/>
                <w:color w:val="auto"/>
              </w:rPr>
            </w:pPr>
          </w:p>
        </w:tc>
        <w:tc>
          <w:tcPr>
            <w:tcW w:w="2820" w:type="dxa"/>
            <w:vAlign w:val="bottom"/>
            <w:shd w:val="clear" w:color="auto" w:fill="F3F3F1"/>
          </w:tcPr>
          <w:p>
            <w:pPr>
              <w:spacing w:after="0"/>
              <w:rPr>
                <w:sz w:val="16"/>
                <w:szCs w:val="16"/>
                <w:color w:val="auto"/>
              </w:rPr>
            </w:pPr>
          </w:p>
        </w:tc>
        <w:tc>
          <w:tcPr>
            <w:tcW w:w="160" w:type="dxa"/>
            <w:vAlign w:val="bottom"/>
            <w:shd w:val="clear" w:color="auto" w:fill="F3F3F1"/>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PMingLiU" w:cs="PMingLiU" w:eastAsia="PMingLiU" w:hAnsi="PMingLiU"/>
                <w:sz w:val="16"/>
                <w:szCs w:val="16"/>
                <w:color w:val="auto"/>
                <w:w w:val="98"/>
              </w:rPr>
              <w:t>&amp;RUSRUDWH*RYHUQDQFHWHDPDQG</w:t>
            </w:r>
          </w:p>
        </w:tc>
        <w:tc>
          <w:tcPr>
            <w:tcW w:w="0" w:type="dxa"/>
            <w:vAlign w:val="bottom"/>
          </w:tcPr>
          <w:p>
            <w:pPr>
              <w:spacing w:after="0"/>
              <w:rPr>
                <w:sz w:val="1"/>
                <w:szCs w:val="1"/>
                <w:color w:val="auto"/>
              </w:rPr>
            </w:pPr>
          </w:p>
        </w:tc>
      </w:tr>
      <w:tr>
        <w:trPr>
          <w:trHeight w:val="60"/>
        </w:trPr>
        <w:tc>
          <w:tcPr>
            <w:tcW w:w="260" w:type="dxa"/>
            <w:vAlign w:val="bottom"/>
            <w:shd w:val="clear" w:color="auto" w:fill="F3F3F1"/>
          </w:tcPr>
          <w:p>
            <w:pPr>
              <w:spacing w:after="0"/>
              <w:rPr>
                <w:sz w:val="5"/>
                <w:szCs w:val="5"/>
                <w:color w:val="auto"/>
              </w:rPr>
            </w:pPr>
          </w:p>
        </w:tc>
        <w:tc>
          <w:tcPr>
            <w:tcW w:w="260" w:type="dxa"/>
            <w:vAlign w:val="bottom"/>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440" w:type="dxa"/>
            <w:vAlign w:val="bottom"/>
            <w:gridSpan w:val="2"/>
            <w:shd w:val="clear" w:color="auto" w:fill="F3F3F1"/>
          </w:tcPr>
          <w:p>
            <w:pPr>
              <w:spacing w:after="0"/>
              <w:rPr>
                <w:sz w:val="5"/>
                <w:szCs w:val="5"/>
                <w:color w:val="auto"/>
              </w:rPr>
            </w:pPr>
          </w:p>
        </w:tc>
        <w:tc>
          <w:tcPr>
            <w:tcW w:w="282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28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WKHFKDLURIRXU1RPLQDWLQJ</w:t>
            </w:r>
          </w:p>
        </w:tc>
        <w:tc>
          <w:tcPr>
            <w:tcW w:w="0" w:type="dxa"/>
            <w:vAlign w:val="bottom"/>
          </w:tcPr>
          <w:p>
            <w:pPr>
              <w:spacing w:after="0"/>
              <w:rPr>
                <w:sz w:val="1"/>
                <w:szCs w:val="1"/>
                <w:color w:val="auto"/>
              </w:rPr>
            </w:pPr>
          </w:p>
        </w:tc>
      </w:tr>
      <w:tr>
        <w:trPr>
          <w:trHeight w:val="132"/>
        </w:trPr>
        <w:tc>
          <w:tcPr>
            <w:tcW w:w="260" w:type="dxa"/>
            <w:vAlign w:val="bottom"/>
            <w:shd w:val="clear" w:color="auto" w:fill="F3F3F1"/>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LWVILQGLQJVDUHGLVFXVVHGLQ</w:t>
            </w:r>
          </w:p>
        </w:tc>
        <w:tc>
          <w:tcPr>
            <w:tcW w:w="180" w:type="dxa"/>
            <w:vAlign w:val="bottom"/>
            <w:shd w:val="clear" w:color="auto" w:fill="F3F3F1"/>
          </w:tcPr>
          <w:p>
            <w:pPr>
              <w:spacing w:after="0"/>
              <w:rPr>
                <w:sz w:val="11"/>
                <w:szCs w:val="11"/>
                <w:color w:val="auto"/>
              </w:rPr>
            </w:pPr>
          </w:p>
        </w:tc>
        <w:tc>
          <w:tcPr>
            <w:tcW w:w="260" w:type="dxa"/>
            <w:vAlign w:val="bottom"/>
            <w:shd w:val="clear" w:color="auto" w:fill="F3F3F1"/>
          </w:tcPr>
          <w:p>
            <w:pPr>
              <w:spacing w:after="0"/>
              <w:rPr>
                <w:sz w:val="11"/>
                <w:szCs w:val="11"/>
                <w:color w:val="auto"/>
              </w:rPr>
            </w:pPr>
          </w:p>
        </w:tc>
        <w:tc>
          <w:tcPr>
            <w:tcW w:w="2820" w:type="dxa"/>
            <w:vAlign w:val="bottom"/>
            <w:shd w:val="clear" w:color="auto" w:fill="F3F3F1"/>
          </w:tcPr>
          <w:p>
            <w:pPr>
              <w:spacing w:after="0"/>
              <w:rPr>
                <w:sz w:val="11"/>
                <w:szCs w:val="11"/>
                <w:color w:val="auto"/>
              </w:rPr>
            </w:pPr>
          </w:p>
        </w:tc>
        <w:tc>
          <w:tcPr>
            <w:tcW w:w="160" w:type="dxa"/>
            <w:vAlign w:val="bottom"/>
            <w:shd w:val="clear" w:color="auto" w:fill="F3F3F1"/>
          </w:tcPr>
          <w:p>
            <w:pPr>
              <w:spacing w:after="0"/>
              <w:rPr>
                <w:sz w:val="11"/>
                <w:szCs w:val="11"/>
                <w:color w:val="auto"/>
              </w:rPr>
            </w:pPr>
          </w:p>
        </w:tc>
        <w:tc>
          <w:tcPr>
            <w:tcW w:w="28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60" w:type="dxa"/>
            <w:vAlign w:val="bottom"/>
            <w:shd w:val="clear" w:color="auto" w:fill="F3F3F1"/>
          </w:tcPr>
          <w:p>
            <w:pPr>
              <w:spacing w:after="0"/>
              <w:rPr>
                <w:sz w:val="5"/>
                <w:szCs w:val="5"/>
                <w:color w:val="auto"/>
              </w:rPr>
            </w:pPr>
          </w:p>
        </w:tc>
        <w:tc>
          <w:tcPr>
            <w:tcW w:w="2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440" w:type="dxa"/>
            <w:vAlign w:val="bottom"/>
            <w:gridSpan w:val="2"/>
            <w:shd w:val="clear" w:color="auto" w:fill="F3F3F1"/>
          </w:tcPr>
          <w:p>
            <w:pPr>
              <w:spacing w:after="0"/>
              <w:rPr>
                <w:sz w:val="5"/>
                <w:szCs w:val="5"/>
                <w:color w:val="auto"/>
              </w:rPr>
            </w:pPr>
          </w:p>
        </w:tc>
        <w:tc>
          <w:tcPr>
            <w:tcW w:w="282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28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w w:val="89"/>
              </w:rPr>
              <w:t>&amp;RPPLWWHHOHYHUDJLQJWKHILQGLQJV</w:t>
            </w:r>
          </w:p>
        </w:tc>
        <w:tc>
          <w:tcPr>
            <w:tcW w:w="0" w:type="dxa"/>
            <w:vAlign w:val="bottom"/>
          </w:tcPr>
          <w:p>
            <w:pPr>
              <w:spacing w:after="0"/>
              <w:rPr>
                <w:sz w:val="1"/>
                <w:szCs w:val="1"/>
                <w:color w:val="auto"/>
              </w:rPr>
            </w:pPr>
          </w:p>
        </w:tc>
      </w:tr>
      <w:tr>
        <w:trPr>
          <w:trHeight w:val="132"/>
        </w:trPr>
        <w:tc>
          <w:tcPr>
            <w:tcW w:w="260" w:type="dxa"/>
            <w:vAlign w:val="bottom"/>
            <w:shd w:val="clear" w:color="auto" w:fill="F3F3F1"/>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H[HFXWLYHVHVVLRQ</w:t>
            </w:r>
          </w:p>
        </w:tc>
        <w:tc>
          <w:tcPr>
            <w:tcW w:w="180" w:type="dxa"/>
            <w:vAlign w:val="bottom"/>
            <w:shd w:val="clear" w:color="auto" w:fill="F3F3F1"/>
          </w:tcPr>
          <w:p>
            <w:pPr>
              <w:spacing w:after="0"/>
              <w:rPr>
                <w:sz w:val="11"/>
                <w:szCs w:val="11"/>
                <w:color w:val="auto"/>
              </w:rPr>
            </w:pPr>
          </w:p>
        </w:tc>
        <w:tc>
          <w:tcPr>
            <w:tcW w:w="260" w:type="dxa"/>
            <w:vAlign w:val="bottom"/>
            <w:shd w:val="clear" w:color="auto" w:fill="F3F3F1"/>
          </w:tcPr>
          <w:p>
            <w:pPr>
              <w:spacing w:after="0"/>
              <w:rPr>
                <w:sz w:val="11"/>
                <w:szCs w:val="11"/>
                <w:color w:val="auto"/>
              </w:rPr>
            </w:pPr>
          </w:p>
        </w:tc>
        <w:tc>
          <w:tcPr>
            <w:tcW w:w="2820" w:type="dxa"/>
            <w:vAlign w:val="bottom"/>
            <w:shd w:val="clear" w:color="auto" w:fill="F3F3F1"/>
          </w:tcPr>
          <w:p>
            <w:pPr>
              <w:spacing w:after="0"/>
              <w:rPr>
                <w:sz w:val="11"/>
                <w:szCs w:val="11"/>
                <w:color w:val="auto"/>
              </w:rPr>
            </w:pPr>
          </w:p>
        </w:tc>
        <w:tc>
          <w:tcPr>
            <w:tcW w:w="160" w:type="dxa"/>
            <w:vAlign w:val="bottom"/>
            <w:shd w:val="clear" w:color="auto" w:fill="F3F3F1"/>
          </w:tcPr>
          <w:p>
            <w:pPr>
              <w:spacing w:after="0"/>
              <w:rPr>
                <w:sz w:val="11"/>
                <w:szCs w:val="11"/>
                <w:color w:val="auto"/>
              </w:rPr>
            </w:pPr>
          </w:p>
        </w:tc>
        <w:tc>
          <w:tcPr>
            <w:tcW w:w="28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F3F3F1"/>
          </w:tcPr>
          <w:p>
            <w:pPr>
              <w:spacing w:after="0"/>
              <w:rPr>
                <w:sz w:val="7"/>
                <w:szCs w:val="7"/>
                <w:color w:val="auto"/>
              </w:rPr>
            </w:pPr>
          </w:p>
        </w:tc>
        <w:tc>
          <w:tcPr>
            <w:tcW w:w="26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440" w:type="dxa"/>
            <w:vAlign w:val="bottom"/>
            <w:gridSpan w:val="2"/>
            <w:shd w:val="clear" w:color="auto" w:fill="F3F3F1"/>
          </w:tcPr>
          <w:p>
            <w:pPr>
              <w:spacing w:after="0"/>
              <w:rPr>
                <w:sz w:val="7"/>
                <w:szCs w:val="7"/>
                <w:color w:val="auto"/>
              </w:rPr>
            </w:pPr>
          </w:p>
        </w:tc>
        <w:tc>
          <w:tcPr>
            <w:tcW w:w="2820" w:type="dxa"/>
            <w:vAlign w:val="bottom"/>
            <w:shd w:val="clear" w:color="auto" w:fill="F3F3F1"/>
          </w:tcPr>
          <w:p>
            <w:pPr>
              <w:spacing w:after="0"/>
              <w:rPr>
                <w:sz w:val="7"/>
                <w:szCs w:val="7"/>
                <w:color w:val="auto"/>
              </w:rPr>
            </w:pPr>
          </w:p>
        </w:tc>
        <w:tc>
          <w:tcPr>
            <w:tcW w:w="160" w:type="dxa"/>
            <w:vAlign w:val="bottom"/>
            <w:shd w:val="clear" w:color="auto" w:fill="F3F3F1"/>
          </w:tcPr>
          <w:p>
            <w:pPr>
              <w:spacing w:after="0"/>
              <w:rPr>
                <w:sz w:val="7"/>
                <w:szCs w:val="7"/>
                <w:color w:val="auto"/>
              </w:rPr>
            </w:pPr>
          </w:p>
        </w:tc>
        <w:tc>
          <w:tcPr>
            <w:tcW w:w="280" w:type="dxa"/>
            <w:vAlign w:val="bottom"/>
          </w:tcPr>
          <w:p>
            <w:pPr>
              <w:spacing w:after="0"/>
              <w:rPr>
                <w:sz w:val="7"/>
                <w:szCs w:val="7"/>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IURPWKHSULRU\HDU</w:t>
            </w:r>
          </w:p>
        </w:tc>
        <w:tc>
          <w:tcPr>
            <w:tcW w:w="0" w:type="dxa"/>
            <w:vAlign w:val="bottom"/>
          </w:tcPr>
          <w:p>
            <w:pPr>
              <w:spacing w:after="0"/>
              <w:rPr>
                <w:sz w:val="1"/>
                <w:szCs w:val="1"/>
                <w:color w:val="auto"/>
              </w:rPr>
            </w:pPr>
          </w:p>
        </w:tc>
      </w:tr>
      <w:tr>
        <w:trPr>
          <w:trHeight w:val="130"/>
        </w:trPr>
        <w:tc>
          <w:tcPr>
            <w:tcW w:w="260" w:type="dxa"/>
            <w:vAlign w:val="bottom"/>
            <w:shd w:val="clear" w:color="auto" w:fill="F3F3F1"/>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2XU1RPLQDWLQJ&amp;RPPLWWHH</w:t>
            </w:r>
          </w:p>
        </w:tc>
        <w:tc>
          <w:tcPr>
            <w:tcW w:w="180" w:type="dxa"/>
            <w:vAlign w:val="bottom"/>
            <w:shd w:val="clear" w:color="auto" w:fill="F3F3F1"/>
          </w:tcPr>
          <w:p>
            <w:pPr>
              <w:spacing w:after="0"/>
              <w:rPr>
                <w:sz w:val="11"/>
                <w:szCs w:val="11"/>
                <w:color w:val="auto"/>
              </w:rPr>
            </w:pPr>
          </w:p>
        </w:tc>
        <w:tc>
          <w:tcPr>
            <w:tcW w:w="260" w:type="dxa"/>
            <w:vAlign w:val="bottom"/>
            <w:shd w:val="clear" w:color="auto" w:fill="F3F3F1"/>
          </w:tcPr>
          <w:p>
            <w:pPr>
              <w:spacing w:after="0"/>
              <w:rPr>
                <w:sz w:val="11"/>
                <w:szCs w:val="11"/>
                <w:color w:val="auto"/>
              </w:rPr>
            </w:pPr>
          </w:p>
        </w:tc>
        <w:tc>
          <w:tcPr>
            <w:tcW w:w="2820" w:type="dxa"/>
            <w:vAlign w:val="bottom"/>
            <w:shd w:val="clear" w:color="auto" w:fill="F3F3F1"/>
          </w:tcPr>
          <w:p>
            <w:pPr>
              <w:spacing w:after="0"/>
              <w:rPr>
                <w:sz w:val="11"/>
                <w:szCs w:val="11"/>
                <w:color w:val="auto"/>
              </w:rPr>
            </w:pPr>
          </w:p>
        </w:tc>
        <w:tc>
          <w:tcPr>
            <w:tcW w:w="160" w:type="dxa"/>
            <w:vAlign w:val="bottom"/>
            <w:shd w:val="clear" w:color="auto" w:fill="F3F3F1"/>
          </w:tcPr>
          <w:p>
            <w:pPr>
              <w:spacing w:after="0"/>
              <w:rPr>
                <w:sz w:val="11"/>
                <w:szCs w:val="11"/>
                <w:color w:val="auto"/>
              </w:rPr>
            </w:pPr>
          </w:p>
        </w:tc>
        <w:tc>
          <w:tcPr>
            <w:tcW w:w="28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0" w:type="dxa"/>
            <w:vAlign w:val="bottom"/>
            <w:shd w:val="clear" w:color="auto" w:fill="F3F3F1"/>
          </w:tcPr>
          <w:p>
            <w:pPr>
              <w:spacing w:after="0"/>
              <w:rPr>
                <w:sz w:val="8"/>
                <w:szCs w:val="8"/>
                <w:color w:val="auto"/>
              </w:rPr>
            </w:pPr>
          </w:p>
        </w:tc>
        <w:tc>
          <w:tcPr>
            <w:tcW w:w="260" w:type="dxa"/>
            <w:vAlign w:val="bottom"/>
            <w:vMerge w:val="continue"/>
          </w:tcPr>
          <w:p>
            <w:pPr>
              <w:spacing w:after="0"/>
              <w:rPr>
                <w:sz w:val="8"/>
                <w:szCs w:val="8"/>
                <w:color w:val="auto"/>
              </w:rPr>
            </w:pPr>
          </w:p>
        </w:tc>
        <w:tc>
          <w:tcPr>
            <w:tcW w:w="2800" w:type="dxa"/>
            <w:vAlign w:val="bottom"/>
            <w:vMerge w:val="continue"/>
          </w:tcPr>
          <w:p>
            <w:pPr>
              <w:spacing w:after="0"/>
              <w:rPr>
                <w:sz w:val="8"/>
                <w:szCs w:val="8"/>
                <w:color w:val="auto"/>
              </w:rPr>
            </w:pPr>
          </w:p>
        </w:tc>
        <w:tc>
          <w:tcPr>
            <w:tcW w:w="440" w:type="dxa"/>
            <w:vAlign w:val="bottom"/>
            <w:gridSpan w:val="2"/>
            <w:shd w:val="clear" w:color="auto" w:fill="F3F3F1"/>
          </w:tcPr>
          <w:p>
            <w:pPr>
              <w:spacing w:after="0"/>
              <w:rPr>
                <w:sz w:val="8"/>
                <w:szCs w:val="8"/>
                <w:color w:val="auto"/>
              </w:rPr>
            </w:pPr>
          </w:p>
        </w:tc>
        <w:tc>
          <w:tcPr>
            <w:tcW w:w="2820" w:type="dxa"/>
            <w:vAlign w:val="bottom"/>
            <w:shd w:val="clear" w:color="auto" w:fill="F3F3F1"/>
          </w:tcPr>
          <w:p>
            <w:pPr>
              <w:spacing w:after="0"/>
              <w:rPr>
                <w:sz w:val="8"/>
                <w:szCs w:val="8"/>
                <w:color w:val="auto"/>
              </w:rPr>
            </w:pPr>
          </w:p>
        </w:tc>
        <w:tc>
          <w:tcPr>
            <w:tcW w:w="160" w:type="dxa"/>
            <w:vAlign w:val="bottom"/>
            <w:shd w:val="clear" w:color="auto" w:fill="F3F3F1"/>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w w:val="92"/>
              </w:rPr>
              <w:t>5DZVXUYH\GDWDLVVKDUHGZLWKRXU</w:t>
            </w:r>
          </w:p>
        </w:tc>
        <w:tc>
          <w:tcPr>
            <w:tcW w:w="0" w:type="dxa"/>
            <w:vAlign w:val="bottom"/>
          </w:tcPr>
          <w:p>
            <w:pPr>
              <w:spacing w:after="0"/>
              <w:rPr>
                <w:sz w:val="1"/>
                <w:szCs w:val="1"/>
                <w:color w:val="auto"/>
              </w:rPr>
            </w:pPr>
          </w:p>
        </w:tc>
      </w:tr>
      <w:tr>
        <w:trPr>
          <w:trHeight w:val="161"/>
        </w:trPr>
        <w:tc>
          <w:tcPr>
            <w:tcW w:w="260" w:type="dxa"/>
            <w:vAlign w:val="bottom"/>
            <w:shd w:val="clear" w:color="auto" w:fill="F3F3F1"/>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tcPr>
          <w:p>
            <w:pPr>
              <w:ind w:left="60"/>
              <w:spacing w:after="0" w:line="161" w:lineRule="exact"/>
              <w:rPr>
                <w:sz w:val="20"/>
                <w:szCs w:val="20"/>
                <w:color w:val="auto"/>
              </w:rPr>
            </w:pPr>
            <w:r>
              <w:rPr>
                <w:rFonts w:ascii="PMingLiU" w:cs="PMingLiU" w:eastAsia="PMingLiU" w:hAnsi="PMingLiU"/>
                <w:sz w:val="16"/>
                <w:szCs w:val="16"/>
                <w:color w:val="auto"/>
                <w:w w:val="85"/>
              </w:rPr>
              <w:t>UHIOHFWVRQWKHHIIHFWLYHQHVVRIWKH</w:t>
            </w:r>
          </w:p>
        </w:tc>
        <w:tc>
          <w:tcPr>
            <w:tcW w:w="440" w:type="dxa"/>
            <w:vAlign w:val="bottom"/>
            <w:gridSpan w:val="2"/>
            <w:shd w:val="clear" w:color="auto" w:fill="F3F3F1"/>
          </w:tcPr>
          <w:p>
            <w:pPr>
              <w:spacing w:after="0"/>
              <w:rPr>
                <w:sz w:val="13"/>
                <w:szCs w:val="13"/>
                <w:color w:val="auto"/>
              </w:rPr>
            </w:pPr>
          </w:p>
        </w:tc>
        <w:tc>
          <w:tcPr>
            <w:tcW w:w="2820" w:type="dxa"/>
            <w:vAlign w:val="bottom"/>
            <w:shd w:val="clear" w:color="auto" w:fill="F3F3F1"/>
          </w:tcPr>
          <w:p>
            <w:pPr>
              <w:spacing w:after="0"/>
              <w:rPr>
                <w:sz w:val="13"/>
                <w:szCs w:val="13"/>
                <w:color w:val="auto"/>
              </w:rPr>
            </w:pPr>
          </w:p>
        </w:tc>
        <w:tc>
          <w:tcPr>
            <w:tcW w:w="160" w:type="dxa"/>
            <w:vAlign w:val="bottom"/>
            <w:shd w:val="clear" w:color="auto" w:fill="F3F3F1"/>
          </w:tcPr>
          <w:p>
            <w:pPr>
              <w:spacing w:after="0"/>
              <w:rPr>
                <w:sz w:val="13"/>
                <w:szCs w:val="13"/>
                <w:color w:val="auto"/>
              </w:rPr>
            </w:pPr>
          </w:p>
        </w:tc>
        <w:tc>
          <w:tcPr>
            <w:tcW w:w="28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60" w:type="dxa"/>
            <w:vAlign w:val="bottom"/>
            <w:shd w:val="clear" w:color="auto" w:fill="F3F3F1"/>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F\FOHDQGDQ\DFWLRQVWDNHQDQG</w:t>
            </w:r>
          </w:p>
        </w:tc>
        <w:tc>
          <w:tcPr>
            <w:tcW w:w="180" w:type="dxa"/>
            <w:vAlign w:val="bottom"/>
            <w:shd w:val="clear" w:color="auto" w:fill="F3F3F1"/>
          </w:tcPr>
          <w:p>
            <w:pPr>
              <w:spacing w:after="0"/>
              <w:rPr>
                <w:sz w:val="14"/>
                <w:szCs w:val="14"/>
                <w:color w:val="auto"/>
              </w:rPr>
            </w:pPr>
          </w:p>
        </w:tc>
        <w:tc>
          <w:tcPr>
            <w:tcW w:w="260" w:type="dxa"/>
            <w:vAlign w:val="bottom"/>
            <w:shd w:val="clear" w:color="auto" w:fill="F3F3F1"/>
          </w:tcPr>
          <w:p>
            <w:pPr>
              <w:spacing w:after="0"/>
              <w:rPr>
                <w:sz w:val="14"/>
                <w:szCs w:val="14"/>
                <w:color w:val="auto"/>
              </w:rPr>
            </w:pPr>
          </w:p>
        </w:tc>
        <w:tc>
          <w:tcPr>
            <w:tcW w:w="2820" w:type="dxa"/>
            <w:vAlign w:val="bottom"/>
            <w:shd w:val="clear" w:color="auto" w:fill="F3F3F1"/>
          </w:tcPr>
          <w:p>
            <w:pPr>
              <w:spacing w:after="0"/>
              <w:rPr>
                <w:sz w:val="14"/>
                <w:szCs w:val="14"/>
                <w:color w:val="auto"/>
              </w:rPr>
            </w:pPr>
          </w:p>
        </w:tc>
        <w:tc>
          <w:tcPr>
            <w:tcW w:w="160" w:type="dxa"/>
            <w:vAlign w:val="bottom"/>
            <w:shd w:val="clear" w:color="auto" w:fill="F3F3F1"/>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tcPr>
          <w:p>
            <w:pPr>
              <w:ind w:left="60"/>
              <w:spacing w:after="0" w:line="164" w:lineRule="exact"/>
              <w:rPr>
                <w:sz w:val="20"/>
                <w:szCs w:val="20"/>
                <w:color w:val="auto"/>
              </w:rPr>
            </w:pPr>
            <w:r>
              <w:rPr>
                <w:rFonts w:ascii="PMingLiU" w:cs="PMingLiU" w:eastAsia="PMingLiU" w:hAnsi="PMingLiU"/>
                <w:sz w:val="16"/>
                <w:szCs w:val="16"/>
                <w:color w:val="auto"/>
              </w:rPr>
              <w:t>&amp;KDLUSHUVRQ/,'DQGHDFK</w:t>
            </w:r>
          </w:p>
        </w:tc>
        <w:tc>
          <w:tcPr>
            <w:tcW w:w="0" w:type="dxa"/>
            <w:vAlign w:val="bottom"/>
          </w:tcPr>
          <w:p>
            <w:pPr>
              <w:spacing w:after="0"/>
              <w:rPr>
                <w:sz w:val="1"/>
                <w:szCs w:val="1"/>
                <w:color w:val="auto"/>
              </w:rPr>
            </w:pPr>
          </w:p>
        </w:tc>
      </w:tr>
      <w:tr>
        <w:trPr>
          <w:trHeight w:val="60"/>
        </w:trPr>
        <w:tc>
          <w:tcPr>
            <w:tcW w:w="260" w:type="dxa"/>
            <w:vAlign w:val="bottom"/>
            <w:shd w:val="clear" w:color="auto" w:fill="F3F3F1"/>
          </w:tcPr>
          <w:p>
            <w:pPr>
              <w:spacing w:after="0"/>
              <w:rPr>
                <w:sz w:val="5"/>
                <w:szCs w:val="5"/>
                <w:color w:val="auto"/>
              </w:rPr>
            </w:pPr>
          </w:p>
        </w:tc>
        <w:tc>
          <w:tcPr>
            <w:tcW w:w="2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440" w:type="dxa"/>
            <w:vAlign w:val="bottom"/>
            <w:gridSpan w:val="2"/>
            <w:shd w:val="clear" w:color="auto" w:fill="F3F3F1"/>
          </w:tcPr>
          <w:p>
            <w:pPr>
              <w:spacing w:after="0"/>
              <w:rPr>
                <w:sz w:val="5"/>
                <w:szCs w:val="5"/>
                <w:color w:val="auto"/>
              </w:rPr>
            </w:pPr>
          </w:p>
        </w:tc>
        <w:tc>
          <w:tcPr>
            <w:tcW w:w="282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280" w:type="dxa"/>
            <w:vAlign w:val="bottom"/>
          </w:tcPr>
          <w:p>
            <w:pPr>
              <w:spacing w:after="0"/>
              <w:rPr>
                <w:sz w:val="5"/>
                <w:szCs w:val="5"/>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FRPPLWWHHFKDLU</w:t>
            </w:r>
          </w:p>
        </w:tc>
        <w:tc>
          <w:tcPr>
            <w:tcW w:w="0" w:type="dxa"/>
            <w:vAlign w:val="bottom"/>
          </w:tcPr>
          <w:p>
            <w:pPr>
              <w:spacing w:after="0"/>
              <w:rPr>
                <w:sz w:val="1"/>
                <w:szCs w:val="1"/>
                <w:color w:val="auto"/>
              </w:rPr>
            </w:pPr>
          </w:p>
        </w:tc>
      </w:tr>
      <w:tr>
        <w:trPr>
          <w:trHeight w:val="153"/>
        </w:trPr>
        <w:tc>
          <w:tcPr>
            <w:tcW w:w="260" w:type="dxa"/>
            <w:vAlign w:val="bottom"/>
            <w:shd w:val="clear" w:color="auto" w:fill="F3F3F1"/>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w w:val="96"/>
              </w:rPr>
              <w:t>WXUQVLWVIRFXVWRWKHQH[WF\FOH</w:t>
            </w:r>
          </w:p>
        </w:tc>
        <w:tc>
          <w:tcPr>
            <w:tcW w:w="180" w:type="dxa"/>
            <w:vAlign w:val="bottom"/>
            <w:shd w:val="clear" w:color="auto" w:fill="F3F3F1"/>
          </w:tcPr>
          <w:p>
            <w:pPr>
              <w:spacing w:after="0"/>
              <w:rPr>
                <w:sz w:val="13"/>
                <w:szCs w:val="13"/>
                <w:color w:val="auto"/>
              </w:rPr>
            </w:pPr>
          </w:p>
        </w:tc>
        <w:tc>
          <w:tcPr>
            <w:tcW w:w="260" w:type="dxa"/>
            <w:vAlign w:val="bottom"/>
            <w:shd w:val="clear" w:color="auto" w:fill="F3F3F1"/>
          </w:tcPr>
          <w:p>
            <w:pPr>
              <w:spacing w:after="0"/>
              <w:rPr>
                <w:sz w:val="13"/>
                <w:szCs w:val="13"/>
                <w:color w:val="auto"/>
              </w:rPr>
            </w:pPr>
          </w:p>
        </w:tc>
        <w:tc>
          <w:tcPr>
            <w:tcW w:w="2820" w:type="dxa"/>
            <w:vAlign w:val="bottom"/>
            <w:shd w:val="clear" w:color="auto" w:fill="F3F3F1"/>
          </w:tcPr>
          <w:p>
            <w:pPr>
              <w:spacing w:after="0"/>
              <w:rPr>
                <w:sz w:val="13"/>
                <w:szCs w:val="13"/>
                <w:color w:val="auto"/>
              </w:rPr>
            </w:pPr>
          </w:p>
        </w:tc>
        <w:tc>
          <w:tcPr>
            <w:tcW w:w="160" w:type="dxa"/>
            <w:vAlign w:val="bottom"/>
            <w:shd w:val="clear" w:color="auto" w:fill="F3F3F1"/>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60" w:type="dxa"/>
            <w:vAlign w:val="bottom"/>
            <w:shd w:val="clear" w:color="auto" w:fill="F3F3F1"/>
          </w:tcPr>
          <w:p>
            <w:pPr>
              <w:spacing w:after="0"/>
              <w:rPr>
                <w:sz w:val="5"/>
                <w:szCs w:val="5"/>
                <w:color w:val="auto"/>
              </w:rPr>
            </w:pPr>
          </w:p>
        </w:tc>
        <w:tc>
          <w:tcPr>
            <w:tcW w:w="2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440" w:type="dxa"/>
            <w:vAlign w:val="bottom"/>
            <w:gridSpan w:val="2"/>
            <w:shd w:val="clear" w:color="auto" w:fill="F3F3F1"/>
          </w:tcPr>
          <w:p>
            <w:pPr>
              <w:spacing w:after="0"/>
              <w:rPr>
                <w:sz w:val="5"/>
                <w:szCs w:val="5"/>
                <w:color w:val="auto"/>
              </w:rPr>
            </w:pPr>
          </w:p>
        </w:tc>
        <w:tc>
          <w:tcPr>
            <w:tcW w:w="282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PMingLiU" w:cs="PMingLiU" w:eastAsia="PMingLiU" w:hAnsi="PMingLiU"/>
                <w:sz w:val="16"/>
                <w:szCs w:val="16"/>
                <w:b w:val="1"/>
                <w:bCs w:val="1"/>
                <w:color w:val="2D2C36"/>
              </w:rPr>
              <w:t></w:t>
            </w: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6XPPDU\DQGNH\ILQGLQJVDUH</w:t>
            </w:r>
          </w:p>
        </w:tc>
        <w:tc>
          <w:tcPr>
            <w:tcW w:w="0" w:type="dxa"/>
            <w:vAlign w:val="bottom"/>
          </w:tcPr>
          <w:p>
            <w:pPr>
              <w:spacing w:after="0"/>
              <w:rPr>
                <w:sz w:val="1"/>
                <w:szCs w:val="1"/>
                <w:color w:val="auto"/>
              </w:rPr>
            </w:pPr>
          </w:p>
        </w:tc>
      </w:tr>
      <w:tr>
        <w:trPr>
          <w:trHeight w:val="88"/>
        </w:trPr>
        <w:tc>
          <w:tcPr>
            <w:tcW w:w="260" w:type="dxa"/>
            <w:vAlign w:val="bottom"/>
            <w:shd w:val="clear" w:color="auto" w:fill="F3F3F1"/>
          </w:tcPr>
          <w:p>
            <w:pPr>
              <w:spacing w:after="0"/>
              <w:rPr>
                <w:sz w:val="7"/>
                <w:szCs w:val="7"/>
                <w:color w:val="auto"/>
              </w:rPr>
            </w:pPr>
          </w:p>
        </w:tc>
        <w:tc>
          <w:tcPr>
            <w:tcW w:w="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80" w:type="dxa"/>
            <w:vAlign w:val="bottom"/>
            <w:shd w:val="clear" w:color="auto" w:fill="F3F3F1"/>
          </w:tcPr>
          <w:p>
            <w:pPr>
              <w:spacing w:after="0"/>
              <w:rPr>
                <w:sz w:val="7"/>
                <w:szCs w:val="7"/>
                <w:color w:val="auto"/>
              </w:rPr>
            </w:pPr>
          </w:p>
        </w:tc>
        <w:tc>
          <w:tcPr>
            <w:tcW w:w="260" w:type="dxa"/>
            <w:vAlign w:val="bottom"/>
            <w:shd w:val="clear" w:color="auto" w:fill="F3F3F1"/>
          </w:tcPr>
          <w:p>
            <w:pPr>
              <w:spacing w:after="0"/>
              <w:rPr>
                <w:sz w:val="7"/>
                <w:szCs w:val="7"/>
                <w:color w:val="auto"/>
              </w:rPr>
            </w:pPr>
          </w:p>
        </w:tc>
        <w:tc>
          <w:tcPr>
            <w:tcW w:w="2820" w:type="dxa"/>
            <w:vAlign w:val="bottom"/>
            <w:shd w:val="clear" w:color="auto" w:fill="F3F3F1"/>
          </w:tcPr>
          <w:p>
            <w:pPr>
              <w:spacing w:after="0"/>
              <w:rPr>
                <w:sz w:val="7"/>
                <w:szCs w:val="7"/>
                <w:color w:val="auto"/>
              </w:rPr>
            </w:pPr>
          </w:p>
        </w:tc>
        <w:tc>
          <w:tcPr>
            <w:tcW w:w="160" w:type="dxa"/>
            <w:vAlign w:val="bottom"/>
            <w:shd w:val="clear" w:color="auto" w:fill="F3F3F1"/>
          </w:tcPr>
          <w:p>
            <w:pPr>
              <w:spacing w:after="0"/>
              <w:rPr>
                <w:sz w:val="7"/>
                <w:szCs w:val="7"/>
                <w:color w:val="auto"/>
              </w:rPr>
            </w:pPr>
          </w:p>
        </w:tc>
        <w:tc>
          <w:tcPr>
            <w:tcW w:w="2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shd w:val="clear" w:color="auto" w:fill="F3F3F1"/>
          </w:tcPr>
          <w:p>
            <w:pPr>
              <w:spacing w:after="0"/>
              <w:rPr>
                <w:sz w:val="7"/>
                <w:szCs w:val="7"/>
                <w:color w:val="auto"/>
              </w:rPr>
            </w:pPr>
          </w:p>
        </w:tc>
        <w:tc>
          <w:tcPr>
            <w:tcW w:w="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80" w:type="dxa"/>
            <w:vAlign w:val="bottom"/>
            <w:shd w:val="clear" w:color="auto" w:fill="F3F3F1"/>
          </w:tcPr>
          <w:p>
            <w:pPr>
              <w:spacing w:after="0"/>
              <w:rPr>
                <w:sz w:val="7"/>
                <w:szCs w:val="7"/>
                <w:color w:val="auto"/>
              </w:rPr>
            </w:pPr>
          </w:p>
        </w:tc>
        <w:tc>
          <w:tcPr>
            <w:tcW w:w="260" w:type="dxa"/>
            <w:vAlign w:val="bottom"/>
            <w:shd w:val="clear" w:color="auto" w:fill="F3F3F1"/>
          </w:tcPr>
          <w:p>
            <w:pPr>
              <w:spacing w:after="0"/>
              <w:rPr>
                <w:sz w:val="7"/>
                <w:szCs w:val="7"/>
                <w:color w:val="auto"/>
              </w:rPr>
            </w:pPr>
          </w:p>
        </w:tc>
        <w:tc>
          <w:tcPr>
            <w:tcW w:w="2820" w:type="dxa"/>
            <w:vAlign w:val="bottom"/>
            <w:shd w:val="clear" w:color="auto" w:fill="F3F3F1"/>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60" w:type="dxa"/>
            <w:vAlign w:val="bottom"/>
            <w:shd w:val="clear" w:color="auto" w:fill="F3F3F1"/>
          </w:tcPr>
          <w:p>
            <w:pPr>
              <w:spacing w:after="0"/>
              <w:rPr>
                <w:sz w:val="7"/>
                <w:szCs w:val="7"/>
                <w:color w:val="auto"/>
              </w:rPr>
            </w:pPr>
          </w:p>
        </w:tc>
        <w:tc>
          <w:tcPr>
            <w:tcW w:w="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80" w:type="dxa"/>
            <w:vAlign w:val="bottom"/>
            <w:shd w:val="clear" w:color="auto" w:fill="F3F3F1"/>
          </w:tcPr>
          <w:p>
            <w:pPr>
              <w:spacing w:after="0"/>
              <w:rPr>
                <w:sz w:val="7"/>
                <w:szCs w:val="7"/>
                <w:color w:val="auto"/>
              </w:rPr>
            </w:pPr>
          </w:p>
        </w:tc>
        <w:tc>
          <w:tcPr>
            <w:tcW w:w="260" w:type="dxa"/>
            <w:vAlign w:val="bottom"/>
            <w:shd w:val="clear" w:color="auto" w:fill="F3F3F1"/>
          </w:tcPr>
          <w:p>
            <w:pPr>
              <w:spacing w:after="0"/>
              <w:rPr>
                <w:sz w:val="7"/>
                <w:szCs w:val="7"/>
                <w:color w:val="auto"/>
              </w:rPr>
            </w:pPr>
          </w:p>
        </w:tc>
        <w:tc>
          <w:tcPr>
            <w:tcW w:w="2820" w:type="dxa"/>
            <w:vAlign w:val="bottom"/>
            <w:shd w:val="clear" w:color="auto" w:fill="F3F3F1"/>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0" w:type="dxa"/>
            <w:vAlign w:val="bottom"/>
            <w:vMerge w:val="restart"/>
          </w:tcPr>
          <w:p>
            <w:pPr>
              <w:ind w:left="60"/>
              <w:spacing w:after="0"/>
              <w:rPr>
                <w:sz w:val="20"/>
                <w:szCs w:val="20"/>
                <w:color w:val="auto"/>
              </w:rPr>
            </w:pPr>
            <w:r>
              <w:rPr>
                <w:rFonts w:ascii="PMingLiU" w:cs="PMingLiU" w:eastAsia="PMingLiU" w:hAnsi="PMingLiU"/>
                <w:sz w:val="16"/>
                <w:szCs w:val="16"/>
                <w:color w:val="auto"/>
              </w:rPr>
              <w:t>VKDUHGZLWKRXU%RDUGDQGLWV</w:t>
            </w:r>
          </w:p>
        </w:tc>
        <w:tc>
          <w:tcPr>
            <w:tcW w:w="0" w:type="dxa"/>
            <w:vAlign w:val="bottom"/>
          </w:tcPr>
          <w:p>
            <w:pPr>
              <w:spacing w:after="0"/>
              <w:rPr>
                <w:sz w:val="1"/>
                <w:szCs w:val="1"/>
                <w:color w:val="auto"/>
              </w:rPr>
            </w:pPr>
          </w:p>
        </w:tc>
      </w:tr>
      <w:tr>
        <w:trPr>
          <w:trHeight w:val="110"/>
        </w:trPr>
        <w:tc>
          <w:tcPr>
            <w:tcW w:w="260" w:type="dxa"/>
            <w:vAlign w:val="bottom"/>
            <w:shd w:val="clear" w:color="auto" w:fill="F3F3F1"/>
          </w:tcPr>
          <w:p>
            <w:pPr>
              <w:spacing w:after="0"/>
              <w:rPr>
                <w:sz w:val="9"/>
                <w:szCs w:val="9"/>
                <w:color w:val="auto"/>
              </w:rPr>
            </w:pPr>
          </w:p>
        </w:tc>
        <w:tc>
          <w:tcPr>
            <w:tcW w:w="2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shd w:val="clear" w:color="auto" w:fill="4454A7"/>
          </w:tcPr>
          <w:p>
            <w:pPr>
              <w:spacing w:after="0"/>
              <w:rPr>
                <w:sz w:val="9"/>
                <w:szCs w:val="9"/>
                <w:color w:val="auto"/>
              </w:rPr>
            </w:pPr>
          </w:p>
        </w:tc>
        <w:tc>
          <w:tcPr>
            <w:tcW w:w="2820" w:type="dxa"/>
            <w:vAlign w:val="bottom"/>
            <w:vMerge w:val="restart"/>
            <w:shd w:val="clear" w:color="auto" w:fill="4454A7"/>
          </w:tcPr>
          <w:p>
            <w:pPr>
              <w:ind w:left="920"/>
              <w:spacing w:after="0"/>
              <w:rPr>
                <w:sz w:val="20"/>
                <w:szCs w:val="20"/>
                <w:color w:val="auto"/>
              </w:rPr>
            </w:pPr>
            <w:r>
              <w:rPr>
                <w:rFonts w:ascii="PMingLiU" w:cs="PMingLiU" w:eastAsia="PMingLiU" w:hAnsi="PMingLiU"/>
                <w:sz w:val="20"/>
                <w:szCs w:val="20"/>
                <w:b w:val="1"/>
                <w:bCs w:val="1"/>
                <w:color w:val="FFFFFF"/>
              </w:rPr>
              <w:t>&lt;($5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60" w:type="dxa"/>
            <w:vAlign w:val="bottom"/>
            <w:tcBorders>
              <w:bottom w:val="single" w:sz="8" w:color="F3F3F1"/>
            </w:tcBorders>
            <w:shd w:val="clear" w:color="auto" w:fill="F3F3F1"/>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4454A7"/>
            </w:tcBorders>
            <w:shd w:val="clear" w:color="auto" w:fill="4454A7"/>
          </w:tcPr>
          <w:p>
            <w:pPr>
              <w:spacing w:after="0"/>
              <w:rPr>
                <w:sz w:val="24"/>
                <w:szCs w:val="24"/>
                <w:color w:val="auto"/>
              </w:rPr>
            </w:pPr>
          </w:p>
        </w:tc>
        <w:tc>
          <w:tcPr>
            <w:tcW w:w="2820" w:type="dxa"/>
            <w:vAlign w:val="bottom"/>
            <w:tcBorders>
              <w:bottom w:val="single" w:sz="8" w:color="4454A7"/>
            </w:tcBorders>
            <w:vMerge w:val="continue"/>
            <w:shd w:val="clear" w:color="auto" w:fill="4454A7"/>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ind w:left="60"/>
              <w:spacing w:after="0"/>
              <w:rPr>
                <w:sz w:val="20"/>
                <w:szCs w:val="20"/>
                <w:color w:val="auto"/>
              </w:rPr>
            </w:pPr>
            <w:r>
              <w:rPr>
                <w:rFonts w:ascii="PMingLiU" w:cs="PMingLiU" w:eastAsia="PMingLiU" w:hAnsi="PMingLiU"/>
                <w:sz w:val="16"/>
                <w:szCs w:val="16"/>
                <w:color w:val="auto"/>
              </w:rPr>
              <w:t>&amp;RPPLWWHHV</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gridSpan w:val="3"/>
          </w:tcPr>
          <w:p>
            <w:pPr>
              <w:ind w:left="3120"/>
              <w:spacing w:after="0"/>
              <w:rPr>
                <w:sz w:val="20"/>
                <w:szCs w:val="20"/>
                <w:color w:val="auto"/>
              </w:rPr>
            </w:pPr>
            <w:r>
              <w:rPr>
                <w:rFonts w:ascii="PMingLiU" w:cs="PMingLiU" w:eastAsia="PMingLiU" w:hAnsi="PMingLiU"/>
                <w:sz w:val="16"/>
                <w:szCs w:val="16"/>
                <w:b w:val="1"/>
                <w:bCs w:val="1"/>
                <w:color w:val="2D2C36"/>
              </w:rPr>
              <w:t></w:t>
            </w: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([WHUQDOIDFLOLWDWLRQWDUJHWHG</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DVVHVVPHQWRQSUHDJUHHGNH\</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VWUDWHJLFWKHPHV</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3"/>
          </w:tcPr>
          <w:p>
            <w:pPr>
              <w:ind w:left="3120"/>
              <w:spacing w:after="0"/>
              <w:rPr>
                <w:sz w:val="20"/>
                <w:szCs w:val="20"/>
                <w:color w:val="auto"/>
              </w:rPr>
            </w:pPr>
            <w:r>
              <w:rPr>
                <w:rFonts w:ascii="PMingLiU" w:cs="PMingLiU" w:eastAsia="PMingLiU" w:hAnsi="PMingLiU"/>
                <w:sz w:val="16"/>
                <w:szCs w:val="16"/>
                <w:b w:val="1"/>
                <w:bCs w:val="1"/>
                <w:color w:val="2D2C36"/>
              </w:rPr>
              <w:t></w:t>
            </w: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7KLUGSDUW\UXQVDZRUNVKRSZLWK</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RXU%RDUGFRQGXFWVLQGLYLGXDO</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PMingLiU" w:cs="PMingLiU" w:eastAsia="PMingLiU" w:hAnsi="PMingLiU"/>
                <w:sz w:val="16"/>
                <w:szCs w:val="16"/>
                <w:color w:val="auto"/>
              </w:rPr>
              <w:t>LQWHUYLHZVZLWKHDFKGLUHFWRUDQG</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-2559685</wp:posOffset>
            </wp:positionV>
            <wp:extent cx="6238875" cy="292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1">
                      <a:extLst>
                        <a:ext uri="{28A0092B-C50C-407E-A947-70E740481C1C}"/>
                      </a:extLst>
                    </a:blip>
                    <a:srcRect/>
                    <a:stretch>
                      <a:fillRect/>
                    </a:stretch>
                  </pic:blipFill>
                  <pic:spPr bwMode="auto">
                    <a:xfrm>
                      <a:off x="0" y="0"/>
                      <a:ext cx="6238875" cy="2927985"/>
                    </a:xfrm>
                    <a:prstGeom prst="rect">
                      <a:avLst/>
                    </a:prstGeom>
                    <a:noFill/>
                  </pic:spPr>
                </pic:pic>
              </a:graphicData>
            </a:graphic>
          </wp:anchor>
        </w:drawing>
      </w:r>
    </w:p>
    <w:p>
      <w:pPr>
        <w:ind w:left="3820"/>
        <w:spacing w:after="0"/>
        <w:rPr>
          <w:sz w:val="20"/>
          <w:szCs w:val="20"/>
          <w:color w:val="auto"/>
        </w:rPr>
      </w:pPr>
      <w:r>
        <w:rPr>
          <w:rFonts w:ascii="PMingLiU" w:cs="PMingLiU" w:eastAsia="PMingLiU" w:hAnsi="PMingLiU"/>
          <w:sz w:val="16"/>
          <w:szCs w:val="16"/>
          <w:color w:val="auto"/>
        </w:rPr>
        <w:t>SUHVHQWVLWVILQGLQJVLQH[HFXWLYH</w:t>
      </w:r>
    </w:p>
    <w:p>
      <w:pPr>
        <w:ind w:left="3820"/>
        <w:spacing w:after="0"/>
        <w:rPr>
          <w:sz w:val="20"/>
          <w:szCs w:val="20"/>
          <w:color w:val="auto"/>
        </w:rPr>
      </w:pPr>
      <w:r>
        <w:rPr>
          <w:rFonts w:ascii="PMingLiU" w:cs="PMingLiU" w:eastAsia="PMingLiU" w:hAnsi="PMingLiU"/>
          <w:sz w:val="16"/>
          <w:szCs w:val="16"/>
          <w:color w:val="auto"/>
        </w:rPr>
        <w:t>VHVVLRQ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2112645</wp:posOffset>
                </wp:positionH>
                <wp:positionV relativeFrom="paragraph">
                  <wp:posOffset>46990</wp:posOffset>
                </wp:positionV>
                <wp:extent cx="2066925" cy="762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76200"/>
                        </a:xfrm>
                        <a:prstGeom prst="rect">
                          <a:avLst/>
                        </a:prstGeom>
                        <a:solidFill>
                          <a:srgbClr val="F3F3F1"/>
                        </a:solidFill>
                      </wps:spPr>
                      <wps:bodyPr/>
                    </wps:wsp>
                  </a:graphicData>
                </a:graphic>
              </wp:anchor>
            </w:drawing>
          </mc:Choice>
          <mc:Fallback>
            <w:pict>
              <v:rect id="Shape 71" o:spid="_x0000_s1096" style="position:absolute;margin-left:166.35pt;margin-top:3.7pt;width:162.75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4284345</wp:posOffset>
                </wp:positionH>
                <wp:positionV relativeFrom="paragraph">
                  <wp:posOffset>46990</wp:posOffset>
                </wp:positionV>
                <wp:extent cx="2114550" cy="762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76200"/>
                        </a:xfrm>
                        <a:prstGeom prst="rect">
                          <a:avLst/>
                        </a:prstGeom>
                        <a:solidFill>
                          <a:srgbClr val="F3F3F1"/>
                        </a:solidFill>
                      </wps:spPr>
                      <wps:bodyPr/>
                    </wps:wsp>
                  </a:graphicData>
                </a:graphic>
              </wp:anchor>
            </w:drawing>
          </mc:Choice>
          <mc:Fallback>
            <w:pict>
              <v:rect id="Shape 72" o:spid="_x0000_s1097" style="position:absolute;margin-left:337.35pt;margin-top:3.7pt;width:166.5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6236970</wp:posOffset>
                </wp:positionH>
                <wp:positionV relativeFrom="paragraph">
                  <wp:posOffset>123825</wp:posOffset>
                </wp:positionV>
                <wp:extent cx="161925" cy="2286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228600"/>
                        </a:xfrm>
                        <a:prstGeom prst="rect">
                          <a:avLst/>
                        </a:prstGeom>
                        <a:solidFill>
                          <a:srgbClr val="F3F3F1"/>
                        </a:solidFill>
                      </wps:spPr>
                      <wps:bodyPr/>
                    </wps:wsp>
                  </a:graphicData>
                </a:graphic>
              </wp:anchor>
            </w:drawing>
          </mc:Choice>
          <mc:Fallback>
            <w:pict>
              <v:rect id="Shape 73" o:spid="_x0000_s1098" style="position:absolute;margin-left:491.1pt;margin-top:9.75pt;width:12.7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123825</wp:posOffset>
                </wp:positionV>
                <wp:extent cx="161290" cy="22860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290" cy="228600"/>
                        </a:xfrm>
                        <a:prstGeom prst="rect">
                          <a:avLst/>
                        </a:prstGeom>
                        <a:solidFill>
                          <a:srgbClr val="F3F3F1"/>
                        </a:solidFill>
                      </wps:spPr>
                      <wps:bodyPr/>
                    </wps:wsp>
                  </a:graphicData>
                </a:graphic>
              </wp:anchor>
            </w:drawing>
          </mc:Choice>
          <mc:Fallback>
            <w:pict>
              <v:rect id="Shape 74" o:spid="_x0000_s1099" style="position:absolute;margin-left:-0.0999pt;margin-top:9.75pt;width:12.7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160020</wp:posOffset>
                </wp:positionH>
                <wp:positionV relativeFrom="paragraph">
                  <wp:posOffset>123825</wp:posOffset>
                </wp:positionV>
                <wp:extent cx="6076950" cy="2286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6950" cy="228600"/>
                        </a:xfrm>
                        <a:prstGeom prst="rect">
                          <a:avLst/>
                        </a:prstGeom>
                        <a:solidFill>
                          <a:srgbClr val="D0CECA"/>
                        </a:solidFill>
                      </wps:spPr>
                      <wps:bodyPr/>
                    </wps:wsp>
                  </a:graphicData>
                </a:graphic>
              </wp:anchor>
            </w:drawing>
          </mc:Choice>
          <mc:Fallback>
            <w:pict>
              <v:rect id="Shape 75" o:spid="_x0000_s1100" style="position:absolute;margin-left:12.6pt;margin-top:9.75pt;width:478.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CECA" stroked="f"/>
            </w:pict>
          </mc:Fallback>
        </mc:AlternateContent>
      </w:r>
    </w:p>
    <w:p>
      <w:pPr>
        <w:spacing w:after="0" w:line="247" w:lineRule="exact"/>
        <w:rPr>
          <w:sz w:val="20"/>
          <w:szCs w:val="20"/>
          <w:color w:val="auto"/>
        </w:rPr>
      </w:pPr>
    </w:p>
    <w:p>
      <w:pPr>
        <w:ind w:left="2000"/>
        <w:spacing w:after="0"/>
        <w:rPr>
          <w:sz w:val="20"/>
          <w:szCs w:val="20"/>
          <w:color w:val="auto"/>
        </w:rPr>
      </w:pPr>
      <w:r>
        <w:rPr>
          <w:rFonts w:ascii="PMingLiU" w:cs="PMingLiU" w:eastAsia="PMingLiU" w:hAnsi="PMingLiU"/>
          <w:sz w:val="16"/>
          <w:szCs w:val="16"/>
          <w:b w:val="1"/>
          <w:bCs w:val="1"/>
          <w:color w:val="000046"/>
        </w:rPr>
        <w:t>2XU1RPLQDWLQJ&amp;RPPLWWHHGHYHORSVDQDFWLRQSODQWRDGGUHVVDQ\NH\ILQGLQJV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60960</wp:posOffset>
                </wp:positionV>
                <wp:extent cx="6400165" cy="12382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23825"/>
                        </a:xfrm>
                        <a:prstGeom prst="rect">
                          <a:avLst/>
                        </a:prstGeom>
                        <a:solidFill>
                          <a:srgbClr val="F3F3F1"/>
                        </a:solidFill>
                      </wps:spPr>
                      <wps:bodyPr/>
                    </wps:wsp>
                  </a:graphicData>
                </a:graphic>
              </wp:anchor>
            </w:drawing>
          </mc:Choice>
          <mc:Fallback>
            <w:pict>
              <v:rect id="Shape 76" o:spid="_x0000_s1101" style="position:absolute;margin-left:-0.0999pt;margin-top:4.8pt;width:503.9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drawing>
          <wp:anchor simplePos="0" relativeHeight="251657728" behindDoc="1" locked="0" layoutInCell="0" allowOverlap="1">
            <wp:simplePos x="0" y="0"/>
            <wp:positionH relativeFrom="column">
              <wp:posOffset>4979035</wp:posOffset>
            </wp:positionH>
            <wp:positionV relativeFrom="paragraph">
              <wp:posOffset>378460</wp:posOffset>
            </wp:positionV>
            <wp:extent cx="1386840" cy="233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9820"/>
          </w:cols>
          <w:pgMar w:left="900" w:top="377" w:right="1159" w:bottom="0" w:gutter="0" w:footer="0" w:header="0"/>
        </w:sectPr>
      </w:pPr>
    </w:p>
    <w:bookmarkStart w:id="16" w:name="page17"/>
    <w:bookmarkEnd w:id="16"/>
    <w:p>
      <w:pPr>
        <w:ind w:left="89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6198870</wp:posOffset>
                </wp:positionH>
                <wp:positionV relativeFrom="page">
                  <wp:posOffset>1270</wp:posOffset>
                </wp:positionV>
                <wp:extent cx="771525" cy="41910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19100"/>
                        </a:xfrm>
                        <a:prstGeom prst="rect">
                          <a:avLst/>
                        </a:prstGeom>
                        <a:solidFill>
                          <a:srgbClr val="5C004D"/>
                        </a:solidFill>
                      </wps:spPr>
                      <wps:bodyPr/>
                    </wps:wsp>
                  </a:graphicData>
                </a:graphic>
              </wp:anchor>
            </w:drawing>
          </mc:Choice>
          <mc:Fallback>
            <w:pict>
              <v:rect id="Shape 78" o:spid="_x0000_s1103" style="position:absolute;margin-left:488.1pt;margin-top:0.1pt;width:6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285%2$5'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%RDUG5HIUHVKPHQW</w:t>
      </w:r>
    </w:p>
    <w:p>
      <w:pPr>
        <w:spacing w:after="0" w:line="219" w:lineRule="exact"/>
        <w:rPr>
          <w:sz w:val="20"/>
          <w:szCs w:val="20"/>
          <w:color w:val="auto"/>
        </w:rPr>
      </w:pPr>
    </w:p>
    <w:p>
      <w:pPr>
        <w:ind w:right="100"/>
        <w:spacing w:after="0" w:line="359" w:lineRule="auto"/>
        <w:rPr>
          <w:sz w:val="20"/>
          <w:szCs w:val="20"/>
          <w:color w:val="auto"/>
        </w:rPr>
      </w:pPr>
      <w:r>
        <w:rPr>
          <w:rFonts w:ascii="PMingLiU" w:cs="PMingLiU" w:eastAsia="PMingLiU" w:hAnsi="PMingLiU"/>
          <w:sz w:val="14"/>
          <w:szCs w:val="14"/>
          <w:color w:val="auto"/>
        </w:rPr>
        <w:t>:KLOHZHEHOLHYHLWLVFULWLFDOWKDWRXU%RDUGKDVWKHULJKWPL[RITXDOLILFDWLRQVVNLOOVDQGH[SHULHQFHZHDOVRUHFRJQL]HWKH EHQHILWDQGLPSRUWDQFHRIIUHVKSHUVSHFWLYHVDQGDQRUGHUO\DSSURDFKWRERDUGVXFFHVVLRQSODQQLQJ2XU1RPLQDWLQJ &amp;RPPLWWHHUHJXODUO\UHYLHZVWKHFRPSRVLWLRQRIRXU%RDUGDQGDVVHVVHVWKHTXDOLILFDWLRQVVNLOOVDQGH[SHULHQFHRIRXU GLUHFWRUVWRHQVXUHWKHFRPSRVLWLRQRIRXU%RDUGFRQWLQXHVWRVXSSRUWRXUHYROYLQJVWUDWHJ\DQGWKHORQJWHUPLQWHUHVWVRI VKDUHKROGHUV,QDVVHVVLQJZKHWKHUWRUHIUHVKRXU%RDUGZLWKQHZGLUHFWRUVWKH1RPLQDWLQJ&amp;RPPLWWHHDOVRFRQVLGHUVWKH WHQXUHFDSDFLW\DQGFRQWULEXWLRQVRIWKHLQFXPEHQWGLUHFWRUV2XUERDUGEHOLHYHVWKDWDPL[RIORQJPHGLXPDQGVKRUW WHQXUHGGLUHFWRUVSURPRWHVDQDSSURSULDWHEDODQFHRILQVWLWXWLRQDONQRZOHGJHDQGFRQWLQXLQJZLWKQHZVNLOOVDQGSHUVSHFWLYHV</w:t>
      </w:r>
    </w:p>
    <w:p>
      <w:pPr>
        <w:spacing w:after="0" w:line="98"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2XU%RDUGKDVDQDFWLYH%RDUGUHIUHVKPHQWSURJUDPDQGKDVHQJDJHGLQVLJQLILFDQW%RDUGUHIUHVKPHQWDFWLYLWLHVVLQFH FRQVLGHULQJFDQGLGDWHVVXJJHVWHGE\RXU%RDUGDQGLWVFRPPLWWHHPHPEHUVVHQLRUPDQDJHPHQWDQGH[WHUQDOVHDUFKILUPVLQ RUGHUWRIXUWKHUVWUHQJWKHQRXU%RDUG¶VH[SHUWLVHLQWDUJHWHGDUHDVRILPSRUWDQFHWRRXU&amp;RPSDQ\¶VVWUDWHJ\7KHIROORZLQJ GLUHFWRUVKDYHEHHQDGGHGWRRXU%RDUGVLQFH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130810</wp:posOffset>
            </wp:positionV>
            <wp:extent cx="914400" cy="914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3">
                      <a:extLst>
                        <a:ext uri="{28A0092B-C50C-407E-A947-70E740481C1C}"/>
                      </a:extLst>
                    </a:blip>
                    <a:srcRect/>
                    <a:stretch>
                      <a:fillRect/>
                    </a:stretch>
                  </pic:blipFill>
                  <pic:spPr bwMode="auto">
                    <a:xfrm>
                      <a:off x="0" y="0"/>
                      <a:ext cx="914400" cy="9144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130810</wp:posOffset>
            </wp:positionV>
            <wp:extent cx="914400" cy="914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4">
                      <a:extLst>
                        <a:ext uri="{28A0092B-C50C-407E-A947-70E740481C1C}"/>
                      </a:extLst>
                    </a:blip>
                    <a:srcRect/>
                    <a:stretch>
                      <a:fillRect/>
                    </a:stretch>
                  </pic:blipFill>
                  <pic:spPr bwMode="auto">
                    <a:xfrm>
                      <a:off x="0" y="0"/>
                      <a:ext cx="914400" cy="91440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130810</wp:posOffset>
            </wp:positionV>
            <wp:extent cx="914400" cy="914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5">
                      <a:extLst>
                        <a:ext uri="{28A0092B-C50C-407E-A947-70E740481C1C}"/>
                      </a:extLst>
                    </a:blip>
                    <a:srcRect/>
                    <a:stretch>
                      <a:fillRect/>
                    </a:stretch>
                  </pic:blipFill>
                  <pic:spPr bwMode="auto">
                    <a:xfrm>
                      <a:off x="0" y="0"/>
                      <a:ext cx="914400" cy="914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130810</wp:posOffset>
            </wp:positionV>
            <wp:extent cx="914400" cy="914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6">
                      <a:extLst>
                        <a:ext uri="{28A0092B-C50C-407E-A947-70E740481C1C}"/>
                      </a:extLst>
                    </a:blip>
                    <a:srcRect/>
                    <a:stretch>
                      <a:fillRect/>
                    </a:stretch>
                  </pic:blipFill>
                  <pic:spPr bwMode="auto">
                    <a:xfrm>
                      <a:off x="0" y="0"/>
                      <a:ext cx="914400" cy="914400"/>
                    </a:xfrm>
                    <a:prstGeom prst="rect">
                      <a:avLst/>
                    </a:prstGeom>
                    <a:noFill/>
                  </pic:spPr>
                </pic:pic>
              </a:graphicData>
            </a:graphic>
          </wp:anchor>
        </w:drawing>
      </w:r>
    </w:p>
    <w:p>
      <w:pPr>
        <w:sectPr>
          <w:pgSz w:w="11880" w:h="15479" w:orient="portrait"/>
          <w:cols w:equalWidth="0" w:num="1">
            <w:col w:w="10120"/>
          </w:cols>
          <w:pgMar w:left="900" w:top="377" w:right="8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PMingLiU" w:cs="PMingLiU" w:eastAsia="PMingLiU" w:hAnsi="PMingLiU"/>
          <w:sz w:val="18"/>
          <w:szCs w:val="18"/>
          <w:b w:val="1"/>
          <w:bCs w:val="1"/>
          <w:color w:val="000046"/>
        </w:rPr>
        <w:t>3DWULFN.HQQHG\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0"/>
        <w:spacing w:after="0"/>
        <w:rPr>
          <w:sz w:val="20"/>
          <w:szCs w:val="20"/>
          <w:color w:val="auto"/>
        </w:rPr>
      </w:pPr>
      <w:r>
        <w:rPr>
          <w:rFonts w:ascii="PMingLiU" w:cs="PMingLiU" w:eastAsia="PMingLiU" w:hAnsi="PMingLiU"/>
          <w:sz w:val="20"/>
          <w:szCs w:val="20"/>
          <w:b w:val="1"/>
          <w:bCs w:val="1"/>
          <w:color w:val="000046"/>
        </w:rPr>
        <w:t>/DXUD-+DPLOO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00046"/>
        </w:rPr>
        <w:t>5HQHH'*DOD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00046"/>
        </w:rPr>
        <w:t>7HG:/RYH0'</w:t>
      </w:r>
    </w:p>
    <w:p>
      <w:pPr>
        <w:spacing w:after="0" w:line="66" w:lineRule="exact"/>
        <w:rPr>
          <w:sz w:val="20"/>
          <w:szCs w:val="20"/>
          <w:color w:val="auto"/>
        </w:rPr>
      </w:pPr>
    </w:p>
    <w:p>
      <w:pPr>
        <w:sectPr>
          <w:pgSz w:w="11880" w:h="15479" w:orient="portrait"/>
          <w:cols w:equalWidth="0" w:num="4">
            <w:col w:w="2300" w:space="720"/>
            <w:col w:w="1820" w:space="720"/>
            <w:col w:w="1580" w:space="720"/>
            <w:col w:w="2260"/>
          </w:cols>
          <w:pgMar w:left="900" w:top="377" w:right="859" w:bottom="0" w:gutter="0" w:footer="0" w:header="0"/>
          <w:type w:val="continuous"/>
        </w:sectPr>
      </w:pPr>
    </w:p>
    <w:p>
      <w:pPr>
        <w:ind w:left="760"/>
        <w:spacing w:after="0"/>
        <w:rPr>
          <w:sz w:val="20"/>
          <w:szCs w:val="20"/>
          <w:color w:val="auto"/>
        </w:rPr>
      </w:pPr>
      <w:r>
        <w:rPr>
          <w:rFonts w:ascii="PMingLiU" w:cs="PMingLiU" w:eastAsia="PMingLiU" w:hAnsi="PMingLiU"/>
          <w:sz w:val="18"/>
          <w:szCs w:val="18"/>
          <w:color w:val="000046"/>
        </w:rPr>
        <w:t>0DUFK</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PMingLiU" w:cs="PMingLiU" w:eastAsia="PMingLiU" w:hAnsi="PMingLiU"/>
          <w:sz w:val="18"/>
          <w:szCs w:val="18"/>
          <w:color w:val="000046"/>
        </w:rPr>
        <w:t>-XO\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8"/>
          <w:szCs w:val="18"/>
          <w:color w:val="000046"/>
        </w:rPr>
        <w:t>$XJXVW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8"/>
          <w:szCs w:val="18"/>
          <w:color w:val="000046"/>
        </w:rPr>
        <w:t>'HFHPEHU</w:t>
      </w:r>
    </w:p>
    <w:p>
      <w:pPr>
        <w:spacing w:after="0" w:line="200" w:lineRule="exact"/>
        <w:rPr>
          <w:sz w:val="20"/>
          <w:szCs w:val="20"/>
          <w:color w:val="auto"/>
        </w:rPr>
      </w:pPr>
    </w:p>
    <w:p>
      <w:pPr>
        <w:sectPr>
          <w:pgSz w:w="11880" w:h="15479" w:orient="portrait"/>
          <w:cols w:equalWidth="0" w:num="4">
            <w:col w:w="2620" w:space="720"/>
            <w:col w:w="1660" w:space="720"/>
            <w:col w:w="1640" w:space="720"/>
            <w:col w:w="2040"/>
          </w:cols>
          <w:pgMar w:left="900" w:top="377" w:right="859" w:bottom="0" w:gutter="0" w:footer="0" w:header="0"/>
          <w:type w:val="continuous"/>
        </w:sectPr>
      </w:pPr>
    </w:p>
    <w:p>
      <w:pPr>
        <w:spacing w:after="0" w:line="123" w:lineRule="exact"/>
        <w:rPr>
          <w:sz w:val="20"/>
          <w:szCs w:val="20"/>
          <w:color w:val="auto"/>
        </w:rPr>
      </w:pPr>
    </w:p>
    <w:p>
      <w:pPr>
        <w:ind w:right="40"/>
        <w:spacing w:after="0" w:line="319" w:lineRule="auto"/>
        <w:rPr>
          <w:sz w:val="20"/>
          <w:szCs w:val="20"/>
          <w:color w:val="auto"/>
        </w:rPr>
      </w:pPr>
      <w:r>
        <w:rPr>
          <w:rFonts w:ascii="PMingLiU" w:cs="PMingLiU" w:eastAsia="PMingLiU" w:hAnsi="PMingLiU"/>
          <w:sz w:val="15"/>
          <w:szCs w:val="15"/>
          <w:color w:val="auto"/>
        </w:rPr>
        <w:t>$OOQRPLQHHVIRUHOHFWLRQWRRXU%RDUGLQFOXGLQJQHZFDQGLGDWHVDQGQRPLQHHVIRUUHHOHFWLRQVKDOOEHDSSURYHGE\DPDMRULW\ RIRXU%RDUGXSRQUHFRPPHQGDWLRQRIRXU1RPLQDWLQJ&amp;RPPLWWHH2XU%RDUGGHOHJDWHVWKHUHVSRQVLELOLW\IRULGHQWLI\LQJ</w:t>
      </w:r>
    </w:p>
    <w:p>
      <w:pPr>
        <w:spacing w:after="0" w:line="1"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UHYLHZLQJDQGHYDOXDWLQJQHZGLUHFWRUVDQGQRPLQHHVIRUUHHOHFWLRQDQGUHODWHGDFWLYLWLHVWRRXU1RPLQDWLQJ&amp;RPPLWWHH LQFOXGLQJFRQGXFWLQJDSSURSULDWHDQGQHFHVVDU\LQTXLULHVLQWRWKHEDFNJURXQGVDQGTXDOLILFDWLRQVRISRVVLEOHFDQGLGDWHVZLWK WKHH[SHFWDWLRQWKDWRWKHUPHPEHUVRIRXU%RDUGDQGPDQDJHPHQWZLOOWDNHSDUWLQWKHSURFHVVDVDSSURSULDWH(DFKGLUHFWRU DQGQRPLQHHIRUGLUHFWRUVKRXOGSRVVHVVWKHIROORZLQJPLQLPXPTXDOLILFDWLRQVLWKHKLJKHVWSHUVRQDOLQWHJULW\DQGHWKLFVLL EURDGH[SHULHQFHDWWKHSROLF\PDNLQJOHYHOLQEXVLQHVVJRYHUQPHQWHGXFDWLRQVFLHQFHRUSXEOLFLQWHUHVWHQWLWLHVLLLD</w:t>
      </w:r>
    </w:p>
    <w:p>
      <w:pPr>
        <w:spacing w:after="0" w:line="1" w:lineRule="exact"/>
        <w:rPr>
          <w:sz w:val="20"/>
          <w:szCs w:val="20"/>
          <w:color w:val="auto"/>
        </w:rPr>
      </w:pPr>
    </w:p>
    <w:p>
      <w:pPr>
        <w:ind w:right="240"/>
        <w:spacing w:after="0" w:line="398" w:lineRule="auto"/>
        <w:rPr>
          <w:sz w:val="20"/>
          <w:szCs w:val="20"/>
          <w:color w:val="auto"/>
        </w:rPr>
      </w:pPr>
      <w:r>
        <w:rPr>
          <w:rFonts w:ascii="PMingLiU" w:cs="PMingLiU" w:eastAsia="PMingLiU" w:hAnsi="PMingLiU"/>
          <w:sz w:val="15"/>
          <w:szCs w:val="15"/>
          <w:color w:val="auto"/>
        </w:rPr>
        <w:t>FRPPLWPHQWWRHQKDQFLQJVKDUHKROGHUYDOXHDQGRXU&amp;RPSDQ\¶VORQJWHUPJURZWKDQGLYVXIILFLHQWWLPHWRFDUU\RXWKLVRU KHUGXWLHV$QLQYLWDWLRQWRMRLQRXU%RDUGVKRXOGEHH[WHQGHGE\RXU&amp;KDLUSHUVRQRURXU/,'RQEHKDOIRIRXU%RDUG</w:t>
      </w:r>
    </w:p>
    <w:p>
      <w:pPr>
        <w:spacing w:after="0" w:line="83"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'LUHFWRU5H1RPLQDWLRQV</w:t>
      </w:r>
    </w:p>
    <w:p>
      <w:pPr>
        <w:spacing w:after="0" w:line="219" w:lineRule="exact"/>
        <w:rPr>
          <w:sz w:val="20"/>
          <w:szCs w:val="20"/>
          <w:color w:val="auto"/>
        </w:rPr>
      </w:pPr>
    </w:p>
    <w:p>
      <w:pPr>
        <w:ind w:right="160"/>
        <w:spacing w:after="0" w:line="398" w:lineRule="auto"/>
        <w:rPr>
          <w:sz w:val="20"/>
          <w:szCs w:val="20"/>
          <w:color w:val="auto"/>
        </w:rPr>
      </w:pPr>
      <w:r>
        <w:rPr>
          <w:rFonts w:ascii="PMingLiU" w:cs="PMingLiU" w:eastAsia="PMingLiU" w:hAnsi="PMingLiU"/>
          <w:sz w:val="15"/>
          <w:szCs w:val="15"/>
          <w:color w:val="auto"/>
        </w:rPr>
        <w:t>,QGHWHUPLQLQJZKHWKHUWRUHFRPPHQGDUHQRPLQDWLRQRIDQLQFXPEHQWGLUHFWRUIRUHOHFWLRQDWWKHQH[W$*0RXU1RPLQDWLQJ &amp;RPPLWWHHDOVRFRQVLGHUVWKHVHDGGLWLRQDOIDFWRUV</w:t>
      </w:r>
    </w:p>
    <w:p>
      <w:pPr>
        <w:spacing w:after="0" w:line="6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WKHLPSRUWDQFHRIERDUGUHIUHVKPHQW</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WKHH[WHQWWRZKLFKWKHGLUHFWRU¶VVNLOOVH[SHULHQFHDQGTXDOLILFDWLRQVFRQWLQXHWRFRQWULEXWHWRWKH%RDUG¶VHIIHFWLYHQHVV</w:t>
      </w:r>
    </w:p>
    <w:p>
      <w:pPr>
        <w:spacing w:after="0" w:line="20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WKHUHVXOWVRIRXU%RDUG¶VVHOIHYDOXDWLRQSURFHVV</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WKHGLUHFWRU¶VSHUIRUPDQFHTXDOLW\</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WKHRWKHUWLPHFRPPLWPHQWVRIGLUHFWRUV</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DQ\UHODWLRQVKLSVRUWUDQVDFWLRQVWKDWPLJKWDIIHFWWKHGLUHFWRU¶VLQGHSHQGHQFH</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DWWHQGDQFHDQGOHYHORISDUWLFLSDWLRQDW%RDUGDQGFRPPLWWHHPHHWLQJVDQGWKH$*0DQG</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VKDUHKROGHUIHHGEDFNLQFOXGLQJWKHVXSSRUWUHFHLYHGDWWKHODVWDQQXDOPHHWLQJRIVKDUHKROGHUV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855345</wp:posOffset>
            </wp:positionV>
            <wp:extent cx="1386840" cy="233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520"/>
        <w:spacing w:after="0"/>
        <w:tabs>
          <w:tab w:leader="none" w:pos="99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type w:val="continuous"/>
        </w:sectPr>
      </w:pPr>
    </w:p>
    <w:bookmarkStart w:id="17" w:name="page18"/>
    <w:bookmarkEnd w:id="1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771525" cy="4191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19100"/>
                        </a:xfrm>
                        <a:prstGeom prst="rect">
                          <a:avLst/>
                        </a:prstGeom>
                        <a:solidFill>
                          <a:srgbClr val="5C004D"/>
                        </a:solidFill>
                      </wps:spPr>
                      <wps:bodyPr/>
                    </wps:wsp>
                  </a:graphicData>
                </a:graphic>
              </wp:anchor>
            </w:drawing>
          </mc:Choice>
          <mc:Fallback>
            <w:pict>
              <v:rect id="Shape 84" o:spid="_x0000_s1109" style="position:absolute;margin-left:44.85pt;margin-top:0.1pt;width:6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285%2$5'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'LUHFWRU7HUP/LPLWVDQG0DQGDWRU\5HWLUHPHQW$JH</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4"/>
          <w:szCs w:val="14"/>
          <w:color w:val="auto"/>
        </w:rPr>
        <w:t>2XU%RDUGGRHVQRWEHOLHYHWKDWHVWDEOLVKLQJWHUPOLPLWVRUDPDQGDWRU\UHWLUHPHQWDJHZRXOGEHLQWKHEHVWLQWHUHVWVRIRXU</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&amp;RPSDQ\RULWVVKDUHKROGHUVDVDPDQGDWRU\UHWLUHPHQWDJHPD\UHVXOWLQORVLQJWKHFRQWULEXWLRQRIGLUHFWRUVZKRRYHUWLPH</w:t>
      </w:r>
    </w:p>
    <w:p>
      <w:pPr>
        <w:spacing w:after="0" w:line="60"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KDYHGHYHORSHGLQFUHDVLQJLQVLJKWLQWRRXU&amp;RPSDQ\DQGLWVRSHUDWLRQVDQGSURYLGHDYDOXDEOHFRQWULEXWLRQWRRXU&amp;RPSDQ\ DQGRXU%RDUG$VDQDOWHUQDWLYHWRWHUPOLPLWVDQGDPDQGDWRU\UHWLUHPHQWDJHRXU%RDUGDQG1RPLQDWLQJ&amp;RPPLWWHHVWULYHV</w:t>
      </w:r>
    </w:p>
    <w:p>
      <w:pPr>
        <w:spacing w:after="0" w:line="443" w:lineRule="auto"/>
        <w:rPr>
          <w:sz w:val="20"/>
          <w:szCs w:val="20"/>
          <w:color w:val="auto"/>
        </w:rPr>
      </w:pPr>
      <w:r>
        <w:rPr>
          <w:rFonts w:ascii="PMingLiU" w:cs="PMingLiU" w:eastAsia="PMingLiU" w:hAnsi="PMingLiU"/>
          <w:sz w:val="14"/>
          <w:szCs w:val="14"/>
          <w:color w:val="auto"/>
        </w:rPr>
        <w:t>WRHQVXUHWKDWZHPDLQWDLQRXUFRPPLWPHQWWRERDUGUHIUHVKPHQWDQGHQKDQFLQJHIIHFWLYHQHVVDQGWKDWWKHFRPSRVLWLRQRIRXU %RDUGUHIOHFWVWKHQHHGVRIRXU&amp;RPSDQ\</w:t>
      </w:r>
    </w:p>
    <w:p>
      <w:pPr>
        <w:spacing w:after="0" w:line="60" w:lineRule="exact"/>
        <w:rPr>
          <w:sz w:val="20"/>
          <w:szCs w:val="20"/>
          <w:color w:val="auto"/>
        </w:rPr>
      </w:pPr>
    </w:p>
    <w:p>
      <w:pPr>
        <w:spacing w:after="0"/>
        <w:rPr>
          <w:sz w:val="20"/>
          <w:szCs w:val="20"/>
          <w:color w:val="auto"/>
        </w:rPr>
      </w:pPr>
      <w:r>
        <w:rPr>
          <w:rFonts w:ascii="PMingLiU" w:cs="PMingLiU" w:eastAsia="PMingLiU" w:hAnsi="PMingLiU"/>
          <w:sz w:val="32"/>
          <w:szCs w:val="32"/>
          <w:color w:val="5C004D"/>
        </w:rPr>
        <w:t>3URFHVVIRU6KDUHKROGHUVWR5HFRPPHQG'LUHFWRU1RPLQHHV</w:t>
      </w:r>
    </w:p>
    <w:p>
      <w:pPr>
        <w:spacing w:after="0" w:line="219" w:lineRule="exact"/>
        <w:rPr>
          <w:sz w:val="20"/>
          <w:szCs w:val="20"/>
          <w:color w:val="auto"/>
        </w:rPr>
      </w:pPr>
    </w:p>
    <w:p>
      <w:pPr>
        <w:ind w:right="120"/>
        <w:spacing w:after="0" w:line="1140" w:lineRule="auto"/>
        <w:rPr>
          <w:sz w:val="20"/>
          <w:szCs w:val="20"/>
          <w:color w:val="auto"/>
        </w:rPr>
      </w:pPr>
      <w:r>
        <w:rPr>
          <w:rFonts w:ascii="PMingLiU" w:cs="PMingLiU" w:eastAsia="PMingLiU" w:hAnsi="PMingLiU"/>
          <w:sz w:val="7"/>
          <w:szCs w:val="7"/>
          <w:color w:val="auto"/>
        </w:rPr>
        <w:t>2XU1RPLQDWLQJ&amp;RPPLWWHHFRQVLGHUVGLUHFWRUFDQGLGDWHVUHFRPPHQGHGE\VKDUHKROGHUVRQDFDVHE\FDVHEDVLVDV DSSURSULDWH6KDUHKROGHUVZLVKLQJWRUHFRPPHQGLQGLYLGXDOVIRUFRQVLGHUDWLRQE\RXU1RPLQDWLQJ&amp;RPPLWWHHPD\GRVRE\ GHOLYHULQJDZULWWHQUHFRPPHQGDWLRQWRRXU&amp;RPSDQ\6HFUHWDU\DW)LIWK)ORRU:DWHUORR([FKDQJH:DWHUORR5RDG'XEOLQ ,UHODQGZLWKWKHFDQGLGDWH¶VQDPHELRJUDSKLFDOGDWDDQGTXDOLILFDWLRQVDQGDGRFXPHQWLQGLFDWLQJWKHFDQGLGDWH¶VZLOOLQJQHVV WRVHUYHLIHOHFWHG2XU1RPLQDWLQJ&amp;RPPLWWHHGRHVQRWLQWHQGWRDOWHUWKHPDQQHULQZKLFKLWHYDOXDWHVFDQGLGDWHVEDVHGRQ</w:t>
      </w:r>
    </w:p>
    <w:p>
      <w:pPr>
        <w:spacing w:after="0" w:line="1" w:lineRule="exact"/>
        <w:rPr>
          <w:sz w:val="20"/>
          <w:szCs w:val="20"/>
          <w:color w:val="auto"/>
        </w:rPr>
      </w:pPr>
    </w:p>
    <w:p>
      <w:pPr>
        <w:ind w:right="140"/>
        <w:spacing w:after="0" w:line="398" w:lineRule="auto"/>
        <w:rPr>
          <w:sz w:val="20"/>
          <w:szCs w:val="20"/>
          <w:color w:val="auto"/>
        </w:rPr>
      </w:pPr>
      <w:r>
        <w:rPr>
          <w:rFonts w:ascii="PMingLiU" w:cs="PMingLiU" w:eastAsia="PMingLiU" w:hAnsi="PMingLiU"/>
          <w:sz w:val="15"/>
          <w:szCs w:val="15"/>
          <w:color w:val="auto"/>
        </w:rPr>
        <w:t>ZKHWKHUWKHFDQGLGDWHZDVUHFRPPHQGHGE\DVKDUHKROGHURUQRW7RGDWHRXU1RPLQDWLQJ&amp;RPPLWWHHKDVQRWUHFHLYHGDQ\ VXFKQRPLQDWLRQVIRURXU$*0QRUKDVLWUHMHFWHGDGLUHFWRUQRPLQHHIURPDVKDUHKROGHURUVKDUHKROGHUV</w:t>
      </w:r>
    </w:p>
    <w:p>
      <w:pPr>
        <w:spacing w:after="0" w:line="83"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'LUHFWRU&amp;RPPLWPHQWV</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5"/>
          <w:szCs w:val="15"/>
          <w:color w:val="auto"/>
        </w:rPr>
        <w:t>2XU&amp;RUSRUDWH*RYHUQDQFH*XLGHOLQHVSURYLGHWKDWRXUGLUHFWRUVPD\QRWVHUYHRQPRUHWKDQILYHSXEOLFFRPSDQ\ERDUGVRI</w:t>
      </w:r>
    </w:p>
    <w:p>
      <w:pPr>
        <w:spacing w:after="0" w:line="60" w:lineRule="exact"/>
        <w:rPr>
          <w:sz w:val="20"/>
          <w:szCs w:val="20"/>
          <w:color w:val="auto"/>
        </w:rPr>
      </w:pPr>
    </w:p>
    <w:p>
      <w:pPr>
        <w:ind w:right="540"/>
        <w:spacing w:after="0" w:line="358" w:lineRule="auto"/>
        <w:rPr>
          <w:sz w:val="20"/>
          <w:szCs w:val="20"/>
          <w:color w:val="auto"/>
        </w:rPr>
      </w:pPr>
      <w:r>
        <w:rPr>
          <w:rFonts w:ascii="PMingLiU" w:cs="PMingLiU" w:eastAsia="PMingLiU" w:hAnsi="PMingLiU"/>
          <w:sz w:val="15"/>
          <w:szCs w:val="15"/>
          <w:color w:val="auto"/>
        </w:rPr>
        <w:t>GLUHFWRUVLQFOXGLQJRXU%RDUGDQGGLUHFWRUVZKRDUHFKLHIH[HFXWLYHRIILFHUVRIDSXEOLFFRPSDQ\PD\QRWVHUYHRQWKH ERDUGVRIPRUHWKDQWKUHHSXEOLFFRPSDQ\ERDUGVRIGLUHFWRUVLQFOXGLQJRXU%RDUG$OORXUGLUHFWRUVDUHFXUUHQWO\LQ FRPSOLDQFHZLWKRXU&amp;RUSRUDWH*RYHUQDQFH*XLGHOLQHV</w:t>
      </w:r>
    </w:p>
    <w:p>
      <w:pPr>
        <w:spacing w:after="0" w:line="93" w:lineRule="exact"/>
        <w:rPr>
          <w:sz w:val="20"/>
          <w:szCs w:val="20"/>
          <w:color w:val="auto"/>
        </w:rPr>
      </w:pPr>
    </w:p>
    <w:p>
      <w:pPr>
        <w:ind w:right="20"/>
        <w:spacing w:after="0" w:line="359" w:lineRule="auto"/>
        <w:rPr>
          <w:sz w:val="20"/>
          <w:szCs w:val="20"/>
          <w:color w:val="auto"/>
        </w:rPr>
      </w:pPr>
      <w:r>
        <w:rPr>
          <w:rFonts w:ascii="PMingLiU" w:cs="PMingLiU" w:eastAsia="PMingLiU" w:hAnsi="PMingLiU"/>
          <w:sz w:val="14"/>
          <w:szCs w:val="14"/>
          <w:color w:val="auto"/>
        </w:rPr>
        <w:t>2XU%RDUGDFWLQJDORQHRUWKURXJKRXU1RPLQDWLQJ&amp;RPPLWWHHUHYLHZVZKHWKHUHDFKGLUHFWRUFRQWLQXHVWRKDYHVXIILFLHQWWLPH DQGDWWHQWLRQWRPHHWWKHUHVSRQVLELOLWLHVRI%RDUGPHPEHUVKLSZKLFKLQFOXGHVDQDQQXDOUHYLHZRIWKHGLUHFWRU¶VVHUYLFHRQ ERDUGVDQGERDUGFRPPLWWHHVRIRWKHUFRPSDQLHVDQGWKHFRQWLQXHGDSSURSULDWHQHVVRIWKHGLUHFWRU¶V%RDUGPHPEHUVKLS XQGHUWKHVSHFLILFFLUFXPVWDQFHV:HPRQLWRURXUGLUHFWRUV¶WLPHFRPPLWPHQWVWKURXJKRXWWKH\HDU'LUHFWRUVDUHDOVR UHTXLUHGWRVHHNSULRUDSSURYDOIURPRXU&amp;KDLUSHUVRQ/,'DQGFKDLURIRXU1RPLQDWLQJ&amp;RPPLWWHHEHIRUHDFFHSWLQJDQ LQYLWDWLRQWRVHUYHRQDQ\DGGLWLRQDOERDUGRIGLUHFWRUV,QDGGLWLRQVHUYLFHRQERDUGVDQGERDUGFRPPLWWHHVRIRWKHU FRPSDQLHVVKRXOGEHFRQVLVWHQWZLWKRXU&amp;RPSDQ\¶VFRQIOLFWRILQWHUHVWSROLFLHV</w:t>
      </w:r>
    </w:p>
    <w:p>
      <w:pPr>
        <w:spacing w:after="0" w:line="98" w:lineRule="exact"/>
        <w:rPr>
          <w:sz w:val="20"/>
          <w:szCs w:val="20"/>
          <w:color w:val="auto"/>
        </w:rPr>
      </w:pPr>
    </w:p>
    <w:p>
      <w:pPr>
        <w:ind w:right="300"/>
        <w:spacing w:after="0" w:line="392" w:lineRule="auto"/>
        <w:rPr>
          <w:sz w:val="20"/>
          <w:szCs w:val="20"/>
          <w:color w:val="auto"/>
        </w:rPr>
      </w:pPr>
      <w:r>
        <w:rPr>
          <w:rFonts w:ascii="PMingLiU" w:cs="PMingLiU" w:eastAsia="PMingLiU" w:hAnsi="PMingLiU"/>
          <w:sz w:val="14"/>
          <w:szCs w:val="14"/>
          <w:color w:val="auto"/>
        </w:rPr>
        <w:t>2XU1RPLQDWLQJ&amp;RPPLWWHHUHYLHZVRXURYHUERDUGLQJSROLF\DVSDUWRILWVDQQXDOUHYLHZRIRXU&amp;RUSRUDWH*RYHUQDQFH *XLGHOLQHV:HDOVRUHYLHZWKHRYHUERDUGLQJSROLFLHVRIRXULQVWLWXWLRQDOVKDUHKROGHUVRQDQRQJRLQJEDVLVDVDSSURSULDWH DQGGLVFXVVVXFKSROLFLHVGXULQJVKDUHKROGHUHQJDJHPHQWV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2955290</wp:posOffset>
            </wp:positionV>
            <wp:extent cx="1386840" cy="2336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18" w:name="page19"/>
    <w:bookmarkEnd w:id="18"/>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120396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PMingLiU" w:cs="PMingLiU" w:eastAsia="PMingLiU" w:hAnsi="PMingLiU"/>
          <w:sz w:val="58"/>
          <w:szCs w:val="58"/>
          <w:b w:val="1"/>
          <w:bCs w:val="1"/>
          <w:color w:val="000046"/>
        </w:rPr>
        <w:t>(OHFWLRQRI'LUHFWRUV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342" w:lineRule="auto"/>
        <w:rPr>
          <w:sz w:val="20"/>
          <w:szCs w:val="20"/>
          <w:color w:val="auto"/>
        </w:rPr>
      </w:pPr>
      <w:r>
        <w:rPr>
          <w:rFonts w:ascii="PMingLiU" w:cs="PMingLiU" w:eastAsia="PMingLiU" w:hAnsi="PMingLiU"/>
          <w:sz w:val="14"/>
          <w:szCs w:val="14"/>
          <w:color w:val="auto"/>
        </w:rPr>
        <w:t>$IWHUHYDOXDWLQJWKHDERYHIDFWRUVDQGDQ\DGGLWLRQDOUHOHYDQWIDFWRUVRXU 1RPLQDWLQJ&amp;RPPLWWHHUHFRPPHQGHGDQGRXU%RDUGDSSURYHGWKHIROORZLQJWKUHH &amp;ODVV,,,GLUHFWRUQRPLQHHVIRUHOHFWLRQDWRXU$*0</w:t>
      </w:r>
      <w:r>
        <w:rPr>
          <w:rFonts w:ascii="PMingLiU" w:cs="PMingLiU" w:eastAsia="PMingLiU" w:hAnsi="PMingLiU"/>
          <w:sz w:val="14"/>
          <w:szCs w:val="14"/>
          <w:b w:val="1"/>
          <w:bCs w:val="1"/>
          <w:color w:val="000046"/>
        </w:rPr>
        <w:t>%UXFH&amp;&amp;R]DGG</w:t>
      </w:r>
      <w:r>
        <w:rPr>
          <w:rFonts w:ascii="PMingLiU" w:cs="PMingLiU" w:eastAsia="PMingLiU" w:hAnsi="PMingLiU"/>
          <w:sz w:val="14"/>
          <w:szCs w:val="14"/>
          <w:color w:val="auto"/>
        </w:rPr>
        <w:t xml:space="preserve"> </w:t>
      </w:r>
      <w:r>
        <w:rPr>
          <w:rFonts w:ascii="PMingLiU" w:cs="PMingLiU" w:eastAsia="PMingLiU" w:hAnsi="PMingLiU"/>
          <w:sz w:val="14"/>
          <w:szCs w:val="14"/>
          <w:b w:val="1"/>
          <w:bCs w:val="1"/>
          <w:color w:val="000046"/>
        </w:rPr>
        <w:t>+HDWKHU$QQ0F6KDUU\</w:t>
      </w:r>
      <w:r>
        <w:rPr>
          <w:rFonts w:ascii="PMingLiU" w:cs="PMingLiU" w:eastAsia="PMingLiU" w:hAnsi="PMingLiU"/>
          <w:sz w:val="14"/>
          <w:szCs w:val="14"/>
          <w:color w:val="000000"/>
        </w:rPr>
        <w:t>DQG</w:t>
      </w:r>
      <w:r>
        <w:rPr>
          <w:rFonts w:ascii="PMingLiU" w:cs="PMingLiU" w:eastAsia="PMingLiU" w:hAnsi="PMingLiU"/>
          <w:sz w:val="14"/>
          <w:szCs w:val="14"/>
          <w:b w:val="1"/>
          <w:bCs w:val="1"/>
          <w:color w:val="000046"/>
        </w:rPr>
        <w:t>5LFN(:LQQLQJKDP</w:t>
      </w:r>
      <w:r>
        <w:rPr>
          <w:rFonts w:ascii="PMingLiU" w:cs="PMingLiU" w:eastAsia="PMingLiU" w:hAnsi="PMingLiU"/>
          <w:sz w:val="14"/>
          <w:szCs w:val="14"/>
          <w:color w:val="000000"/>
        </w:rPr>
        <w:t>$VUHTXLUHGXQGHU,ULVKODZ</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DQGRXU&amp;RQVWLWXWLRQWKHUHVROXWLRQLQUHVSHFWRIWKLVSURSRVDOLVDQRUGLQDU\ UHVROXWLRQWKDWUHTXLUHVWKHDIILUPDWLYHYRWHRIDVLPSOHPDMRULW\RIWKHYRWHVFDVW</w:t>
      </w:r>
    </w:p>
    <w:p>
      <w:pPr>
        <w:spacing w:after="0" w:line="1" w:lineRule="exact"/>
        <w:rPr>
          <w:sz w:val="20"/>
          <w:szCs w:val="20"/>
          <w:color w:val="auto"/>
        </w:rPr>
      </w:pPr>
    </w:p>
    <w:p>
      <w:pPr>
        <w:spacing w:after="0" w:line="376" w:lineRule="auto"/>
        <w:rPr>
          <w:sz w:val="20"/>
          <w:szCs w:val="20"/>
          <w:color w:val="auto"/>
        </w:rPr>
      </w:pPr>
      <w:r>
        <w:rPr>
          <w:rFonts w:ascii="PMingLiU" w:cs="PMingLiU" w:eastAsia="PMingLiU" w:hAnsi="PMingLiU"/>
          <w:sz w:val="14"/>
          <w:szCs w:val="14"/>
          <w:color w:val="auto"/>
        </w:rPr>
        <w:t>ZLWKUHVSHFWWRHDFKGLUHFWRUQRPLQHH,IHOHFWHGHDFKGLUHFWRUZLOOKROGRIILFHIRUD WKUHH\HDUWHUPXQWLOWKH$*0DQGXQWLOKLVRUKHUVXFFHVVRUKDVEHHQ HOHFWHGDQGTXDOLILHGRULIVRRQHUXQWLOKLVRUKHUGHDWKUHVLJQDWLRQUHWLUHPHQW GLVTXDOLILFDWLRQRUUHPRYDO</w:t>
      </w:r>
    </w:p>
    <w:p>
      <w:pPr>
        <w:spacing w:after="0" w:line="85" w:lineRule="exact"/>
        <w:rPr>
          <w:sz w:val="20"/>
          <w:szCs w:val="20"/>
          <w:color w:val="auto"/>
        </w:rPr>
      </w:pPr>
    </w:p>
    <w:p>
      <w:pPr>
        <w:ind w:right="680"/>
        <w:spacing w:after="0" w:line="398" w:lineRule="auto"/>
        <w:rPr>
          <w:sz w:val="20"/>
          <w:szCs w:val="20"/>
          <w:color w:val="auto"/>
        </w:rPr>
      </w:pPr>
      <w:r>
        <w:rPr>
          <w:rFonts w:ascii="PMingLiU" w:cs="PMingLiU" w:eastAsia="PMingLiU" w:hAnsi="PMingLiU"/>
          <w:sz w:val="15"/>
          <w:szCs w:val="15"/>
          <w:color w:val="auto"/>
        </w:rPr>
        <w:t>(DFKQRPLQHHOLVWHGEHORZLVFXUUHQWO\DGLUHFWRURIRXU&amp;RPSDQ\DQGZDV SUHYLRXVO\HOHFWHGE\RXUVKDUHKROGHUVDWRXU$*0</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8"/>
          <w:szCs w:val="18"/>
          <w:color w:val="auto"/>
        </w:rPr>
        <w:t>2XU%RDUGFXUUHQWO\KDVPHPEHUVDQGWKHUHDUHQRYDFDQFLHV2Q0D\</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$QQH2¶5LRUGDQQRWLILHGXVWKDWVKHZRXOGQRWVWDQGIRUUHHOHFWLRQWRRXU</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%RDUGXSRQWKHFRPSOHWLRQRIKHUFXUUHQWWHUP0V2¶5LRUGDQLVD&amp;ODVV,,,</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color w:val="auto"/>
        </w:rPr>
        <w:t>GLUHFWRUZKRVHFXUUHQWWHUPH[SLUHVDWRXU$*0$VDUHVXOWRXU%RDUGZLOO</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UHGXFHWRPHPEHUVHIIHFWLYHLPPHGLDWHO\SULRUWRWKHFRQFOXVLRQRIRXU</w:t>
      </w:r>
    </w:p>
    <w:p>
      <w:pPr>
        <w:spacing w:after="0" w:line="36" w:lineRule="exact"/>
        <w:rPr>
          <w:sz w:val="20"/>
          <w:szCs w:val="20"/>
          <w:color w:val="auto"/>
        </w:rPr>
      </w:pPr>
    </w:p>
    <w:p>
      <w:pPr>
        <w:jc w:val="both"/>
        <w:ind w:right="40"/>
        <w:spacing w:after="0" w:line="432" w:lineRule="auto"/>
        <w:rPr>
          <w:sz w:val="20"/>
          <w:szCs w:val="20"/>
          <w:color w:val="auto"/>
        </w:rPr>
      </w:pPr>
      <w:r>
        <w:rPr>
          <w:rFonts w:ascii="PMingLiU" w:cs="PMingLiU" w:eastAsia="PMingLiU" w:hAnsi="PMingLiU"/>
          <w:sz w:val="13"/>
          <w:szCs w:val="13"/>
          <w:color w:val="auto"/>
        </w:rPr>
        <w:t>$*0&amp;RQVLVWHQWZLWKWKH%RDUG¶VFRPPLWPHQWWRRQJRLQJERDUGUHIUHVKPHQWDQG ERDUGHIIHFWLYHQHVVWKH%RDUGZLOOFRQWLQXHWRHYDOXDWHLWVFRPSRVLWLRQWRIDFLOLWDWH RUGHUO\VXFFHVVLRQ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D2C36"/>
        </w:rPr>
        <w:t>285%2$5'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-702310</wp:posOffset>
            </wp:positionV>
            <wp:extent cx="2019300" cy="24098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0">
                      <a:extLst>
                        <a:ext uri="{28A0092B-C50C-407E-A947-70E740481C1C}"/>
                      </a:extLst>
                    </a:blip>
                    <a:srcRect/>
                    <a:stretch>
                      <a:fillRect/>
                    </a:stretch>
                  </pic:blipFill>
                  <pic:spPr bwMode="auto">
                    <a:xfrm>
                      <a:off x="0" y="0"/>
                      <a:ext cx="2019300" cy="240982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D2C36"/>
        </w:rPr>
        <w:t>5(&amp;200(1'6$927(</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7+((/(&amp;7,212)</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D2C36"/>
        </w:rPr>
        <w:t>($&amp;+',5(&amp;725</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D2C36"/>
        </w:rPr>
        <w:t>120,1((1$0('%(/2:</w:t>
      </w:r>
    </w:p>
    <w:p>
      <w:pPr>
        <w:spacing w:after="0" w:line="170"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20"/>
          <w:szCs w:val="20"/>
          <w:b w:val="1"/>
          <w:bCs w:val="1"/>
          <w:color w:val="2D2C36"/>
        </w:rPr>
        <w:t></w:t>
        <w:tab/>
        <w:t>%UXFH&amp;&amp;R]DGG</w:t>
      </w:r>
    </w:p>
    <w:p>
      <w:pPr>
        <w:spacing w:after="0" w:line="50" w:lineRule="exact"/>
        <w:rPr>
          <w:sz w:val="20"/>
          <w:szCs w:val="20"/>
          <w:color w:val="auto"/>
        </w:rPr>
      </w:pPr>
    </w:p>
    <w:p>
      <w:pPr>
        <w:ind w:left="80" w:right="460"/>
        <w:spacing w:after="0" w:line="325" w:lineRule="auto"/>
        <w:rPr>
          <w:sz w:val="20"/>
          <w:szCs w:val="20"/>
          <w:color w:val="auto"/>
        </w:rPr>
      </w:pPr>
      <w:r>
        <w:rPr>
          <w:rFonts w:ascii="PMingLiU" w:cs="PMingLiU" w:eastAsia="PMingLiU" w:hAnsi="PMingLiU"/>
          <w:sz w:val="20"/>
          <w:szCs w:val="20"/>
          <w:b w:val="1"/>
          <w:bCs w:val="1"/>
          <w:color w:val="2D2C36"/>
        </w:rPr>
        <w:t> +HDWKHU$QQ0F6KDUU\  5LFN(:LQQLQJKDP</w:t>
      </w:r>
    </w:p>
    <w:p>
      <w:pPr>
        <w:spacing w:after="0" w:line="1900" w:lineRule="exact"/>
        <w:rPr>
          <w:sz w:val="20"/>
          <w:szCs w:val="20"/>
          <w:color w:val="auto"/>
        </w:rPr>
      </w:pPr>
    </w:p>
    <w:p>
      <w:pPr>
        <w:sectPr>
          <w:pgSz w:w="11880" w:h="15479" w:orient="portrait"/>
          <w:cols w:equalWidth="0" w:num="2">
            <w:col w:w="6640" w:space="540"/>
            <w:col w:w="2960"/>
          </w:cols>
          <w:pgMar w:left="900" w:top="1015" w:right="839" w:bottom="0" w:gutter="0" w:footer="0" w:header="0"/>
        </w:sectPr>
      </w:pPr>
    </w:p>
    <w:p>
      <w:pPr>
        <w:spacing w:after="0" w:line="345" w:lineRule="auto"/>
        <w:rPr>
          <w:sz w:val="20"/>
          <w:szCs w:val="20"/>
          <w:color w:val="auto"/>
        </w:rPr>
      </w:pPr>
      <w:r>
        <w:rPr>
          <w:rFonts w:ascii="PMingLiU" w:cs="PMingLiU" w:eastAsia="PMingLiU" w:hAnsi="PMingLiU"/>
          <w:sz w:val="15"/>
          <w:szCs w:val="15"/>
          <w:color w:val="auto"/>
        </w:rPr>
        <w:t>(DFKQRPLQHHKDVFRQVHQWHGWREHLQJQDPHGDVDQRPLQHHLQRXUSUR[\VWDWHPHQWDQGKDVDJUHHGWRVHUYHLIHOHFWHG:H KDYHQRUHDVRQWREHOLHYHWKDWDQ\QRPLQHHZLOOEHXQDEOHWRVHUYH,IDQ\QRPLQHHEHFRPHVXQDYDLODEOHIRUHOHFWLRQDVD UHVXOWRIDQXQH[SHFWHGRFFXUUHQFHWKHSUR[\KROGHUVZLOOYRWH\RXUSUR[\IRUWKHHOHFWLRQRIDQ\VXEVWLWXWHQRPLQHHDVPD\EH SURSRVHGE\RXU1RPLQDWLQJ&amp;RPPLWWHH</w:t>
      </w:r>
    </w:p>
    <w:p>
      <w:pPr>
        <w:spacing w:after="0" w:line="103" w:lineRule="exact"/>
        <w:rPr>
          <w:sz w:val="20"/>
          <w:szCs w:val="20"/>
          <w:color w:val="auto"/>
        </w:rPr>
      </w:pPr>
    </w:p>
    <w:p>
      <w:pPr>
        <w:ind w:right="160"/>
        <w:spacing w:after="0" w:line="342" w:lineRule="auto"/>
        <w:rPr>
          <w:sz w:val="20"/>
          <w:szCs w:val="20"/>
          <w:color w:val="auto"/>
        </w:rPr>
      </w:pPr>
      <w:r>
        <w:rPr>
          <w:rFonts w:ascii="PMingLiU" w:cs="PMingLiU" w:eastAsia="PMingLiU" w:hAnsi="PMingLiU"/>
          <w:sz w:val="14"/>
          <w:szCs w:val="14"/>
          <w:color w:val="auto"/>
        </w:rPr>
        <w:t>8QGHURXU&amp;RQVWLWXWLRQLIDWDQ\$*0WKHQXPEHURIGLUHFWRUVLVUHGXFHGEHORZWKHPLQLPXPSUHVFULEHGE\RXU%RDUG SXUVXDQWWRRXU&amp;RQVWLWXWLRQGXHWRWKHIDLOXUHRIDQ\GLUHFWRUQRPLQHHWRUHFHLYHWKHDIILUPDWLYHYRWHRIDPDMRULW\RIWKHYRWHV FDVWWKHQLQWKRVHFLUFXPVWDQFHVWKHQRPLQHHRUQRPLQHHVZKRUHFHLYHWKHKLJKHVWQXPEHURIYRWHVLQIDYRURIHOHFWLRQZLOO</w:t>
      </w:r>
    </w:p>
    <w:p>
      <w:pPr>
        <w:ind w:right="60"/>
        <w:spacing w:after="0" w:line="358" w:lineRule="auto"/>
        <w:rPr>
          <w:sz w:val="20"/>
          <w:szCs w:val="20"/>
          <w:color w:val="auto"/>
        </w:rPr>
      </w:pPr>
      <w:r>
        <w:rPr>
          <w:rFonts w:ascii="PMingLiU" w:cs="PMingLiU" w:eastAsia="PMingLiU" w:hAnsi="PMingLiU"/>
          <w:sz w:val="15"/>
          <w:szCs w:val="15"/>
          <w:color w:val="auto"/>
        </w:rPr>
        <w:t>EHHOHFWHGLQRUGHUWRPDLQWDLQVXFKSUHVFULEHGPLQLPXPQXPEHURIGLUHFWRUV(DFKVXFKGLUHFWRUZRXOGUHPDLQDGLUHFWRU VXEMHFWWRWKHSURYLVLRQVRIWKH$FWDQGRXU&amp;RQVWLWXWLRQRQO\XQWLOWKHFRQFOXVLRQRIWKHQH[W$*0XQOHVVKHRUVKHLVUH HOHFWHGDWVXFKWLPH</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7KHIROORZLQJLQFOXGHVDEULHIELRJUDSK\RIHDFKGLUHFWRUQRPLQHHDQGHDFKRIRXURWKHUGLUHFWRUVDVRI-XQH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2151380</wp:posOffset>
            </wp:positionV>
            <wp:extent cx="1386840" cy="2336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520"/>
        <w:spacing w:after="0"/>
        <w:tabs>
          <w:tab w:leader="none" w:pos="99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40"/>
          </w:cols>
          <w:pgMar w:left="900" w:top="1015" w:right="839" w:bottom="0" w:gutter="0" w:footer="0" w:header="0"/>
          <w:type w:val="continuous"/>
        </w:sectPr>
      </w:pPr>
    </w:p>
    <w:bookmarkStart w:id="19" w:name="page20"/>
    <w:bookmarkEnd w:id="1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89" o:spid="_x0000_s1114"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2XU'LUHFWRU1RPLQHHV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208915</wp:posOffset>
                </wp:positionV>
                <wp:extent cx="1875790" cy="10477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5790" cy="104775"/>
                        </a:xfrm>
                        <a:prstGeom prst="rect">
                          <a:avLst/>
                        </a:prstGeom>
                        <a:solidFill>
                          <a:srgbClr val="F3F3F1"/>
                        </a:solidFill>
                      </wps:spPr>
                      <wps:bodyPr/>
                    </wps:wsp>
                  </a:graphicData>
                </a:graphic>
              </wp:anchor>
            </w:drawing>
          </mc:Choice>
          <mc:Fallback>
            <w:pict>
              <v:rect id="Shape 90" o:spid="_x0000_s1115" style="position:absolute;margin-left:-0.0999pt;margin-top:16.45pt;width:147.7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ectPr>
          <w:pgSz w:w="11880" w:h="15479" w:orient="portrait"/>
          <w:cols w:equalWidth="0" w:num="1">
            <w:col w:w="9980"/>
          </w:cols>
          <w:pgMar w:left="900" w:top="377" w:right="9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PMingLiU" w:cs="PMingLiU" w:eastAsia="PMingLiU" w:hAnsi="PMingLiU"/>
          <w:sz w:val="28"/>
          <w:szCs w:val="28"/>
          <w:b w:val="1"/>
          <w:bCs w:val="1"/>
          <w:color w:val="000046"/>
        </w:rPr>
        <w:t>%UXFH&amp;&amp;R]DGG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-1235075</wp:posOffset>
            </wp:positionV>
            <wp:extent cx="1876425" cy="3590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2">
                      <a:extLst>
                        <a:ext uri="{28A0092B-C50C-407E-A947-70E740481C1C}"/>
                      </a:extLst>
                    </a:blip>
                    <a:srcRect/>
                    <a:stretch>
                      <a:fillRect/>
                    </a:stretch>
                  </pic:blipFill>
                  <pic:spPr bwMode="auto">
                    <a:xfrm>
                      <a:off x="0" y="0"/>
                      <a:ext cx="1876425" cy="3590925"/>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5C004D"/>
        </w:rPr>
        <w:t>&amp;+$,53(5621</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1RQH</w:t>
      </w:r>
    </w:p>
    <w:p>
      <w:pPr>
        <w:spacing w:after="0" w:line="181" w:lineRule="exact"/>
        <w:rPr>
          <w:sz w:val="20"/>
          <w:szCs w:val="20"/>
          <w:color w:val="auto"/>
        </w:rPr>
      </w:pPr>
    </w:p>
    <w:p>
      <w:pPr>
        <w:ind w:left="280" w:right="180"/>
        <w:spacing w:after="0" w:line="302" w:lineRule="auto"/>
        <w:rPr>
          <w:sz w:val="20"/>
          <w:szCs w:val="20"/>
          <w:color w:val="auto"/>
        </w:rPr>
      </w:pPr>
      <w:r>
        <w:rPr>
          <w:rFonts w:ascii="PMingLiU" w:cs="PMingLiU" w:eastAsia="PMingLiU" w:hAnsi="PMingLiU"/>
          <w:sz w:val="16"/>
          <w:szCs w:val="16"/>
          <w:b w:val="1"/>
          <w:bCs w:val="1"/>
          <w:color w:val="2D2C36"/>
        </w:rPr>
        <w:t>27+(5&amp;855(1738%/,&amp; %2$5'6</w:t>
      </w:r>
      <w:r>
        <w:rPr>
          <w:rFonts w:ascii="PMingLiU" w:cs="PMingLiU" w:eastAsia="PMingLiU" w:hAnsi="PMingLiU"/>
          <w:sz w:val="16"/>
          <w:szCs w:val="16"/>
          <w:color w:val="2D2C36"/>
        </w:rPr>
        <w:t>1RQH</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40"/>
        <w:spacing w:after="0" w:line="1046" w:lineRule="auto"/>
        <w:rPr>
          <w:sz w:val="20"/>
          <w:szCs w:val="20"/>
          <w:color w:val="auto"/>
        </w:rPr>
      </w:pPr>
      <w:r>
        <w:rPr>
          <w:rFonts w:ascii="PMingLiU" w:cs="PMingLiU" w:eastAsia="PMingLiU" w:hAnsi="PMingLiU"/>
          <w:sz w:val="7"/>
          <w:szCs w:val="7"/>
          <w:color w:val="auto"/>
        </w:rPr>
        <w:t>%UXFH&amp;&amp;R]DGGVHUYHVDVRXU&amp;KDLUSHUVRQDQGSUHYLRXVO\VHUYHGDVRXU&amp;(2IURPWKH FORVLQJRIWKH$]XU0HUJHULQ-DQXDU\XQWLO$XJXVWIROORZLQJZKLFKKHVHUYHGLQ DWUDQVLWLRQUROHWKURXJK6HSWHPEHUDQGVXEVHTXHQWO\UHWLUHG)ROORZLQJKLV UHWLUHPHQW0U&amp;R]DGGFRQWLQXHVWRVHUYHDVRXU&amp;KDLUSHUVRQSURYLGLQJXVZLWKRQJRLQJ OHDGHUVKLSDQGVWUDWHJLFJXLGDQFH0U&amp;R]DGGFRIRXQGHG-D]]3KDUPDFHXWLFDOV,QFDQG VHUYHGIURPXQWLODV-D]]3KDUPDFHXWLFDOV,QF¶V([HFXWLYH&amp;KDLUSHUVRQDQGDVD PHPEHURILWVERDUGRIGLUHFWRUVDQGIURPXQWLOWKH$]XU0HUJHUVHUYHGDV&amp;(2)URP XQWLOKHKHOGYDULRXVSRVLWLRQVZLWK$/=$&amp;RUSRUDWLRQDSKDUPDFHXWLFDOFRPSDQ\ DFTXLUHGE\-RKQVRQ -RKQVRQLQFOXGLQJDV([HFXWLYH9LFH3UHVLGHQWDQG&amp;22ZLWK UHVSRQVLELOLW\IRU5 'PDQXIDFWXULQJDQGVDOHVDQGPDUNHWLQJ3UHYLRXVO\DW$/=$ &amp;RUSRUDWLRQKHKHOGWKHUROHVRI&amp;)2DQG9LFH3UHVLGHQW&amp;RUSRUDWH3ODQQLQJDQG$QDO\VLV )URP)HEUXDU\XQWLO0D\0U&amp;R]DGGVHUYHGRQWKHERDUGRIGLUHFWRUVDQGDV &amp;KDLUSHUVRQIURP)HEUXDU\XQWLO0D\RI$&amp;(/&lt;5,1,QFDODWHVWDJHFOLQLFDO ELRSKDUPDFRPSDQ\WKDWPHUJHGZLWK$OXPLV,QFLQ0D\+HDOVRVHUYHVRQWKHERDUG RI7KH1XHYD6FKRRO+HKROGVD%6IURP&lt;DOH8QLYHUVLW\DQGDQ0%$IURPWKH6WDQIRUG *UDGXDWH6FKRRORI%XVLQHVV</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5($6216)25120,1$7,21</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0U&amp;R]DGG¶VH[WHQVLYHOHDGHUVKLSH[SHULHQFHKDYLQJVHUYHGDVFRIRXQGHUDQGRXU&amp;(2IRU</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4"/>
          <w:szCs w:val="14"/>
          <w:color w:val="auto"/>
        </w:rPr>
        <w:t>RYHU\HDUVEULQJVWRRXU%RDUGDGHHSDQGFRPSUHKHQVLYHNQRZOHGJHRIRXUEXVLQHVVDV</w:t>
      </w:r>
    </w:p>
    <w:p>
      <w:pPr>
        <w:spacing w:after="0" w:line="37" w:lineRule="exact"/>
        <w:rPr>
          <w:sz w:val="20"/>
          <w:szCs w:val="20"/>
          <w:color w:val="auto"/>
        </w:rPr>
      </w:pPr>
    </w:p>
    <w:p>
      <w:pPr>
        <w:spacing w:after="0"/>
        <w:rPr>
          <w:sz w:val="20"/>
          <w:szCs w:val="20"/>
          <w:color w:val="auto"/>
        </w:rPr>
      </w:pPr>
      <w:r>
        <w:rPr>
          <w:rFonts w:ascii="PMingLiU" w:cs="PMingLiU" w:eastAsia="PMingLiU" w:hAnsi="PMingLiU"/>
          <w:sz w:val="12"/>
          <w:szCs w:val="12"/>
          <w:color w:val="auto"/>
        </w:rPr>
        <w:t>ZHOODVVKDUHKROGHUIRFXVHGLQVLJKWLQWRHIIHFWLYHO\H[HFXWLQJRXUVWUDWHJ\DQGEXVLQHVVSODQV</w:t>
      </w:r>
    </w:p>
    <w:p>
      <w:pPr>
        <w:spacing w:after="0" w:line="64" w:lineRule="exact"/>
        <w:rPr>
          <w:sz w:val="20"/>
          <w:szCs w:val="20"/>
          <w:color w:val="auto"/>
        </w:rPr>
      </w:pPr>
    </w:p>
    <w:p>
      <w:pPr>
        <w:spacing w:after="0"/>
        <w:rPr>
          <w:sz w:val="20"/>
          <w:szCs w:val="20"/>
          <w:color w:val="auto"/>
        </w:rPr>
      </w:pPr>
      <w:r>
        <w:rPr>
          <w:rFonts w:ascii="PMingLiU" w:cs="PMingLiU" w:eastAsia="PMingLiU" w:hAnsi="PMingLiU"/>
          <w:sz w:val="16"/>
          <w:szCs w:val="16"/>
          <w:color w:val="auto"/>
        </w:rPr>
        <w:t>WRPD[LPL]HVKDUHKROGHUYDOXH</w:t>
      </w:r>
    </w:p>
    <w:p>
      <w:pPr>
        <w:spacing w:after="0" w:line="188"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26695" cy="1187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3">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62230</wp:posOffset>
            </wp:positionV>
            <wp:extent cx="228600" cy="228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4">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62230</wp:posOffset>
            </wp:positionV>
            <wp:extent cx="193675" cy="2279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5">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71755</wp:posOffset>
            </wp:positionV>
            <wp:extent cx="227965" cy="2089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6">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106045</wp:posOffset>
            </wp:positionV>
            <wp:extent cx="228600" cy="140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7">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83820</wp:posOffset>
            </wp:positionV>
            <wp:extent cx="227330" cy="184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8">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62230</wp:posOffset>
            </wp:positionV>
            <wp:extent cx="228600" cy="228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62230</wp:posOffset>
            </wp:positionV>
            <wp:extent cx="222250" cy="2279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0">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62230</wp:posOffset>
            </wp:positionV>
            <wp:extent cx="226695" cy="228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1">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ectPr>
          <w:pgSz w:w="11880" w:h="15479" w:orient="portrait"/>
          <w:cols w:equalWidth="0" w:num="2">
            <w:col w:w="2520" w:space="720"/>
            <w:col w:w="6740"/>
          </w:cols>
          <w:pgMar w:left="900" w:top="377" w:right="999" w:bottom="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40"/>
        <w:spacing w:after="0"/>
        <w:tabs>
          <w:tab w:leader="none" w:pos="320" w:val="left"/>
        </w:tabs>
        <w:rPr>
          <w:sz w:val="20"/>
          <w:szCs w:val="20"/>
          <w:color w:val="auto"/>
        </w:rPr>
      </w:pPr>
      <w:r>
        <w:rPr>
          <w:rFonts w:ascii="PMingLiU" w:cs="PMingLiU" w:eastAsia="PMingLiU" w:hAnsi="PMingLiU"/>
          <w:sz w:val="16"/>
          <w:szCs w:val="16"/>
          <w:color w:val="auto"/>
        </w:rPr>
        <w:t/>
        <w:tab/>
        <w:t>,QFOXGHVVHUYLFHRQWKHERDUGRIGLUHFWRUVRI-D]]3KDUPDFHXWLFDOV,QFRXUSUHGHFHVVRU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236855</wp:posOffset>
            </wp:positionV>
            <wp:extent cx="1876425" cy="3962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2">
                      <a:extLst>
                        <a:ext uri="{28A0092B-C50C-407E-A947-70E740481C1C}"/>
                      </a:extLst>
                    </a:blip>
                    <a:srcRect/>
                    <a:stretch>
                      <a:fillRect/>
                    </a:stretch>
                  </pic:blipFill>
                  <pic:spPr bwMode="auto">
                    <a:xfrm>
                      <a:off x="0" y="0"/>
                      <a:ext cx="1876425" cy="3962400"/>
                    </a:xfrm>
                    <a:prstGeom prst="rect">
                      <a:avLst/>
                    </a:prstGeom>
                    <a:noFill/>
                  </pic:spPr>
                </pic:pic>
              </a:graphicData>
            </a:graphic>
          </wp:anchor>
        </w:drawing>
      </w:r>
    </w:p>
    <w:p>
      <w:pPr>
        <w:spacing w:after="0" w:line="361" w:lineRule="exact"/>
        <w:rPr>
          <w:sz w:val="20"/>
          <w:szCs w:val="20"/>
          <w:color w:val="auto"/>
        </w:rPr>
      </w:pPr>
    </w:p>
    <w:p>
      <w:pPr>
        <w:ind w:left="3240"/>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left="3240"/>
        <w:spacing w:after="0" w:line="510" w:lineRule="auto"/>
        <w:rPr>
          <w:sz w:val="20"/>
          <w:szCs w:val="20"/>
          <w:color w:val="auto"/>
        </w:rPr>
      </w:pPr>
      <w:r>
        <w:rPr>
          <w:rFonts w:ascii="PMingLiU" w:cs="PMingLiU" w:eastAsia="PMingLiU" w:hAnsi="PMingLiU"/>
          <w:sz w:val="9"/>
          <w:szCs w:val="9"/>
          <w:color w:val="auto"/>
        </w:rPr>
        <w:t>+HDWKHU$QQ0F6KDUU\KDVVHUYHGDVDPHPEHURIRXU%RDUGVLQFH0D\DQGZDV DSSRLQWHGDVFKDLURIRXU1RPLQDWLQJ&amp;RPPLWWHHLQ$XJXVW0V0F6KDUU\KDVVHUYHGDV DQRQH[HFXWLYHGLUHFWRURQWKHERDUGRIGLUHFWRUVRI,QWHUQDWLRQDO&amp;RQVROLGDWHG$LUOLQHV*URXS 6$VLQFHDQGDV6HQLRU,QGHSHQGHQW'LUHFWRURI,QWHUQDWLRQDO&amp;RQVROLGDWHG$LUOLQHV *URXS6$VLQFH-XQH)URPWR0V0F6KDUU\ZDV0DQDJLQJ'LUHFWRU ,UHODQGRI5HFNLWW%HQFNLVHUDPXOWLQDWLRQDOKHDOWKKRPHDQGK\JLHQHFRQVXPHUSURGXFWV FRPSDQ\)URPWRVKHKHOGYDULRXVSRVLWLRQVDW%RRWV+HDOWKFDUHDJOREDO FRQVXPHUKHDOWKFDUHFRPSDQ\PRVWUHFHQWO\DV0DQDJLQJ'LUHFWRURI%RRWV+HDOWKFDUH</w:t>
      </w:r>
    </w:p>
    <w:p>
      <w:pPr>
        <w:ind w:left="280"/>
        <w:spacing w:after="0"/>
        <w:tabs>
          <w:tab w:leader="none" w:pos="3220" w:val="left"/>
        </w:tabs>
        <w:rPr>
          <w:sz w:val="20"/>
          <w:szCs w:val="20"/>
          <w:color w:val="auto"/>
        </w:rPr>
      </w:pPr>
      <w:r>
        <w:rPr>
          <w:rFonts w:ascii="PMingLiU" w:cs="PMingLiU" w:eastAsia="PMingLiU" w:hAnsi="PMingLiU"/>
          <w:sz w:val="28"/>
          <w:szCs w:val="28"/>
          <w:b w:val="1"/>
          <w:bCs w:val="1"/>
          <w:color w:val="000046"/>
          <w:vertAlign w:val="superscript"/>
        </w:rPr>
        <w:t>+HDWKHU$QQ</w:t>
      </w:r>
      <w:r>
        <w:rPr>
          <w:sz w:val="20"/>
          <w:szCs w:val="20"/>
          <w:color w:val="auto"/>
        </w:rPr>
        <w:tab/>
      </w:r>
      <w:r>
        <w:rPr>
          <w:rFonts w:ascii="PMingLiU" w:cs="PMingLiU" w:eastAsia="PMingLiU" w:hAnsi="PMingLiU"/>
          <w:sz w:val="14"/>
          <w:szCs w:val="14"/>
          <w:color w:val="auto"/>
        </w:rPr>
        <w:t>,UHODQG/LPLWHG0V0F6KDUU\VHUYHGRQWKHERDUGVRIGLUHFWRUVRIWKH%DQNRI,UHODQGIURP</w:t>
      </w:r>
    </w:p>
    <w:p>
      <w:pPr>
        <w:spacing w:after="0" w:line="1" w:lineRule="exact"/>
        <w:rPr>
          <w:sz w:val="20"/>
          <w:szCs w:val="20"/>
          <w:color w:val="auto"/>
        </w:rPr>
      </w:pPr>
    </w:p>
    <w:p>
      <w:pPr>
        <w:ind w:left="3240" w:right="80" w:hanging="2959"/>
        <w:spacing w:after="0" w:line="189" w:lineRule="auto"/>
        <w:tabs>
          <w:tab w:leader="none" w:pos="3220" w:val="left"/>
        </w:tabs>
        <w:rPr>
          <w:sz w:val="20"/>
          <w:szCs w:val="20"/>
          <w:color w:val="auto"/>
        </w:rPr>
      </w:pPr>
      <w:r>
        <w:rPr>
          <w:rFonts w:ascii="PMingLiU" w:cs="PMingLiU" w:eastAsia="PMingLiU" w:hAnsi="PMingLiU"/>
          <w:sz w:val="28"/>
          <w:szCs w:val="28"/>
          <w:b w:val="1"/>
          <w:bCs w:val="1"/>
          <w:color w:val="000046"/>
        </w:rPr>
        <w:t>0F6KDUU\</w:t>
      </w:r>
      <w:r>
        <w:rPr>
          <w:sz w:val="20"/>
          <w:szCs w:val="20"/>
          <w:color w:val="auto"/>
        </w:rPr>
        <w:tab/>
      </w:r>
      <w:r>
        <w:rPr>
          <w:rFonts w:ascii="PMingLiU" w:cs="PMingLiU" w:eastAsia="PMingLiU" w:hAnsi="PMingLiU"/>
          <w:sz w:val="16"/>
          <w:szCs w:val="16"/>
          <w:color w:val="auto"/>
        </w:rPr>
        <w:t>WRWKH,QGXVWULDO'HYHORSPHQW$JHQF\LQ,UHODQGIURPWR8QLSKDUSOF IURPWR&amp;5+SOFIURPWRDQG*UHHQFRUH*URXSSOFIURPWR</w:t>
      </w:r>
    </w:p>
    <w:p>
      <w:pPr>
        <w:ind w:left="3240"/>
        <w:spacing w:after="0" w:line="187" w:lineRule="auto"/>
        <w:rPr>
          <w:sz w:val="20"/>
          <w:szCs w:val="20"/>
          <w:color w:val="auto"/>
        </w:rPr>
      </w:pPr>
      <w:r>
        <w:rPr>
          <w:rFonts w:ascii="PMingLiU" w:cs="PMingLiU" w:eastAsia="PMingLiU" w:hAnsi="PMingLiU"/>
          <w:sz w:val="13"/>
          <w:szCs w:val="13"/>
          <w:color w:val="auto"/>
        </w:rPr>
        <w:t>0V0F6KDUU\KROGVD%&amp;RPPDQGD0%6GHJUHHIURP8QLYHUVLW\&amp;ROOHJH'XEOLQ</w:t>
      </w:r>
    </w:p>
    <w:p>
      <w:pPr>
        <w:ind w:left="280"/>
        <w:spacing w:after="0"/>
        <w:rPr>
          <w:sz w:val="20"/>
          <w:szCs w:val="20"/>
          <w:color w:val="auto"/>
        </w:rPr>
      </w:pPr>
      <w:r>
        <w:rPr>
          <w:rFonts w:ascii="PMingLiU" w:cs="PMingLiU" w:eastAsia="PMingLiU" w:hAnsi="PMingLiU"/>
          <w:sz w:val="16"/>
          <w:szCs w:val="16"/>
          <w:b w:val="1"/>
          <w:bCs w:val="1"/>
          <w:color w:val="5C004D"/>
        </w:rPr>
        <w:t>,1'(3(1'(17',5(&amp;725</w:t>
      </w:r>
    </w:p>
    <w:p>
      <w:pPr>
        <w:ind w:left="280"/>
        <w:spacing w:after="0"/>
        <w:tabs>
          <w:tab w:leader="none" w:pos="3220" w:val="left"/>
        </w:tabs>
        <w:rPr>
          <w:sz w:val="20"/>
          <w:szCs w:val="20"/>
          <w:color w:val="auto"/>
        </w:rPr>
      </w:pPr>
      <w:r>
        <w:rPr>
          <w:rFonts w:ascii="PMingLiU" w:cs="PMingLiU" w:eastAsia="PMingLiU" w:hAnsi="PMingLiU"/>
          <w:sz w:val="32"/>
          <w:szCs w:val="32"/>
          <w:b w:val="1"/>
          <w:bCs w:val="1"/>
          <w:color w:val="2D2C36"/>
          <w:vertAlign w:val="subscript"/>
        </w:rPr>
        <w:t>$*(</w:t>
      </w:r>
      <w:r>
        <w:rPr>
          <w:rFonts w:ascii="PMingLiU" w:cs="PMingLiU" w:eastAsia="PMingLiU" w:hAnsi="PMingLiU"/>
          <w:sz w:val="32"/>
          <w:szCs w:val="32"/>
          <w:color w:val="2D2C36"/>
          <w:vertAlign w:val="subscript"/>
        </w:rPr>
        <w:t/>
      </w:r>
      <w:r>
        <w:rPr>
          <w:sz w:val="20"/>
          <w:szCs w:val="20"/>
          <w:color w:val="auto"/>
        </w:rPr>
        <w:tab/>
      </w:r>
      <w:r>
        <w:rPr>
          <w:rFonts w:ascii="PMingLiU" w:cs="PMingLiU" w:eastAsia="PMingLiU" w:hAnsi="PMingLiU"/>
          <w:sz w:val="16"/>
          <w:szCs w:val="16"/>
          <w:b w:val="1"/>
          <w:bCs w:val="1"/>
          <w:color w:val="5C004D"/>
        </w:rPr>
        <w:t>5($6216)25120,1$7,21</w:t>
      </w:r>
    </w:p>
    <w:p>
      <w:pPr>
        <w:ind w:left="3240"/>
        <w:spacing w:after="0"/>
        <w:rPr>
          <w:sz w:val="20"/>
          <w:szCs w:val="20"/>
          <w:color w:val="auto"/>
        </w:rPr>
      </w:pPr>
      <w:r>
        <w:rPr>
          <w:rFonts w:ascii="PMingLiU" w:cs="PMingLiU" w:eastAsia="PMingLiU" w:hAnsi="PMingLiU"/>
          <w:sz w:val="15"/>
          <w:szCs w:val="15"/>
          <w:color w:val="auto"/>
        </w:rPr>
        <w:t>0V0F6KDUU\EULQJVWRRXU%RDUGRYHU\HDUVRIH[SHULHQFHLQPXOWLSOHLQWHUQDWLRQDO</w:t>
      </w:r>
    </w:p>
    <w:p>
      <w:pPr>
        <w:spacing w:after="0" w:line="15" w:lineRule="exact"/>
        <w:rPr>
          <w:sz w:val="20"/>
          <w:szCs w:val="20"/>
          <w:color w:val="auto"/>
        </w:rPr>
      </w:pPr>
    </w:p>
    <w:p>
      <w:pPr>
        <w:ind w:left="3240" w:right="360" w:hanging="2969"/>
        <w:spacing w:after="0" w:line="311" w:lineRule="auto"/>
        <w:tabs>
          <w:tab w:leader="none" w:pos="3220" w:val="left"/>
        </w:tabs>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r>
        <w:rPr>
          <w:sz w:val="20"/>
          <w:szCs w:val="20"/>
          <w:color w:val="auto"/>
        </w:rPr>
        <w:tab/>
      </w:r>
      <w:r>
        <w:rPr>
          <w:rFonts w:ascii="PMingLiU" w:cs="PMingLiU" w:eastAsia="PMingLiU" w:hAnsi="PMingLiU"/>
          <w:sz w:val="12"/>
          <w:szCs w:val="12"/>
          <w:color w:val="auto"/>
        </w:rPr>
        <w:t>LQGXVWULHVDVZHOODVH[SHUWLVHLQFULVLVPDQDJHPHQWULVNRYHUVLJKWDQGILQDQFLDOVHUYLFHV UHOHYDQWWRRXUEXVLQHVV</w:t>
      </w:r>
    </w:p>
    <w:p>
      <w:pPr>
        <w:ind w:left="280"/>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
      </w:r>
    </w:p>
    <w:p>
      <w:pPr>
        <w:spacing w:after="0" w:line="23" w:lineRule="exact"/>
        <w:rPr>
          <w:sz w:val="20"/>
          <w:szCs w:val="20"/>
          <w:color w:val="auto"/>
        </w:rPr>
      </w:pPr>
    </w:p>
    <w:p>
      <w:pPr>
        <w:ind w:left="280" w:right="5740"/>
        <w:spacing w:after="0" w:line="219" w:lineRule="auto"/>
        <w:rPr>
          <w:sz w:val="20"/>
          <w:szCs w:val="20"/>
          <w:color w:val="auto"/>
        </w:rPr>
      </w:pPr>
      <w:r>
        <w:rPr>
          <w:rFonts w:ascii="PMingLiU" w:cs="PMingLiU" w:eastAsia="PMingLiU" w:hAnsi="PMingLiU"/>
          <w:sz w:val="16"/>
          <w:szCs w:val="16"/>
          <w:color w:val="2D2C36"/>
        </w:rPr>
        <w:t xml:space="preserve">1RPLQDWLQJ&amp;RPPLWWHH&amp;KDLU </w:t>
      </w:r>
      <w:r>
        <w:rPr>
          <w:rFonts w:ascii="PMingLiU" w:cs="PMingLiU" w:eastAsia="PMingLiU" w:hAnsi="PMingLiU"/>
          <w:sz w:val="32"/>
          <w:szCs w:val="32"/>
          <w:b w:val="1"/>
          <w:bCs w:val="1"/>
          <w:color w:val="5C004D"/>
          <w:vertAlign w:val="superscript"/>
        </w:rPr>
        <w:t>.(&lt;6.,//6</w:t>
      </w:r>
      <w:r>
        <w:rPr>
          <w:rFonts w:ascii="PMingLiU" w:cs="PMingLiU" w:eastAsia="PMingLiU" w:hAnsi="PMingLiU"/>
          <w:sz w:val="16"/>
          <w:szCs w:val="16"/>
          <w:color w:val="2D2C36"/>
        </w:rPr>
        <w:t xml:space="preserve"> $XGLW&amp;RPPLWWHH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-86360</wp:posOffset>
            </wp:positionV>
            <wp:extent cx="226695" cy="1187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3">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-140970</wp:posOffset>
            </wp:positionV>
            <wp:extent cx="228600" cy="228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4">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-140970</wp:posOffset>
            </wp:positionV>
            <wp:extent cx="193675" cy="2279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5">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-131445</wp:posOffset>
            </wp:positionV>
            <wp:extent cx="227965" cy="208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6">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-97155</wp:posOffset>
            </wp:positionV>
            <wp:extent cx="228600" cy="140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7">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-119380</wp:posOffset>
            </wp:positionV>
            <wp:extent cx="227330" cy="184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8">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-141605</wp:posOffset>
            </wp:positionV>
            <wp:extent cx="228600" cy="228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-140970</wp:posOffset>
            </wp:positionV>
            <wp:extent cx="222250" cy="2279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0">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-141605</wp:posOffset>
            </wp:positionV>
            <wp:extent cx="226695" cy="228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1">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42"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7UDQVDFWLRQ&amp;RPPLWWHH</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27+(5&amp;855(1738%/,&amp;</w:t>
      </w:r>
    </w:p>
    <w:p>
      <w:pPr>
        <w:spacing w:after="0" w:line="29"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%2$5'6</w:t>
      </w:r>
    </w:p>
    <w:p>
      <w:pPr>
        <w:spacing w:after="0" w:line="73" w:lineRule="exact"/>
        <w:rPr>
          <w:sz w:val="20"/>
          <w:szCs w:val="20"/>
          <w:color w:val="auto"/>
        </w:rPr>
      </w:pPr>
    </w:p>
    <w:p>
      <w:pPr>
        <w:ind w:left="280"/>
        <w:spacing w:after="0"/>
        <w:rPr>
          <w:sz w:val="20"/>
          <w:szCs w:val="20"/>
          <w:color w:val="auto"/>
        </w:rPr>
      </w:pPr>
      <w:r>
        <w:rPr>
          <w:rFonts w:ascii="PMingLiU" w:cs="PMingLiU" w:eastAsia="PMingLiU" w:hAnsi="PMingLiU"/>
          <w:sz w:val="15"/>
          <w:szCs w:val="15"/>
          <w:color w:val="2D2C36"/>
        </w:rPr>
        <w:t>,QWHUQDWLRQDO$LUOLQHV*URXS6$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615950</wp:posOffset>
            </wp:positionV>
            <wp:extent cx="1386840" cy="2336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9980"/>
          </w:cols>
          <w:pgMar w:left="900" w:top="377" w:right="999"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1080135</wp:posOffset>
            </wp:positionV>
            <wp:extent cx="1876425" cy="4724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3">
                      <a:extLst>
                        <a:ext uri="{28A0092B-C50C-407E-A947-70E740481C1C}"/>
                      </a:extLst>
                    </a:blip>
                    <a:srcRect/>
                    <a:stretch>
                      <a:fillRect/>
                    </a:stretch>
                  </pic:blipFill>
                  <pic:spPr bwMode="auto">
                    <a:xfrm>
                      <a:off x="0" y="0"/>
                      <a:ext cx="1876425" cy="472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right="560"/>
        <w:spacing w:after="0"/>
        <w:rPr>
          <w:sz w:val="20"/>
          <w:szCs w:val="20"/>
          <w:color w:val="auto"/>
        </w:rPr>
      </w:pPr>
      <w:r>
        <w:rPr>
          <w:rFonts w:ascii="PMingLiU" w:cs="PMingLiU" w:eastAsia="PMingLiU" w:hAnsi="PMingLiU"/>
          <w:sz w:val="19"/>
          <w:szCs w:val="19"/>
          <w:b w:val="1"/>
          <w:bCs w:val="1"/>
          <w:color w:val="000046"/>
        </w:rPr>
        <w:t>5LFN( :LQQLQJKDP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-128270</wp:posOffset>
            </wp:positionV>
            <wp:extent cx="1733550" cy="3581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4">
                      <a:extLst>
                        <a:ext uri="{28A0092B-C50C-407E-A947-70E740481C1C}"/>
                      </a:extLst>
                    </a:blip>
                    <a:srcRect/>
                    <a:stretch>
                      <a:fillRect/>
                    </a:stretch>
                  </pic:blipFill>
                  <pic:spPr bwMode="auto">
                    <a:xfrm>
                      <a:off x="0" y="0"/>
                      <a:ext cx="1733550" cy="3581400"/>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-128270</wp:posOffset>
            </wp:positionV>
            <wp:extent cx="1733550" cy="3581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5">
                      <a:extLst>
                        <a:ext uri="{28A0092B-C50C-407E-A947-70E740481C1C}"/>
                      </a:extLst>
                    </a:blip>
                    <a:srcRect/>
                    <a:stretch>
                      <a:fillRect/>
                    </a:stretch>
                  </pic:blipFill>
                  <pic:spPr bwMode="auto">
                    <a:xfrm>
                      <a:off x="0" y="0"/>
                      <a:ext cx="1733550" cy="358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ind w:left="240" w:right="620"/>
        <w:spacing w:after="0" w:line="463" w:lineRule="auto"/>
        <w:rPr>
          <w:sz w:val="20"/>
          <w:szCs w:val="20"/>
          <w:color w:val="auto"/>
        </w:rPr>
      </w:pPr>
      <w:r>
        <w:rPr>
          <w:rFonts w:ascii="PMingLiU" w:cs="PMingLiU" w:eastAsia="PMingLiU" w:hAnsi="PMingLiU"/>
          <w:sz w:val="13"/>
          <w:szCs w:val="13"/>
          <w:b w:val="1"/>
          <w:bCs w:val="1"/>
          <w:color w:val="2D2C36"/>
        </w:rPr>
        <w:t>&amp;200,77((6</w:t>
      </w:r>
      <w:r>
        <w:rPr>
          <w:rFonts w:ascii="PMingLiU" w:cs="PMingLiU" w:eastAsia="PMingLiU" w:hAnsi="PMingLiU"/>
          <w:sz w:val="13"/>
          <w:szCs w:val="13"/>
          <w:color w:val="2D2C36"/>
        </w:rPr>
        <w:t/>
      </w:r>
      <w:r>
        <w:rPr>
          <w:rFonts w:ascii="PMingLiU" w:cs="PMingLiU" w:eastAsia="PMingLiU" w:hAnsi="PMingLiU"/>
          <w:sz w:val="13"/>
          <w:szCs w:val="13"/>
          <w:b w:val="1"/>
          <w:bCs w:val="1"/>
          <w:color w:val="2D2C36"/>
        </w:rPr>
        <w:t xml:space="preserve"> </w:t>
      </w:r>
      <w:r>
        <w:rPr>
          <w:rFonts w:ascii="PMingLiU" w:cs="PMingLiU" w:eastAsia="PMingLiU" w:hAnsi="PMingLiU"/>
          <w:sz w:val="13"/>
          <w:szCs w:val="13"/>
          <w:color w:val="2D2C36"/>
        </w:rPr>
        <w:t>1RPLQDWLQJ&amp;RPPLWWHH 60&amp;</w:t>
      </w:r>
    </w:p>
    <w:p>
      <w:pPr>
        <w:spacing w:after="0" w:line="16" w:lineRule="exact"/>
        <w:rPr>
          <w:sz w:val="20"/>
          <w:szCs w:val="20"/>
          <w:color w:val="auto"/>
        </w:rPr>
      </w:pPr>
    </w:p>
    <w:p>
      <w:pPr>
        <w:ind w:left="240" w:right="18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ind w:left="240"/>
        <w:spacing w:after="0"/>
        <w:rPr>
          <w:sz w:val="20"/>
          <w:szCs w:val="20"/>
          <w:color w:val="auto"/>
        </w:rPr>
      </w:pPr>
      <w:r>
        <w:rPr>
          <w:rFonts w:ascii="PMingLiU" w:cs="PMingLiU" w:eastAsia="PMingLiU" w:hAnsi="PMingLiU"/>
          <w:sz w:val="15"/>
          <w:szCs w:val="15"/>
          <w:color w:val="2D2C36"/>
        </w:rPr>
        <w:t>7KHUDYDQFH%LR3KDUPD,QF</w:t>
      </w:r>
    </w:p>
    <w:p>
      <w:pPr>
        <w:spacing w:after="0" w:line="20" w:lineRule="exact"/>
        <w:rPr>
          <w:sz w:val="20"/>
          <w:szCs w:val="20"/>
          <w:color w:val="auto"/>
        </w:rPr>
      </w:pPr>
      <w:r>
        <w:rPr>
          <w:sz w:val="20"/>
          <w:szCs w:val="20"/>
          <w:color w:val="auto"/>
        </w:rPr>
        <w:br w:type="column"/>
      </w:r>
    </w:p>
    <w:p>
      <w:pPr>
        <w:ind w:left="5700"/>
        <w:spacing w:after="0"/>
        <w:rPr>
          <w:sz w:val="20"/>
          <w:szCs w:val="20"/>
          <w:color w:val="auto"/>
        </w:rPr>
      </w:pPr>
      <w:r>
        <w:rPr>
          <w:rFonts w:ascii="PMingLiU" w:cs="PMingLiU" w:eastAsia="PMingLiU" w:hAnsi="PMingLiU"/>
          <w:sz w:val="16"/>
          <w:szCs w:val="16"/>
          <w:b w:val="1"/>
          <w:bCs w:val="1"/>
          <w:color w:val="FFFFFF"/>
        </w:rPr>
        <w:t>352326$/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3541395</wp:posOffset>
                </wp:positionH>
                <wp:positionV relativeFrom="paragraph">
                  <wp:posOffset>-359410</wp:posOffset>
                </wp:positionV>
                <wp:extent cx="800100" cy="41846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8465"/>
                        </a:xfrm>
                        <a:prstGeom prst="rect">
                          <a:avLst/>
                        </a:prstGeom>
                        <a:solidFill>
                          <a:srgbClr val="5C004D"/>
                        </a:solidFill>
                      </wps:spPr>
                      <wps:bodyPr/>
                    </wps:wsp>
                  </a:graphicData>
                </a:graphic>
              </wp:anchor>
            </w:drawing>
          </mc:Choice>
          <mc:Fallback>
            <w:pict>
              <v:rect id="Shape 115" o:spid="_x0000_s1140" style="position:absolute;margin-left:278.85pt;margin-top:-28.2999pt;width:63pt;height:3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spacing w:after="0" w:line="515" w:lineRule="auto"/>
        <w:rPr>
          <w:sz w:val="20"/>
          <w:szCs w:val="20"/>
          <w:color w:val="auto"/>
        </w:rPr>
      </w:pPr>
      <w:r>
        <w:rPr>
          <w:rFonts w:ascii="PMingLiU" w:cs="PMingLiU" w:eastAsia="PMingLiU" w:hAnsi="PMingLiU"/>
          <w:sz w:val="9"/>
          <w:szCs w:val="9"/>
          <w:color w:val="auto"/>
        </w:rPr>
        <w:t>5LFN(:LQQLQJKDPVHUYHGDVDPHPEHURIRXU%RDUGVLQFHWKHFORVLQJRIWKH$]XU0HUJHULQ -DQXDU\DQGZDVDGLUHFWRURI-D]]3KDUPDFHXWLFDOV,QFIURPXQWLOWKHFORVLQJRI WKH$]XU0HUJHU,Q0D\0U:LQQLQJKDPZDVDSSRLQWHGDV/,'RIRXU%RDUG0U :LQQLQJKDPVHUYHVRQWKHERDUGRIGLUHFWRUVRI7KHUDYDQFH%LRSKDUPD,QFD ELRSKDUPDFHXWLFDOFRPSDQ\KDYLQJVHUYHGDVLWV&amp;KDLUSHUVRQIURP-XO\WR2FWREHU +HKDVVHUYHGDV&amp;(2RI7KHUDYDQFH%LRSKDUPD,QFVLQFHLWVVSLQRIIIURP7KHUDYDQFH,QF QRZ,QQRYLYD,QFLQ-XQH)URP2FWREHUWR$XJXVW0U:LQQLQJKDPVHUYHG DV&amp;(2RI7KHUDYDQFH,QFZKHUHKHDOVRVHUYHGDV&amp;KDLUSHUVRQRIWKHERDUGRIGLUHFWRUV IURP$SULOWR2FWREHU)URPWRKHVHUYHGDV3UHVLGHQWRI%ULVWRO0\HUV 6TXLEE2QFRORJ\,PPXQRORJ\7KHUDSHXWLFV1HWZRUNDQGIURPWRDV3UHVLGHQWRI *OREDO0DUNHWLQJ0U:LQQLQJKDPLVDPHPEHURI%LRWHFKQRORJ\,QQRYDWLRQ2UJDQL]DWLRQ¶V ERDUGRIGLUHFWRUV+HLVDOVRFRIRXQGHURIDQGVWUDWHJLFDGYLVRUWR3UD[LV%LRUHVHDUFK+HKDV VHUYHGDVDPHPEHURIWKHERDUGRIGLUHFWRUVRI5LYXV3KDUPDFHXWLFDOV,QFDFOLQLFDOVWDJH ELRSKDUPDFHXWLFDOFRPSDQ\VLQFH)HEUXDU\+HSUHYLRXVO\VHUYHGDVDPHPEHURIWKH ERDUGRIGLUHFWRUVRI5HWURWRSH,QFDSULYDWHELRWHFKQRORJ\FRPSDQ\IRFXVHGRQFHOO GHJHQHUDWLRQIURP)HEUXDU\WR-DQXDU\DQG2QFR0HG3KDUPDFHXWLFDOV,QFIURP -XQHXQWLOWKHFRPSDQ\¶VPHUJHUZLWK0HUHR%LR3KDUPD*URXSSOFLQ$SULO+HDOVR VHUYHGDVDPHPEHURIWKHERDUGRIGLUHFWRUVRIWKH&amp;DOLIRUQLD+HDOWKFDUH,QVWLWXWHIURP 1RYHPEHUWR0DUFKDQGVHUYHGDVLWV&amp;KDLUSHUVRQIURP-DQXDU\XQWLOWKH &amp;DOLIRUQLD+HDOWKFDUH,QVWLWXWHPHUJHGZLWK%D\$UHD%LRVFLHQFH$VVRFLDWLRQWREHFRPHWKH &amp;DOLIRUQLD/LIH6FLHQFHV$VVRFLDWLRQLQ0DUFK0U:LQQLQJKDPVHUYHGRQWKHERDUGRI GLUHFWRUVRI&amp;DOLIRUQLD/LIH6FLHQFHV$VVRFLDWLRQIURP0DUFKWR-XO\DQGVHUYHGDV LWV&amp;KDLUSHUVRQIURP0DUFKXQWLO1RYHPEHU0U:LQQLQJKDPKROGVDQ0%$IURP 7H[DV&amp;KULVWLDQ8QLYHUVLW\DQGD%6IURP6RXWKHUQ,OOLQRLV8QLYHUVLW\</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5($6216)25120,1$7,21</w:t>
      </w:r>
    </w:p>
    <w:p>
      <w:pPr>
        <w:spacing w:after="0" w:line="81" w:lineRule="exact"/>
        <w:rPr>
          <w:sz w:val="20"/>
          <w:szCs w:val="20"/>
          <w:color w:val="auto"/>
        </w:rPr>
      </w:pPr>
    </w:p>
    <w:p>
      <w:pPr>
        <w:ind w:right="240"/>
        <w:spacing w:after="0" w:line="346" w:lineRule="auto"/>
        <w:rPr>
          <w:sz w:val="20"/>
          <w:szCs w:val="20"/>
          <w:color w:val="auto"/>
        </w:rPr>
      </w:pPr>
      <w:r>
        <w:rPr>
          <w:rFonts w:ascii="PMingLiU" w:cs="PMingLiU" w:eastAsia="PMingLiU" w:hAnsi="PMingLiU"/>
          <w:sz w:val="13"/>
          <w:szCs w:val="13"/>
          <w:color w:val="auto"/>
        </w:rPr>
        <w:t>0U:LQQLQJKDPEULQJVWRRXU%RDUGH[SHULHQFHLQVHQLRUPDQDJHPHQWSRVLWLRQVLQWKH SKDUPDFHXWLFDOVLQGXVWU\SURYLGLQJVLJQLILFDQWLQGXVWU\NQRZOHGJHDQGRSHUDWLRQDODQG PDQDJHPHQWH[SHUWLVHDORQJZLWKDGHHSNQRZOHGJHRIJOREDOPDUNHWLQJFRPPHUFLDOL]DWLRQ DQGPDUNHWDFFHVV</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109855</wp:posOffset>
            </wp:positionV>
            <wp:extent cx="226695" cy="1187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6">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55880</wp:posOffset>
            </wp:positionV>
            <wp:extent cx="228600" cy="228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7">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55880</wp:posOffset>
            </wp:positionV>
            <wp:extent cx="193675" cy="2279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8">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55880</wp:posOffset>
            </wp:positionV>
            <wp:extent cx="227965" cy="208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9">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99060</wp:posOffset>
            </wp:positionV>
            <wp:extent cx="228600" cy="140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0">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55880</wp:posOffset>
            </wp:positionV>
            <wp:extent cx="227330" cy="184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1">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56515</wp:posOffset>
            </wp:positionV>
            <wp:extent cx="182880" cy="2273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2">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55880</wp:posOffset>
            </wp:positionV>
            <wp:extent cx="228600" cy="228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3">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55880</wp:posOffset>
            </wp:positionV>
            <wp:extent cx="222250" cy="2279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4">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55880</wp:posOffset>
            </wp:positionV>
            <wp:extent cx="226695" cy="228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5">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ectPr>
          <w:pgSz w:w="11880" w:h="15479" w:orient="portrait"/>
          <w:cols w:equalWidth="0" w:num="2">
            <w:col w:w="2480" w:space="720"/>
            <w:col w:w="6820"/>
          </w:cols>
          <w:pgMar w:left="940" w:top="377" w:right="91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tabs>
          <w:tab w:leader="none" w:pos="280" w:val="left"/>
        </w:tabs>
        <w:rPr>
          <w:sz w:val="20"/>
          <w:szCs w:val="20"/>
          <w:color w:val="auto"/>
        </w:rPr>
      </w:pPr>
      <w:r>
        <w:rPr>
          <w:rFonts w:ascii="PMingLiU" w:cs="PMingLiU" w:eastAsia="PMingLiU" w:hAnsi="PMingLiU"/>
          <w:sz w:val="16"/>
          <w:szCs w:val="16"/>
          <w:color w:val="auto"/>
        </w:rPr>
        <w:t/>
        <w:tab/>
        <w:t>,QFOXGHVVHUYLFHRQWKHERDUGRIGLUHFWRUVRI-D]]3KDUPDFHXWLFDOV,QFRXUSUHGHFHVVRU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1588135</wp:posOffset>
            </wp:positionV>
            <wp:extent cx="6400800" cy="676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6">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59"/>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($&amp;+',5(&amp;725120,1((1$0('$%29(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1414145</wp:posOffset>
            </wp:positionV>
            <wp:extent cx="1386840" cy="2336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0"/>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40" w:top="377" w:right="919" w:bottom="0" w:gutter="0" w:footer="0" w:header="0"/>
          <w:type w:val="continuous"/>
        </w:sectPr>
      </w:pPr>
    </w:p>
    <w:bookmarkStart w:id="21" w:name="page22"/>
    <w:bookmarkEnd w:id="2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128" o:spid="_x0000_s1153"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'LUHFWRUV&amp;RQWLQXLQJLQ2IILFH</w:t>
      </w:r>
      <w:r>
        <w:rPr>
          <w:rFonts w:ascii="PMingLiU" w:cs="PMingLiU" w:eastAsia="PMingLiU" w:hAnsi="PMingLiU"/>
          <w:sz w:val="41"/>
          <w:szCs w:val="41"/>
          <w:color w:val="5C004D"/>
          <w:vertAlign w:val="superscript"/>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140335</wp:posOffset>
                </wp:positionV>
                <wp:extent cx="1875790" cy="10477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5790" cy="104775"/>
                        </a:xfrm>
                        <a:prstGeom prst="rect">
                          <a:avLst/>
                        </a:prstGeom>
                        <a:solidFill>
                          <a:srgbClr val="F3F3F1"/>
                        </a:solidFill>
                      </wps:spPr>
                      <wps:bodyPr/>
                    </wps:wsp>
                  </a:graphicData>
                </a:graphic>
              </wp:anchor>
            </w:drawing>
          </mc:Choice>
          <mc:Fallback>
            <w:pict>
              <v:rect id="Shape 129" o:spid="_x0000_s1154" style="position:absolute;margin-left:-0.0999pt;margin-top:11.05pt;width:147.7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209" w:lineRule="exact"/>
        <w:rPr>
          <w:sz w:val="20"/>
          <w:szCs w:val="20"/>
          <w:color w:val="auto"/>
        </w:rPr>
      </w:pPr>
    </w:p>
    <w:p>
      <w:pPr>
        <w:ind w:left="3240"/>
        <w:spacing w:after="0"/>
        <w:rPr>
          <w:sz w:val="20"/>
          <w:szCs w:val="20"/>
          <w:color w:val="auto"/>
        </w:rPr>
      </w:pPr>
      <w:r>
        <w:rPr>
          <w:rFonts w:ascii="PMingLiU" w:cs="PMingLiU" w:eastAsia="PMingLiU" w:hAnsi="PMingLiU"/>
          <w:sz w:val="16"/>
          <w:szCs w:val="16"/>
          <w:b w:val="1"/>
          <w:bCs w:val="1"/>
          <w:color w:val="5C004D"/>
        </w:rPr>
        <w:t>%$&amp;.*5281'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1876425" cy="3762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8">
                      <a:extLst>
                        <a:ext uri="{28A0092B-C50C-407E-A947-70E740481C1C}"/>
                      </a:extLst>
                    </a:blip>
                    <a:srcRect/>
                    <a:stretch>
                      <a:fillRect/>
                    </a:stretch>
                  </pic:blipFill>
                  <pic:spPr bwMode="auto">
                    <a:xfrm>
                      <a:off x="0" y="0"/>
                      <a:ext cx="1876425" cy="3762375"/>
                    </a:xfrm>
                    <a:prstGeom prst="rect">
                      <a:avLst/>
                    </a:prstGeom>
                    <a:noFill/>
                  </pic:spPr>
                </pic:pic>
              </a:graphicData>
            </a:graphic>
          </wp:anchor>
        </w:drawing>
      </w:r>
    </w:p>
    <w:p>
      <w:pPr>
        <w:spacing w:after="0" w:line="61" w:lineRule="exact"/>
        <w:rPr>
          <w:sz w:val="20"/>
          <w:szCs w:val="20"/>
          <w:color w:val="auto"/>
        </w:rPr>
      </w:pPr>
    </w:p>
    <w:p>
      <w:pPr>
        <w:ind w:left="3240" w:right="280"/>
        <w:spacing w:after="0" w:line="327" w:lineRule="auto"/>
        <w:rPr>
          <w:sz w:val="20"/>
          <w:szCs w:val="20"/>
          <w:color w:val="auto"/>
        </w:rPr>
      </w:pPr>
      <w:r>
        <w:rPr>
          <w:rFonts w:ascii="PMingLiU" w:cs="PMingLiU" w:eastAsia="PMingLiU" w:hAnsi="PMingLiU"/>
          <w:sz w:val="13"/>
          <w:szCs w:val="13"/>
          <w:color w:val="auto"/>
        </w:rPr>
        <w:t>-HQQLIHU(&amp;RRNKDVVHUYHGDVDPHPEHURIRXU%RDUGVLQFH'HFHPEHUDQGZDV DSSRLQWHGFKDLURIRXU&amp;RPSHQVDWLRQ&amp;RPPLWWHHLQ$SULO0V&amp;RRNVHUYHVDVDQRQ H[HFXWLYHGLUHFWRURQWKHERDUGVRIGLUHFWRUVRIWZRRWKHUSXEOLFO\KHOGFRPSDQLHV'HQDOL 7KHUDSHXWLFV,QFDQG%ULGJH%LR3KDUPD,QFERWKELRWHFKQRORJ\FRPSDQLHV0V&amp;RRN IRXQGHG-HQQLIHU&amp;RRN&amp;RQVXOWLQJDFRQVXOWLQJFRPSDQ\DQGKDVVHUYHGDV3ULQFLSDOVLQFH -XO\)URP-DQXDU\WR-XQH0V&amp;RRNZDVWKH&amp;(2DW*5$,/,QFD SULYDWHO\KHOGHDUO\FDQFHUGHWHFWLRQGLDJQRVWLFFRPSDQ\3ULRUWRWKDW0V&amp;RRNZRUNHGDW</w:t>
      </w:r>
    </w:p>
    <w:p>
      <w:pPr>
        <w:ind w:left="280"/>
        <w:spacing w:after="0"/>
        <w:tabs>
          <w:tab w:leader="none" w:pos="3220" w:val="left"/>
        </w:tabs>
        <w:rPr>
          <w:sz w:val="20"/>
          <w:szCs w:val="20"/>
          <w:color w:val="auto"/>
        </w:rPr>
      </w:pPr>
      <w:r>
        <w:rPr>
          <w:rFonts w:ascii="PMingLiU" w:cs="PMingLiU" w:eastAsia="PMingLiU" w:hAnsi="PMingLiU"/>
          <w:sz w:val="25"/>
          <w:szCs w:val="25"/>
          <w:b w:val="1"/>
          <w:bCs w:val="1"/>
          <w:color w:val="000046"/>
          <w:vertAlign w:val="subscript"/>
        </w:rPr>
        <w:t>-HQQLIHU(&amp;RRN</w:t>
      </w:r>
      <w:r>
        <w:rPr>
          <w:sz w:val="20"/>
          <w:szCs w:val="20"/>
          <w:color w:val="auto"/>
        </w:rPr>
        <w:tab/>
      </w:r>
      <w:r>
        <w:rPr>
          <w:rFonts w:ascii="PMingLiU" w:cs="PMingLiU" w:eastAsia="PMingLiU" w:hAnsi="PMingLiU"/>
          <w:sz w:val="15"/>
          <w:szCs w:val="15"/>
          <w:color w:val="auto"/>
        </w:rPr>
        <w:t>5RFKH3KDUPDFHXWLFDOV*HQHQWHFKDJOREDOELRWHFKQRORJ\FRPSDQ\IRU\HDUVZKHUHVKH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140970</wp:posOffset>
                </wp:positionH>
                <wp:positionV relativeFrom="paragraph">
                  <wp:posOffset>-125730</wp:posOffset>
                </wp:positionV>
                <wp:extent cx="1733550" cy="272351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0" cy="2723515"/>
                        </a:xfrm>
                        <a:prstGeom prst="rect">
                          <a:avLst/>
                        </a:prstGeom>
                        <a:solidFill>
                          <a:srgbClr val="F3F3F1"/>
                        </a:solidFill>
                      </wps:spPr>
                      <wps:bodyPr/>
                    </wps:wsp>
                  </a:graphicData>
                </a:graphic>
              </wp:anchor>
            </w:drawing>
          </mc:Choice>
          <mc:Fallback>
            <w:pict>
              <v:rect id="Shape 131" o:spid="_x0000_s1156" style="position:absolute;margin-left:11.1pt;margin-top:-9.8999pt;width:136.5pt;height:21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ind w:left="3240" w:right="460"/>
        <w:spacing w:after="0" w:line="255" w:lineRule="auto"/>
        <w:rPr>
          <w:sz w:val="20"/>
          <w:szCs w:val="20"/>
          <w:color w:val="auto"/>
        </w:rPr>
      </w:pPr>
      <w:r>
        <w:rPr>
          <w:rFonts w:ascii="PMingLiU" w:cs="PMingLiU" w:eastAsia="PMingLiU" w:hAnsi="PMingLiU"/>
          <w:sz w:val="14"/>
          <w:szCs w:val="14"/>
          <w:color w:val="auto"/>
        </w:rPr>
        <w:t>KHOGDQXPEHURIVHQLRUPDQDJHPHQWSRVLWLRQVFRYHULQJWKHIXOOOLIHF\FOHRISURGXFW GHYHORSPHQWDQGFRPPHUFLDOL]DWLRQ)URPWRVKHRYHUVDZ*HQHQWHFK¶V86</w:t>
      </w:r>
    </w:p>
    <w:p>
      <w:pPr>
        <w:ind w:left="280"/>
        <w:spacing w:after="0" w:line="185" w:lineRule="auto"/>
        <w:tabs>
          <w:tab w:leader="none" w:pos="3220" w:val="left"/>
        </w:tabs>
        <w:rPr>
          <w:sz w:val="20"/>
          <w:szCs w:val="20"/>
          <w:color w:val="auto"/>
        </w:rPr>
      </w:pPr>
      <w:r>
        <w:rPr>
          <w:rFonts w:ascii="PMingLiU" w:cs="PMingLiU" w:eastAsia="PMingLiU" w:hAnsi="PMingLiU"/>
          <w:sz w:val="23"/>
          <w:szCs w:val="23"/>
          <w:b w:val="1"/>
          <w:bCs w:val="1"/>
          <w:color w:val="5C004D"/>
          <w:vertAlign w:val="superscript"/>
        </w:rPr>
        <w:t>,1'(3(1'(17',5(&amp;725</w:t>
      </w:r>
      <w:r>
        <w:rPr>
          <w:sz w:val="20"/>
          <w:szCs w:val="20"/>
          <w:color w:val="auto"/>
        </w:rPr>
        <w:tab/>
      </w:r>
      <w:r>
        <w:rPr>
          <w:rFonts w:ascii="PMingLiU" w:cs="PMingLiU" w:eastAsia="PMingLiU" w:hAnsi="PMingLiU"/>
          <w:sz w:val="13"/>
          <w:szCs w:val="13"/>
          <w:color w:val="auto"/>
        </w:rPr>
        <w:t>,PPXQRORJ\DQG2SKWKDOPRORJ\%XVLQHVV8QLWDQGIURPWRVKHOHG5RFKH¶V</w:t>
      </w:r>
    </w:p>
    <w:p>
      <w:pPr>
        <w:spacing w:after="0" w:line="69" w:lineRule="exact"/>
        <w:rPr>
          <w:sz w:val="20"/>
          <w:szCs w:val="20"/>
          <w:color w:val="auto"/>
        </w:rPr>
      </w:pPr>
    </w:p>
    <w:p>
      <w:pPr>
        <w:ind w:left="3240" w:right="100" w:hanging="2969"/>
        <w:spacing w:after="0" w:line="273" w:lineRule="auto"/>
        <w:tabs>
          <w:tab w:leader="none" w:pos="3220" w:val="left"/>
        </w:tabs>
        <w:rPr>
          <w:sz w:val="20"/>
          <w:szCs w:val="20"/>
          <w:color w:val="auto"/>
        </w:rPr>
      </w:pPr>
      <w:r>
        <w:rPr>
          <w:rFonts w:ascii="PMingLiU" w:cs="PMingLiU" w:eastAsia="PMingLiU" w:hAnsi="PMingLiU"/>
          <w:sz w:val="32"/>
          <w:szCs w:val="32"/>
          <w:b w:val="1"/>
          <w:bCs w:val="1"/>
          <w:color w:val="2D2C36"/>
          <w:vertAlign w:val="subscript"/>
        </w:rPr>
        <w:t>$*(</w:t>
      </w:r>
      <w:r>
        <w:rPr>
          <w:rFonts w:ascii="PMingLiU" w:cs="PMingLiU" w:eastAsia="PMingLiU" w:hAnsi="PMingLiU"/>
          <w:sz w:val="32"/>
          <w:szCs w:val="32"/>
          <w:color w:val="2D2C36"/>
          <w:vertAlign w:val="subscript"/>
        </w:rPr>
        <w:t/>
      </w:r>
      <w:r>
        <w:rPr>
          <w:sz w:val="20"/>
          <w:szCs w:val="20"/>
          <w:color w:val="auto"/>
        </w:rPr>
        <w:tab/>
      </w:r>
      <w:r>
        <w:rPr>
          <w:rFonts w:ascii="PMingLiU" w:cs="PMingLiU" w:eastAsia="PMingLiU" w:hAnsi="PMingLiU"/>
          <w:sz w:val="15"/>
          <w:szCs w:val="15"/>
          <w:color w:val="auto"/>
        </w:rPr>
        <w:t>(XURSHDQFRPPHUFLDOEXVLQHVV6KHDOVRVHUYHGDV5RFKH¶V*OREDO+HDGRI&amp;OLQLFDO 2SHUDWLRQVWKURXJKRXW,Q0V&amp;RRNZDVUHFRJQL]HGDV:RPDQRIWKH&lt;HDUE\WKH</w:t>
      </w:r>
    </w:p>
    <w:p>
      <w:pPr>
        <w:ind w:left="3240" w:hanging="2969"/>
        <w:spacing w:after="0" w:line="274" w:lineRule="auto"/>
        <w:tabs>
          <w:tab w:leader="none" w:pos="3220" w:val="left"/>
        </w:tabs>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r>
        <w:rPr>
          <w:sz w:val="20"/>
          <w:szCs w:val="20"/>
          <w:color w:val="auto"/>
        </w:rPr>
        <w:tab/>
      </w:r>
      <w:r>
        <w:rPr>
          <w:rFonts w:ascii="PMingLiU" w:cs="PMingLiU" w:eastAsia="PMingLiU" w:hAnsi="PMingLiU"/>
          <w:sz w:val="15"/>
          <w:szCs w:val="15"/>
          <w:color w:val="auto"/>
        </w:rPr>
        <w:t>+HDOWKFDUH%XVLQHVVZRPDQ¶V$VVRFLDWLRQ0V&amp;RRNKROGVD%$LQ+XPDQ%LRORJ\DQGD06 LQ%LRORJ\IURP6WDQIRUG8QLYHUVLW\DQGDQ0%$IURPWKH+DDV6FKRRORI%XVLQHVVDW</w:t>
      </w:r>
    </w:p>
    <w:p>
      <w:pPr>
        <w:ind w:left="280"/>
        <w:spacing w:after="0"/>
        <w:tabs>
          <w:tab w:leader="none" w:pos="3220" w:val="left"/>
        </w:tabs>
        <w:rPr>
          <w:sz w:val="20"/>
          <w:szCs w:val="20"/>
          <w:color w:val="auto"/>
        </w:rPr>
      </w:pPr>
      <w:r>
        <w:rPr>
          <w:rFonts w:ascii="PMingLiU" w:cs="PMingLiU" w:eastAsia="PMingLiU" w:hAnsi="PMingLiU"/>
          <w:sz w:val="32"/>
          <w:szCs w:val="32"/>
          <w:b w:val="1"/>
          <w:bCs w:val="1"/>
          <w:color w:val="2D2C36"/>
          <w:vertAlign w:val="superscript"/>
        </w:rPr>
        <w:t>',5(&amp;725&amp;/$66</w:t>
      </w:r>
      <w:r>
        <w:rPr>
          <w:rFonts w:ascii="PMingLiU" w:cs="PMingLiU" w:eastAsia="PMingLiU" w:hAnsi="PMingLiU"/>
          <w:sz w:val="32"/>
          <w:szCs w:val="32"/>
          <w:color w:val="2D2C36"/>
          <w:vertAlign w:val="superscript"/>
        </w:rPr>
        <w:t>,,</w:t>
      </w:r>
      <w:r>
        <w:rPr>
          <w:sz w:val="20"/>
          <w:szCs w:val="20"/>
          <w:color w:val="auto"/>
        </w:rPr>
        <w:tab/>
      </w:r>
      <w:r>
        <w:rPr>
          <w:rFonts w:ascii="PMingLiU" w:cs="PMingLiU" w:eastAsia="PMingLiU" w:hAnsi="PMingLiU"/>
          <w:sz w:val="13"/>
          <w:szCs w:val="13"/>
          <w:color w:val="auto"/>
        </w:rPr>
        <w:t>8QLYHUVLW\RI&amp;DOLIRUQLD%HUNHOH\</w:t>
      </w:r>
    </w:p>
    <w:p>
      <w:pPr>
        <w:ind w:left="280"/>
        <w:spacing w:after="0"/>
        <w:tabs>
          <w:tab w:leader="none" w:pos="3220" w:val="left"/>
        </w:tabs>
        <w:rPr>
          <w:sz w:val="20"/>
          <w:szCs w:val="20"/>
          <w:color w:val="auto"/>
        </w:rPr>
      </w:pPr>
      <w:r>
        <w:rPr>
          <w:rFonts w:ascii="PMingLiU" w:cs="PMingLiU" w:eastAsia="PMingLiU" w:hAnsi="PMingLiU"/>
          <w:sz w:val="32"/>
          <w:szCs w:val="32"/>
          <w:b w:val="1"/>
          <w:bCs w:val="1"/>
          <w:color w:val="2D2C36"/>
          <w:vertAlign w:val="superscript"/>
        </w:rPr>
        <w:t>7(50(;3,5$7,21</w:t>
      </w:r>
      <w:r>
        <w:rPr>
          <w:rFonts w:ascii="PMingLiU" w:cs="PMingLiU" w:eastAsia="PMingLiU" w:hAnsi="PMingLiU"/>
          <w:sz w:val="32"/>
          <w:szCs w:val="32"/>
          <w:color w:val="2D2C36"/>
          <w:vertAlign w:val="superscript"/>
        </w:rPr>
        <w:t/>
      </w:r>
      <w:r>
        <w:rPr>
          <w:sz w:val="20"/>
          <w:szCs w:val="20"/>
          <w:color w:val="auto"/>
        </w:rPr>
        <w:tab/>
      </w:r>
      <w:r>
        <w:rPr>
          <w:rFonts w:ascii="PMingLiU" w:cs="PMingLiU" w:eastAsia="PMingLiU" w:hAnsi="PMingLiU"/>
          <w:sz w:val="16"/>
          <w:szCs w:val="16"/>
          <w:b w:val="1"/>
          <w:bCs w:val="1"/>
          <w:color w:val="5C004D"/>
        </w:rPr>
        <w:t>5($6216)256(59,&amp;(21285%2$5'</w:t>
      </w:r>
    </w:p>
    <w:p>
      <w:pPr>
        <w:ind w:left="280"/>
        <w:spacing w:after="0" w:line="188" w:lineRule="auto"/>
        <w:tabs>
          <w:tab w:leader="none" w:pos="3220" w:val="left"/>
        </w:tabs>
        <w:rPr>
          <w:sz w:val="20"/>
          <w:szCs w:val="20"/>
          <w:color w:val="auto"/>
        </w:rPr>
      </w:pPr>
      <w:r>
        <w:rPr>
          <w:rFonts w:ascii="PMingLiU" w:cs="PMingLiU" w:eastAsia="PMingLiU" w:hAnsi="PMingLiU"/>
          <w:sz w:val="21"/>
          <w:szCs w:val="21"/>
          <w:b w:val="1"/>
          <w:bCs w:val="1"/>
          <w:color w:val="2D2C36"/>
          <w:vertAlign w:val="subscript"/>
        </w:rPr>
        <w:t>&amp;200,77((6</w:t>
      </w:r>
      <w:r>
        <w:rPr>
          <w:sz w:val="20"/>
          <w:szCs w:val="20"/>
          <w:color w:val="auto"/>
        </w:rPr>
        <w:tab/>
      </w:r>
      <w:r>
        <w:rPr>
          <w:rFonts w:ascii="PMingLiU" w:cs="PMingLiU" w:eastAsia="PMingLiU" w:hAnsi="PMingLiU"/>
          <w:sz w:val="12"/>
          <w:szCs w:val="12"/>
          <w:color w:val="auto"/>
        </w:rPr>
        <w:t>0V&amp;RRNEULQJVWRRXU%RDUGRYHU\HDUVRIELRSKDUPDFHXWLFDOH[SHULHQFHZLWKVLJQLILFDQW&amp;</w:t>
      </w:r>
    </w:p>
    <w:p>
      <w:pPr>
        <w:ind w:left="3240"/>
        <w:spacing w:after="0" w:line="180" w:lineRule="auto"/>
        <w:rPr>
          <w:sz w:val="20"/>
          <w:szCs w:val="20"/>
          <w:color w:val="auto"/>
        </w:rPr>
      </w:pPr>
      <w:r>
        <w:rPr>
          <w:rFonts w:ascii="PMingLiU" w:cs="PMingLiU" w:eastAsia="PMingLiU" w:hAnsi="PMingLiU"/>
          <w:sz w:val="14"/>
          <w:szCs w:val="14"/>
          <w:color w:val="auto"/>
        </w:rPr>
        <w:t>VXLWHJOREDOSURGXFWGHYHORSPHQWDQGFRPPHUFLDOL]DWLRQH[SHUWLVHZLWKDIRFXVRQ</w:t>
      </w:r>
    </w:p>
    <w:p>
      <w:pPr>
        <w:ind w:left="280"/>
        <w:spacing w:after="0" w:line="182" w:lineRule="auto"/>
        <w:tabs>
          <w:tab w:leader="none" w:pos="3220" w:val="left"/>
        </w:tabs>
        <w:rPr>
          <w:sz w:val="20"/>
          <w:szCs w:val="20"/>
          <w:color w:val="auto"/>
        </w:rPr>
      </w:pPr>
      <w:r>
        <w:rPr>
          <w:rFonts w:ascii="PMingLiU" w:cs="PMingLiU" w:eastAsia="PMingLiU" w:hAnsi="PMingLiU"/>
          <w:sz w:val="15"/>
          <w:szCs w:val="15"/>
          <w:color w:val="2D2C36"/>
        </w:rPr>
        <w:t>&amp;RPSHQVDWLRQ&amp;RPPLWWHH&amp;KDLU</w:t>
      </w:r>
      <w:r>
        <w:rPr>
          <w:sz w:val="20"/>
          <w:szCs w:val="20"/>
          <w:color w:val="auto"/>
        </w:rPr>
        <w:tab/>
      </w:r>
      <w:r>
        <w:rPr>
          <w:rFonts w:ascii="PMingLiU" w:cs="PMingLiU" w:eastAsia="PMingLiU" w:hAnsi="PMingLiU"/>
          <w:sz w:val="30"/>
          <w:szCs w:val="30"/>
          <w:color w:val="auto"/>
          <w:vertAlign w:val="subscript"/>
        </w:rPr>
        <w:t>WUDQVIRUPDWLYHJURZWK</w:t>
      </w:r>
    </w:p>
    <w:p>
      <w:pPr>
        <w:ind w:left="280"/>
        <w:spacing w:after="0"/>
        <w:rPr>
          <w:sz w:val="20"/>
          <w:szCs w:val="20"/>
          <w:color w:val="auto"/>
        </w:rPr>
      </w:pPr>
      <w:r>
        <w:rPr>
          <w:rFonts w:ascii="PMingLiU" w:cs="PMingLiU" w:eastAsia="PMingLiU" w:hAnsi="PMingLiU"/>
          <w:sz w:val="16"/>
          <w:szCs w:val="16"/>
          <w:color w:val="2D2C36"/>
        </w:rPr>
        <w:t>60&amp;</w:t>
      </w:r>
    </w:p>
    <w:p>
      <w:pPr>
        <w:ind w:left="3240"/>
        <w:spacing w:after="0" w:line="226" w:lineRule="auto"/>
        <w:rPr>
          <w:sz w:val="20"/>
          <w:szCs w:val="20"/>
          <w:color w:val="auto"/>
        </w:rPr>
      </w:pPr>
      <w:r>
        <w:rPr>
          <w:rFonts w:ascii="PMingLiU" w:cs="PMingLiU" w:eastAsia="PMingLiU" w:hAnsi="PMingLiU"/>
          <w:sz w:val="16"/>
          <w:szCs w:val="16"/>
          <w:b w:val="1"/>
          <w:bCs w:val="1"/>
          <w:color w:val="5C004D"/>
        </w:rPr>
        <w:t>.(&lt;6.,//6</w:t>
      </w:r>
    </w:p>
    <w:p>
      <w:pPr>
        <w:ind w:left="280" w:right="7720"/>
        <w:spacing w:after="0" w:line="261" w:lineRule="auto"/>
        <w:rPr>
          <w:sz w:val="20"/>
          <w:szCs w:val="20"/>
          <w:color w:val="auto"/>
        </w:rPr>
      </w:pPr>
      <w:r>
        <w:rPr>
          <w:rFonts w:ascii="PMingLiU" w:cs="PMingLiU" w:eastAsia="PMingLiU" w:hAnsi="PMingLiU"/>
          <w:sz w:val="16"/>
          <w:szCs w:val="16"/>
          <w:b w:val="1"/>
          <w:bCs w:val="1"/>
          <w:color w:val="2D2C36"/>
        </w:rPr>
        <w:t>27+(5&amp;855(1738%/,&amp; %2$5'6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7620</wp:posOffset>
            </wp:positionV>
            <wp:extent cx="226695" cy="1187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9">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-46990</wp:posOffset>
            </wp:positionV>
            <wp:extent cx="228600" cy="228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0">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-46355</wp:posOffset>
            </wp:positionV>
            <wp:extent cx="193675" cy="2279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1">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-37465</wp:posOffset>
            </wp:positionV>
            <wp:extent cx="227965" cy="2089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2">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-24765</wp:posOffset>
            </wp:positionV>
            <wp:extent cx="227330" cy="184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3">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-46355</wp:posOffset>
            </wp:positionV>
            <wp:extent cx="182880" cy="2273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4">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-46990</wp:posOffset>
            </wp:positionV>
            <wp:extent cx="228600" cy="228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5">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-46990</wp:posOffset>
            </wp:positionV>
            <wp:extent cx="226695" cy="228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6">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4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%ULGJH%LR3KDUPD,QF</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'HQDOL7KHUDSHXWLFV,QF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1876425" cy="304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7">
                      <a:extLst>
                        <a:ext uri="{28A0092B-C50C-407E-A947-70E740481C1C}"/>
                      </a:extLst>
                    </a:blip>
                    <a:srcRect/>
                    <a:stretch>
                      <a:fillRect/>
                    </a:stretch>
                  </pic:blipFill>
                  <pic:spPr bwMode="auto">
                    <a:xfrm>
                      <a:off x="0" y="0"/>
                      <a:ext cx="1876425" cy="304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wp:posOffset>
                </wp:positionH>
                <wp:positionV relativeFrom="paragraph">
                  <wp:posOffset>3927475</wp:posOffset>
                </wp:positionV>
                <wp:extent cx="253301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0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09.25pt" to="199.35pt,309.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right="80" w:hanging="359"/>
        <w:spacing w:after="0" w:line="388" w:lineRule="auto"/>
        <w:tabs>
          <w:tab w:leader="none" w:pos="380" w:val="left"/>
        </w:tabs>
        <w:rPr>
          <w:sz w:val="20"/>
          <w:szCs w:val="20"/>
          <w:color w:val="auto"/>
        </w:rPr>
      </w:pPr>
      <w:r>
        <w:rPr>
          <w:rFonts w:ascii="PMingLiU" w:cs="PMingLiU" w:eastAsia="PMingLiU" w:hAnsi="PMingLiU"/>
          <w:sz w:val="13"/>
          <w:szCs w:val="13"/>
          <w:color w:val="auto"/>
        </w:rPr>
        <w:t/>
        <w:tab/>
        <w:t>&amp;RQWLQXLQJGLUHFWRUVGRHVQRWLQFOXGH$QQH2</w:t>
      </w:r>
      <w:r>
        <w:rPr>
          <w:rFonts w:ascii="Arial" w:cs="Arial" w:eastAsia="Arial" w:hAnsi="Arial"/>
          <w:sz w:val="15"/>
          <w:szCs w:val="15"/>
          <w:color w:val="auto"/>
        </w:rPr>
        <w:t>¶</w:t>
      </w:r>
      <w:r>
        <w:rPr>
          <w:rFonts w:ascii="PMingLiU" w:cs="PMingLiU" w:eastAsia="PMingLiU" w:hAnsi="PMingLiU"/>
          <w:sz w:val="13"/>
          <w:szCs w:val="13"/>
          <w:color w:val="auto"/>
        </w:rPr>
        <w:t>5LRUGDQZKRQRWLILHGXVWKDWVKHLVQRWVWDQGLQJIRUUHHOHFWLRQDWWKH$*0+HUWHUP RIRIILFHDVDGLUHFWRUZLOOH[SLUHDWWKH$*0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144780</wp:posOffset>
            </wp:positionV>
            <wp:extent cx="1389380" cy="234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60"/>
          </w:cols>
          <w:pgMar w:left="900" w:top="377" w:right="919" w:bottom="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1080135</wp:posOffset>
            </wp:positionV>
            <wp:extent cx="1876425" cy="4524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9">
                      <a:extLst>
                        <a:ext uri="{28A0092B-C50C-407E-A947-70E740481C1C}"/>
                      </a:extLst>
                    </a:blip>
                    <a:srcRect/>
                    <a:stretch>
                      <a:fillRect/>
                    </a:stretch>
                  </pic:blipFill>
                  <pic:spPr bwMode="auto">
                    <a:xfrm>
                      <a:off x="0" y="0"/>
                      <a:ext cx="1876425" cy="452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PMingLiU" w:cs="PMingLiU" w:eastAsia="PMingLiU" w:hAnsi="PMingLiU"/>
          <w:sz w:val="25"/>
          <w:szCs w:val="25"/>
          <w:b w:val="1"/>
          <w:bCs w:val="1"/>
          <w:color w:val="000046"/>
        </w:rPr>
        <w:t>3DWULFN*(QULJKW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-173990</wp:posOffset>
            </wp:positionV>
            <wp:extent cx="1733550" cy="33813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0">
                      <a:extLst>
                        <a:ext uri="{28A0092B-C50C-407E-A947-70E740481C1C}"/>
                      </a:extLst>
                    </a:blip>
                    <a:srcRect/>
                    <a:stretch>
                      <a:fillRect/>
                    </a:stretch>
                  </pic:blipFill>
                  <pic:spPr bwMode="auto">
                    <a:xfrm>
                      <a:off x="0" y="0"/>
                      <a:ext cx="1733550" cy="338137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-173990</wp:posOffset>
            </wp:positionV>
            <wp:extent cx="1733550" cy="33813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1">
                      <a:extLst>
                        <a:ext uri="{28A0092B-C50C-407E-A947-70E740481C1C}"/>
                      </a:extLst>
                    </a:blip>
                    <a:srcRect/>
                    <a:stretch>
                      <a:fillRect/>
                    </a:stretch>
                  </pic:blipFill>
                  <pic:spPr bwMode="auto">
                    <a:xfrm>
                      <a:off x="0" y="0"/>
                      <a:ext cx="1733550" cy="3381375"/>
                    </a:xfrm>
                    <a:prstGeom prst="rect">
                      <a:avLst/>
                    </a:prstGeom>
                    <a:noFill/>
                  </pic:spPr>
                </pic:pic>
              </a:graphicData>
            </a:graphic>
          </wp:anchor>
        </w:drawing>
      </w:r>
    </w:p>
    <w:p>
      <w:pPr>
        <w:spacing w:after="0" w:line="229"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
      </w:r>
    </w:p>
    <w:p>
      <w:pPr>
        <w:spacing w:after="0" w:line="81"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$XGLW&amp;RPPLWWHH</w:t>
      </w:r>
    </w:p>
    <w:p>
      <w:pPr>
        <w:spacing w:after="0" w:line="81"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&amp;RPSHQVDWLRQ&amp;RPPLWWHH</w:t>
      </w:r>
    </w:p>
    <w:p>
      <w:pPr>
        <w:spacing w:after="0" w:line="181" w:lineRule="exact"/>
        <w:rPr>
          <w:sz w:val="20"/>
          <w:szCs w:val="20"/>
          <w:color w:val="auto"/>
        </w:rPr>
      </w:pPr>
    </w:p>
    <w:p>
      <w:pPr>
        <w:ind w:left="240" w:right="30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ind w:left="240" w:right="720"/>
        <w:spacing w:after="0" w:line="411" w:lineRule="auto"/>
        <w:rPr>
          <w:sz w:val="20"/>
          <w:szCs w:val="20"/>
          <w:color w:val="auto"/>
        </w:rPr>
      </w:pPr>
      <w:r>
        <w:rPr>
          <w:rFonts w:ascii="PMingLiU" w:cs="PMingLiU" w:eastAsia="PMingLiU" w:hAnsi="PMingLiU"/>
          <w:sz w:val="14"/>
          <w:szCs w:val="14"/>
          <w:color w:val="2D2C36"/>
        </w:rPr>
        <w:t>%LR$JH/DEV,QF 9HUD7KHUDSHXWLFV,QF 9HUDGHUPLFV,QF =HQDV%LRSKDUPD,QF</w:t>
      </w:r>
    </w:p>
    <w:p>
      <w:pPr>
        <w:spacing w:after="0" w:line="20" w:lineRule="exact"/>
        <w:rPr>
          <w:sz w:val="20"/>
          <w:szCs w:val="20"/>
          <w:color w:val="auto"/>
        </w:rPr>
      </w:pPr>
      <w:r>
        <w:rPr>
          <w:sz w:val="20"/>
          <w:szCs w:val="20"/>
          <w:color w:val="auto"/>
        </w:rPr>
        <w:br w:type="column"/>
      </w:r>
    </w:p>
    <w:p>
      <w:pPr>
        <w:ind w:left="5700"/>
        <w:spacing w:after="0"/>
        <w:rPr>
          <w:sz w:val="20"/>
          <w:szCs w:val="20"/>
          <w:color w:val="auto"/>
        </w:rPr>
      </w:pPr>
      <w:r>
        <w:rPr>
          <w:rFonts w:ascii="PMingLiU" w:cs="PMingLiU" w:eastAsia="PMingLiU" w:hAnsi="PMingLiU"/>
          <w:sz w:val="16"/>
          <w:szCs w:val="16"/>
          <w:b w:val="1"/>
          <w:bCs w:val="1"/>
          <w:color w:val="FFFFFF"/>
        </w:rPr>
        <w:t>352326$/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3541395</wp:posOffset>
                </wp:positionH>
                <wp:positionV relativeFrom="paragraph">
                  <wp:posOffset>-359410</wp:posOffset>
                </wp:positionV>
                <wp:extent cx="800100" cy="41846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8465"/>
                        </a:xfrm>
                        <a:prstGeom prst="rect">
                          <a:avLst/>
                        </a:prstGeom>
                        <a:solidFill>
                          <a:srgbClr val="5C004D"/>
                        </a:solidFill>
                      </wps:spPr>
                      <wps:bodyPr/>
                    </wps:wsp>
                  </a:graphicData>
                </a:graphic>
              </wp:anchor>
            </w:drawing>
          </mc:Choice>
          <mc:Fallback>
            <w:pict>
              <v:rect id="Shape 146" o:spid="_x0000_s1171" style="position:absolute;margin-left:278.85pt;margin-top:-28.2999pt;width:63pt;height:3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jc w:val="both"/>
        <w:ind w:right="160"/>
        <w:spacing w:after="0" w:line="293" w:lineRule="auto"/>
        <w:rPr>
          <w:sz w:val="20"/>
          <w:szCs w:val="20"/>
          <w:color w:val="auto"/>
        </w:rPr>
      </w:pPr>
      <w:r>
        <w:rPr>
          <w:rFonts w:ascii="PMingLiU" w:cs="PMingLiU" w:eastAsia="PMingLiU" w:hAnsi="PMingLiU"/>
          <w:sz w:val="14"/>
          <w:szCs w:val="14"/>
          <w:color w:val="auto"/>
        </w:rPr>
        <w:t>3DWULFN*(QULJKWKDVVHUYHGDVDPHPEHURIRXU%RDUGVLQFHWKHFORVLQJRIWKH$]XU0HUJHU LQ-DQXDU\DQGZDVDGLUHFWRURI-D]]3KDUPDFHXWLFDOV,QFIURPXQWLOWKHFORVLQJ RIWKH$]XU0HUJHU</w:t>
      </w:r>
      <w:r>
        <w:rPr>
          <w:rFonts w:ascii="PMingLiU" w:cs="PMingLiU" w:eastAsia="PMingLiU" w:hAnsi="PMingLiU"/>
          <w:sz w:val="16"/>
          <w:szCs w:val="16"/>
          <w:color w:val="auto"/>
        </w:rPr>
        <w:t/>
      </w:r>
      <w:r>
        <w:rPr>
          <w:rFonts w:ascii="PMingLiU" w:cs="PMingLiU" w:eastAsia="PMingLiU" w:hAnsi="PMingLiU"/>
          <w:sz w:val="14"/>
          <w:szCs w:val="14"/>
          <w:color w:val="auto"/>
        </w:rPr>
        <w:t>0U(QULJKWFRIRXQGHG/RQJLWXGH&amp;DSLWDODKHDOWKFDUHIRFXVHGYHQWXUH</w:t>
      </w:r>
    </w:p>
    <w:p>
      <w:pPr>
        <w:spacing w:after="0" w:line="2" w:lineRule="exact"/>
        <w:rPr>
          <w:sz w:val="20"/>
          <w:szCs w:val="20"/>
          <w:color w:val="auto"/>
        </w:rPr>
      </w:pPr>
    </w:p>
    <w:p>
      <w:pPr>
        <w:ind w:right="180"/>
        <w:spacing w:after="0" w:line="866" w:lineRule="auto"/>
        <w:rPr>
          <w:sz w:val="20"/>
          <w:szCs w:val="20"/>
          <w:color w:val="auto"/>
        </w:rPr>
      </w:pPr>
      <w:r>
        <w:rPr>
          <w:rFonts w:ascii="PMingLiU" w:cs="PMingLiU" w:eastAsia="PMingLiU" w:hAnsi="PMingLiU"/>
          <w:sz w:val="7"/>
          <w:szCs w:val="7"/>
          <w:color w:val="auto"/>
        </w:rPr>
        <w:t>FDSLWDOILUPZKHUHKHKDVVHUYHGDVD0DQDJLQJ'LUHFWRUVLQFH0U(QULJKWFXUUHQWO\ VHUYHVRQWKHERDUGVRIGLUHFWRUVRI9HUD7KHUDSHXWLFV,QF%LR$JH/DEV,QF9HUDGHUPLFV ,QFDQG=HQDV%LR3KDUPD,QFDOOSXEOLFELRWHFKQRORJ\FRPSDQLHVDVZHOODVVHYHUDO SULYDWHO\KHOGKHDOWKFDUHFRPSDQLHV)URPWR0U(QULJKWZDVD0DQDJLQJ 'LUHFWRURI3HTXRW9HQWXUHVQRZNQRZQDV)LUVW0DUN&amp;DSLWDODYHQWXUHFDSLWDOILUPZKHUH KHFROHGWKHOLIHVFLHQFHVLQYHVWPHQWSUDFWLFH0U(QULJKWDOVRKDVVLJQLILFDQWOLIHVFLHQFHV</w:t>
      </w:r>
    </w:p>
    <w:p>
      <w:pPr>
        <w:spacing w:after="0" w:line="30" w:lineRule="exact"/>
        <w:rPr>
          <w:sz w:val="20"/>
          <w:szCs w:val="20"/>
          <w:color w:val="auto"/>
        </w:rPr>
      </w:pPr>
    </w:p>
    <w:p>
      <w:pPr>
        <w:ind w:right="140"/>
        <w:spacing w:after="0" w:line="331" w:lineRule="auto"/>
        <w:rPr>
          <w:sz w:val="20"/>
          <w:szCs w:val="20"/>
          <w:color w:val="auto"/>
        </w:rPr>
      </w:pPr>
      <w:r>
        <w:rPr>
          <w:rFonts w:ascii="PMingLiU" w:cs="PMingLiU" w:eastAsia="PMingLiU" w:hAnsi="PMingLiU"/>
          <w:sz w:val="13"/>
          <w:szCs w:val="13"/>
          <w:color w:val="auto"/>
        </w:rPr>
        <w:t>RSHUDWLRQVH[SHULHQFHLQFOXGLQJKROGLQJVHQLRUH[HFXWLYHSRVLWLRQVDW9DOHQWLV%RHKULQJHU 0DQQKHLP*PE+DFTXLUHGE\5RFKHDQG6DQGR]$*0U(QULJKWSUHYLRXVO\VHUYHGRQWKH ERDUGVRIGLUHFWRUVRIRYHUWZHQW\FRPSDQLHVLQFOXGLQJ$SWLQ\[,QFIURPWR $LPPXQH7KHUDSHXWLFV,QFIURPXQWLOLWVDFTXLVLWLRQE\1HVWOpLQ9D[F\WH,QF IURPWRDQG&amp;RUFHSW7KHUDSHXWLFV,QFRUSRUDWHGIURPWR0U(QULJKW KROGVD%6LQ%LRORJLFDO6FLHQFHVIURP6WDQIRUG8QLYHUVLW\DQGDQ0%$IURPWKH:KDUWRQ 6FKRRORIWKH8QLYHUVLW\RI3HQQV\OYDQLD</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ind w:right="20"/>
        <w:spacing w:after="0" w:line="371" w:lineRule="auto"/>
        <w:rPr>
          <w:sz w:val="20"/>
          <w:szCs w:val="20"/>
          <w:color w:val="auto"/>
        </w:rPr>
      </w:pPr>
      <w:r>
        <w:rPr>
          <w:rFonts w:ascii="PMingLiU" w:cs="PMingLiU" w:eastAsia="PMingLiU" w:hAnsi="PMingLiU"/>
          <w:sz w:val="13"/>
          <w:szCs w:val="13"/>
          <w:color w:val="auto"/>
        </w:rPr>
        <w:t>%DVHGRQKLVH[SHULHQFHVHUYLQJRQWKHERDUGVRIVHYHUDOFOLQLFDOVWDJHELRWHFKQRORJ\ FRPSDQLHVDQGKLVLQYHVWPHQWH[SHULHQFHLQWKHOLIHVFLHQFHVLQGXVWU\0U(QULJKWEULQJVWRRXU %RDUGRSHUDWLQJH[SHULHQFHDQGILQDQFLDOH[SHUWLVHLQWKHOLIHVFLHQFHVLQGXVWU\</w:t>
      </w:r>
    </w:p>
    <w:p>
      <w:pPr>
        <w:spacing w:after="0" w:line="95"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226695" cy="118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2">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55245</wp:posOffset>
            </wp:positionV>
            <wp:extent cx="228600" cy="228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3">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55245</wp:posOffset>
            </wp:positionV>
            <wp:extent cx="193675" cy="2279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4">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64770</wp:posOffset>
            </wp:positionV>
            <wp:extent cx="227965" cy="2089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5">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99060</wp:posOffset>
            </wp:positionV>
            <wp:extent cx="228600" cy="140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6">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76835</wp:posOffset>
            </wp:positionV>
            <wp:extent cx="227330" cy="1841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7">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61595</wp:posOffset>
            </wp:positionV>
            <wp:extent cx="182880" cy="2273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8">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55245</wp:posOffset>
            </wp:positionV>
            <wp:extent cx="228600" cy="228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55245</wp:posOffset>
            </wp:positionV>
            <wp:extent cx="222250" cy="2279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0">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55245</wp:posOffset>
            </wp:positionV>
            <wp:extent cx="226695" cy="228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1">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1869" w:lineRule="exact"/>
        <w:rPr>
          <w:sz w:val="20"/>
          <w:szCs w:val="20"/>
          <w:color w:val="auto"/>
        </w:rPr>
      </w:pPr>
    </w:p>
    <w:p>
      <w:pPr>
        <w:sectPr>
          <w:pgSz w:w="11880" w:h="15479" w:orient="portrait"/>
          <w:cols w:equalWidth="0" w:num="2">
            <w:col w:w="2600" w:space="600"/>
            <w:col w:w="6780"/>
          </w:cols>
          <w:pgMar w:left="940" w:top="377" w:right="959" w:bottom="0" w:gutter="0" w:footer="0" w:header="0"/>
        </w:sectPr>
      </w:pPr>
    </w:p>
    <w:p>
      <w:pPr>
        <w:spacing w:after="0" w:line="273" w:lineRule="exact"/>
        <w:rPr>
          <w:sz w:val="20"/>
          <w:szCs w:val="20"/>
          <w:color w:val="auto"/>
        </w:rPr>
      </w:pPr>
    </w:p>
    <w:p>
      <w:pPr>
        <w:spacing w:after="0"/>
        <w:tabs>
          <w:tab w:leader="none" w:pos="280" w:val="left"/>
        </w:tabs>
        <w:rPr>
          <w:sz w:val="20"/>
          <w:szCs w:val="20"/>
          <w:color w:val="auto"/>
        </w:rPr>
      </w:pPr>
      <w:r>
        <w:rPr>
          <w:rFonts w:ascii="PMingLiU" w:cs="PMingLiU" w:eastAsia="PMingLiU" w:hAnsi="PMingLiU"/>
          <w:sz w:val="16"/>
          <w:szCs w:val="16"/>
          <w:color w:val="auto"/>
        </w:rPr>
        <w:t/>
        <w:tab/>
        <w:t>,QFOXGHVVHUYLFHRQWKHERDUGRIGLUHFWRUVRI-D]]3KDUPDFHXWLFDOV,QFRXUSUHGHFHVVRU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3604895</wp:posOffset>
            </wp:positionV>
            <wp:extent cx="1386840" cy="2336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9980"/>
          </w:cols>
          <w:pgMar w:left="940" w:top="377" w:right="959" w:bottom="0" w:gutter="0" w:footer="0" w:header="0"/>
          <w:type w:val="continuous"/>
        </w:sectPr>
      </w:pPr>
    </w:p>
    <w:bookmarkStart w:id="23" w:name="page24"/>
    <w:bookmarkEnd w:id="23"/>
    <w:p>
      <w:pPr>
        <w:ind w:left="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158" o:spid="_x0000_s1183"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325755</wp:posOffset>
            </wp:positionV>
            <wp:extent cx="1876425" cy="3962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3">
                      <a:extLst>
                        <a:ext uri="{28A0092B-C50C-407E-A947-70E740481C1C}"/>
                      </a:extLst>
                    </a:blip>
                    <a:srcRect/>
                    <a:stretch>
                      <a:fillRect/>
                    </a:stretch>
                  </pic:blipFill>
                  <pic:spPr bwMode="auto">
                    <a:xfrm>
                      <a:off x="0" y="0"/>
                      <a:ext cx="1876425" cy="396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0"/>
        <w:spacing w:after="0"/>
        <w:rPr>
          <w:sz w:val="20"/>
          <w:szCs w:val="20"/>
          <w:color w:val="auto"/>
        </w:rPr>
      </w:pPr>
      <w:r>
        <w:rPr>
          <w:rFonts w:ascii="PMingLiU" w:cs="PMingLiU" w:eastAsia="PMingLiU" w:hAnsi="PMingLiU"/>
          <w:sz w:val="28"/>
          <w:szCs w:val="28"/>
          <w:b w:val="1"/>
          <w:bCs w:val="1"/>
          <w:color w:val="000046"/>
        </w:rPr>
        <w:t>5HQHH'*DOD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-196850</wp:posOffset>
            </wp:positionV>
            <wp:extent cx="1590675" cy="27622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4">
                      <a:extLst>
                        <a:ext uri="{28A0092B-C50C-407E-A947-70E740481C1C}"/>
                      </a:extLst>
                    </a:blip>
                    <a:srcRect/>
                    <a:stretch>
                      <a:fillRect/>
                    </a:stretch>
                  </pic:blipFill>
                  <pic:spPr bwMode="auto">
                    <a:xfrm>
                      <a:off x="0" y="0"/>
                      <a:ext cx="1590675" cy="2762250"/>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-196850</wp:posOffset>
            </wp:positionV>
            <wp:extent cx="1590675" cy="27622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35">
                      <a:extLst>
                        <a:ext uri="{28A0092B-C50C-407E-A947-70E740481C1C}"/>
                      </a:extLst>
                    </a:blip>
                    <a:srcRect/>
                    <a:stretch>
                      <a:fillRect/>
                    </a:stretch>
                  </pic:blipFill>
                  <pic:spPr bwMode="auto">
                    <a:xfrm>
                      <a:off x="0" y="0"/>
                      <a:ext cx="1590675" cy="2762250"/>
                    </a:xfrm>
                    <a:prstGeom prst="rect">
                      <a:avLst/>
                    </a:prstGeom>
                    <a:noFill/>
                  </pic:spPr>
                </pic:pic>
              </a:graphicData>
            </a:graphic>
          </wp:anchor>
        </w:drawing>
      </w:r>
    </w:p>
    <w:p>
      <w:pPr>
        <w:spacing w:after="0" w:line="193" w:lineRule="exact"/>
        <w:rPr>
          <w:sz w:val="20"/>
          <w:szCs w:val="20"/>
          <w:color w:val="auto"/>
        </w:rPr>
      </w:pPr>
    </w:p>
    <w:p>
      <w:pPr>
        <w:ind w:left="240" w:right="200"/>
        <w:spacing w:after="0" w:line="299" w:lineRule="auto"/>
        <w:rPr>
          <w:sz w:val="20"/>
          <w:szCs w:val="20"/>
          <w:color w:val="auto"/>
        </w:rPr>
      </w:pPr>
      <w:r>
        <w:rPr>
          <w:rFonts w:ascii="PMingLiU" w:cs="PMingLiU" w:eastAsia="PMingLiU" w:hAnsi="PMingLiU"/>
          <w:sz w:val="16"/>
          <w:szCs w:val="16"/>
          <w:b w:val="1"/>
          <w:bCs w:val="1"/>
          <w:color w:val="5C004D"/>
        </w:rPr>
        <w:t>35(6,'(17&amp;+,() (;(&amp;87,9(2)),&amp;(5$1' ',5(&amp;725</w:t>
      </w:r>
    </w:p>
    <w:p>
      <w:pPr>
        <w:spacing w:after="0" w:line="320"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1RQH</w:t>
      </w:r>
    </w:p>
    <w:p>
      <w:pPr>
        <w:spacing w:after="0" w:line="181" w:lineRule="exact"/>
        <w:rPr>
          <w:sz w:val="20"/>
          <w:szCs w:val="20"/>
          <w:color w:val="auto"/>
        </w:rPr>
      </w:pPr>
    </w:p>
    <w:p>
      <w:pPr>
        <w:ind w:left="240" w:right="22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'H[FRP,QF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524510</wp:posOffset>
            </wp:positionV>
            <wp:extent cx="1876425" cy="3810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6">
                      <a:extLst>
                        <a:ext uri="{28A0092B-C50C-407E-A947-70E740481C1C}"/>
                      </a:extLst>
                    </a:blip>
                    <a:srcRect/>
                    <a:stretch>
                      <a:fillRect/>
                    </a:stretch>
                  </pic:blipFill>
                  <pic:spPr bwMode="auto">
                    <a:xfrm>
                      <a:off x="0" y="0"/>
                      <a:ext cx="1876425" cy="381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spacing w:after="0"/>
        <w:rPr>
          <w:sz w:val="20"/>
          <w:szCs w:val="20"/>
          <w:color w:val="auto"/>
        </w:rPr>
      </w:pPr>
      <w:r>
        <w:rPr>
          <w:rFonts w:ascii="PMingLiU" w:cs="PMingLiU" w:eastAsia="PMingLiU" w:hAnsi="PMingLiU"/>
          <w:sz w:val="28"/>
          <w:szCs w:val="28"/>
          <w:b w:val="1"/>
          <w:bCs w:val="1"/>
          <w:color w:val="000046"/>
        </w:rPr>
        <w:t>/DXUD-+DPLOO</w:t>
      </w:r>
    </w:p>
    <w:p>
      <w:pPr>
        <w:spacing w:after="0" w:line="213"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ind w:left="240" w:right="440"/>
        <w:spacing w:after="0" w:line="496" w:lineRule="auto"/>
        <w:rPr>
          <w:sz w:val="20"/>
          <w:szCs w:val="20"/>
          <w:color w:val="auto"/>
        </w:rPr>
      </w:pPr>
      <w:r>
        <w:rPr>
          <w:rFonts w:ascii="PMingLiU" w:cs="PMingLiU" w:eastAsia="PMingLiU" w:hAnsi="PMingLiU"/>
          <w:sz w:val="13"/>
          <w:szCs w:val="13"/>
          <w:b w:val="1"/>
          <w:bCs w:val="1"/>
          <w:color w:val="2D2C36"/>
        </w:rPr>
        <w:t xml:space="preserve">&amp;200,77((6 </w:t>
      </w:r>
      <w:r>
        <w:rPr>
          <w:rFonts w:ascii="PMingLiU" w:cs="PMingLiU" w:eastAsia="PMingLiU" w:hAnsi="PMingLiU"/>
          <w:sz w:val="13"/>
          <w:szCs w:val="13"/>
          <w:color w:val="2D2C36"/>
        </w:rPr>
        <w:t>&amp;RPSHQVDWLRQ&amp;RPPLWWHH</w:t>
      </w:r>
    </w:p>
    <w:p>
      <w:pPr>
        <w:spacing w:after="0" w:line="1" w:lineRule="exact"/>
        <w:rPr>
          <w:sz w:val="20"/>
          <w:szCs w:val="20"/>
          <w:color w:val="auto"/>
        </w:rPr>
      </w:pPr>
    </w:p>
    <w:p>
      <w:pPr>
        <w:ind w:left="240" w:right="22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%%%LRWHFK$*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4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spacing w:after="0" w:line="332" w:lineRule="auto"/>
        <w:rPr>
          <w:sz w:val="20"/>
          <w:szCs w:val="20"/>
          <w:color w:val="auto"/>
        </w:rPr>
      </w:pPr>
      <w:r>
        <w:rPr>
          <w:rFonts w:ascii="PMingLiU" w:cs="PMingLiU" w:eastAsia="PMingLiU" w:hAnsi="PMingLiU"/>
          <w:sz w:val="13"/>
          <w:szCs w:val="13"/>
          <w:color w:val="auto"/>
        </w:rPr>
        <w:t>5HQHH'*DODKDVVHUYHGDVDPHPEHURIRXU%RDUGDQG3UHVLGHQWDQG&amp;(2VLQFH$XJXVW 3UHYLRXVO\0V*DODZDVRXU3UHVLGHQWDQG&amp;22IURP2FWREHUZKHUHVKH RYHUVDZ-D]]¶VJOREDOEXVLQHVVRSHUDWLRQVZKLFKLQFOXGHFRPPHUFLDOPHGLFDOUHVHDUFKDQG GHYHORSPHQWWHFKQLFDORSHUDWLRQVDQGTXDOLW\DVZHOODVFRUSRUDWHVWUDWHJ\0V*DODMRLQHG -D]]DV([HFXWLYH9LFH3UHVLGHQWDQG&amp;)2LQ0DUFK)URP-DQXDU\WR-XQH0V *DODVHUYHGDVWKH&amp;)2RI*5$,/,QFDSULYDWHKHDOWKFDUHFRPSDQ\IRFXVHGRQWKHHDUO\ GHWHFWLRQRIFDQFHU3ULRUWRWKDWIURP'HFHPEHUWR-DQXDU\VKHVHUYHGDV6HQLRU 9LFH3UHVLGHQWDQG&amp;)2RI7KHUDYDQFH%LRSKDUPD,QFDELRSKDUPDFHXWLFDOFRPSDQ\ IROORZLQJLWVVSLQRXWIURP7KHUDYDQFH,QFQRZ,QQRYLYD,QF0V*DODMRLQHG7KHUDYDQFHLQ DQGKHOGYDULRXVUROHVLQWKHILQDQFHRUJDQL]DWLRQEHIRUHOHDGLQJWKHFRPSDQ\¶VVSLQRXW WUDQVDFWLRQ3ULRUWRWKDW0V*DODVHUYHGLQYDULRXVUROHVLQJOREDOWUHDVXU\SKDUPDFHXWLFDO VDOHVDQGFRUSRUDWHVWUDWHJ\EXVLQHVVGHYHORSPHQWDW(OL/LOO\DQG&amp;RPSDQ\DJOREDO SKDUPDFHXWLFDOFRPSDQ\IURPWR%HIRUHMRLQLQJ(OL/LOO\DQG&amp;RPSDQ\0V*DOD VSHQWVHYHQ\HDUVLQWKHHQHUJ\LQGXVWU\LQSRVLWLRQVIRFXVHGRQFRUSRUDWHILQDQFHSURMHFW ILQDQFHDQGPHUJHUVDQGDFTXLVLWLRQV0V*DODFXUUHQWO\VHUYHVRQWKHERDUGRI'H[FRP,QF DKHDOWKFDUHFRPSDQ\DQGKDVSUHYLRXVO\VHUYHGRQWKHERDUGRIGLUHFWRUVRIPXOWLSOHELRWHFK FRPSDQLHVLQFOXGLQJ*\URVFRSH7KHUDSHXWLFVDFTXLUHGE\1RYDUWLV&amp;RUFHSW7KHUDSHXWLFV DQG*RVVDPHU%LR,QF0V*DODKROGVD%6LQ0DWKHPDWLFVIURP9DQGHUELOW8QLYHUVLW\DQG DQ0%$IURP&amp;ROXPELD%XVLQHVV6FKRRO</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ind w:right="540"/>
        <w:spacing w:after="0" w:line="368" w:lineRule="auto"/>
        <w:rPr>
          <w:sz w:val="20"/>
          <w:szCs w:val="20"/>
          <w:color w:val="auto"/>
        </w:rPr>
      </w:pPr>
      <w:r>
        <w:rPr>
          <w:rFonts w:ascii="PMingLiU" w:cs="PMingLiU" w:eastAsia="PMingLiU" w:hAnsi="PMingLiU"/>
          <w:sz w:val="14"/>
          <w:szCs w:val="14"/>
          <w:color w:val="auto"/>
        </w:rPr>
        <w:t>0V*DODEULQJVWRRXU%RDUGPRUHWKDQ\HDUVRIH[SHULHQFHDFURVVILQDQFHVWUDWHJ\ FRUSRUDWHGHYHORSPHQWDQGFRPPHUFLDOL]DWLRQ</w:t>
      </w:r>
    </w:p>
    <w:p>
      <w:pPr>
        <w:spacing w:after="0" w:line="9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6695" cy="118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7">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45720</wp:posOffset>
            </wp:positionV>
            <wp:extent cx="228600" cy="228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8">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45720</wp:posOffset>
            </wp:positionV>
            <wp:extent cx="193675" cy="2279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9">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55245</wp:posOffset>
            </wp:positionV>
            <wp:extent cx="227965" cy="2089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0">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90170</wp:posOffset>
            </wp:positionV>
            <wp:extent cx="228600" cy="140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1">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67945</wp:posOffset>
            </wp:positionV>
            <wp:extent cx="227330" cy="1841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2">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45720</wp:posOffset>
            </wp:positionV>
            <wp:extent cx="228600" cy="228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3">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45720</wp:posOffset>
            </wp:positionV>
            <wp:extent cx="222250" cy="2279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4">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45720</wp:posOffset>
            </wp:positionV>
            <wp:extent cx="226695" cy="228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5">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140"/>
        <w:spacing w:after="0" w:line="1154" w:lineRule="auto"/>
        <w:rPr>
          <w:sz w:val="20"/>
          <w:szCs w:val="20"/>
          <w:color w:val="auto"/>
        </w:rPr>
      </w:pPr>
      <w:r>
        <w:rPr>
          <w:rFonts w:ascii="PMingLiU" w:cs="PMingLiU" w:eastAsia="PMingLiU" w:hAnsi="PMingLiU"/>
          <w:sz w:val="6"/>
          <w:szCs w:val="6"/>
          <w:color w:val="auto"/>
        </w:rPr>
        <w:t>/DXUD-+DPLOOKDVVHUYHGDVDPHPEHURIRXU%RDUGVLQFH-XO\0V+DPLOOFXUUHQWO\ VHUYHVRQWKHERDUGRIGLUHFWRUVRI%%%LRWHFK$*DSXEOLFO\KHOG6ZLVVEDVHGLQYHVWPHQW IXQGVLQFH0DUFK0V+DPLOODOVRVHUYHVRQWKHERDUGRIGLUHFWRUVRI8QFKDLQHG/DEV //&amp;DSULYDWHO\KHOGOLIHVFLHQFHVWRROVFRPSDQ\DQGLVDFRQVXOWDQWIRU/DXQFK7KHUDSHXWLFV ,QFZKLFKLVSDUWRIWKHKHDOWKFDUHLQYHVWPHQWJURXSRI&amp;DUO\OH0V+DPLOOSUHYLRXVO\VHUYHG</w:t>
      </w:r>
    </w:p>
    <w:p>
      <w:pPr>
        <w:ind w:right="40"/>
        <w:spacing w:after="0" w:line="326" w:lineRule="auto"/>
        <w:rPr>
          <w:sz w:val="20"/>
          <w:szCs w:val="20"/>
          <w:color w:val="auto"/>
        </w:rPr>
      </w:pPr>
      <w:r>
        <w:rPr>
          <w:rFonts w:ascii="PMingLiU" w:cs="PMingLiU" w:eastAsia="PMingLiU" w:hAnsi="PMingLiU"/>
          <w:sz w:val="13"/>
          <w:szCs w:val="13"/>
          <w:color w:val="auto"/>
        </w:rPr>
        <w:t>RQWKHERDUGVRIGLUHFWRUVRIELRSKDUPDFHXWLFDOFRPSDQLHV$FFHOHURQ3KDUPD,QFIURP 6HSWHPEHUWR'HFHPEHU$QDSW\V%LR,QFIURP6HSWHPEHUWR-XQH 3DUGHV%LRVFLHQFHV,QFIURP-XO\WR-XO\6FLOH[+ROGLQJ&amp;RPSDQ\IURP1RYHPEHU WR$XJXVWDQG&lt;P$EV7KHUDSHXWLFV,QFIURP-XQHWR6HSWHPEHU0V +DPLOOKHOGWKHSRVLWLRQRI([HFXWLYH9LFH3UHVLGHQW:RUOGZLGH&amp;RPPHUFLDO2SHUDWLRQVIRU *LOHDG6FLHQFHV,QFDELRSKDUPDFHXWLFDOFRPSDQ\DQGVHUYHGLQYDULRXVH[HFXWLYH PDQDJHPHQWSRVLWLRQVDW$PJHQ,QFDJOREDOELRWHFKQRORJ\FRPSDQ\FXOPLQDWLQJLQKHUUROH DV6HQLRU9LFH3UHVLGHQW86&amp;RPPHUFLDO2SHUDWLRQV6KHKDVH[WHQVLYHH[SHULHQFHOLYLQJ DQGZRUNLQJRYHUVHDV0V+DPLOOKROGVDGHJUHHLQ%XVLQHVV$GPLQLVWUDWLRQZLWKDQHPSKDVLV LQ0DUNHWLQJIURPWKH8QLYHUVLW\RI$UL]RQD</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0V+DPLOOEULQJVRYHU\HDUVRIFRPPHUFLDOH[SHUWLVHLQWKHELRSKDUPDFHXWLFDOLQGXVWU\WR</w:t>
      </w:r>
    </w:p>
    <w:p>
      <w:pPr>
        <w:spacing w:after="0" w:line="45" w:lineRule="exact"/>
        <w:rPr>
          <w:sz w:val="20"/>
          <w:szCs w:val="20"/>
          <w:color w:val="auto"/>
        </w:rPr>
      </w:pPr>
    </w:p>
    <w:p>
      <w:pPr>
        <w:spacing w:after="0"/>
        <w:rPr>
          <w:sz w:val="20"/>
          <w:szCs w:val="20"/>
          <w:color w:val="auto"/>
        </w:rPr>
      </w:pPr>
      <w:r>
        <w:rPr>
          <w:rFonts w:ascii="PMingLiU" w:cs="PMingLiU" w:eastAsia="PMingLiU" w:hAnsi="PMingLiU"/>
          <w:sz w:val="13"/>
          <w:szCs w:val="13"/>
          <w:color w:val="auto"/>
        </w:rPr>
        <w:t>RXUERDUGRIGLUHFWRUVKDYLQJKHOGDYDULHW\RIH[HFXWLYHOHDGHUVKLSSRVLWLRQVLQWKH86DQG</w:t>
      </w:r>
    </w:p>
    <w:p>
      <w:pPr>
        <w:spacing w:after="0" w:line="57" w:lineRule="exact"/>
        <w:rPr>
          <w:sz w:val="20"/>
          <w:szCs w:val="20"/>
          <w:color w:val="auto"/>
        </w:rPr>
      </w:pPr>
    </w:p>
    <w:p>
      <w:pPr>
        <w:spacing w:after="0"/>
        <w:rPr>
          <w:sz w:val="20"/>
          <w:szCs w:val="20"/>
          <w:color w:val="auto"/>
        </w:rPr>
      </w:pPr>
      <w:r>
        <w:rPr>
          <w:rFonts w:ascii="PMingLiU" w:cs="PMingLiU" w:eastAsia="PMingLiU" w:hAnsi="PMingLiU"/>
          <w:sz w:val="16"/>
          <w:szCs w:val="16"/>
          <w:color w:val="auto"/>
        </w:rPr>
        <w:t>LQWHUQDWLRQDOO\</w:t>
      </w:r>
    </w:p>
    <w:p>
      <w:pPr>
        <w:spacing w:after="0" w:line="20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226695" cy="1187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6">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50165</wp:posOffset>
            </wp:positionV>
            <wp:extent cx="228600" cy="228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7">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50165</wp:posOffset>
            </wp:positionV>
            <wp:extent cx="193675" cy="2279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8">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72390</wp:posOffset>
            </wp:positionV>
            <wp:extent cx="227330" cy="184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9">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50165</wp:posOffset>
            </wp:positionV>
            <wp:extent cx="228600" cy="228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0">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50165</wp:posOffset>
            </wp:positionV>
            <wp:extent cx="226695" cy="228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1">
                      <a:extLst>
                        <a:ext uri="{28A0092B-C50C-407E-A947-70E740481C1C}"/>
                      </a:extLst>
                    </a:blip>
                    <a:srcRect/>
                    <a:stretch>
                      <a:fillRect/>
                    </a:stretch>
                  </pic:blipFill>
                  <pic:spPr bwMode="auto">
                    <a:xfrm>
                      <a:off x="0" y="0"/>
                      <a:ext cx="226695" cy="22860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1450340</wp:posOffset>
            </wp:positionV>
            <wp:extent cx="1386840" cy="2336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ectPr>
          <w:pgSz w:w="11880" w:h="15479" w:orient="portrait"/>
          <w:cols w:equalWidth="0" w:num="2">
            <w:col w:w="2520" w:space="680"/>
            <w:col w:w="6820"/>
          </w:cols>
          <w:pgMar w:left="940" w:top="377" w:right="919" w:bottom="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687070</wp:posOffset>
            </wp:positionV>
            <wp:extent cx="1876425" cy="38004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3">
                      <a:extLst>
                        <a:ext uri="{28A0092B-C50C-407E-A947-70E740481C1C}"/>
                      </a:extLst>
                    </a:blip>
                    <a:srcRect/>
                    <a:stretch>
                      <a:fillRect/>
                    </a:stretch>
                  </pic:blipFill>
                  <pic:spPr bwMode="auto">
                    <a:xfrm>
                      <a:off x="0" y="0"/>
                      <a:ext cx="1876425" cy="380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PMingLiU" w:cs="PMingLiU" w:eastAsia="PMingLiU" w:hAnsi="PMingLiU"/>
          <w:sz w:val="28"/>
          <w:szCs w:val="28"/>
          <w:b w:val="1"/>
          <w:bCs w:val="1"/>
          <w:color w:val="000046"/>
        </w:rPr>
        <w:t>3DWULFN.HQQHG\</w:t>
      </w:r>
    </w:p>
    <w:p>
      <w:pPr>
        <w:spacing w:after="0" w:line="21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&amp;200,77((6</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6"/>
          <w:szCs w:val="16"/>
          <w:color w:val="2D2C36"/>
        </w:rPr>
        <w:t>$XGLW&amp;RPPLWWHH&amp;KDLU</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6"/>
          <w:szCs w:val="16"/>
          <w:color w:val="2D2C36"/>
        </w:rPr>
        <w:t>7UDQVDFWLRQ&amp;RPPLWWHH</w:t>
      </w:r>
    </w:p>
    <w:p>
      <w:pPr>
        <w:spacing w:after="0" w:line="181" w:lineRule="exact"/>
        <w:rPr>
          <w:sz w:val="20"/>
          <w:szCs w:val="20"/>
          <w:color w:val="auto"/>
        </w:rPr>
      </w:pPr>
    </w:p>
    <w:p>
      <w:pPr>
        <w:ind w:right="340"/>
        <w:spacing w:after="0" w:line="302" w:lineRule="auto"/>
        <w:rPr>
          <w:sz w:val="20"/>
          <w:szCs w:val="20"/>
          <w:color w:val="auto"/>
        </w:rPr>
      </w:pPr>
      <w:r>
        <w:rPr>
          <w:rFonts w:ascii="PMingLiU" w:cs="PMingLiU" w:eastAsia="PMingLiU" w:hAnsi="PMingLiU"/>
          <w:sz w:val="16"/>
          <w:szCs w:val="16"/>
          <w:b w:val="1"/>
          <w:bCs w:val="1"/>
          <w:color w:val="2D2C36"/>
        </w:rPr>
        <w:t>27+(5&amp;855(1738%/,&amp; %2$5'6</w:t>
      </w:r>
      <w:r>
        <w:rPr>
          <w:rFonts w:ascii="PMingLiU" w:cs="PMingLiU" w:eastAsia="PMingLiU" w:hAnsi="PMingLiU"/>
          <w:sz w:val="16"/>
          <w:szCs w:val="16"/>
          <w:color w:val="2D2C36"/>
        </w:rPr>
        <w:t>1RQH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467360</wp:posOffset>
            </wp:positionV>
            <wp:extent cx="1876425" cy="4333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4">
                      <a:extLst>
                        <a:ext uri="{28A0092B-C50C-407E-A947-70E740481C1C}"/>
                      </a:extLst>
                    </a:blip>
                    <a:srcRect/>
                    <a:stretch>
                      <a:fillRect/>
                    </a:stretch>
                  </pic:blipFill>
                  <pic:spPr bwMode="auto">
                    <a:xfrm>
                      <a:off x="0" y="0"/>
                      <a:ext cx="1876425" cy="433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PMingLiU" w:cs="PMingLiU" w:eastAsia="PMingLiU" w:hAnsi="PMingLiU"/>
          <w:sz w:val="28"/>
          <w:szCs w:val="28"/>
          <w:b w:val="1"/>
          <w:bCs w:val="1"/>
          <w:color w:val="000046"/>
        </w:rPr>
        <w:t>7HG:/RYH0'</w:t>
      </w:r>
    </w:p>
    <w:p>
      <w:pPr>
        <w:spacing w:after="0" w:line="21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&amp;200,77((6</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6"/>
          <w:szCs w:val="16"/>
          <w:color w:val="2D2C36"/>
        </w:rPr>
        <w:t>$XGLW&amp;RPPLWWHH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6"/>
          <w:szCs w:val="16"/>
          <w:color w:val="2D2C36"/>
        </w:rPr>
        <w:t>60&amp;</w:t>
      </w:r>
    </w:p>
    <w:p>
      <w:pPr>
        <w:spacing w:after="0" w:line="181" w:lineRule="exact"/>
        <w:rPr>
          <w:sz w:val="20"/>
          <w:szCs w:val="20"/>
          <w:color w:val="auto"/>
        </w:rPr>
      </w:pPr>
    </w:p>
    <w:p>
      <w:pPr>
        <w:ind w:right="34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ind w:right="480"/>
        <w:spacing w:after="0" w:line="512" w:lineRule="auto"/>
        <w:rPr>
          <w:sz w:val="20"/>
          <w:szCs w:val="20"/>
          <w:color w:val="auto"/>
        </w:rPr>
      </w:pPr>
      <w:r>
        <w:rPr>
          <w:rFonts w:ascii="PMingLiU" w:cs="PMingLiU" w:eastAsia="PMingLiU" w:hAnsi="PMingLiU"/>
          <w:sz w:val="12"/>
          <w:szCs w:val="12"/>
          <w:color w:val="2D2C36"/>
        </w:rPr>
        <w:t>*LOHDG6FLHQFHV,QF 5R\DOW\3KDUPDSOF 6WUXFWXUH7KHUDSHXWLFV,QF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-1270</wp:posOffset>
            </wp:positionV>
            <wp:extent cx="1733550" cy="2000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5">
                      <a:extLst>
                        <a:ext uri="{28A0092B-C50C-407E-A947-70E740481C1C}"/>
                      </a:extLst>
                    </a:blip>
                    <a:srcRect/>
                    <a:stretch>
                      <a:fillRect/>
                    </a:stretch>
                  </pic:blipFill>
                  <pic:spPr bwMode="auto">
                    <a:xfrm>
                      <a:off x="0" y="0"/>
                      <a:ext cx="1733550" cy="20002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-1270</wp:posOffset>
            </wp:positionV>
            <wp:extent cx="1733550" cy="2000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6">
                      <a:extLst>
                        <a:ext uri="{28A0092B-C50C-407E-A947-70E740481C1C}"/>
                      </a:extLst>
                    </a:blip>
                    <a:srcRect/>
                    <a:stretch>
                      <a:fillRect/>
                    </a:stretch>
                  </pic:blipFill>
                  <pic:spPr bwMode="auto">
                    <a:xfrm>
                      <a:off x="0" y="0"/>
                      <a:ext cx="1733550" cy="200025"/>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549910</wp:posOffset>
            </wp:positionV>
            <wp:extent cx="1386840" cy="2336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700"/>
        <w:spacing w:after="0"/>
        <w:rPr>
          <w:sz w:val="20"/>
          <w:szCs w:val="20"/>
          <w:color w:val="auto"/>
        </w:rPr>
      </w:pPr>
      <w:r>
        <w:rPr>
          <w:rFonts w:ascii="PMingLiU" w:cs="PMingLiU" w:eastAsia="PMingLiU" w:hAnsi="PMingLiU"/>
          <w:sz w:val="16"/>
          <w:szCs w:val="16"/>
          <w:b w:val="1"/>
          <w:bCs w:val="1"/>
          <w:color w:val="FFFFFF"/>
        </w:rPr>
        <w:t>352326$/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3541395</wp:posOffset>
                </wp:positionH>
                <wp:positionV relativeFrom="paragraph">
                  <wp:posOffset>-359410</wp:posOffset>
                </wp:positionV>
                <wp:extent cx="800100" cy="41846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8465"/>
                        </a:xfrm>
                        <a:prstGeom prst="rect">
                          <a:avLst/>
                        </a:prstGeom>
                        <a:solidFill>
                          <a:srgbClr val="5C004D"/>
                        </a:solidFill>
                      </wps:spPr>
                      <wps:bodyPr/>
                    </wps:wsp>
                  </a:graphicData>
                </a:graphic>
              </wp:anchor>
            </w:drawing>
          </mc:Choice>
          <mc:Fallback>
            <w:pict>
              <v:rect id="Shape 184" o:spid="_x0000_s1209" style="position:absolute;margin-left:278.85pt;margin-top:-28.2999pt;width:63pt;height:3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140"/>
        <w:spacing w:after="0" w:line="784" w:lineRule="auto"/>
        <w:rPr>
          <w:sz w:val="20"/>
          <w:szCs w:val="20"/>
          <w:color w:val="auto"/>
        </w:rPr>
      </w:pPr>
      <w:r>
        <w:rPr>
          <w:rFonts w:ascii="PMingLiU" w:cs="PMingLiU" w:eastAsia="PMingLiU" w:hAnsi="PMingLiU"/>
          <w:sz w:val="8"/>
          <w:szCs w:val="8"/>
          <w:color w:val="auto"/>
        </w:rPr>
        <w:t>3DWULFN.HQQHG\KDVVHUYHGDVDPHPEHURIRXU%RDUGVLQFH0DUFKDQGZDVDSSRLQWHG FKDLURIRXU$XGLW&amp;RPPLWWHHLQ$XJXVW0U.HQQHG\VHUYHGRQWKHERDUGRIGLUHFWRUV RIWKH%DQNRI,UHODQGIURPWRDQGVHUYHGDVLWV*RYHUQRUDQG&amp;KDLUPDQIURP WR3UHYLRXVO\0U.HQQHG\ZDVWKH&amp;(2RI3DGG\3RZHUSOFQRZDSDUWRI )OXWWHU(QWHUWDLQPHQWSOFDOHDGLQJ,ULVKEUDQGIRUQLQH\HDUVHQGLQJLQ$GGLWLRQDOO\ 0U.HQQHG\ZDVSUHYLRXVO\&amp;)2RI*UHHQFRUH*URXSSOFDQGKHOGSULRUUROHVZLWK.30* &amp;RUSRUDWH)LQDQFHDQG0F.LQVH\ &amp;RPSDQ\0U.HQQHG\VHUYHGDVDQRQH[HFXWLYH GLUHFWRURI(ODQ&amp;RUSRUDWLRQSOFDELRWHFKQRORJ\FRPSDQ\DQGRIRQOLQHUHWDLOHU$626SOF +HLVFXUUHQWO\DOVRWKHFKDLUDQGQRQH[HFXWLYHGLUHFWRURI&amp;DU7UDZOHUD%%WHFKQRORJ\ SODWIRUPIRUFDUUHQWDODQGPRELOLW\VROXWLRQVDQGWKH+RQRUDU\7UHDVXUHURIWKH,ULVK5XJE\ )RRWEDOO8QLRQ+HKROGVD%&amp;RPPGHJUHH%DQNLQJ )LQDQFHDQGD3RVW*UDGXDWH 'LSORPDLQ$FFRXQWDQF\IURP8QLYHUVLW\&amp;ROOHJH'XEOLQ0U.HQQHG\DOVRKROGVD3RVW *UDGXDWH'LSORPDLQ6WDWLVWLFVIURP7ULQLW\&amp;ROOHJH'XEOLQDQGKHLVD)HOORZRIWKH,QVWLWXWH RI&amp;KDUWHUHG$FFRXQWDQWVLQ,UHODQG</w:t>
      </w:r>
    </w:p>
    <w:p>
      <w:pPr>
        <w:spacing w:after="0" w:line="249"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ind w:right="80"/>
        <w:spacing w:after="0" w:line="365" w:lineRule="auto"/>
        <w:rPr>
          <w:sz w:val="20"/>
          <w:szCs w:val="20"/>
          <w:color w:val="auto"/>
        </w:rPr>
      </w:pPr>
      <w:r>
        <w:rPr>
          <w:rFonts w:ascii="PMingLiU" w:cs="PMingLiU" w:eastAsia="PMingLiU" w:hAnsi="PMingLiU"/>
          <w:sz w:val="14"/>
          <w:szCs w:val="14"/>
          <w:color w:val="auto"/>
        </w:rPr>
        <w:t>0U.HQQHG\EULQJVWRRXU%RDUGRYHU\HDUVRIH[SHULHQFHLQFOXGLQJH[WHQVLYHILQDQFLDODQG RSHUDWLQJH[SHUWLVHLQPDQDJLQJG\QDPLFKLJKJURZWKRULHQWHGFRPSDQLHV</w:t>
      </w:r>
    </w:p>
    <w:p>
      <w:pPr>
        <w:spacing w:after="0" w:line="95"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226695" cy="1187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8">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49530</wp:posOffset>
            </wp:positionV>
            <wp:extent cx="228600" cy="228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49530</wp:posOffset>
            </wp:positionV>
            <wp:extent cx="193675" cy="2279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0">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59055</wp:posOffset>
            </wp:positionV>
            <wp:extent cx="227965" cy="2089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1">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93980</wp:posOffset>
            </wp:positionV>
            <wp:extent cx="228600" cy="140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2">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71755</wp:posOffset>
            </wp:positionV>
            <wp:extent cx="227330" cy="184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3">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49530</wp:posOffset>
            </wp:positionV>
            <wp:extent cx="228600" cy="228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4">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49530</wp:posOffset>
            </wp:positionV>
            <wp:extent cx="222250" cy="2279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5">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49530</wp:posOffset>
            </wp:positionV>
            <wp:extent cx="226695" cy="228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6">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75" w:lineRule="exact"/>
        <w:rPr>
          <w:sz w:val="20"/>
          <w:szCs w:val="20"/>
          <w:color w:val="auto"/>
        </w:rPr>
      </w:pPr>
    </w:p>
    <w:p>
      <w:pPr>
        <w:ind w:right="200"/>
        <w:spacing w:after="0" w:line="324" w:lineRule="auto"/>
        <w:rPr>
          <w:sz w:val="20"/>
          <w:szCs w:val="20"/>
          <w:color w:val="auto"/>
        </w:rPr>
      </w:pPr>
      <w:r>
        <w:rPr>
          <w:rFonts w:ascii="PMingLiU" w:cs="PMingLiU" w:eastAsia="PMingLiU" w:hAnsi="PMingLiU"/>
          <w:sz w:val="13"/>
          <w:szCs w:val="13"/>
          <w:color w:val="auto"/>
        </w:rPr>
        <w:t>7HG:/RYHKDVVHUYHGDVDPHPEHURIRXU%RDUGVLQFH'HFHPEHU</w:t>
      </w:r>
      <w:r>
        <w:rPr>
          <w:rFonts w:ascii="PMingLiU" w:cs="PMingLiU" w:eastAsia="PMingLiU" w:hAnsi="PMingLiU"/>
          <w:sz w:val="15"/>
          <w:szCs w:val="15"/>
          <w:color w:val="auto"/>
        </w:rPr>
        <w:t/>
      </w:r>
      <w:r>
        <w:rPr>
          <w:rFonts w:ascii="PMingLiU" w:cs="PMingLiU" w:eastAsia="PMingLiU" w:hAnsi="PMingLiU"/>
          <w:sz w:val="13"/>
          <w:szCs w:val="13"/>
          <w:color w:val="auto"/>
        </w:rPr>
        <w:t>'U/RYHVHUYHG DVSUHVLGHQWDQG&amp;(2RI*OREDO%ORRG7KHUDSHXWLFV,QFDJOREDOELRSKDUPDFHXWLFDO FRPSDQ\IURPXQWLOLWVDFTXLVLWLRQE\3IL]HU,QFLQ3UHYLRXVO\'U/RYHVHUYHG DV([HFXWLYH9LFH3UHVLGHQWRI5 'DQGWHFKQLFDORSHUDWLRQVDW2Q\[3KDUPDFHXWLFDOV,QF DSKDUPDFHXWLFDOFRPSDQ\DQG3UHVLGHQW&amp;(2FKDLUPDQRI1XYHOR,QFD ELRSKDUPDFHXWLFDOFRPSDQ\'U/RYHEHJDQKLVELRWHFKQRORJ\FDUHHUDW*HQHQWHFK,QFD JOREDOELRWHFKQRORJ\FRPSDQ\ZKHUHKHKHOGVHYHUDOPDQDJHPHQWSRVLWLRQV'U/RYH FXUUHQWO\VHUYHVRQWKHERDUGVRIELRSKDUPDFHXWLFDOFRPSDQLHV*LOHDG6FLHQFHV,QF 5R\DOW\3KDUPDSOFDQG6WUXFWXUH7KHUDSHXWLFV,QFDQGLVWKHLPPHGLDWHSDVWFKDLURIWKH %LRWHFKQRORJ\,QQRYDWLRQ2UJDQL]DWLRQERDUGRIGLUHFWRUV+HHDUQHGD%$LQPROHFXODU ELRORJ\IURP+DYHUIRUG&amp;ROOHJHDQGKLVPHGLFDOGHJUHHIURP&lt;DOH0HGLFDO6FKRROIROORZHG E\DUHVLGHQF\LQLQWHUQDOPHGLFLQHDQGDIHOORZVKLSLQFDUGLRORJ\DW0DVVDFKXVHWWV*HQHUDO +RVSLWDO</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ind w:right="280"/>
        <w:spacing w:after="0" w:line="368" w:lineRule="auto"/>
        <w:rPr>
          <w:sz w:val="20"/>
          <w:szCs w:val="20"/>
          <w:color w:val="auto"/>
        </w:rPr>
      </w:pPr>
      <w:r>
        <w:rPr>
          <w:rFonts w:ascii="PMingLiU" w:cs="PMingLiU" w:eastAsia="PMingLiU" w:hAnsi="PMingLiU"/>
          <w:sz w:val="14"/>
          <w:szCs w:val="14"/>
          <w:color w:val="auto"/>
        </w:rPr>
        <w:t>'U/RYHEULQJVWRRXU%RDUGPRUHWKDQ\HDUVRIELRSKDUPDFHXWLFDOOHDGHUVKLSZLWKGHHS H[SHUWLVHLQGUXJGHYHORSPHQWFRPPHUFLDOL]DWLRQDQGSXEOLFSROLF\</w:t>
      </w:r>
    </w:p>
    <w:p>
      <w:pPr>
        <w:spacing w:after="0" w:line="9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226695" cy="1187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7">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50165</wp:posOffset>
            </wp:positionV>
            <wp:extent cx="228600" cy="2286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8">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50165</wp:posOffset>
            </wp:positionV>
            <wp:extent cx="193675" cy="2279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9">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59690</wp:posOffset>
            </wp:positionV>
            <wp:extent cx="227965" cy="2089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0">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93980</wp:posOffset>
            </wp:positionV>
            <wp:extent cx="228600" cy="140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1">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71755</wp:posOffset>
            </wp:positionV>
            <wp:extent cx="227330" cy="1841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2">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56515</wp:posOffset>
            </wp:positionV>
            <wp:extent cx="182880" cy="2273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3">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50165</wp:posOffset>
            </wp:positionV>
            <wp:extent cx="228600" cy="228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4">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50165</wp:posOffset>
            </wp:positionV>
            <wp:extent cx="222250" cy="2279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5">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50165</wp:posOffset>
            </wp:positionV>
            <wp:extent cx="226695" cy="228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6">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2">
            <w:col w:w="2400" w:space="560"/>
            <w:col w:w="6780"/>
          </w:cols>
          <w:pgMar w:left="1180" w:top="377" w:right="95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578"/>
        </w:trPr>
        <w:tc>
          <w:tcPr>
            <w:tcW w:w="1260" w:type="dxa"/>
            <w:vAlign w:val="bottom"/>
            <w:gridSpan w:val="2"/>
            <w:shd w:val="clear" w:color="auto" w:fill="5C004D"/>
          </w:tcPr>
          <w:p>
            <w:pPr>
              <w:jc w:val="right"/>
              <w:ind w:right="35"/>
              <w:spacing w:after="0"/>
              <w:rPr>
                <w:sz w:val="20"/>
                <w:szCs w:val="20"/>
                <w:color w:val="auto"/>
              </w:rPr>
            </w:pPr>
            <w:r>
              <w:rPr>
                <w:rFonts w:ascii="PMingLiU" w:cs="PMingLiU" w:eastAsia="PMingLiU" w:hAnsi="PMingLiU"/>
                <w:sz w:val="16"/>
                <w:szCs w:val="16"/>
                <w:b w:val="1"/>
                <w:bCs w:val="1"/>
                <w:color w:val="FFFFFF"/>
              </w:rPr>
              <w:t>352326$/</w:t>
            </w:r>
          </w:p>
        </w:tc>
        <w:tc>
          <w:tcPr>
            <w:tcW w:w="17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20" w:type="dxa"/>
            <w:vAlign w:val="bottom"/>
            <w:shd w:val="clear" w:color="auto" w:fill="5C004D"/>
          </w:tcPr>
          <w:p>
            <w:pPr>
              <w:spacing w:after="0"/>
              <w:rPr>
                <w:sz w:val="5"/>
                <w:szCs w:val="5"/>
                <w:color w:val="auto"/>
              </w:rPr>
            </w:pPr>
          </w:p>
        </w:tc>
        <w:tc>
          <w:tcPr>
            <w:tcW w:w="1040" w:type="dxa"/>
            <w:vAlign w:val="bottom"/>
            <w:shd w:val="clear" w:color="auto" w:fill="5C004D"/>
          </w:tcPr>
          <w:p>
            <w:pPr>
              <w:spacing w:after="0"/>
              <w:rPr>
                <w:sz w:val="5"/>
                <w:szCs w:val="5"/>
                <w:color w:val="auto"/>
              </w:rPr>
            </w:pPr>
          </w:p>
        </w:tc>
        <w:tc>
          <w:tcPr>
            <w:tcW w:w="1700" w:type="dxa"/>
            <w:vAlign w:val="bottom"/>
          </w:tcPr>
          <w:p>
            <w:pPr>
              <w:spacing w:after="0"/>
              <w:rPr>
                <w:sz w:val="5"/>
                <w:szCs w:val="5"/>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b w:val="1"/>
                <w:bCs w:val="1"/>
                <w:color w:val="5C004D"/>
              </w:rPr>
              <w:t>%$&amp;.*5281'</w:t>
            </w:r>
          </w:p>
        </w:tc>
        <w:tc>
          <w:tcPr>
            <w:tcW w:w="0" w:type="dxa"/>
            <w:vAlign w:val="bottom"/>
          </w:tcPr>
          <w:p>
            <w:pPr>
              <w:spacing w:after="0"/>
              <w:rPr>
                <w:sz w:val="1"/>
                <w:szCs w:val="1"/>
                <w:color w:val="auto"/>
              </w:rPr>
            </w:pPr>
          </w:p>
        </w:tc>
      </w:tr>
      <w:tr>
        <w:trPr>
          <w:trHeight w:val="420"/>
        </w:trPr>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F3F3F1"/>
          </w:tcPr>
          <w:p>
            <w:pPr>
              <w:spacing w:after="0"/>
              <w:rPr>
                <w:sz w:val="19"/>
                <w:szCs w:val="19"/>
                <w:color w:val="auto"/>
              </w:rPr>
            </w:pPr>
          </w:p>
        </w:tc>
        <w:tc>
          <w:tcPr>
            <w:tcW w:w="1040" w:type="dxa"/>
            <w:vAlign w:val="bottom"/>
            <w:shd w:val="clear" w:color="auto" w:fill="F3F3F1"/>
          </w:tcPr>
          <w:p>
            <w:pPr>
              <w:spacing w:after="0"/>
              <w:rPr>
                <w:sz w:val="19"/>
                <w:szCs w:val="19"/>
                <w:color w:val="auto"/>
              </w:rPr>
            </w:pPr>
          </w:p>
        </w:tc>
        <w:tc>
          <w:tcPr>
            <w:tcW w:w="1700" w:type="dxa"/>
            <w:vAlign w:val="bottom"/>
            <w:shd w:val="clear" w:color="auto" w:fill="F3F3F1"/>
          </w:tcPr>
          <w:p>
            <w:pPr>
              <w:spacing w:after="0"/>
              <w:rPr>
                <w:sz w:val="19"/>
                <w:szCs w:val="19"/>
                <w:color w:val="auto"/>
              </w:rPr>
            </w:pPr>
          </w:p>
        </w:tc>
        <w:tc>
          <w:tcPr>
            <w:tcW w:w="7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20" w:type="dxa"/>
            <w:vAlign w:val="bottom"/>
            <w:shd w:val="clear" w:color="auto" w:fill="F3F3F1"/>
          </w:tcPr>
          <w:p>
            <w:pPr>
              <w:spacing w:after="0"/>
              <w:rPr>
                <w:sz w:val="22"/>
                <w:szCs w:val="22"/>
                <w:color w:val="auto"/>
              </w:rPr>
            </w:pPr>
          </w:p>
        </w:tc>
        <w:tc>
          <w:tcPr>
            <w:tcW w:w="1040" w:type="dxa"/>
            <w:vAlign w:val="bottom"/>
            <w:shd w:val="clear" w:color="auto" w:fill="F3F3F1"/>
          </w:tcPr>
          <w:p>
            <w:pPr>
              <w:spacing w:after="0"/>
              <w:rPr>
                <w:sz w:val="22"/>
                <w:szCs w:val="22"/>
                <w:color w:val="auto"/>
              </w:rPr>
            </w:pPr>
          </w:p>
        </w:tc>
        <w:tc>
          <w:tcPr>
            <w:tcW w:w="1700" w:type="dxa"/>
            <w:vAlign w:val="bottom"/>
            <w:shd w:val="clear" w:color="auto" w:fill="F3F3F1"/>
          </w:tcPr>
          <w:p>
            <w:pPr>
              <w:spacing w:after="0"/>
              <w:rPr>
                <w:sz w:val="22"/>
                <w:szCs w:val="22"/>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3"/>
              </w:rPr>
              <w:t>6HDPXV0XOOLJDQKDVVHUYHGDVDPHPEHURIRXU%RDUGVLQFHWKHFORVLQJRIWKH$]XU0HUJHU</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LQ-DQXDU\0U0XOOLJDQZDVDIRXQGHUDQGSULQFLSDOLQYHVWRURI$]XU3KDUPDDQGZDV</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1"/>
              </w:rPr>
              <w:t>$]XU3KDUPD¶V&amp;KDLUSHUVRQDQG&amp;(2DVZHOODVEHLQJDPHPEHURILWVERDUGRIGLUHFWRUVIURP</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5"/>
              </w:rPr>
              <w:t>XQWLO-DQXDU\0U0XOOLJDQDOVRVHUYHGDVRXU&amp;KLHI%XVLQHVV2IILFHU,QWHUQDWLRQDO</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%XVLQHVV'HYHORSPHQWIURP-DQXDU\XQWLO)HEUXDU\%HWZHHQDQG0U</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0XOOLJDQVHUYHGDV&amp;KDLUSHUVRQDQG&amp;(2RI$GDSW3KDUPD/LPLWHGDVSHFLDOW\</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shd w:val="clear" w:color="auto" w:fill="F3F3F1"/>
          </w:tcPr>
          <w:p>
            <w:pPr>
              <w:spacing w:after="0"/>
              <w:rPr>
                <w:sz w:val="17"/>
                <w:szCs w:val="17"/>
                <w:color w:val="auto"/>
              </w:rPr>
            </w:pP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2"/>
              </w:rPr>
              <w:t>SKDUPDFHXWLFDOFRPSDQ\XQWLOLWZDVDFTXLUHGLQ2FWREHUE\(PHUJHQW%LR6ROXWLRQV,QF</w:t>
            </w:r>
          </w:p>
        </w:tc>
        <w:tc>
          <w:tcPr>
            <w:tcW w:w="0" w:type="dxa"/>
            <w:vAlign w:val="bottom"/>
          </w:tcPr>
          <w:p>
            <w:pPr>
              <w:spacing w:after="0"/>
              <w:rPr>
                <w:sz w:val="1"/>
                <w:szCs w:val="1"/>
                <w:color w:val="auto"/>
              </w:rPr>
            </w:pPr>
          </w:p>
        </w:tc>
      </w:tr>
      <w:tr>
        <w:trPr>
          <w:trHeight w:val="74"/>
        </w:trPr>
        <w:tc>
          <w:tcPr>
            <w:tcW w:w="220" w:type="dxa"/>
            <w:vAlign w:val="bottom"/>
            <w:shd w:val="clear" w:color="auto" w:fill="F3F3F1"/>
          </w:tcPr>
          <w:p>
            <w:pPr>
              <w:spacing w:after="0"/>
              <w:rPr>
                <w:sz w:val="6"/>
                <w:szCs w:val="6"/>
                <w:color w:val="auto"/>
              </w:rPr>
            </w:pPr>
          </w:p>
        </w:tc>
        <w:tc>
          <w:tcPr>
            <w:tcW w:w="1040" w:type="dxa"/>
            <w:vAlign w:val="bottom"/>
            <w:shd w:val="clear" w:color="auto" w:fill="F3F3F1"/>
          </w:tcPr>
          <w:p>
            <w:pPr>
              <w:spacing w:after="0"/>
              <w:rPr>
                <w:sz w:val="6"/>
                <w:szCs w:val="6"/>
                <w:color w:val="auto"/>
              </w:rPr>
            </w:pPr>
          </w:p>
        </w:tc>
        <w:tc>
          <w:tcPr>
            <w:tcW w:w="1700" w:type="dxa"/>
            <w:vAlign w:val="bottom"/>
            <w:shd w:val="clear" w:color="auto" w:fill="F3F3F1"/>
          </w:tcPr>
          <w:p>
            <w:pPr>
              <w:spacing w:after="0"/>
              <w:rPr>
                <w:sz w:val="6"/>
                <w:szCs w:val="6"/>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84"/>
              </w:rPr>
              <w:t>DPXOWLQDWLRQDOVSHFLDOW\ELRSKDUPDFHXWLFDOFRPSDQ\0U0XOOLJDQDFWHGDVD&amp;RQVXOWDQWWR</w:t>
            </w:r>
          </w:p>
        </w:tc>
        <w:tc>
          <w:tcPr>
            <w:tcW w:w="0" w:type="dxa"/>
            <w:vAlign w:val="bottom"/>
          </w:tcPr>
          <w:p>
            <w:pPr>
              <w:spacing w:after="0"/>
              <w:rPr>
                <w:sz w:val="1"/>
                <w:szCs w:val="1"/>
                <w:color w:val="auto"/>
              </w:rPr>
            </w:pPr>
          </w:p>
        </w:tc>
      </w:tr>
      <w:tr>
        <w:trPr>
          <w:trHeight w:val="132"/>
        </w:trPr>
        <w:tc>
          <w:tcPr>
            <w:tcW w:w="220" w:type="dxa"/>
            <w:vAlign w:val="bottom"/>
            <w:shd w:val="clear" w:color="auto" w:fill="F3F3F1"/>
          </w:tcPr>
          <w:p>
            <w:pPr>
              <w:spacing w:after="0"/>
              <w:rPr>
                <w:sz w:val="11"/>
                <w:szCs w:val="11"/>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28"/>
                <w:szCs w:val="28"/>
                <w:b w:val="1"/>
                <w:bCs w:val="1"/>
                <w:color w:val="000046"/>
              </w:rPr>
              <w:t>6HDPXV&amp;0XOOLJDQ</w:t>
            </w:r>
          </w:p>
        </w:tc>
        <w:tc>
          <w:tcPr>
            <w:tcW w:w="7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2740" w:type="dxa"/>
            <w:vAlign w:val="bottom"/>
            <w:gridSpan w:val="2"/>
            <w:vMerge w:val="continue"/>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(PHUJHQW%LR6ROXWLRQV,QFIURP2FWREHUWR0DUFKZKHQKHZDVDSSRLQWHGWRLWV</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5C004D"/>
              </w:rPr>
              <w:t>,1'(3(1'(17',5(&amp;725</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3"/>
              </w:rPr>
              <w:t>ERDUGRIGLUHFWRUVRQZKLFKKHVHUYHGXQWLOKLVUHVLJQDWLRQIURPWKHERDUGLQ0D\)URP</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2740" w:type="dxa"/>
            <w:vAlign w:val="bottom"/>
            <w:gridSpan w:val="2"/>
            <w:vMerge w:val="continue"/>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WR0U0XOOLJDQVHUYHGDV([HFXWLYH&amp;KDLUSHUVRQRI&amp;LUF3KDUPD/LPLWHGDQGLWV</w:t>
            </w: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10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tc>
        <w:tc>
          <w:tcPr>
            <w:tcW w:w="1700" w:type="dxa"/>
            <w:vAlign w:val="bottom"/>
            <w:shd w:val="clear" w:color="auto" w:fill="F3F3F1"/>
          </w:tcPr>
          <w:p>
            <w:pPr>
              <w:spacing w:after="0"/>
              <w:rPr>
                <w:sz w:val="17"/>
                <w:szCs w:val="17"/>
                <w:color w:val="auto"/>
              </w:rPr>
            </w:pP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8"/>
              </w:rPr>
              <w:t>VXEVLGLDULHVDSKDUPDFHXWLFDOGHYHORSPHQWVWDJHJURXS)URPXQWLO0U0XOOLJDQ</w:t>
            </w:r>
          </w:p>
        </w:tc>
        <w:tc>
          <w:tcPr>
            <w:tcW w:w="0" w:type="dxa"/>
            <w:vAlign w:val="bottom"/>
          </w:tcPr>
          <w:p>
            <w:pPr>
              <w:spacing w:after="0"/>
              <w:rPr>
                <w:sz w:val="1"/>
                <w:szCs w:val="1"/>
                <w:color w:val="auto"/>
              </w:rPr>
            </w:pPr>
          </w:p>
        </w:tc>
      </w:tr>
      <w:tr>
        <w:trPr>
          <w:trHeight w:val="155"/>
        </w:trPr>
        <w:tc>
          <w:tcPr>
            <w:tcW w:w="220" w:type="dxa"/>
            <w:vAlign w:val="bottom"/>
            <w:shd w:val="clear" w:color="auto" w:fill="F3F3F1"/>
          </w:tcPr>
          <w:p>
            <w:pPr>
              <w:spacing w:after="0"/>
              <w:rPr>
                <w:sz w:val="13"/>
                <w:szCs w:val="13"/>
                <w:color w:val="auto"/>
              </w:rPr>
            </w:pPr>
          </w:p>
        </w:tc>
        <w:tc>
          <w:tcPr>
            <w:tcW w:w="1040" w:type="dxa"/>
            <w:vAlign w:val="bottom"/>
            <w:vMerge w:val="continue"/>
            <w:shd w:val="clear" w:color="auto" w:fill="F3F3F1"/>
          </w:tcPr>
          <w:p>
            <w:pPr>
              <w:spacing w:after="0"/>
              <w:rPr>
                <w:sz w:val="13"/>
                <w:szCs w:val="13"/>
                <w:color w:val="auto"/>
              </w:rPr>
            </w:pPr>
          </w:p>
        </w:tc>
        <w:tc>
          <w:tcPr>
            <w:tcW w:w="1700" w:type="dxa"/>
            <w:vAlign w:val="bottom"/>
            <w:shd w:val="clear" w:color="auto" w:fill="F3F3F1"/>
          </w:tcPr>
          <w:p>
            <w:pPr>
              <w:spacing w:after="0"/>
              <w:rPr>
                <w:sz w:val="13"/>
                <w:szCs w:val="13"/>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84"/>
              </w:rPr>
              <w:t>KHOGYDULRXVSRVLWLRQVZLWK(ODQ&amp;RUSRUDWLRQSOFDSKDUPDFHXWLFDOFRPSDQ\PRVWUHFHQWO\DV</w:t>
            </w:r>
          </w:p>
        </w:tc>
        <w:tc>
          <w:tcPr>
            <w:tcW w:w="0" w:type="dxa"/>
            <w:vAlign w:val="bottom"/>
          </w:tcPr>
          <w:p>
            <w:pPr>
              <w:spacing w:after="0"/>
              <w:rPr>
                <w:sz w:val="1"/>
                <w:szCs w:val="1"/>
                <w:color w:val="auto"/>
              </w:rPr>
            </w:pPr>
          </w:p>
        </w:tc>
      </w:tr>
      <w:tr>
        <w:trPr>
          <w:trHeight w:val="51"/>
        </w:trPr>
        <w:tc>
          <w:tcPr>
            <w:tcW w:w="220" w:type="dxa"/>
            <w:vAlign w:val="bottom"/>
            <w:shd w:val="clear" w:color="auto" w:fill="F3F3F1"/>
          </w:tcPr>
          <w:p>
            <w:pPr>
              <w:spacing w:after="0"/>
              <w:rPr>
                <w:sz w:val="4"/>
                <w:szCs w:val="4"/>
                <w:color w:val="auto"/>
              </w:rPr>
            </w:pPr>
          </w:p>
        </w:tc>
        <w:tc>
          <w:tcPr>
            <w:tcW w:w="1040" w:type="dxa"/>
            <w:vAlign w:val="bottom"/>
            <w:shd w:val="clear" w:color="auto" w:fill="F3F3F1"/>
          </w:tcPr>
          <w:p>
            <w:pPr>
              <w:spacing w:after="0"/>
              <w:rPr>
                <w:sz w:val="4"/>
                <w:szCs w:val="4"/>
                <w:color w:val="auto"/>
              </w:rPr>
            </w:pPr>
          </w:p>
        </w:tc>
        <w:tc>
          <w:tcPr>
            <w:tcW w:w="1700" w:type="dxa"/>
            <w:vAlign w:val="bottom"/>
            <w:shd w:val="clear" w:color="auto" w:fill="F3F3F1"/>
          </w:tcPr>
          <w:p>
            <w:pPr>
              <w:spacing w:after="0"/>
              <w:rPr>
                <w:sz w:val="4"/>
                <w:szCs w:val="4"/>
                <w:color w:val="auto"/>
              </w:rPr>
            </w:pPr>
          </w:p>
        </w:tc>
        <w:tc>
          <w:tcPr>
            <w:tcW w:w="7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85"/>
              </w:rPr>
              <w:t>([HFXWLYH9LFH3UHVLGHQW%XVLQHVVDQG&amp;RUSRUDWH'HYHORSPHQWDQGSULRUWRWKDWSRVLWLRQ</w:t>
            </w:r>
          </w:p>
        </w:tc>
        <w:tc>
          <w:tcPr>
            <w:tcW w:w="0" w:type="dxa"/>
            <w:vAlign w:val="bottom"/>
          </w:tcPr>
          <w:p>
            <w:pPr>
              <w:spacing w:after="0"/>
              <w:rPr>
                <w:sz w:val="1"/>
                <w:szCs w:val="1"/>
                <w:color w:val="auto"/>
              </w:rPr>
            </w:pPr>
          </w:p>
        </w:tc>
      </w:tr>
      <w:tr>
        <w:trPr>
          <w:trHeight w:val="115"/>
        </w:trPr>
        <w:tc>
          <w:tcPr>
            <w:tcW w:w="220" w:type="dxa"/>
            <w:vAlign w:val="bottom"/>
            <w:shd w:val="clear" w:color="auto" w:fill="F3F3F1"/>
          </w:tcPr>
          <w:p>
            <w:pPr>
              <w:spacing w:after="0"/>
              <w:rPr>
                <w:sz w:val="10"/>
                <w:szCs w:val="10"/>
                <w:color w:val="auto"/>
              </w:rPr>
            </w:pPr>
          </w:p>
        </w:tc>
        <w:tc>
          <w:tcPr>
            <w:tcW w:w="2740" w:type="dxa"/>
            <w:vAlign w:val="bottom"/>
            <w:gridSpan w:val="2"/>
            <w:vMerge w:val="continue"/>
            <w:shd w:val="clear" w:color="auto" w:fill="F3F3F1"/>
          </w:tcPr>
          <w:p>
            <w:pPr>
              <w:spacing w:after="0"/>
              <w:rPr>
                <w:sz w:val="10"/>
                <w:szCs w:val="10"/>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83"/>
              </w:rPr>
              <w:t>KHOGWKHUROHVRI3UHVLGHQWRI(ODQ3KDUPDFHXWLFDO7HFKQRORJLHVWKHGUXJGHOLYHU\GLYLVLRQRI</w:t>
            </w:r>
          </w:p>
        </w:tc>
        <w:tc>
          <w:tcPr>
            <w:tcW w:w="0" w:type="dxa"/>
            <w:vAlign w:val="bottom"/>
          </w:tcPr>
          <w:p>
            <w:pPr>
              <w:spacing w:after="0"/>
              <w:rPr>
                <w:sz w:val="1"/>
                <w:szCs w:val="1"/>
                <w:color w:val="auto"/>
              </w:rPr>
            </w:pPr>
          </w:p>
        </w:tc>
      </w:tr>
      <w:tr>
        <w:trPr>
          <w:trHeight w:val="91"/>
        </w:trPr>
        <w:tc>
          <w:tcPr>
            <w:tcW w:w="220" w:type="dxa"/>
            <w:vAlign w:val="bottom"/>
            <w:shd w:val="clear" w:color="auto" w:fill="F3F3F1"/>
          </w:tcPr>
          <w:p>
            <w:pPr>
              <w:spacing w:after="0"/>
              <w:rPr>
                <w:sz w:val="7"/>
                <w:szCs w:val="7"/>
                <w:color w:val="auto"/>
              </w:rPr>
            </w:pPr>
          </w:p>
        </w:tc>
        <w:tc>
          <w:tcPr>
            <w:tcW w:w="1040" w:type="dxa"/>
            <w:vAlign w:val="bottom"/>
            <w:shd w:val="clear" w:color="auto" w:fill="F3F3F1"/>
          </w:tcPr>
          <w:p>
            <w:pPr>
              <w:spacing w:after="0"/>
              <w:rPr>
                <w:sz w:val="7"/>
                <w:szCs w:val="7"/>
                <w:color w:val="auto"/>
              </w:rPr>
            </w:pPr>
          </w:p>
        </w:tc>
        <w:tc>
          <w:tcPr>
            <w:tcW w:w="1700" w:type="dxa"/>
            <w:vAlign w:val="bottom"/>
            <w:shd w:val="clear" w:color="auto" w:fill="F3F3F1"/>
          </w:tcPr>
          <w:p>
            <w:pPr>
              <w:spacing w:after="0"/>
              <w:rPr>
                <w:sz w:val="7"/>
                <w:szCs w:val="7"/>
                <w:color w:val="auto"/>
              </w:rPr>
            </w:pPr>
          </w:p>
        </w:tc>
        <w:tc>
          <w:tcPr>
            <w:tcW w:w="7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0" w:type="dxa"/>
            <w:vAlign w:val="bottom"/>
            <w:shd w:val="clear" w:color="auto" w:fill="F3F3F1"/>
          </w:tcPr>
          <w:p>
            <w:pPr>
              <w:spacing w:after="0"/>
              <w:rPr>
                <w:sz w:val="18"/>
                <w:szCs w:val="18"/>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86"/>
              </w:rPr>
              <w:t>(ODQ&amp;RUSRUDWLRQSOF([HFXWLYH9LFH3UHVLGHQW3KDUPDFHXWLFDO2SHUDWLRQV9LFH3UHVLGHQW</w:t>
            </w:r>
          </w:p>
        </w:tc>
        <w:tc>
          <w:tcPr>
            <w:tcW w:w="0" w:type="dxa"/>
            <w:vAlign w:val="bottom"/>
          </w:tcPr>
          <w:p>
            <w:pPr>
              <w:spacing w:after="0"/>
              <w:rPr>
                <w:sz w:val="1"/>
                <w:szCs w:val="1"/>
                <w:color w:val="auto"/>
              </w:rPr>
            </w:pPr>
          </w:p>
        </w:tc>
      </w:tr>
      <w:tr>
        <w:trPr>
          <w:trHeight w:val="69"/>
        </w:trPr>
        <w:tc>
          <w:tcPr>
            <w:tcW w:w="220" w:type="dxa"/>
            <w:vAlign w:val="bottom"/>
            <w:shd w:val="clear" w:color="auto" w:fill="F3F3F1"/>
          </w:tcPr>
          <w:p>
            <w:pPr>
              <w:spacing w:after="0"/>
              <w:rPr>
                <w:sz w:val="5"/>
                <w:szCs w:val="5"/>
                <w:color w:val="auto"/>
              </w:rPr>
            </w:pPr>
          </w:p>
        </w:tc>
        <w:tc>
          <w:tcPr>
            <w:tcW w:w="2740" w:type="dxa"/>
            <w:vAlign w:val="bottom"/>
            <w:gridSpan w:val="2"/>
            <w:vMerge w:val="continue"/>
            <w:shd w:val="clear" w:color="auto" w:fill="F3F3F1"/>
          </w:tcPr>
          <w:p>
            <w:pPr>
              <w:spacing w:after="0"/>
              <w:rPr>
                <w:sz w:val="5"/>
                <w:szCs w:val="5"/>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93"/>
              </w:rPr>
              <w:t>862SHUDWLRQVDQG9LFH3UHVLGHQW3URGXFW'HYHORSPHQW0U0XOOLJDQVHUYHGDVDPHPEHU</w:t>
            </w:r>
          </w:p>
        </w:tc>
        <w:tc>
          <w:tcPr>
            <w:tcW w:w="0" w:type="dxa"/>
            <w:vAlign w:val="bottom"/>
          </w:tcPr>
          <w:p>
            <w:pPr>
              <w:spacing w:after="0"/>
              <w:rPr>
                <w:sz w:val="1"/>
                <w:szCs w:val="1"/>
                <w:color w:val="auto"/>
              </w:rPr>
            </w:pPr>
          </w:p>
        </w:tc>
      </w:tr>
      <w:tr>
        <w:trPr>
          <w:trHeight w:val="131"/>
        </w:trPr>
        <w:tc>
          <w:tcPr>
            <w:tcW w:w="220" w:type="dxa"/>
            <w:vAlign w:val="bottom"/>
            <w:shd w:val="clear" w:color="auto" w:fill="F3F3F1"/>
          </w:tcPr>
          <w:p>
            <w:pPr>
              <w:spacing w:after="0"/>
              <w:rPr>
                <w:sz w:val="11"/>
                <w:szCs w:val="11"/>
                <w:color w:val="auto"/>
              </w:rPr>
            </w:pPr>
          </w:p>
        </w:tc>
        <w:tc>
          <w:tcPr>
            <w:tcW w:w="1040" w:type="dxa"/>
            <w:vAlign w:val="bottom"/>
            <w:shd w:val="clear" w:color="auto" w:fill="F3F3F1"/>
          </w:tcPr>
          <w:p>
            <w:pPr>
              <w:spacing w:after="0"/>
              <w:rPr>
                <w:sz w:val="11"/>
                <w:szCs w:val="11"/>
                <w:color w:val="auto"/>
              </w:rPr>
            </w:pPr>
          </w:p>
        </w:tc>
        <w:tc>
          <w:tcPr>
            <w:tcW w:w="1700" w:type="dxa"/>
            <w:vAlign w:val="bottom"/>
            <w:shd w:val="clear" w:color="auto" w:fill="F3F3F1"/>
          </w:tcPr>
          <w:p>
            <w:pPr>
              <w:spacing w:after="0"/>
              <w:rPr>
                <w:sz w:val="11"/>
                <w:szCs w:val="11"/>
                <w:color w:val="auto"/>
              </w:rPr>
            </w:pPr>
          </w:p>
        </w:tc>
        <w:tc>
          <w:tcPr>
            <w:tcW w:w="7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20" w:type="dxa"/>
            <w:vAlign w:val="bottom"/>
            <w:shd w:val="clear" w:color="auto" w:fill="F3F3F1"/>
          </w:tcPr>
          <w:p>
            <w:pPr>
              <w:spacing w:after="0"/>
              <w:rPr>
                <w:sz w:val="17"/>
                <w:szCs w:val="17"/>
                <w:color w:val="auto"/>
              </w:rPr>
            </w:pPr>
          </w:p>
        </w:tc>
        <w:tc>
          <w:tcPr>
            <w:tcW w:w="2740" w:type="dxa"/>
            <w:vAlign w:val="bottom"/>
            <w:gridSpan w:val="2"/>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w w:val="91"/>
              </w:rPr>
              <w:t>RIWKHERDUGRIGLUHFWRUVRIWKH861DWLRQDO3KDUPDFHXWLFDO&amp;RXQFLOXQWLO0U0XOOLJDQ</w:t>
            </w:r>
          </w:p>
        </w:tc>
        <w:tc>
          <w:tcPr>
            <w:tcW w:w="0" w:type="dxa"/>
            <w:vAlign w:val="bottom"/>
          </w:tcPr>
          <w:p>
            <w:pPr>
              <w:spacing w:after="0"/>
              <w:rPr>
                <w:sz w:val="1"/>
                <w:szCs w:val="1"/>
                <w:color w:val="auto"/>
              </w:rPr>
            </w:pPr>
          </w:p>
        </w:tc>
      </w:tr>
      <w:tr>
        <w:trPr>
          <w:trHeight w:val="213"/>
        </w:trPr>
        <w:tc>
          <w:tcPr>
            <w:tcW w:w="220" w:type="dxa"/>
            <w:vAlign w:val="bottom"/>
            <w:shd w:val="clear" w:color="auto" w:fill="F3F3F1"/>
          </w:tcPr>
          <w:p>
            <w:pPr>
              <w:spacing w:after="0"/>
              <w:rPr>
                <w:sz w:val="18"/>
                <w:szCs w:val="18"/>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KROGVD%6F3KDUPDQG06FIURP7ULQLW\&amp;ROOHJH'XEOLQ</w:t>
            </w:r>
          </w:p>
        </w:tc>
        <w:tc>
          <w:tcPr>
            <w:tcW w:w="0" w:type="dxa"/>
            <w:vAlign w:val="bottom"/>
          </w:tcPr>
          <w:p>
            <w:pPr>
              <w:spacing w:after="0"/>
              <w:rPr>
                <w:sz w:val="1"/>
                <w:szCs w:val="1"/>
                <w:color w:val="auto"/>
              </w:rPr>
            </w:pPr>
          </w:p>
        </w:tc>
      </w:tr>
      <w:tr>
        <w:trPr>
          <w:trHeight w:val="195"/>
        </w:trPr>
        <w:tc>
          <w:tcPr>
            <w:tcW w:w="220" w:type="dxa"/>
            <w:vAlign w:val="bottom"/>
            <w:shd w:val="clear" w:color="auto" w:fill="F3F3F1"/>
          </w:tcPr>
          <w:p>
            <w:pPr>
              <w:spacing w:after="0"/>
              <w:rPr>
                <w:sz w:val="16"/>
                <w:szCs w:val="16"/>
                <w:color w:val="auto"/>
              </w:rPr>
            </w:pPr>
          </w:p>
        </w:tc>
        <w:tc>
          <w:tcPr>
            <w:tcW w:w="2740" w:type="dxa"/>
            <w:vAlign w:val="bottom"/>
            <w:gridSpan w:val="2"/>
            <w:vMerge w:val="continue"/>
            <w:shd w:val="clear" w:color="auto" w:fill="F3F3F1"/>
          </w:tcPr>
          <w:p>
            <w:pPr>
              <w:spacing w:after="0"/>
              <w:rPr>
                <w:sz w:val="16"/>
                <w:szCs w:val="16"/>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b w:val="1"/>
                <w:bCs w:val="1"/>
                <w:color w:val="5C004D"/>
              </w:rPr>
              <w:t>5($6216)256(59,&amp;(21285%2$5'</w:t>
            </w:r>
          </w:p>
        </w:tc>
        <w:tc>
          <w:tcPr>
            <w:tcW w:w="0" w:type="dxa"/>
            <w:vAlign w:val="bottom"/>
          </w:tcPr>
          <w:p>
            <w:pPr>
              <w:spacing w:after="0"/>
              <w:rPr>
                <w:sz w:val="1"/>
                <w:szCs w:val="1"/>
                <w:color w:val="auto"/>
              </w:rPr>
            </w:pPr>
          </w:p>
        </w:tc>
      </w:tr>
      <w:tr>
        <w:trPr>
          <w:trHeight w:val="199"/>
        </w:trPr>
        <w:tc>
          <w:tcPr>
            <w:tcW w:w="220" w:type="dxa"/>
            <w:vAlign w:val="bottom"/>
            <w:shd w:val="clear" w:color="auto" w:fill="F3F3F1"/>
          </w:tcPr>
          <w:p>
            <w:pPr>
              <w:spacing w:after="0"/>
              <w:rPr>
                <w:sz w:val="17"/>
                <w:szCs w:val="17"/>
                <w:color w:val="auto"/>
              </w:rPr>
            </w:pPr>
          </w:p>
        </w:tc>
        <w:tc>
          <w:tcPr>
            <w:tcW w:w="10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color w:val="2D2C36"/>
              </w:rPr>
              <w:t>60&amp;</w:t>
            </w:r>
          </w:p>
        </w:tc>
        <w:tc>
          <w:tcPr>
            <w:tcW w:w="1700" w:type="dxa"/>
            <w:vAlign w:val="bottom"/>
            <w:shd w:val="clear" w:color="auto" w:fill="F3F3F1"/>
          </w:tcPr>
          <w:p>
            <w:pPr>
              <w:spacing w:after="0"/>
              <w:rPr>
                <w:sz w:val="17"/>
                <w:szCs w:val="17"/>
                <w:color w:val="auto"/>
              </w:rPr>
            </w:pPr>
          </w:p>
        </w:tc>
        <w:tc>
          <w:tcPr>
            <w:tcW w:w="7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20" w:type="dxa"/>
            <w:vAlign w:val="bottom"/>
            <w:shd w:val="clear" w:color="auto" w:fill="F3F3F1"/>
          </w:tcPr>
          <w:p>
            <w:pPr>
              <w:spacing w:after="0"/>
              <w:rPr>
                <w:sz w:val="5"/>
                <w:szCs w:val="5"/>
                <w:color w:val="auto"/>
              </w:rPr>
            </w:pPr>
          </w:p>
        </w:tc>
        <w:tc>
          <w:tcPr>
            <w:tcW w:w="1040" w:type="dxa"/>
            <w:vAlign w:val="bottom"/>
            <w:vMerge w:val="continue"/>
            <w:shd w:val="clear" w:color="auto" w:fill="F3F3F1"/>
          </w:tcPr>
          <w:p>
            <w:pPr>
              <w:spacing w:after="0"/>
              <w:rPr>
                <w:sz w:val="5"/>
                <w:szCs w:val="5"/>
                <w:color w:val="auto"/>
              </w:rPr>
            </w:pPr>
          </w:p>
        </w:tc>
        <w:tc>
          <w:tcPr>
            <w:tcW w:w="1700" w:type="dxa"/>
            <w:vAlign w:val="bottom"/>
            <w:shd w:val="clear" w:color="auto" w:fill="F3F3F1"/>
          </w:tcPr>
          <w:p>
            <w:pPr>
              <w:spacing w:after="0"/>
              <w:rPr>
                <w:sz w:val="5"/>
                <w:szCs w:val="5"/>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97"/>
              </w:rPr>
              <w:t>$VDIRXQGHURI$GDSW3KDUPD/LPLWHGDQG$]XU3KDUPDDQGDSKDUPDFHXWLFDOLQGXVWU\</w:t>
            </w:r>
          </w:p>
        </w:tc>
        <w:tc>
          <w:tcPr>
            <w:tcW w:w="0" w:type="dxa"/>
            <w:vAlign w:val="bottom"/>
          </w:tcPr>
          <w:p>
            <w:pPr>
              <w:spacing w:after="0"/>
              <w:rPr>
                <w:sz w:val="1"/>
                <w:szCs w:val="1"/>
                <w:color w:val="auto"/>
              </w:rPr>
            </w:pPr>
          </w:p>
        </w:tc>
      </w:tr>
      <w:tr>
        <w:trPr>
          <w:trHeight w:val="201"/>
        </w:trPr>
        <w:tc>
          <w:tcPr>
            <w:tcW w:w="220" w:type="dxa"/>
            <w:vAlign w:val="bottom"/>
            <w:shd w:val="clear" w:color="auto" w:fill="F3F3F1"/>
          </w:tcPr>
          <w:p>
            <w:pPr>
              <w:spacing w:after="0"/>
              <w:rPr>
                <w:sz w:val="17"/>
                <w:szCs w:val="17"/>
                <w:color w:val="auto"/>
              </w:rPr>
            </w:pPr>
          </w:p>
        </w:tc>
        <w:tc>
          <w:tcPr>
            <w:tcW w:w="2740" w:type="dxa"/>
            <w:vAlign w:val="bottom"/>
            <w:gridSpan w:val="2"/>
            <w:vMerge w:val="restart"/>
            <w:shd w:val="clear" w:color="auto" w:fill="F3F3F1"/>
          </w:tcPr>
          <w:p>
            <w:pPr>
              <w:ind w:left="60"/>
              <w:spacing w:after="0"/>
              <w:rPr>
                <w:sz w:val="20"/>
                <w:szCs w:val="20"/>
                <w:color w:val="auto"/>
              </w:rPr>
            </w:pPr>
            <w:r>
              <w:rPr>
                <w:rFonts w:ascii="PMingLiU" w:cs="PMingLiU" w:eastAsia="PMingLiU" w:hAnsi="PMingLiU"/>
                <w:sz w:val="16"/>
                <w:szCs w:val="16"/>
                <w:color w:val="2D2C36"/>
              </w:rPr>
              <w:t>7UDQVDFWLRQ&amp;RPPLWWHH&amp;KDLU</w:t>
            </w:r>
          </w:p>
        </w:tc>
        <w:tc>
          <w:tcPr>
            <w:tcW w:w="7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20" w:type="dxa"/>
            <w:vAlign w:val="bottom"/>
            <w:shd w:val="clear" w:color="auto" w:fill="F3F3F1"/>
          </w:tcPr>
          <w:p>
            <w:pPr>
              <w:spacing w:after="0"/>
              <w:rPr>
                <w:sz w:val="6"/>
                <w:szCs w:val="6"/>
                <w:color w:val="auto"/>
              </w:rPr>
            </w:pPr>
          </w:p>
        </w:tc>
        <w:tc>
          <w:tcPr>
            <w:tcW w:w="2740" w:type="dxa"/>
            <w:vAlign w:val="bottom"/>
            <w:gridSpan w:val="2"/>
            <w:vMerge w:val="continue"/>
            <w:shd w:val="clear" w:color="auto" w:fill="F3F3F1"/>
          </w:tcPr>
          <w:p>
            <w:pPr>
              <w:spacing w:after="0"/>
              <w:rPr>
                <w:sz w:val="6"/>
                <w:szCs w:val="6"/>
                <w:color w:val="auto"/>
              </w:rPr>
            </w:pP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color w:val="auto"/>
                <w:w w:val="87"/>
              </w:rPr>
              <w:t>H[HFXWLYH0U0XOOLJDQEULQJVWRRXU%RDUGDQH[SHUWLVHLQEXVLQHVVGHYHORSPHQWDQGRYHU</w:t>
            </w:r>
          </w:p>
        </w:tc>
        <w:tc>
          <w:tcPr>
            <w:tcW w:w="0" w:type="dxa"/>
            <w:vAlign w:val="bottom"/>
          </w:tcPr>
          <w:p>
            <w:pPr>
              <w:spacing w:after="0"/>
              <w:rPr>
                <w:sz w:val="1"/>
                <w:szCs w:val="1"/>
                <w:color w:val="auto"/>
              </w:rPr>
            </w:pPr>
          </w:p>
        </w:tc>
      </w:tr>
      <w:tr>
        <w:trPr>
          <w:trHeight w:val="139"/>
        </w:trPr>
        <w:tc>
          <w:tcPr>
            <w:tcW w:w="220" w:type="dxa"/>
            <w:vAlign w:val="bottom"/>
            <w:shd w:val="clear" w:color="auto" w:fill="F3F3F1"/>
          </w:tcPr>
          <w:p>
            <w:pPr>
              <w:spacing w:after="0"/>
              <w:rPr>
                <w:sz w:val="12"/>
                <w:szCs w:val="12"/>
                <w:color w:val="auto"/>
              </w:rPr>
            </w:pPr>
          </w:p>
        </w:tc>
        <w:tc>
          <w:tcPr>
            <w:tcW w:w="1040" w:type="dxa"/>
            <w:vAlign w:val="bottom"/>
            <w:shd w:val="clear" w:color="auto" w:fill="F3F3F1"/>
          </w:tcPr>
          <w:p>
            <w:pPr>
              <w:spacing w:after="0"/>
              <w:rPr>
                <w:sz w:val="12"/>
                <w:szCs w:val="12"/>
                <w:color w:val="auto"/>
              </w:rPr>
            </w:pPr>
          </w:p>
        </w:tc>
        <w:tc>
          <w:tcPr>
            <w:tcW w:w="1700" w:type="dxa"/>
            <w:vAlign w:val="bottom"/>
            <w:shd w:val="clear" w:color="auto" w:fill="F3F3F1"/>
          </w:tcPr>
          <w:p>
            <w:pPr>
              <w:spacing w:after="0"/>
              <w:rPr>
                <w:sz w:val="12"/>
                <w:szCs w:val="12"/>
                <w:color w:val="auto"/>
              </w:rPr>
            </w:pPr>
          </w:p>
        </w:tc>
        <w:tc>
          <w:tcPr>
            <w:tcW w:w="7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20" w:type="dxa"/>
            <w:vAlign w:val="bottom"/>
            <w:shd w:val="clear" w:color="auto" w:fill="F3F3F1"/>
          </w:tcPr>
          <w:p>
            <w:pPr>
              <w:spacing w:after="0"/>
              <w:rPr>
                <w:sz w:val="20"/>
                <w:szCs w:val="20"/>
                <w:color w:val="auto"/>
              </w:rPr>
            </w:pPr>
          </w:p>
        </w:tc>
        <w:tc>
          <w:tcPr>
            <w:tcW w:w="2740" w:type="dxa"/>
            <w:vAlign w:val="bottom"/>
            <w:gridSpan w:val="2"/>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27+(5&amp;855(1738%/,&amp;</w:t>
            </w:r>
          </w:p>
        </w:tc>
        <w:tc>
          <w:tcPr>
            <w:tcW w:w="7000" w:type="dxa"/>
            <w:vAlign w:val="bottom"/>
          </w:tcPr>
          <w:p>
            <w:pPr>
              <w:ind w:left="280"/>
              <w:spacing w:after="0"/>
              <w:rPr>
                <w:sz w:val="20"/>
                <w:szCs w:val="20"/>
                <w:color w:val="auto"/>
              </w:rPr>
            </w:pPr>
            <w:r>
              <w:rPr>
                <w:rFonts w:ascii="PMingLiU" w:cs="PMingLiU" w:eastAsia="PMingLiU" w:hAnsi="PMingLiU"/>
                <w:sz w:val="16"/>
                <w:szCs w:val="16"/>
                <w:color w:val="auto"/>
              </w:rPr>
              <w:t>\HDUVRIH[SHULHQFHLQWKHSKDUPDFHXWLFDOLQGXVWU\</w:t>
            </w:r>
          </w:p>
        </w:tc>
        <w:tc>
          <w:tcPr>
            <w:tcW w:w="0" w:type="dxa"/>
            <w:vAlign w:val="bottom"/>
          </w:tcPr>
          <w:p>
            <w:pPr>
              <w:spacing w:after="0"/>
              <w:rPr>
                <w:sz w:val="1"/>
                <w:szCs w:val="1"/>
                <w:color w:val="auto"/>
              </w:rPr>
            </w:pPr>
          </w:p>
        </w:tc>
      </w:tr>
      <w:tr>
        <w:trPr>
          <w:trHeight w:val="221"/>
        </w:trPr>
        <w:tc>
          <w:tcPr>
            <w:tcW w:w="220" w:type="dxa"/>
            <w:vAlign w:val="bottom"/>
            <w:shd w:val="clear" w:color="auto" w:fill="F3F3F1"/>
          </w:tcPr>
          <w:p>
            <w:pPr>
              <w:spacing w:after="0"/>
              <w:rPr>
                <w:sz w:val="19"/>
                <w:szCs w:val="19"/>
                <w:color w:val="auto"/>
              </w:rPr>
            </w:pPr>
          </w:p>
        </w:tc>
        <w:tc>
          <w:tcPr>
            <w:tcW w:w="2740" w:type="dxa"/>
            <w:vAlign w:val="bottom"/>
            <w:gridSpan w:val="2"/>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%2$5'6</w:t>
            </w:r>
            <w:r>
              <w:rPr>
                <w:rFonts w:ascii="PMingLiU" w:cs="PMingLiU" w:eastAsia="PMingLiU" w:hAnsi="PMingLiU"/>
                <w:sz w:val="16"/>
                <w:szCs w:val="16"/>
                <w:color w:val="2D2C36"/>
              </w:rPr>
              <w:t>1RQH</w:t>
            </w:r>
          </w:p>
        </w:tc>
        <w:tc>
          <w:tcPr>
            <w:tcW w:w="7000" w:type="dxa"/>
            <w:vAlign w:val="bottom"/>
            <w:vMerge w:val="restart"/>
          </w:tcPr>
          <w:p>
            <w:pPr>
              <w:ind w:left="280"/>
              <w:spacing w:after="0"/>
              <w:rPr>
                <w:sz w:val="20"/>
                <w:szCs w:val="20"/>
                <w:color w:val="auto"/>
              </w:rPr>
            </w:pPr>
            <w:r>
              <w:rPr>
                <w:rFonts w:ascii="PMingLiU" w:cs="PMingLiU" w:eastAsia="PMingLiU" w:hAnsi="PMingLiU"/>
                <w:sz w:val="16"/>
                <w:szCs w:val="16"/>
                <w:b w:val="1"/>
                <w:bCs w:val="1"/>
                <w:color w:val="5C004D"/>
              </w:rPr>
              <w:t>.(&lt;6.,//6</w:t>
            </w:r>
          </w:p>
        </w:tc>
        <w:tc>
          <w:tcPr>
            <w:tcW w:w="0" w:type="dxa"/>
            <w:vAlign w:val="bottom"/>
          </w:tcPr>
          <w:p>
            <w:pPr>
              <w:spacing w:after="0"/>
              <w:rPr>
                <w:sz w:val="1"/>
                <w:szCs w:val="1"/>
                <w:color w:val="auto"/>
              </w:rPr>
            </w:pPr>
          </w:p>
        </w:tc>
      </w:tr>
      <w:tr>
        <w:trPr>
          <w:trHeight w:val="159"/>
        </w:trPr>
        <w:tc>
          <w:tcPr>
            <w:tcW w:w="220" w:type="dxa"/>
            <w:vAlign w:val="bottom"/>
            <w:shd w:val="clear" w:color="auto" w:fill="F3F3F1"/>
          </w:tcPr>
          <w:p>
            <w:pPr>
              <w:spacing w:after="0"/>
              <w:rPr>
                <w:sz w:val="13"/>
                <w:szCs w:val="13"/>
                <w:color w:val="auto"/>
              </w:rPr>
            </w:pPr>
          </w:p>
        </w:tc>
        <w:tc>
          <w:tcPr>
            <w:tcW w:w="1040" w:type="dxa"/>
            <w:vAlign w:val="bottom"/>
            <w:shd w:val="clear" w:color="auto" w:fill="F3F3F1"/>
          </w:tcPr>
          <w:p>
            <w:pPr>
              <w:spacing w:after="0"/>
              <w:rPr>
                <w:sz w:val="13"/>
                <w:szCs w:val="13"/>
                <w:color w:val="auto"/>
              </w:rPr>
            </w:pPr>
          </w:p>
        </w:tc>
        <w:tc>
          <w:tcPr>
            <w:tcW w:w="1700" w:type="dxa"/>
            <w:vAlign w:val="bottom"/>
            <w:shd w:val="clear" w:color="auto" w:fill="F3F3F1"/>
          </w:tcPr>
          <w:p>
            <w:pPr>
              <w:spacing w:after="0"/>
              <w:rPr>
                <w:sz w:val="13"/>
                <w:szCs w:val="13"/>
                <w:color w:val="auto"/>
              </w:rPr>
            </w:pPr>
          </w:p>
        </w:tc>
        <w:tc>
          <w:tcPr>
            <w:tcW w:w="7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5"/>
        </w:trPr>
        <w:tc>
          <w:tcPr>
            <w:tcW w:w="220" w:type="dxa"/>
            <w:vAlign w:val="bottom"/>
            <w:shd w:val="clear" w:color="auto" w:fill="F3F3F1"/>
          </w:tcPr>
          <w:p>
            <w:pPr>
              <w:spacing w:after="0"/>
              <w:rPr>
                <w:sz w:val="24"/>
                <w:szCs w:val="24"/>
                <w:color w:val="auto"/>
              </w:rPr>
            </w:pPr>
          </w:p>
        </w:tc>
        <w:tc>
          <w:tcPr>
            <w:tcW w:w="1040" w:type="dxa"/>
            <w:vAlign w:val="bottom"/>
            <w:shd w:val="clear" w:color="auto" w:fill="F3F3F1"/>
          </w:tcPr>
          <w:p>
            <w:pPr>
              <w:spacing w:after="0"/>
              <w:rPr>
                <w:sz w:val="24"/>
                <w:szCs w:val="24"/>
                <w:color w:val="auto"/>
              </w:rPr>
            </w:pPr>
          </w:p>
        </w:tc>
        <w:tc>
          <w:tcPr>
            <w:tcW w:w="1700" w:type="dxa"/>
            <w:vAlign w:val="bottom"/>
            <w:shd w:val="clear" w:color="auto" w:fill="F3F3F1"/>
          </w:tcPr>
          <w:p>
            <w:pPr>
              <w:spacing w:after="0"/>
              <w:rPr>
                <w:sz w:val="24"/>
                <w:szCs w:val="24"/>
                <w:color w:val="auto"/>
              </w:rPr>
            </w:pPr>
          </w:p>
        </w:tc>
        <w:tc>
          <w:tcPr>
            <w:tcW w:w="7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-3823335</wp:posOffset>
            </wp:positionV>
            <wp:extent cx="914400" cy="914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7">
                      <a:extLst>
                        <a:ext uri="{28A0092B-C50C-407E-A947-70E740481C1C}"/>
                      </a:extLst>
                    </a:blip>
                    <a:srcRect/>
                    <a:stretch>
                      <a:fillRect/>
                    </a:stretch>
                  </pic:blipFill>
                  <pic:spPr bwMode="auto">
                    <a:xfrm>
                      <a:off x="0" y="0"/>
                      <a:ext cx="914400" cy="91440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-309880</wp:posOffset>
            </wp:positionV>
            <wp:extent cx="4654550" cy="228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8">
                      <a:extLst>
                        <a:ext uri="{28A0092B-C50C-407E-A947-70E740481C1C}"/>
                      </a:extLst>
                    </a:blip>
                    <a:srcRect/>
                    <a:stretch>
                      <a:fillRect/>
                    </a:stretch>
                  </pic:blipFill>
                  <pic:spPr bwMode="auto">
                    <a:xfrm>
                      <a:off x="0" y="0"/>
                      <a:ext cx="4654550" cy="22860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4739640</wp:posOffset>
            </wp:positionV>
            <wp:extent cx="1386840" cy="2336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9960"/>
          </w:cols>
          <w:pgMar w:left="900" w:top="20" w:right="1019" w:bottom="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687070</wp:posOffset>
            </wp:positionV>
            <wp:extent cx="1876425" cy="51530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0">
                      <a:extLst>
                        <a:ext uri="{28A0092B-C50C-407E-A947-70E740481C1C}"/>
                      </a:extLst>
                    </a:blip>
                    <a:srcRect/>
                    <a:stretch>
                      <a:fillRect/>
                    </a:stretch>
                  </pic:blipFill>
                  <pic:spPr bwMode="auto">
                    <a:xfrm>
                      <a:off x="0" y="0"/>
                      <a:ext cx="1876425" cy="515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94" w:lineRule="auto"/>
        <w:rPr>
          <w:sz w:val="20"/>
          <w:szCs w:val="20"/>
          <w:color w:val="auto"/>
        </w:rPr>
      </w:pPr>
      <w:r>
        <w:rPr>
          <w:rFonts w:ascii="PMingLiU" w:cs="PMingLiU" w:eastAsia="PMingLiU" w:hAnsi="PMingLiU"/>
          <w:sz w:val="27"/>
          <w:szCs w:val="27"/>
          <w:b w:val="1"/>
          <w:bCs w:val="1"/>
          <w:color w:val="000046"/>
        </w:rPr>
        <w:t>1RUEHUW*5LHGHO 3K'</w:t>
      </w:r>
    </w:p>
    <w:p>
      <w:pPr>
        <w:spacing w:after="0" w:line="92"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,1'(3(1'(17',5(&amp;725</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p>
      <w:pPr>
        <w:spacing w:after="0" w:line="181" w:lineRule="exact"/>
        <w:rPr>
          <w:sz w:val="20"/>
          <w:szCs w:val="20"/>
          <w:color w:val="auto"/>
        </w:rPr>
      </w:pPr>
    </w:p>
    <w:p>
      <w:pPr>
        <w:ind w:right="840"/>
        <w:spacing w:after="0" w:line="706" w:lineRule="auto"/>
        <w:rPr>
          <w:sz w:val="20"/>
          <w:szCs w:val="20"/>
          <w:color w:val="auto"/>
        </w:rPr>
      </w:pPr>
      <w:r>
        <w:rPr>
          <w:rFonts w:ascii="PMingLiU" w:cs="PMingLiU" w:eastAsia="PMingLiU" w:hAnsi="PMingLiU"/>
          <w:sz w:val="13"/>
          <w:szCs w:val="13"/>
          <w:b w:val="1"/>
          <w:bCs w:val="1"/>
          <w:color w:val="2D2C36"/>
        </w:rPr>
        <w:t>&amp;200,77((6</w:t>
      </w:r>
      <w:r>
        <w:rPr>
          <w:rFonts w:ascii="PMingLiU" w:cs="PMingLiU" w:eastAsia="PMingLiU" w:hAnsi="PMingLiU"/>
          <w:sz w:val="13"/>
          <w:szCs w:val="13"/>
          <w:color w:val="2D2C36"/>
        </w:rPr>
        <w:t/>
      </w:r>
      <w:r>
        <w:rPr>
          <w:rFonts w:ascii="PMingLiU" w:cs="PMingLiU" w:eastAsia="PMingLiU" w:hAnsi="PMingLiU"/>
          <w:sz w:val="13"/>
          <w:szCs w:val="13"/>
          <w:b w:val="1"/>
          <w:bCs w:val="1"/>
          <w:color w:val="2D2C36"/>
        </w:rPr>
        <w:t xml:space="preserve"> </w:t>
      </w:r>
      <w:r>
        <w:rPr>
          <w:rFonts w:ascii="PMingLiU" w:cs="PMingLiU" w:eastAsia="PMingLiU" w:hAnsi="PMingLiU"/>
          <w:sz w:val="13"/>
          <w:szCs w:val="13"/>
          <w:color w:val="2D2C36"/>
        </w:rPr>
        <w:t>60&amp;&amp;KDLU 1RPLQDWLQJ&amp;RPPLWWHH</w:t>
      </w:r>
    </w:p>
    <w:p>
      <w:pPr>
        <w:spacing w:after="0" w:line="1" w:lineRule="exact"/>
        <w:rPr>
          <w:sz w:val="20"/>
          <w:szCs w:val="20"/>
          <w:color w:val="auto"/>
        </w:rPr>
      </w:pPr>
    </w:p>
    <w:p>
      <w:pPr>
        <w:ind w:right="400"/>
        <w:spacing w:after="0" w:line="271" w:lineRule="auto"/>
        <w:rPr>
          <w:sz w:val="20"/>
          <w:szCs w:val="20"/>
          <w:color w:val="auto"/>
        </w:rPr>
      </w:pPr>
      <w:r>
        <w:rPr>
          <w:rFonts w:ascii="PMingLiU" w:cs="PMingLiU" w:eastAsia="PMingLiU" w:hAnsi="PMingLiU"/>
          <w:sz w:val="16"/>
          <w:szCs w:val="16"/>
          <w:b w:val="1"/>
          <w:bCs w:val="1"/>
          <w:color w:val="2D2C36"/>
        </w:rPr>
        <w:t>27+(5&amp;855(1738%/,&amp; %2$5'6</w:t>
      </w:r>
    </w:p>
    <w:p>
      <w:pPr>
        <w:spacing w:after="0" w:line="269" w:lineRule="exact"/>
        <w:rPr>
          <w:sz w:val="20"/>
          <w:szCs w:val="20"/>
          <w:color w:val="auto"/>
        </w:rPr>
      </w:pPr>
    </w:p>
    <w:p>
      <w:pPr>
        <w:spacing w:after="0"/>
        <w:rPr>
          <w:sz w:val="20"/>
          <w:szCs w:val="20"/>
          <w:color w:val="auto"/>
        </w:rPr>
      </w:pPr>
      <w:r>
        <w:rPr>
          <w:rFonts w:ascii="PMingLiU" w:cs="PMingLiU" w:eastAsia="PMingLiU" w:hAnsi="PMingLiU"/>
          <w:sz w:val="16"/>
          <w:szCs w:val="16"/>
          <w:color w:val="2D2C36"/>
        </w:rPr>
        <w:t>(WRQ3KDUPDFHXWLFDOV,QF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4815840</wp:posOffset>
            </wp:positionV>
            <wp:extent cx="1386840" cy="2336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700"/>
        <w:spacing w:after="0"/>
        <w:rPr>
          <w:sz w:val="20"/>
          <w:szCs w:val="20"/>
          <w:color w:val="auto"/>
        </w:rPr>
      </w:pPr>
      <w:r>
        <w:rPr>
          <w:rFonts w:ascii="PMingLiU" w:cs="PMingLiU" w:eastAsia="PMingLiU" w:hAnsi="PMingLiU"/>
          <w:sz w:val="16"/>
          <w:szCs w:val="16"/>
          <w:b w:val="1"/>
          <w:bCs w:val="1"/>
          <w:color w:val="FFFFFF"/>
        </w:rPr>
        <w:t>352326$/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3541395</wp:posOffset>
                </wp:positionH>
                <wp:positionV relativeFrom="paragraph">
                  <wp:posOffset>-359410</wp:posOffset>
                </wp:positionV>
                <wp:extent cx="800100" cy="41846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8465"/>
                        </a:xfrm>
                        <a:prstGeom prst="rect">
                          <a:avLst/>
                        </a:prstGeom>
                        <a:solidFill>
                          <a:srgbClr val="5C004D"/>
                        </a:solidFill>
                      </wps:spPr>
                      <wps:bodyPr/>
                    </wps:wsp>
                  </a:graphicData>
                </a:graphic>
              </wp:anchor>
            </w:drawing>
          </mc:Choice>
          <mc:Fallback>
            <w:pict>
              <v:rect id="Shape 209" o:spid="_x0000_s1234" style="position:absolute;margin-left:278.85pt;margin-top:-28.2999pt;width:63pt;height:3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120"/>
        <w:spacing w:after="0" w:line="817" w:lineRule="auto"/>
        <w:rPr>
          <w:sz w:val="20"/>
          <w:szCs w:val="20"/>
          <w:color w:val="auto"/>
        </w:rPr>
      </w:pPr>
      <w:r>
        <w:rPr>
          <w:rFonts w:ascii="PMingLiU" w:cs="PMingLiU" w:eastAsia="PMingLiU" w:hAnsi="PMingLiU"/>
          <w:sz w:val="7"/>
          <w:szCs w:val="7"/>
          <w:color w:val="auto"/>
        </w:rPr>
        <w:t>1RUEHUW*5LHGHO3K'KDVVHUYHGDVDPHPEHURIRXU%RDUGVLQFH0D\DQGZDV DSSRLQWHGFKDLURIRXU60&amp;LQ$SULO'U5LHGHOFXUUHQWO\VHUYHVDV&amp;KDLUSHUVRQRIWKH ERDUGRI(WRQ3KDUPDFHXWLFDOV,QFDSXEOLFO\KHOGFRPPHUFLDOVWDJHSKDUPDFHXWLFDO FRPSDQ\DQGSUHYLRXVO\VHUYHGRQWKHERDUGRI$OF\RQH7KHUDSHXWLFV,QFDSULYDWHO\KHOG FOLQLFDOVWDJHELRWHFKQRORJ\FRPSDQ\'U5LHGHODOVRFXUUHQWO\VHUYHVRQWKHERDUGVRI GLUHFWRUVRI.QRD3KDUPDFHXWLFDOV//&amp;$QJLWLD%LRSKDUPDFHXWLFDOV,QFDQG$WVHQD 7KHUDSHXWLFV,QFDOOSULYDWHO\KHOGFOLQLFDOVWDJHELRSKDUPDFHXWLFDOFRPSDQLHV'U5LHGHO DOVRVHUYHVRQWKHERDUGVRIGLUHFWRUVRI$WODV&amp;OLQLFDO5HVHDUFKDSULYDWHO\KHOGFOLQLFDO UHVHDUFKRUJDQL]DWLRQDQG,OOLQRLV%LRWHFKQRORJ\,QGXVWU\2UJDQL]DWLRQDQRQSURILW RUJDQL]DWLRQ+HLVDPHPEHURIWKH$XVWULDQ$FDGHP\RI6FLHQFHVDQGLVDQ$GMXQFW 3URIHVVRUDW%RVWRQ8QLYHUVLW\6FKRRORI0HGLFLQHDQGDQ$GMXQFW3URIHVVRURI0HGLFLQHDW 1RUWKZHVWHUQ8QLYHUVLW\¶V)HLQEHUJ6FKRRORI0HGLFLQH'U5LHGHOVHUYHGDV([HFXWLYH &amp;KDLUSHUVRQRI$SWLQ\[,QFIURP-DQXDU\WR0D\DV&amp;(2IURP6HSWHPEHUWR 'HFHPEHUDQGDV3UHVLGHQWIURP6HSWHPEHUWR'HFHPEHU$SWLQ\[,QFZDV DELRSKDUPDFHXWLFDOFRPSDQ\VSXQRXWRILWVSUHGHFHVVRUFRPSDQ\1DXUH[,QFZKHUH'U 5LHGHOVHUYHGDV&amp;(2DQG3UHVLGHQWIURP-DQXDU\WR6HSWHPEHU)URPWR KHVHUYHGDV&amp;RUSRUDWH9LFH3UHVLGHQWDQG&amp;KLHI6FLHQWLILF2IILFHURI%D[WHU ,QWHUQDWLRQDO,QFDGLYHUVLILHGKHDOWKFDUHFRPSDQ\ZKHUHIURPWRKHDOVRVHUYHG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345" w:lineRule="auto"/>
        <w:rPr>
          <w:sz w:val="20"/>
          <w:szCs w:val="20"/>
          <w:color w:val="auto"/>
        </w:rPr>
      </w:pPr>
      <w:r>
        <w:rPr>
          <w:rFonts w:ascii="PMingLiU" w:cs="PMingLiU" w:eastAsia="PMingLiU" w:hAnsi="PMingLiU"/>
          <w:sz w:val="12"/>
          <w:szCs w:val="12"/>
          <w:color w:val="auto"/>
        </w:rPr>
        <w:t>DV3UHVLGHQWDQG*HQHUDO0DQDJHURIWKHUHFRPELQDQWWKHUDSHXWLFSURWHLQVEXVLQHVVXQLWDQG 9LFH3UHVLGHQWRI5 'RIWKHELRVFLHQFHEXVLQHVVXQLW)URPWR'U5LHGHOVHUYHG</w:t>
      </w:r>
    </w:p>
    <w:p>
      <w:pPr>
        <w:spacing w:after="0" w:line="1" w:lineRule="exact"/>
        <w:rPr>
          <w:sz w:val="20"/>
          <w:szCs w:val="20"/>
          <w:color w:val="auto"/>
        </w:rPr>
      </w:pPr>
    </w:p>
    <w:p>
      <w:pPr>
        <w:ind w:right="100"/>
        <w:spacing w:after="0" w:line="317" w:lineRule="auto"/>
        <w:rPr>
          <w:sz w:val="20"/>
          <w:szCs w:val="20"/>
          <w:color w:val="auto"/>
        </w:rPr>
      </w:pPr>
      <w:r>
        <w:rPr>
          <w:rFonts w:ascii="PMingLiU" w:cs="PMingLiU" w:eastAsia="PMingLiU" w:hAnsi="PMingLiU"/>
          <w:sz w:val="13"/>
          <w:szCs w:val="13"/>
          <w:color w:val="auto"/>
        </w:rPr>
        <w:t>DVKHDGRIZRUOGZLGHELRWHFKQRORJ\DQGZRUOGZLGHFRUHUHVHDUFKIXQFWLRQVDW+RHFKVW0DULRQ 5RXVVHOQRZ6DQRILDJOREDOSKDUPDFHXWLFDOFRPSDQ\'U5LHGHOVHUYHGRQWKHERDUGRI</w:t>
      </w:r>
    </w:p>
    <w:p>
      <w:pPr>
        <w:spacing w:after="0" w:line="1" w:lineRule="exact"/>
        <w:rPr>
          <w:sz w:val="20"/>
          <w:szCs w:val="20"/>
          <w:color w:val="auto"/>
        </w:rPr>
      </w:pPr>
    </w:p>
    <w:p>
      <w:pPr>
        <w:ind w:right="160"/>
        <w:spacing w:after="0" w:line="337" w:lineRule="auto"/>
        <w:rPr>
          <w:sz w:val="20"/>
          <w:szCs w:val="20"/>
          <w:color w:val="auto"/>
        </w:rPr>
      </w:pPr>
      <w:r>
        <w:rPr>
          <w:rFonts w:ascii="PMingLiU" w:cs="PMingLiU" w:eastAsia="PMingLiU" w:hAnsi="PMingLiU"/>
          <w:sz w:val="13"/>
          <w:szCs w:val="13"/>
          <w:color w:val="auto"/>
        </w:rPr>
        <w:t>GLUHFWRUVRI&amp;HUHYHO7KHUDSHXWLFV+ROGLQJV,QFDELRSKDUPDFHXWLFDOFRPSDQ\IURP2FWREHU XQWLOLWZDVDFTXLUHGLQ$XJXVWDQGRQWKHERDUGRIGLUHFWRUVRI$ULDG 3KDUPDFHXWLFDOV,QFDQRQFRORJ\FRPSDQ\IURP0D\XQWLOWKHFRPSDQ\ZDVDFTXLUHG LQ)HEUXDU\'U5LHGHOKROGVD'LSORPDLQELRFKHPLVWU\DQGD3K'LQELRFKHPLVWU\ IURPWKH8QLYHUVLW\RI)UDQNIXUW</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5($6216)256(59,&amp;(21285%2$5'</w:t>
      </w:r>
    </w:p>
    <w:p>
      <w:pPr>
        <w:spacing w:after="0" w:line="81" w:lineRule="exact"/>
        <w:rPr>
          <w:sz w:val="20"/>
          <w:szCs w:val="20"/>
          <w:color w:val="auto"/>
        </w:rPr>
      </w:pPr>
    </w:p>
    <w:p>
      <w:pPr>
        <w:spacing w:after="0" w:line="356" w:lineRule="auto"/>
        <w:rPr>
          <w:sz w:val="20"/>
          <w:szCs w:val="20"/>
          <w:color w:val="auto"/>
        </w:rPr>
      </w:pPr>
      <w:r>
        <w:rPr>
          <w:rFonts w:ascii="PMingLiU" w:cs="PMingLiU" w:eastAsia="PMingLiU" w:hAnsi="PMingLiU"/>
          <w:sz w:val="13"/>
          <w:szCs w:val="13"/>
          <w:color w:val="auto"/>
        </w:rPr>
        <w:t>'U5LHGHOEULQJVRYHU\HDUVRIH[SHULHQFHLQWKHELRWHFKQRORJ\DQGSKDUPDFHXWLFDO LQGXVWULHVWRRXU%RDUGZLWKVLJQLILFDQWVFLHQWLILFGUXJGLVFRYHU\DQGGHYHORSPHQWDQG FRPPHUFLDOH[SHUWLVH'U5LHGHODOVROHYHUDJHVWKLVSKDUPDFHXWLFDOUHVHDUFKH[SHULHQFHLQKLV SRVLWLRQDVFKDLUSHUVRQRIRXU60&amp;</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.(&lt;6.,//6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226695" cy="1187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2">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61595</wp:posOffset>
            </wp:positionV>
            <wp:extent cx="228600" cy="228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3">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61595</wp:posOffset>
            </wp:positionV>
            <wp:extent cx="193675" cy="2279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4">
                      <a:extLst>
                        <a:ext uri="{28A0092B-C50C-407E-A947-70E740481C1C}"/>
                      </a:extLst>
                    </a:blip>
                    <a:srcRect/>
                    <a:stretch>
                      <a:fillRect/>
                    </a:stretch>
                  </pic:blipFill>
                  <pic:spPr bwMode="auto">
                    <a:xfrm>
                      <a:off x="0" y="0"/>
                      <a:ext cx="193675" cy="22796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71120</wp:posOffset>
            </wp:positionV>
            <wp:extent cx="227965" cy="2089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5">
                      <a:extLst>
                        <a:ext uri="{28A0092B-C50C-407E-A947-70E740481C1C}"/>
                      </a:extLst>
                    </a:blip>
                    <a:srcRect/>
                    <a:stretch>
                      <a:fillRect/>
                    </a:stretch>
                  </pic:blipFill>
                  <pic:spPr bwMode="auto">
                    <a:xfrm>
                      <a:off x="0" y="0"/>
                      <a:ext cx="227965" cy="20891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105410</wp:posOffset>
            </wp:positionV>
            <wp:extent cx="228600" cy="140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6">
                      <a:extLst>
                        <a:ext uri="{28A0092B-C50C-407E-A947-70E740481C1C}"/>
                      </a:extLst>
                    </a:blip>
                    <a:srcRect/>
                    <a:stretch>
                      <a:fillRect/>
                    </a:stretch>
                  </pic:blipFill>
                  <pic:spPr bwMode="auto">
                    <a:xfrm>
                      <a:off x="0" y="0"/>
                      <a:ext cx="228600" cy="14033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83185</wp:posOffset>
            </wp:positionV>
            <wp:extent cx="227330" cy="1841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7">
                      <a:extLst>
                        <a:ext uri="{28A0092B-C50C-407E-A947-70E740481C1C}"/>
                      </a:extLst>
                    </a:blip>
                    <a:srcRect/>
                    <a:stretch>
                      <a:fillRect/>
                    </a:stretch>
                  </pic:blipFill>
                  <pic:spPr bwMode="auto">
                    <a:xfrm>
                      <a:off x="0" y="0"/>
                      <a:ext cx="227330" cy="184150"/>
                    </a:xfrm>
                    <a:prstGeom prst="rect">
                      <a:avLst/>
                    </a:prstGeom>
                    <a:noFill/>
                  </pic:spPr>
                </pic:pic>
              </a:graphicData>
            </a:graphic>
          </wp:anchor>
        </w:drawing>
        <w:drawing>
          <wp:anchor simplePos="0" relativeHeight="251657728" behindDoc="1" locked="0" layoutInCell="0" allowOverlap="1">
            <wp:simplePos x="0" y="0"/>
            <wp:positionH relativeFrom="column">
              <wp:posOffset>2574925</wp:posOffset>
            </wp:positionH>
            <wp:positionV relativeFrom="paragraph">
              <wp:posOffset>62865</wp:posOffset>
            </wp:positionV>
            <wp:extent cx="182880" cy="2273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8">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61595</wp:posOffset>
            </wp:positionV>
            <wp:extent cx="228600" cy="228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61595</wp:posOffset>
            </wp:positionV>
            <wp:extent cx="222250" cy="2279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0">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61595</wp:posOffset>
            </wp:positionV>
            <wp:extent cx="226695" cy="228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1">
                      <a:extLst>
                        <a:ext uri="{28A0092B-C50C-407E-A947-70E740481C1C}"/>
                      </a:extLst>
                    </a:blip>
                    <a:srcRect/>
                    <a:stretch>
                      <a:fillRect/>
                    </a:stretch>
                  </pic:blipFill>
                  <pic:spPr bwMode="auto">
                    <a:xfrm>
                      <a:off x="0" y="0"/>
                      <a:ext cx="226695" cy="228600"/>
                    </a:xfrm>
                    <a:prstGeom prst="rect">
                      <a:avLst/>
                    </a:prstGeom>
                    <a:noFill/>
                  </pic:spPr>
                </pic:pic>
              </a:graphicData>
            </a:graphic>
          </wp:anchor>
        </w:drawing>
      </w:r>
    </w:p>
    <w:p>
      <w:pPr>
        <w:spacing w:after="0" w:line="200" w:lineRule="exact"/>
        <w:rPr>
          <w:sz w:val="20"/>
          <w:szCs w:val="20"/>
          <w:color w:val="auto"/>
        </w:rPr>
      </w:pPr>
    </w:p>
    <w:p>
      <w:pPr>
        <w:sectPr>
          <w:pgSz w:w="11880" w:h="15479" w:orient="portrait"/>
          <w:cols w:equalWidth="0" w:num="2">
            <w:col w:w="2460" w:space="500"/>
            <w:col w:w="6800"/>
          </w:cols>
          <w:pgMar w:left="1180" w:top="377" w:right="9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40"/>
        <w:spacing w:after="0"/>
        <w:tabs>
          <w:tab w:leader="none" w:pos="95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9760"/>
          </w:cols>
          <w:pgMar w:left="1180" w:top="377" w:right="939" w:bottom="0" w:gutter="0" w:footer="0" w:header="0"/>
          <w:type w:val="continuous"/>
        </w:sectPr>
      </w:pPr>
    </w:p>
    <w:bookmarkStart w:id="27" w:name="page28"/>
    <w:bookmarkEnd w:id="27"/>
    <w:p>
      <w:pPr>
        <w:ind w:left="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220" o:spid="_x0000_s1245"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325120</wp:posOffset>
                </wp:positionV>
                <wp:extent cx="1875790" cy="104775"/>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5790" cy="104775"/>
                        </a:xfrm>
                        <a:prstGeom prst="rect">
                          <a:avLst/>
                        </a:prstGeom>
                        <a:solidFill>
                          <a:srgbClr val="F3F3F1"/>
                        </a:solidFill>
                      </wps:spPr>
                      <wps:bodyPr/>
                    </wps:wsp>
                  </a:graphicData>
                </a:graphic>
              </wp:anchor>
            </w:drawing>
          </mc:Choice>
          <mc:Fallback>
            <w:pict>
              <v:rect id="Shape 221" o:spid="_x0000_s1246" style="position:absolute;margin-left:-2.0999pt;margin-top:25.6pt;width:147.7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200" w:lineRule="exact"/>
        <w:rPr>
          <w:sz w:val="20"/>
          <w:szCs w:val="20"/>
          <w:color w:val="auto"/>
        </w:rPr>
      </w:pPr>
    </w:p>
    <w:p>
      <w:pPr>
        <w:spacing w:after="0" w:line="301" w:lineRule="exact"/>
        <w:rPr>
          <w:sz w:val="20"/>
          <w:szCs w:val="20"/>
          <w:color w:val="auto"/>
        </w:rPr>
      </w:pPr>
    </w:p>
    <w:p>
      <w:pPr>
        <w:ind w:left="3200"/>
        <w:spacing w:after="0"/>
        <w:rPr>
          <w:sz w:val="20"/>
          <w:szCs w:val="20"/>
          <w:color w:val="auto"/>
        </w:rPr>
      </w:pPr>
      <w:r>
        <w:rPr>
          <w:rFonts w:ascii="PMingLiU" w:cs="PMingLiU" w:eastAsia="PMingLiU" w:hAnsi="PMingLiU"/>
          <w:sz w:val="16"/>
          <w:szCs w:val="16"/>
          <w:b w:val="1"/>
          <w:bCs w:val="1"/>
          <w:color w:val="5C004D"/>
        </w:rPr>
        <w:t>%$&amp;.*5281'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-21590</wp:posOffset>
            </wp:positionV>
            <wp:extent cx="1876425" cy="40576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2">
                      <a:extLst>
                        <a:ext uri="{28A0092B-C50C-407E-A947-70E740481C1C}"/>
                      </a:extLst>
                    </a:blip>
                    <a:srcRect/>
                    <a:stretch>
                      <a:fillRect/>
                    </a:stretch>
                  </pic:blipFill>
                  <pic:spPr bwMode="auto">
                    <a:xfrm>
                      <a:off x="0" y="0"/>
                      <a:ext cx="1876425" cy="4057650"/>
                    </a:xfrm>
                    <a:prstGeom prst="rect">
                      <a:avLst/>
                    </a:prstGeom>
                    <a:noFill/>
                  </pic:spPr>
                </pic:pic>
              </a:graphicData>
            </a:graphic>
          </wp:anchor>
        </w:drawing>
      </w:r>
    </w:p>
    <w:p>
      <w:pPr>
        <w:spacing w:after="0" w:line="61" w:lineRule="exact"/>
        <w:rPr>
          <w:sz w:val="20"/>
          <w:szCs w:val="20"/>
          <w:color w:val="auto"/>
        </w:rPr>
      </w:pPr>
    </w:p>
    <w:p>
      <w:pPr>
        <w:ind w:left="3200" w:right="40"/>
        <w:spacing w:after="0" w:line="841" w:lineRule="auto"/>
        <w:rPr>
          <w:sz w:val="20"/>
          <w:szCs w:val="20"/>
          <w:color w:val="auto"/>
        </w:rPr>
      </w:pPr>
      <w:r>
        <w:rPr>
          <w:rFonts w:ascii="PMingLiU" w:cs="PMingLiU" w:eastAsia="PMingLiU" w:hAnsi="PMingLiU"/>
          <w:sz w:val="7"/>
          <w:szCs w:val="7"/>
          <w:color w:val="auto"/>
        </w:rPr>
        <w:t>0DUN'6PLWK0'KDVVHUYHGDVDPHPEHURIRXU%RDUGVLQFH'HFHPEHU'U6PLWKLV DSUDFWLFLQJSK\VLFLDQDQGSURIHVVRURIFOLQLFDOPHGLFLQHDWWKH8QLYHUVLW\RI&amp;DOLIRUQLDDW6DQ )UDQFLVFRZKHUHKHKDVVHUYHGVLQFH+HDOVRVHUYHVDVDQRQH[HFXWLYHGLUHFWRURQWKH ERDUGVRIGLUHFWRUVRIWZRRWKHUSXEOLFO\KHOGFRPSDQLHV7HODGRF+HDOWK,QFDWHOHPHGLFLQH DQGYLUWXDOKHDOWKFDUHFRPSDQ\DQG3KUHHVLD,QFDKHDOWKFDUHVRIWZDUHFRPSDQ\'U6PLWK DOVRVHUYHVRQWKHERDUGRIGLUHFWRUVRI3UHDOL]H+HDOWKDSULYDWHO\KHOGSUHGLFWLYHKHDOWKFDUH DQDO\WLFVFRPSDQ\)URPWR'U6PLWKZDVWKHIRXQGLQJ3UHVLGHQWDQG&amp;(2RIWKH</w:t>
      </w:r>
    </w:p>
    <w:p>
      <w:pPr>
        <w:spacing w:after="0" w:line="275" w:lineRule="exact"/>
        <w:rPr>
          <w:sz w:val="20"/>
          <w:szCs w:val="20"/>
          <w:color w:val="auto"/>
        </w:rPr>
      </w:pPr>
    </w:p>
    <w:p>
      <w:pPr>
        <w:ind w:left="240" w:firstLine="2970"/>
        <w:spacing w:after="0" w:line="183" w:lineRule="auto"/>
        <w:rPr>
          <w:sz w:val="20"/>
          <w:szCs w:val="20"/>
          <w:color w:val="auto"/>
        </w:rPr>
      </w:pPr>
      <w:r>
        <w:rPr>
          <w:rFonts w:ascii="PMingLiU" w:cs="PMingLiU" w:eastAsia="PMingLiU" w:hAnsi="PMingLiU"/>
          <w:sz w:val="13"/>
          <w:szCs w:val="13"/>
          <w:color w:val="auto"/>
        </w:rPr>
        <w:t xml:space="preserve">&amp;DOLIRUQLD+HDOWK&amp;DUH)RXQGDWLRQDQLQGHSHQGHQWQRQSURILWSKLODQWKURS\RUJDQL]DWLRQ)URP </w:t>
      </w:r>
      <w:r>
        <w:rPr>
          <w:rFonts w:ascii="PMingLiU" w:cs="PMingLiU" w:eastAsia="PMingLiU" w:hAnsi="PMingLiU"/>
          <w:sz w:val="33"/>
          <w:szCs w:val="33"/>
          <w:b w:val="1"/>
          <w:bCs w:val="1"/>
          <w:color w:val="000046"/>
          <w:vertAlign w:val="superscript"/>
        </w:rPr>
        <w:t>0DUN'6PLWK0'</w:t>
      </w:r>
      <w:r>
        <w:rPr>
          <w:rFonts w:ascii="PMingLiU" w:cs="PMingLiU" w:eastAsia="PMingLiU" w:hAnsi="PMingLiU"/>
          <w:sz w:val="13"/>
          <w:szCs w:val="13"/>
          <w:color w:val="auto"/>
        </w:rPr>
        <w:t xml:space="preserve"> WRKHVHUYHGDV([HFXWLYH9LFH3UHVLGHQWDWWKH+HQU\-.DLVHU)DPLO\)RXQGDWLRQ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-223520</wp:posOffset>
            </wp:positionV>
            <wp:extent cx="1733550" cy="30194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3">
                      <a:extLst>
                        <a:ext uri="{28A0092B-C50C-407E-A947-70E740481C1C}"/>
                      </a:extLst>
                    </a:blip>
                    <a:srcRect/>
                    <a:stretch>
                      <a:fillRect/>
                    </a:stretch>
                  </pic:blipFill>
                  <pic:spPr bwMode="auto">
                    <a:xfrm>
                      <a:off x="0" y="0"/>
                      <a:ext cx="1733550" cy="301942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-223520</wp:posOffset>
            </wp:positionV>
            <wp:extent cx="1733550" cy="30194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4">
                      <a:extLst>
                        <a:ext uri="{28A0092B-C50C-407E-A947-70E740481C1C}"/>
                      </a:extLst>
                    </a:blip>
                    <a:srcRect/>
                    <a:stretch>
                      <a:fillRect/>
                    </a:stretch>
                  </pic:blipFill>
                  <pic:spPr bwMode="auto">
                    <a:xfrm>
                      <a:off x="0" y="0"/>
                      <a:ext cx="1733550" cy="3019425"/>
                    </a:xfrm>
                    <a:prstGeom prst="rect">
                      <a:avLst/>
                    </a:prstGeom>
                    <a:noFill/>
                  </pic:spPr>
                </pic:pic>
              </a:graphicData>
            </a:graphic>
          </wp:anchor>
        </w:drawing>
      </w:r>
    </w:p>
    <w:p>
      <w:pPr>
        <w:ind w:left="3200"/>
        <w:spacing w:after="0"/>
        <w:rPr>
          <w:sz w:val="20"/>
          <w:szCs w:val="20"/>
          <w:color w:val="auto"/>
        </w:rPr>
      </w:pPr>
      <w:r>
        <w:rPr>
          <w:rFonts w:ascii="PMingLiU" w:cs="PMingLiU" w:eastAsia="PMingLiU" w:hAnsi="PMingLiU"/>
          <w:sz w:val="15"/>
          <w:szCs w:val="15"/>
          <w:color w:val="auto"/>
        </w:rPr>
        <w:t>'U6PLWKKROGVD%$IURP+DUYDUG&amp;ROOHJHDQ0'IURPWKH8QLYHUVLW\RI1RUWK&amp;DUROLQDDW</w:t>
      </w:r>
    </w:p>
    <w:p>
      <w:pPr>
        <w:spacing w:after="0" w:line="6" w:lineRule="exact"/>
        <w:rPr>
          <w:sz w:val="20"/>
          <w:szCs w:val="20"/>
          <w:color w:val="auto"/>
        </w:rPr>
      </w:pPr>
    </w:p>
    <w:p>
      <w:pPr>
        <w:ind w:left="240"/>
        <w:spacing w:after="0"/>
        <w:tabs>
          <w:tab w:leader="none" w:pos="3180" w:val="left"/>
        </w:tabs>
        <w:rPr>
          <w:sz w:val="20"/>
          <w:szCs w:val="20"/>
          <w:color w:val="auto"/>
        </w:rPr>
      </w:pPr>
      <w:r>
        <w:rPr>
          <w:rFonts w:ascii="PMingLiU" w:cs="PMingLiU" w:eastAsia="PMingLiU" w:hAnsi="PMingLiU"/>
          <w:sz w:val="16"/>
          <w:szCs w:val="16"/>
          <w:b w:val="1"/>
          <w:bCs w:val="1"/>
          <w:color w:val="5C004D"/>
        </w:rPr>
        <w:t>,1'(3(1'(17',5(&amp;725</w:t>
      </w:r>
      <w:r>
        <w:rPr>
          <w:sz w:val="20"/>
          <w:szCs w:val="20"/>
          <w:color w:val="auto"/>
        </w:rPr>
        <w:tab/>
      </w:r>
      <w:r>
        <w:rPr>
          <w:rFonts w:ascii="PMingLiU" w:cs="PMingLiU" w:eastAsia="PMingLiU" w:hAnsi="PMingLiU"/>
          <w:sz w:val="16"/>
          <w:szCs w:val="16"/>
          <w:color w:val="auto"/>
        </w:rPr>
        <w:t>&amp;KDSHO+LOODQGDQ0%$IURP7KH:KDUWRQ6FKRRODWWKH8QLYHUVLW\RI3HQQV\OYDQLD</w:t>
      </w:r>
    </w:p>
    <w:p>
      <w:pPr>
        <w:spacing w:after="0" w:line="165" w:lineRule="exact"/>
        <w:rPr>
          <w:sz w:val="20"/>
          <w:szCs w:val="20"/>
          <w:color w:val="auto"/>
        </w:rPr>
      </w:pPr>
    </w:p>
    <w:tbl>
      <w:tblPr>
        <w:tblLayout w:type="fixed"/>
        <w:tblInd w:w="240" w:type="dxa"/>
        <w:tblCellMar>
          <w:top w:w="0" w:type="dxa"/>
          <w:left w:w="0" w:type="dxa"/>
          <w:bottom w:w="0" w:type="dxa"/>
          <w:right w:w="0" w:type="dxa"/>
        </w:tblCellMar>
      </w:tblPr>
      <w:tr>
        <w:trPr>
          <w:trHeight w:val="255"/>
        </w:trPr>
        <w:tc>
          <w:tcPr>
            <w:tcW w:w="2520" w:type="dxa"/>
            <w:vAlign w:val="bottom"/>
          </w:tcPr>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tc>
        <w:tc>
          <w:tcPr>
            <w:tcW w:w="7120" w:type="dxa"/>
            <w:vAlign w:val="bottom"/>
          </w:tcPr>
          <w:p>
            <w:pPr>
              <w:ind w:left="440"/>
              <w:spacing w:after="0"/>
              <w:rPr>
                <w:sz w:val="20"/>
                <w:szCs w:val="20"/>
                <w:color w:val="auto"/>
              </w:rPr>
            </w:pPr>
            <w:r>
              <w:rPr>
                <w:rFonts w:ascii="PMingLiU" w:cs="PMingLiU" w:eastAsia="PMingLiU" w:hAnsi="PMingLiU"/>
                <w:sz w:val="16"/>
                <w:szCs w:val="16"/>
                <w:b w:val="1"/>
                <w:bCs w:val="1"/>
                <w:color w:val="5C004D"/>
              </w:rPr>
              <w:t>5($6216)256(59,&amp;(21285%2$5'</w:t>
            </w:r>
          </w:p>
        </w:tc>
        <w:tc>
          <w:tcPr>
            <w:tcW w:w="0" w:type="dxa"/>
            <w:vAlign w:val="bottom"/>
          </w:tcPr>
          <w:p>
            <w:pPr>
              <w:spacing w:after="0"/>
              <w:rPr>
                <w:sz w:val="1"/>
                <w:szCs w:val="1"/>
                <w:color w:val="auto"/>
              </w:rPr>
            </w:pPr>
          </w:p>
        </w:tc>
      </w:tr>
      <w:tr>
        <w:trPr>
          <w:trHeight w:val="263"/>
        </w:trPr>
        <w:tc>
          <w:tcPr>
            <w:tcW w:w="2520" w:type="dxa"/>
            <w:vAlign w:val="bottom"/>
            <w:vMerge w:val="restart"/>
          </w:tcPr>
          <w:p>
            <w:pPr>
              <w:spacing w:after="0"/>
              <w:rPr>
                <w:sz w:val="20"/>
                <w:szCs w:val="20"/>
                <w:color w:val="auto"/>
              </w:rPr>
            </w:pPr>
            <w:r>
              <w:rPr>
                <w:rFonts w:ascii="PMingLiU" w:cs="PMingLiU" w:eastAsia="PMingLiU" w:hAnsi="PMingLiU"/>
                <w:sz w:val="16"/>
                <w:szCs w:val="16"/>
                <w:b w:val="1"/>
                <w:bCs w:val="1"/>
                <w:color w:val="2D2C36"/>
              </w:rPr>
              <w:t>',5(&amp;7256,1&amp;(</w:t>
            </w:r>
            <w:r>
              <w:rPr>
                <w:rFonts w:ascii="PMingLiU" w:cs="PMingLiU" w:eastAsia="PMingLiU" w:hAnsi="PMingLiU"/>
                <w:sz w:val="16"/>
                <w:szCs w:val="16"/>
                <w:color w:val="2D2C36"/>
              </w:rPr>
              <w:t/>
            </w:r>
          </w:p>
        </w:tc>
        <w:tc>
          <w:tcPr>
            <w:tcW w:w="7120" w:type="dxa"/>
            <w:vAlign w:val="bottom"/>
          </w:tcPr>
          <w:p>
            <w:pPr>
              <w:ind w:left="440"/>
              <w:spacing w:after="0"/>
              <w:rPr>
                <w:sz w:val="20"/>
                <w:szCs w:val="20"/>
                <w:color w:val="auto"/>
              </w:rPr>
            </w:pPr>
            <w:r>
              <w:rPr>
                <w:rFonts w:ascii="PMingLiU" w:cs="PMingLiU" w:eastAsia="PMingLiU" w:hAnsi="PMingLiU"/>
                <w:sz w:val="16"/>
                <w:szCs w:val="16"/>
                <w:color w:val="auto"/>
                <w:w w:val="83"/>
              </w:rPr>
              <w:t>'U6PLWKEULQJVWRRXUERDUGRIGLUHFWRUVDQLPSUHVVLYHEDFNJURXQGWKDWPDUULHVWKHZRUOGVRI</w:t>
            </w: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7120" w:type="dxa"/>
            <w:vAlign w:val="bottom"/>
            <w:vMerge w:val="restart"/>
          </w:tcPr>
          <w:p>
            <w:pPr>
              <w:ind w:left="440"/>
              <w:spacing w:after="0"/>
              <w:rPr>
                <w:sz w:val="20"/>
                <w:szCs w:val="20"/>
                <w:color w:val="auto"/>
              </w:rPr>
            </w:pPr>
            <w:r>
              <w:rPr>
                <w:rFonts w:ascii="PMingLiU" w:cs="PMingLiU" w:eastAsia="PMingLiU" w:hAnsi="PMingLiU"/>
                <w:sz w:val="16"/>
                <w:szCs w:val="16"/>
                <w:color w:val="auto"/>
                <w:w w:val="86"/>
              </w:rPr>
              <w:t>DFWLYHPHGLFDOSUDFWLFHDQGEXVLQHVVGHYHORSPHQW$SUDFWLFLQJSK\VLFLDQDQGSURIHVVRU'U</w:t>
            </w: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7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PMingLiU" w:cs="PMingLiU" w:eastAsia="PMingLiU" w:hAnsi="PMingLiU"/>
                <w:sz w:val="16"/>
                <w:szCs w:val="16"/>
                <w:b w:val="1"/>
                <w:bCs w:val="1"/>
                <w:color w:val="2D2C36"/>
              </w:rPr>
              <w:t>',5(&amp;725&amp;/$66</w:t>
            </w:r>
            <w:r>
              <w:rPr>
                <w:rFonts w:ascii="PMingLiU" w:cs="PMingLiU" w:eastAsia="PMingLiU" w:hAnsi="PMingLiU"/>
                <w:sz w:val="16"/>
                <w:szCs w:val="16"/>
                <w:color w:val="2D2C36"/>
              </w:rPr>
              <w:t>,</w:t>
            </w:r>
          </w:p>
        </w:tc>
        <w:tc>
          <w:tcPr>
            <w:tcW w:w="7120" w:type="dxa"/>
            <w:vAlign w:val="bottom"/>
          </w:tcPr>
          <w:p>
            <w:pPr>
              <w:ind w:left="440"/>
              <w:spacing w:after="0"/>
              <w:rPr>
                <w:sz w:val="20"/>
                <w:szCs w:val="20"/>
                <w:color w:val="auto"/>
              </w:rPr>
            </w:pPr>
            <w:r>
              <w:rPr>
                <w:rFonts w:ascii="PMingLiU" w:cs="PMingLiU" w:eastAsia="PMingLiU" w:hAnsi="PMingLiU"/>
                <w:sz w:val="16"/>
                <w:szCs w:val="16"/>
                <w:color w:val="auto"/>
                <w:w w:val="86"/>
              </w:rPr>
              <w:t>6PLWKDOVRKDVH[SHULHQFHZRUNLQJIRUDYDULHW\RIKHDOWKIRFXVHGFRPSDQLHVERWKSXEOLFDQG</w:t>
            </w:r>
          </w:p>
        </w:tc>
        <w:tc>
          <w:tcPr>
            <w:tcW w:w="0" w:type="dxa"/>
            <w:vAlign w:val="bottom"/>
          </w:tcPr>
          <w:p>
            <w:pPr>
              <w:spacing w:after="0"/>
              <w:rPr>
                <w:sz w:val="1"/>
                <w:szCs w:val="1"/>
                <w:color w:val="auto"/>
              </w:rPr>
            </w:pPr>
          </w:p>
        </w:tc>
      </w:tr>
      <w:tr>
        <w:trPr>
          <w:trHeight w:val="211"/>
        </w:trPr>
        <w:tc>
          <w:tcPr>
            <w:tcW w:w="2520" w:type="dxa"/>
            <w:vAlign w:val="bottom"/>
            <w:vMerge w:val="restart"/>
          </w:tcPr>
          <w:p>
            <w:pPr>
              <w:spacing w:after="0"/>
              <w:rPr>
                <w:sz w:val="20"/>
                <w:szCs w:val="20"/>
                <w:color w:val="auto"/>
              </w:rPr>
            </w:pPr>
            <w:r>
              <w:rPr>
                <w:rFonts w:ascii="PMingLiU" w:cs="PMingLiU" w:eastAsia="PMingLiU" w:hAnsi="PMingLiU"/>
                <w:sz w:val="16"/>
                <w:szCs w:val="16"/>
                <w:b w:val="1"/>
                <w:bCs w:val="1"/>
                <w:color w:val="2D2C36"/>
              </w:rPr>
              <w:t>7(50(;3,5$7,21</w:t>
            </w:r>
            <w:r>
              <w:rPr>
                <w:rFonts w:ascii="PMingLiU" w:cs="PMingLiU" w:eastAsia="PMingLiU" w:hAnsi="PMingLiU"/>
                <w:sz w:val="16"/>
                <w:szCs w:val="16"/>
                <w:color w:val="2D2C36"/>
              </w:rPr>
              <w:t/>
            </w:r>
          </w:p>
        </w:tc>
        <w:tc>
          <w:tcPr>
            <w:tcW w:w="7120" w:type="dxa"/>
            <w:vAlign w:val="bottom"/>
          </w:tcPr>
          <w:p>
            <w:pPr>
              <w:ind w:left="440"/>
              <w:spacing w:after="0"/>
              <w:rPr>
                <w:sz w:val="20"/>
                <w:szCs w:val="20"/>
                <w:color w:val="auto"/>
              </w:rPr>
            </w:pPr>
            <w:r>
              <w:rPr>
                <w:rFonts w:ascii="PMingLiU" w:cs="PMingLiU" w:eastAsia="PMingLiU" w:hAnsi="PMingLiU"/>
                <w:sz w:val="16"/>
                <w:szCs w:val="16"/>
                <w:color w:val="auto"/>
                <w:w w:val="84"/>
              </w:rPr>
              <w:t>SULYDWH'U6PLWKKDVDGHHSXQGHUVWDQGLQJRIWKHWUHQGVLQSXEOLFSROLF\DQGIXWXUHWUHQGVLQ</w:t>
            </w:r>
          </w:p>
        </w:tc>
        <w:tc>
          <w:tcPr>
            <w:tcW w:w="0" w:type="dxa"/>
            <w:vAlign w:val="bottom"/>
          </w:tcPr>
          <w:p>
            <w:pPr>
              <w:spacing w:after="0"/>
              <w:rPr>
                <w:sz w:val="1"/>
                <w:szCs w:val="1"/>
                <w:color w:val="auto"/>
              </w:rPr>
            </w:pPr>
          </w:p>
        </w:tc>
      </w:tr>
      <w:tr>
        <w:trPr>
          <w:trHeight w:val="213"/>
        </w:trPr>
        <w:tc>
          <w:tcPr>
            <w:tcW w:w="2520" w:type="dxa"/>
            <w:vAlign w:val="bottom"/>
            <w:vMerge w:val="continue"/>
          </w:tcPr>
          <w:p>
            <w:pPr>
              <w:spacing w:after="0"/>
              <w:rPr>
                <w:sz w:val="18"/>
                <w:szCs w:val="18"/>
                <w:color w:val="auto"/>
              </w:rPr>
            </w:pPr>
          </w:p>
        </w:tc>
        <w:tc>
          <w:tcPr>
            <w:tcW w:w="7120" w:type="dxa"/>
            <w:vAlign w:val="bottom"/>
          </w:tcPr>
          <w:p>
            <w:pPr>
              <w:ind w:left="440"/>
              <w:spacing w:after="0"/>
              <w:rPr>
                <w:sz w:val="20"/>
                <w:szCs w:val="20"/>
                <w:color w:val="auto"/>
              </w:rPr>
            </w:pPr>
            <w:r>
              <w:rPr>
                <w:rFonts w:ascii="PMingLiU" w:cs="PMingLiU" w:eastAsia="PMingLiU" w:hAnsi="PMingLiU"/>
                <w:sz w:val="16"/>
                <w:szCs w:val="16"/>
                <w:color w:val="auto"/>
              </w:rPr>
              <w:t>KHDOWKFDUHGHOLYHU\V\VWHPVLQWKH86</w:t>
            </w:r>
          </w:p>
        </w:tc>
        <w:tc>
          <w:tcPr>
            <w:tcW w:w="0" w:type="dxa"/>
            <w:vAlign w:val="bottom"/>
          </w:tcPr>
          <w:p>
            <w:pPr>
              <w:spacing w:after="0"/>
              <w:rPr>
                <w:sz w:val="1"/>
                <w:szCs w:val="1"/>
                <w:color w:val="auto"/>
              </w:rPr>
            </w:pPr>
          </w:p>
        </w:tc>
      </w:tr>
      <w:tr>
        <w:trPr>
          <w:trHeight w:val="343"/>
        </w:trPr>
        <w:tc>
          <w:tcPr>
            <w:tcW w:w="2520" w:type="dxa"/>
            <w:vAlign w:val="bottom"/>
          </w:tcPr>
          <w:p>
            <w:pPr>
              <w:spacing w:after="0"/>
              <w:rPr>
                <w:sz w:val="20"/>
                <w:szCs w:val="20"/>
                <w:color w:val="auto"/>
              </w:rPr>
            </w:pPr>
            <w:r>
              <w:rPr>
                <w:rFonts w:ascii="PMingLiU" w:cs="PMingLiU" w:eastAsia="PMingLiU" w:hAnsi="PMingLiU"/>
                <w:sz w:val="16"/>
                <w:szCs w:val="16"/>
                <w:b w:val="1"/>
                <w:bCs w:val="1"/>
                <w:color w:val="2D2C36"/>
              </w:rPr>
              <w:t>&amp;200,77((6</w:t>
            </w:r>
            <w:r>
              <w:rPr>
                <w:rFonts w:ascii="PMingLiU" w:cs="PMingLiU" w:eastAsia="PMingLiU" w:hAnsi="PMingLiU"/>
                <w:sz w:val="16"/>
                <w:szCs w:val="16"/>
                <w:color w:val="2D2C36"/>
              </w:rPr>
              <w:t/>
            </w:r>
          </w:p>
        </w:tc>
        <w:tc>
          <w:tcPr>
            <w:tcW w:w="7120" w:type="dxa"/>
            <w:vAlign w:val="bottom"/>
            <w:vMerge w:val="restart"/>
          </w:tcPr>
          <w:p>
            <w:pPr>
              <w:ind w:left="440"/>
              <w:spacing w:after="0"/>
              <w:rPr>
                <w:sz w:val="20"/>
                <w:szCs w:val="20"/>
                <w:color w:val="auto"/>
              </w:rPr>
            </w:pPr>
            <w:r>
              <w:rPr>
                <w:rFonts w:ascii="PMingLiU" w:cs="PMingLiU" w:eastAsia="PMingLiU" w:hAnsi="PMingLiU"/>
                <w:sz w:val="16"/>
                <w:szCs w:val="16"/>
                <w:b w:val="1"/>
                <w:bCs w:val="1"/>
                <w:color w:val="5C004D"/>
              </w:rPr>
              <w:t>.(&lt;6.,//6</w:t>
            </w:r>
          </w:p>
        </w:tc>
        <w:tc>
          <w:tcPr>
            <w:tcW w:w="0" w:type="dxa"/>
            <w:vAlign w:val="bottom"/>
          </w:tcPr>
          <w:p>
            <w:pPr>
              <w:spacing w:after="0"/>
              <w:rPr>
                <w:sz w:val="1"/>
                <w:szCs w:val="1"/>
                <w:color w:val="auto"/>
              </w:rPr>
            </w:pPr>
          </w:p>
        </w:tc>
      </w:tr>
      <w:tr>
        <w:trPr>
          <w:trHeight w:val="60"/>
        </w:trPr>
        <w:tc>
          <w:tcPr>
            <w:tcW w:w="2520" w:type="dxa"/>
            <w:vAlign w:val="bottom"/>
            <w:vMerge w:val="restart"/>
          </w:tcPr>
          <w:p>
            <w:pPr>
              <w:spacing w:after="0"/>
              <w:rPr>
                <w:sz w:val="20"/>
                <w:szCs w:val="20"/>
                <w:color w:val="auto"/>
              </w:rPr>
            </w:pPr>
            <w:r>
              <w:rPr>
                <w:rFonts w:ascii="PMingLiU" w:cs="PMingLiU" w:eastAsia="PMingLiU" w:hAnsi="PMingLiU"/>
                <w:sz w:val="16"/>
                <w:szCs w:val="16"/>
                <w:color w:val="2D2C36"/>
              </w:rPr>
              <w:t>1RPLQDWLQJ&amp;RPPLWWHH</w:t>
            </w:r>
          </w:p>
        </w:tc>
        <w:tc>
          <w:tcPr>
            <w:tcW w:w="7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520" w:type="dxa"/>
            <w:vAlign w:val="bottom"/>
            <w:vMerge w:val="continue"/>
          </w:tcPr>
          <w:p>
            <w:pPr>
              <w:spacing w:after="0"/>
              <w:rPr>
                <w:sz w:val="17"/>
                <w:szCs w:val="17"/>
                <w:color w:val="auto"/>
              </w:rPr>
            </w:pPr>
          </w:p>
        </w:tc>
        <w:tc>
          <w:tcPr>
            <w:tcW w:w="7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0"/>
                <w:szCs w:val="20"/>
                <w:color w:val="auto"/>
              </w:rPr>
            </w:pPr>
            <w:r>
              <w:rPr>
                <w:rFonts w:ascii="PMingLiU" w:cs="PMingLiU" w:eastAsia="PMingLiU" w:hAnsi="PMingLiU"/>
                <w:sz w:val="16"/>
                <w:szCs w:val="16"/>
                <w:color w:val="2D2C36"/>
              </w:rPr>
              <w:t>60&amp;</w:t>
            </w:r>
          </w:p>
        </w:tc>
        <w:tc>
          <w:tcPr>
            <w:tcW w:w="7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2520" w:type="dxa"/>
            <w:vAlign w:val="bottom"/>
          </w:tcPr>
          <w:p>
            <w:pPr>
              <w:spacing w:after="0"/>
              <w:rPr>
                <w:sz w:val="20"/>
                <w:szCs w:val="20"/>
                <w:color w:val="auto"/>
              </w:rPr>
            </w:pPr>
            <w:r>
              <w:rPr>
                <w:rFonts w:ascii="PMingLiU" w:cs="PMingLiU" w:eastAsia="PMingLiU" w:hAnsi="PMingLiU"/>
                <w:sz w:val="16"/>
                <w:szCs w:val="16"/>
                <w:b w:val="1"/>
                <w:bCs w:val="1"/>
                <w:color w:val="2D2C36"/>
              </w:rPr>
              <w:t>27+(5&amp;855(1738%/,&amp;</w:t>
            </w: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20" w:type="dxa"/>
            <w:vAlign w:val="bottom"/>
          </w:tcPr>
          <w:p>
            <w:pPr>
              <w:spacing w:after="0"/>
              <w:rPr>
                <w:sz w:val="20"/>
                <w:szCs w:val="20"/>
                <w:color w:val="auto"/>
              </w:rPr>
            </w:pPr>
            <w:r>
              <w:rPr>
                <w:rFonts w:ascii="PMingLiU" w:cs="PMingLiU" w:eastAsia="PMingLiU" w:hAnsi="PMingLiU"/>
                <w:sz w:val="16"/>
                <w:szCs w:val="16"/>
                <w:b w:val="1"/>
                <w:bCs w:val="1"/>
                <w:color w:val="2D2C36"/>
              </w:rPr>
              <w:t>%2$5'6</w:t>
            </w:r>
          </w:p>
        </w:tc>
        <w:tc>
          <w:tcPr>
            <w:tcW w:w="7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520" w:type="dxa"/>
            <w:vAlign w:val="bottom"/>
          </w:tcPr>
          <w:p>
            <w:pPr>
              <w:spacing w:after="0"/>
              <w:rPr>
                <w:sz w:val="20"/>
                <w:szCs w:val="20"/>
                <w:color w:val="auto"/>
              </w:rPr>
            </w:pPr>
            <w:r>
              <w:rPr>
                <w:rFonts w:ascii="PMingLiU" w:cs="PMingLiU" w:eastAsia="PMingLiU" w:hAnsi="PMingLiU"/>
                <w:sz w:val="16"/>
                <w:szCs w:val="16"/>
                <w:color w:val="2D2C36"/>
              </w:rPr>
              <w:t>3KUHHVLD,QF</w:t>
            </w:r>
          </w:p>
        </w:tc>
        <w:tc>
          <w:tcPr>
            <w:tcW w:w="7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0"/>
                <w:szCs w:val="20"/>
                <w:color w:val="auto"/>
              </w:rPr>
            </w:pPr>
            <w:r>
              <w:rPr>
                <w:rFonts w:ascii="PMingLiU" w:cs="PMingLiU" w:eastAsia="PMingLiU" w:hAnsi="PMingLiU"/>
                <w:sz w:val="16"/>
                <w:szCs w:val="16"/>
                <w:color w:val="2D2C36"/>
              </w:rPr>
              <w:t>7HODGRF+HDOWK,QF</w:t>
            </w:r>
          </w:p>
        </w:tc>
        <w:tc>
          <w:tcPr>
            <w:tcW w:w="7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-918210</wp:posOffset>
            </wp:positionV>
            <wp:extent cx="226695" cy="1187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5">
                      <a:extLst>
                        <a:ext uri="{28A0092B-C50C-407E-A947-70E740481C1C}"/>
                      </a:extLst>
                    </a:blip>
                    <a:srcRect/>
                    <a:stretch>
                      <a:fillRect/>
                    </a:stretch>
                  </pic:blipFill>
                  <pic:spPr bwMode="auto">
                    <a:xfrm>
                      <a:off x="0" y="0"/>
                      <a:ext cx="226695" cy="11874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-973455</wp:posOffset>
            </wp:positionV>
            <wp:extent cx="228600" cy="228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6">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-976630</wp:posOffset>
            </wp:positionV>
            <wp:extent cx="182880" cy="2273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7">
                      <a:extLst>
                        <a:ext uri="{28A0092B-C50C-407E-A947-70E740481C1C}"/>
                      </a:extLst>
                    </a:blip>
                    <a:srcRect/>
                    <a:stretch>
                      <a:fillRect/>
                    </a:stretch>
                  </pic:blipFill>
                  <pic:spPr bwMode="auto">
                    <a:xfrm>
                      <a:off x="0" y="0"/>
                      <a:ext cx="182880" cy="22733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-973455</wp:posOffset>
            </wp:positionV>
            <wp:extent cx="222250" cy="2279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8">
                      <a:extLst>
                        <a:ext uri="{28A0092B-C50C-407E-A947-70E740481C1C}"/>
                      </a:extLst>
                    </a:blip>
                    <a:srcRect/>
                    <a:stretch>
                      <a:fillRect/>
                    </a:stretch>
                  </pic:blipFill>
                  <pic:spPr bwMode="auto">
                    <a:xfrm>
                      <a:off x="0" y="0"/>
                      <a:ext cx="222250" cy="22796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-973455</wp:posOffset>
            </wp:positionV>
            <wp:extent cx="226695" cy="228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9">
                      <a:extLst>
                        <a:ext uri="{28A0092B-C50C-407E-A947-70E740481C1C}"/>
                      </a:extLst>
                    </a:blip>
                    <a:srcRect/>
                    <a:stretch>
                      <a:fillRect/>
                    </a:stretch>
                  </pic:blipFill>
                  <pic:spPr bwMode="auto">
                    <a:xfrm>
                      <a:off x="0" y="0"/>
                      <a:ext cx="226695" cy="22860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4842510</wp:posOffset>
            </wp:positionV>
            <wp:extent cx="1386840" cy="2336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4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20"/>
          </w:cols>
          <w:pgMar w:left="940" w:top="377" w:right="919" w:bottom="0" w:gutter="0" w:footer="0" w:header="0"/>
        </w:sectPr>
      </w:pPr>
    </w:p>
    <w:bookmarkStart w:id="28" w:name="page29"/>
    <w:bookmarkEnd w:id="28"/>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'LUHFWRU&amp;RPSHQVDWLRQ</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'LUHFWRU&amp;RPSHQVDWLRQ3ROLF\</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2YHUYLHZRI'LUHFWRU&amp;RPSHQVDWLRQ</w:t>
      </w:r>
    </w:p>
    <w:p>
      <w:pPr>
        <w:spacing w:after="0" w:line="191" w:lineRule="exact"/>
        <w:rPr>
          <w:sz w:val="20"/>
          <w:szCs w:val="20"/>
          <w:color w:val="auto"/>
        </w:rPr>
      </w:pPr>
    </w:p>
    <w:p>
      <w:pPr>
        <w:spacing w:after="0" w:line="392" w:lineRule="auto"/>
        <w:rPr>
          <w:sz w:val="20"/>
          <w:szCs w:val="20"/>
          <w:color w:val="auto"/>
        </w:rPr>
      </w:pPr>
      <w:r>
        <w:rPr>
          <w:rFonts w:ascii="PMingLiU" w:cs="PMingLiU" w:eastAsia="PMingLiU" w:hAnsi="PMingLiU"/>
          <w:sz w:val="14"/>
          <w:szCs w:val="14"/>
          <w:color w:val="auto"/>
        </w:rPr>
        <w:t>7KHPHPEHUVRIRXU%RDUGSOD\DFULWLFDOUROHLQJXLGLQJRXUVWUDWHJLFGLUHFWLRQDQGRYHUVHHLQJRXUPDQDJHPHQW7KHPDUNHW IRUKLJKO\TXDOLILHGDQGH[SHULHQFHGGLUHFWRUVIRUODUJHSXEOLFFRPSDQLHVLVFRPSHWLWLYHJLYHQWKHGHPDQGLQJQDWXUHRIWKHUROH WKHVLJQLILFDQWUHVSRQVLELOLWLHVDQGWKHDVVRFLDWHGWLPHFRPPLWPHQWDQGULVNV</w:t>
      </w:r>
    </w:p>
    <w:p>
      <w:pPr>
        <w:spacing w:after="0" w:line="76" w:lineRule="exact"/>
        <w:rPr>
          <w:sz w:val="20"/>
          <w:szCs w:val="20"/>
          <w:color w:val="auto"/>
        </w:rPr>
      </w:pPr>
    </w:p>
    <w:p>
      <w:pPr>
        <w:ind w:right="160"/>
        <w:spacing w:after="0" w:line="345" w:lineRule="auto"/>
        <w:rPr>
          <w:sz w:val="20"/>
          <w:szCs w:val="20"/>
          <w:color w:val="auto"/>
        </w:rPr>
      </w:pPr>
      <w:r>
        <w:rPr>
          <w:rFonts w:ascii="PMingLiU" w:cs="PMingLiU" w:eastAsia="PMingLiU" w:hAnsi="PMingLiU"/>
          <w:sz w:val="15"/>
          <w:szCs w:val="15"/>
          <w:color w:val="auto"/>
        </w:rPr>
        <w:t>*LYHQWKHVHIDFWRUVLWLVHVVHQWLDOIRUXVWRSURYLGHDFRPSHWLWLYHFRPSHQVDWLRQSURJUDPIRURXUQRQHPSOR\HHGLUHFWRUV 2XUQRQHPSOR\HHGLUHFWRUVUHFHLYHDFRPELQDWLRQRIDQQXDOFDVKUHWDLQHUVDQGDQQXDOHTXLW\DZDUGV7KHHTXLW\JUDQWV PDGHSXUVXDQWWRRXU'LUHFWRU&amp;RPSHQVDWLRQ3ROLF\DUHJUDQWHGXQGHUWKH'LUHFWRUV3ODQ2XU'LUHFWRU&amp;RPSHQVDWLRQ 3ROLF\ZDVRULJLQDOO\DSSURYHGE\RXU%RDUGLQDQGKDVVXEVHTXHQWO\EHHQDPHQGHGPRVWUHFHQWO\LQ2FWREHU</w:t>
      </w:r>
    </w:p>
    <w:p>
      <w:pPr>
        <w:spacing w:after="0" w:line="103" w:lineRule="exact"/>
        <w:rPr>
          <w:sz w:val="20"/>
          <w:szCs w:val="20"/>
          <w:color w:val="auto"/>
        </w:rPr>
      </w:pPr>
    </w:p>
    <w:p>
      <w:pPr>
        <w:ind w:right="20"/>
        <w:spacing w:after="0" w:line="319" w:lineRule="auto"/>
        <w:rPr>
          <w:sz w:val="20"/>
          <w:szCs w:val="20"/>
          <w:color w:val="auto"/>
        </w:rPr>
      </w:pPr>
      <w:r>
        <w:rPr>
          <w:rFonts w:ascii="PMingLiU" w:cs="PMingLiU" w:eastAsia="PMingLiU" w:hAnsi="PMingLiU"/>
          <w:sz w:val="15"/>
          <w:szCs w:val="15"/>
          <w:color w:val="auto"/>
        </w:rPr>
        <w:t>2XU&amp;RPSHQVDWLRQ&amp;RPPLWWHHUHYLHZVRXUQRQHPSOR\HHGLUHFWRUFRPSHQVDWLRQSURJUDPDQQXDOO\ZLWK$RQDQGUHFRPPHQGV DQ\DSSURSULDWHFKDQJHVWRRXU%RDUGIRUWKHLUFRQVLGHUDWLRQDQGDSSURYDO7KHUHYLHZLQFOXGHVDFRPSDULVRQRIRXUSURJUDP</w:t>
      </w:r>
    </w:p>
    <w:p>
      <w:pPr>
        <w:spacing w:after="0" w:line="1" w:lineRule="exact"/>
        <w:rPr>
          <w:sz w:val="20"/>
          <w:szCs w:val="20"/>
          <w:color w:val="auto"/>
        </w:rPr>
      </w:pPr>
    </w:p>
    <w:p>
      <w:pPr>
        <w:ind w:right="580"/>
        <w:spacing w:after="0" w:line="398" w:lineRule="auto"/>
        <w:rPr>
          <w:sz w:val="20"/>
          <w:szCs w:val="20"/>
          <w:color w:val="auto"/>
        </w:rPr>
      </w:pPr>
      <w:r>
        <w:rPr>
          <w:rFonts w:ascii="PMingLiU" w:cs="PMingLiU" w:eastAsia="PMingLiU" w:hAnsi="PMingLiU"/>
          <w:sz w:val="15"/>
          <w:szCs w:val="15"/>
          <w:color w:val="auto"/>
        </w:rPr>
        <w:t>WRWKHSURJUDPVRIWKHVDPHSHHUJURXSFRPSDQLHVXVHGIRUH[HFXWLYHFRPSHQVDWLRQGHFLVLRQPDNLQJUHFHQWWUHQGVLQ GLUHFWRUFRPSHQVDWLRQDQGUHODWHGFRUSRUDWHJRYHUQDQFHEHVWSUDFWLFHV</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/LPLWRQ'LUHFWRU&amp;RPSHQVDWLRQ</w:t>
      </w:r>
    </w:p>
    <w:p>
      <w:pPr>
        <w:spacing w:after="0" w:line="191" w:lineRule="exact"/>
        <w:rPr>
          <w:sz w:val="20"/>
          <w:szCs w:val="20"/>
          <w:color w:val="auto"/>
        </w:rPr>
      </w:pPr>
    </w:p>
    <w:p>
      <w:pPr>
        <w:ind w:right="40"/>
        <w:spacing w:after="0" w:line="335" w:lineRule="auto"/>
        <w:rPr>
          <w:sz w:val="20"/>
          <w:szCs w:val="20"/>
          <w:color w:val="auto"/>
        </w:rPr>
      </w:pPr>
      <w:r>
        <w:rPr>
          <w:rFonts w:ascii="PMingLiU" w:cs="PMingLiU" w:eastAsia="PMingLiU" w:hAnsi="PMingLiU"/>
          <w:sz w:val="15"/>
          <w:szCs w:val="15"/>
          <w:color w:val="auto"/>
        </w:rPr>
        <w:t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w:t>
      </w:r>
    </w:p>
    <w:p>
      <w:pPr>
        <w:spacing w:after="0" w:line="159"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&amp;DVK&amp;RPSHQVDWLRQ</w:t>
      </w:r>
    </w:p>
    <w:p>
      <w:pPr>
        <w:spacing w:after="0" w:line="191" w:lineRule="exact"/>
        <w:rPr>
          <w:sz w:val="20"/>
          <w:szCs w:val="20"/>
          <w:color w:val="auto"/>
        </w:rPr>
      </w:pPr>
    </w:p>
    <w:p>
      <w:pPr>
        <w:ind w:right="780"/>
        <w:spacing w:after="0" w:line="443" w:lineRule="auto"/>
        <w:rPr>
          <w:sz w:val="20"/>
          <w:szCs w:val="20"/>
          <w:color w:val="auto"/>
        </w:rPr>
      </w:pPr>
      <w:r>
        <w:rPr>
          <w:rFonts w:ascii="PMingLiU" w:cs="PMingLiU" w:eastAsia="PMingLiU" w:hAnsi="PMingLiU"/>
          <w:sz w:val="14"/>
          <w:szCs w:val="14"/>
          <w:color w:val="auto"/>
        </w:rPr>
        <w:t>3XUVXDQWWRRXU'LUHFWRU&amp;RPSHQVDWLRQ3ROLF\HDFKQRQHPSOR\HHGLUHFWRUZDVHQWLWOHGWRUHFHLYHWKHIROORZLQJFDVK FRPSHQVDWLRQRQDTXDUWHUO\EDVLVDVDSSOLFDEOHIRU</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68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'LUHFWRU3RVLWLRQV</w:t>
            </w:r>
          </w:p>
        </w:tc>
        <w:tc>
          <w:tcPr>
            <w:tcW w:w="3240" w:type="dxa"/>
            <w:vAlign w:val="bottom"/>
            <w:gridSpan w:val="2"/>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$QQXDO&amp;DVK&amp;RPSHQVDWLRQ</w:t>
            </w:r>
          </w:p>
        </w:tc>
      </w:tr>
      <w:tr>
        <w:trPr>
          <w:trHeight w:val="64"/>
        </w:trPr>
        <w:tc>
          <w:tcPr>
            <w:tcW w:w="6840" w:type="dxa"/>
            <w:vAlign w:val="bottom"/>
            <w:shd w:val="clear" w:color="auto" w:fill="000046"/>
          </w:tcPr>
          <w:p>
            <w:pPr>
              <w:spacing w:after="0"/>
              <w:rPr>
                <w:sz w:val="5"/>
                <w:szCs w:val="5"/>
                <w:color w:val="auto"/>
              </w:rPr>
            </w:pPr>
          </w:p>
        </w:tc>
        <w:tc>
          <w:tcPr>
            <w:tcW w:w="3240" w:type="dxa"/>
            <w:vAlign w:val="bottom"/>
            <w:gridSpan w:val="2"/>
            <w:shd w:val="clear" w:color="auto" w:fill="000046"/>
          </w:tcPr>
          <w:p>
            <w:pPr>
              <w:spacing w:after="0"/>
              <w:rPr>
                <w:sz w:val="5"/>
                <w:szCs w:val="5"/>
                <w:color w:val="auto"/>
              </w:rPr>
            </w:pPr>
          </w:p>
        </w:tc>
      </w:tr>
      <w:tr>
        <w:trPr>
          <w:trHeight w:val="293"/>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$OO,QGHSHQGHQW'LUHFWRUV</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/,'LQDGGLWLRQWR,QGHSHQGHQW'LUHFWRUPHPEHUVKLSUHWDLQHU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&amp;KDLURIWKH%RDUG</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$XGLW&amp;RPPLWWHH0HPEHU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$XGLW&amp;RPPLWWHH&amp;KDLULQDGGLWLRQWRFRPPLWWHHPHPEHUVKLSUHWDLQHU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&amp;RPSHQVDWLRQ&amp;RPPLWWHH0HPEHU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w w:val="97"/>
              </w:rPr>
              <w:t>&amp;RPSHQVDWLRQ&amp;RPPLWWHH&amp;KDLULQDGGLWLRQWRFRPPLWWHHPHPEHUVKLSUHWDLQHU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1RPLQDWLQJ&amp;RPPLWWHH0HPEHU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3240" w:type="dxa"/>
            <w:vAlign w:val="bottom"/>
            <w:tcBorders>
              <w:bottom w:val="single" w:sz="8" w:color="4454A7"/>
            </w:tcBorders>
            <w:gridSpan w:val="2"/>
          </w:tcPr>
          <w:p>
            <w:pPr>
              <w:spacing w:after="0"/>
              <w:rPr>
                <w:sz w:val="5"/>
                <w:szCs w:val="5"/>
                <w:color w:val="auto"/>
              </w:rPr>
            </w:pPr>
          </w:p>
        </w:tc>
      </w:tr>
      <w:tr>
        <w:trPr>
          <w:trHeight w:val="275"/>
        </w:trPr>
        <w:tc>
          <w:tcPr>
            <w:tcW w:w="6840" w:type="dxa"/>
            <w:vAlign w:val="bottom"/>
          </w:tcPr>
          <w:p>
            <w:pPr>
              <w:ind w:left="100"/>
              <w:spacing w:after="0"/>
              <w:rPr>
                <w:sz w:val="20"/>
                <w:szCs w:val="20"/>
                <w:color w:val="auto"/>
              </w:rPr>
            </w:pPr>
            <w:r>
              <w:rPr>
                <w:rFonts w:ascii="PMingLiU" w:cs="PMingLiU" w:eastAsia="PMingLiU" w:hAnsi="PMingLiU"/>
                <w:sz w:val="16"/>
                <w:szCs w:val="16"/>
                <w:b w:val="1"/>
                <w:bCs w:val="1"/>
                <w:color w:val="5C004D"/>
              </w:rPr>
              <w:t>1RPLQDWLQJ&amp;RPPLWWHH&amp;KDLULQDGGLWLRQWRFRPPLWWHHPHPEHUVKLSUHWDLQHU</w:t>
            </w:r>
          </w:p>
        </w:tc>
        <w:tc>
          <w:tcPr>
            <w:tcW w:w="32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65"/>
        </w:trPr>
        <w:tc>
          <w:tcPr>
            <w:tcW w:w="6840" w:type="dxa"/>
            <w:vAlign w:val="bottom"/>
            <w:tcBorders>
              <w:bottom w:val="single" w:sz="8" w:color="4454A7"/>
            </w:tcBorders>
          </w:tcPr>
          <w:p>
            <w:pPr>
              <w:spacing w:after="0"/>
              <w:rPr>
                <w:sz w:val="5"/>
                <w:szCs w:val="5"/>
                <w:color w:val="auto"/>
              </w:rPr>
            </w:pPr>
          </w:p>
        </w:tc>
        <w:tc>
          <w:tcPr>
            <w:tcW w:w="2800" w:type="dxa"/>
            <w:vAlign w:val="bottom"/>
            <w:tcBorders>
              <w:bottom w:val="single" w:sz="8" w:color="4454A7"/>
            </w:tcBorders>
          </w:tcPr>
          <w:p>
            <w:pPr>
              <w:spacing w:after="0"/>
              <w:rPr>
                <w:sz w:val="5"/>
                <w:szCs w:val="5"/>
                <w:color w:val="auto"/>
              </w:rPr>
            </w:pPr>
          </w:p>
        </w:tc>
        <w:tc>
          <w:tcPr>
            <w:tcW w:w="440" w:type="dxa"/>
            <w:vAlign w:val="bottom"/>
            <w:tcBorders>
              <w:bottom w:val="single" w:sz="8" w:color="4454A7"/>
            </w:tcBorders>
          </w:tcPr>
          <w:p>
            <w:pPr>
              <w:spacing w:after="0"/>
              <w:rPr>
                <w:sz w:val="5"/>
                <w:szCs w:val="5"/>
                <w:color w:val="auto"/>
              </w:rPr>
            </w:pPr>
          </w:p>
        </w:tc>
      </w:tr>
      <w:tr>
        <w:trPr>
          <w:trHeight w:val="733"/>
        </w:trPr>
        <w:tc>
          <w:tcPr>
            <w:tcW w:w="6840" w:type="dxa"/>
            <w:vAlign w:val="bottom"/>
          </w:tcPr>
          <w:p>
            <w:pPr>
              <w:spacing w:after="0"/>
              <w:rPr>
                <w:sz w:val="24"/>
                <w:szCs w:val="24"/>
                <w:color w:val="auto"/>
              </w:rPr>
            </w:pPr>
          </w:p>
        </w:tc>
        <w:tc>
          <w:tcPr>
            <w:tcW w:w="2800" w:type="dxa"/>
            <w:vAlign w:val="bottom"/>
          </w:tcPr>
          <w:p>
            <w:pPr>
              <w:jc w:val="right"/>
              <w:ind w:right="80"/>
              <w:spacing w:after="0"/>
              <w:rPr>
                <w:sz w:val="20"/>
                <w:szCs w:val="20"/>
                <w:color w:val="auto"/>
              </w:rPr>
            </w:pPr>
            <w:r>
              <w:rPr>
                <w:rFonts w:ascii="PMingLiU" w:cs="PMingLiU" w:eastAsia="PMingLiU" w:hAnsi="PMingLiU"/>
                <w:sz w:val="16"/>
                <w:szCs w:val="16"/>
                <w:color w:val="2D2C36"/>
              </w:rPr>
              <w:t>352;&lt;67$7(0(17</w:t>
            </w:r>
          </w:p>
        </w:tc>
        <w:tc>
          <w:tcPr>
            <w:tcW w:w="440" w:type="dxa"/>
            <w:vAlign w:val="bottom"/>
          </w:tcPr>
          <w:p>
            <w:pPr>
              <w:jc w:val="right"/>
              <w:spacing w:after="0"/>
              <w:rPr>
                <w:sz w:val="20"/>
                <w:szCs w:val="20"/>
                <w:color w:val="auto"/>
              </w:rPr>
            </w:pPr>
            <w:r>
              <w:rPr>
                <w:rFonts w:ascii="PMingLiU" w:cs="PMingLiU" w:eastAsia="PMingLiU" w:hAnsi="PMingLiU"/>
                <w:sz w:val="20"/>
                <w:szCs w:val="20"/>
                <w:b w:val="1"/>
                <w:bCs w:val="1"/>
                <w:color w:val="5C004D"/>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-189865</wp:posOffset>
            </wp:positionV>
            <wp:extent cx="1386840" cy="2336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ectPr>
          <w:pgSz w:w="11880" w:h="15479" w:orient="portrait"/>
          <w:cols w:equalWidth="0" w:num="1">
            <w:col w:w="10100"/>
          </w:cols>
          <w:pgMar w:left="900" w:top="1440" w:right="879" w:bottom="0" w:gutter="0" w:footer="0" w:header="0"/>
        </w:sectPr>
      </w:pPr>
    </w:p>
    <w:bookmarkStart w:id="29" w:name="page30"/>
    <w:bookmarkEnd w:id="2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33525" cy="41910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3525" cy="419100"/>
                        </a:xfrm>
                        <a:prstGeom prst="rect">
                          <a:avLst/>
                        </a:prstGeom>
                        <a:solidFill>
                          <a:srgbClr val="5C004D"/>
                        </a:solidFill>
                      </wps:spPr>
                      <wps:bodyPr/>
                    </wps:wsp>
                  </a:graphicData>
                </a:graphic>
              </wp:anchor>
            </w:drawing>
          </mc:Choice>
          <mc:Fallback>
            <w:pict>
              <v:rect id="Shape 233" o:spid="_x0000_s1258" style="position:absolute;margin-left:44.85pt;margin-top:0.1pt;width:12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',5(&amp;725&amp;203(16$7,21</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642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'LUHFWRU3RVLWLRQV</w:t>
            </w:r>
          </w:p>
        </w:tc>
        <w:tc>
          <w:tcPr>
            <w:tcW w:w="36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$QQXDO&amp;DVK&amp;RPSHQVDWLRQ</w:t>
            </w:r>
          </w:p>
        </w:tc>
      </w:tr>
      <w:tr>
        <w:trPr>
          <w:trHeight w:val="66"/>
        </w:trPr>
        <w:tc>
          <w:tcPr>
            <w:tcW w:w="6420" w:type="dxa"/>
            <w:vAlign w:val="bottom"/>
            <w:shd w:val="clear" w:color="auto" w:fill="000046"/>
          </w:tcPr>
          <w:p>
            <w:pPr>
              <w:spacing w:after="0"/>
              <w:rPr>
                <w:sz w:val="5"/>
                <w:szCs w:val="5"/>
                <w:color w:val="auto"/>
              </w:rPr>
            </w:pPr>
          </w:p>
        </w:tc>
        <w:tc>
          <w:tcPr>
            <w:tcW w:w="3660" w:type="dxa"/>
            <w:vAlign w:val="bottom"/>
            <w:shd w:val="clear" w:color="auto" w:fill="000046"/>
          </w:tcPr>
          <w:p>
            <w:pPr>
              <w:spacing w:after="0"/>
              <w:rPr>
                <w:sz w:val="5"/>
                <w:szCs w:val="5"/>
                <w:color w:val="auto"/>
              </w:rPr>
            </w:pPr>
          </w:p>
        </w:tc>
      </w:tr>
      <w:tr>
        <w:trPr>
          <w:trHeight w:val="290"/>
        </w:trPr>
        <w:tc>
          <w:tcPr>
            <w:tcW w:w="6420" w:type="dxa"/>
            <w:vAlign w:val="bottom"/>
          </w:tcPr>
          <w:p>
            <w:pPr>
              <w:ind w:left="100"/>
              <w:spacing w:after="0"/>
              <w:rPr>
                <w:sz w:val="20"/>
                <w:szCs w:val="20"/>
                <w:color w:val="auto"/>
              </w:rPr>
            </w:pPr>
            <w:r>
              <w:rPr>
                <w:rFonts w:ascii="PMingLiU" w:cs="PMingLiU" w:eastAsia="PMingLiU" w:hAnsi="PMingLiU"/>
                <w:sz w:val="16"/>
                <w:szCs w:val="16"/>
                <w:b w:val="1"/>
                <w:bCs w:val="1"/>
                <w:color w:val="5C004D"/>
              </w:rPr>
              <w:t>60&amp;0HPEHU</w:t>
            </w:r>
          </w:p>
        </w:tc>
        <w:tc>
          <w:tcPr>
            <w:tcW w:w="36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65"/>
        </w:trPr>
        <w:tc>
          <w:tcPr>
            <w:tcW w:w="6420" w:type="dxa"/>
            <w:vAlign w:val="bottom"/>
            <w:tcBorders>
              <w:bottom w:val="single" w:sz="8" w:color="4454A7"/>
            </w:tcBorders>
          </w:tcPr>
          <w:p>
            <w:pPr>
              <w:spacing w:after="0"/>
              <w:rPr>
                <w:sz w:val="5"/>
                <w:szCs w:val="5"/>
                <w:color w:val="auto"/>
              </w:rPr>
            </w:pPr>
          </w:p>
        </w:tc>
        <w:tc>
          <w:tcPr>
            <w:tcW w:w="3660" w:type="dxa"/>
            <w:vAlign w:val="bottom"/>
            <w:tcBorders>
              <w:bottom w:val="single" w:sz="8" w:color="4454A7"/>
            </w:tcBorders>
          </w:tcPr>
          <w:p>
            <w:pPr>
              <w:spacing w:after="0"/>
              <w:rPr>
                <w:sz w:val="5"/>
                <w:szCs w:val="5"/>
                <w:color w:val="auto"/>
              </w:rPr>
            </w:pPr>
          </w:p>
        </w:tc>
      </w:tr>
      <w:tr>
        <w:trPr>
          <w:trHeight w:val="275"/>
        </w:trPr>
        <w:tc>
          <w:tcPr>
            <w:tcW w:w="6420" w:type="dxa"/>
            <w:vAlign w:val="bottom"/>
          </w:tcPr>
          <w:p>
            <w:pPr>
              <w:ind w:left="100"/>
              <w:spacing w:after="0"/>
              <w:rPr>
                <w:sz w:val="20"/>
                <w:szCs w:val="20"/>
                <w:color w:val="auto"/>
              </w:rPr>
            </w:pPr>
            <w:r>
              <w:rPr>
                <w:rFonts w:ascii="PMingLiU" w:cs="PMingLiU" w:eastAsia="PMingLiU" w:hAnsi="PMingLiU"/>
                <w:sz w:val="16"/>
                <w:szCs w:val="16"/>
                <w:b w:val="1"/>
                <w:bCs w:val="1"/>
                <w:color w:val="5C004D"/>
              </w:rPr>
              <w:t>60&amp;&amp;KDLULQDGGLWLRQWRFRPPLWWHHPHPEHUVKLSUHWDLQHU</w:t>
            </w:r>
          </w:p>
        </w:tc>
        <w:tc>
          <w:tcPr>
            <w:tcW w:w="36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65"/>
        </w:trPr>
        <w:tc>
          <w:tcPr>
            <w:tcW w:w="6420" w:type="dxa"/>
            <w:vAlign w:val="bottom"/>
            <w:tcBorders>
              <w:bottom w:val="single" w:sz="8" w:color="4454A7"/>
            </w:tcBorders>
          </w:tcPr>
          <w:p>
            <w:pPr>
              <w:spacing w:after="0"/>
              <w:rPr>
                <w:sz w:val="5"/>
                <w:szCs w:val="5"/>
                <w:color w:val="auto"/>
              </w:rPr>
            </w:pPr>
          </w:p>
        </w:tc>
        <w:tc>
          <w:tcPr>
            <w:tcW w:w="3660" w:type="dxa"/>
            <w:vAlign w:val="bottom"/>
            <w:tcBorders>
              <w:bottom w:val="single" w:sz="8" w:color="4454A7"/>
            </w:tcBorders>
          </w:tcPr>
          <w:p>
            <w:pPr>
              <w:spacing w:after="0"/>
              <w:rPr>
                <w:sz w:val="5"/>
                <w:szCs w:val="5"/>
                <w:color w:val="auto"/>
              </w:rPr>
            </w:pPr>
          </w:p>
        </w:tc>
      </w:tr>
      <w:tr>
        <w:trPr>
          <w:trHeight w:val="275"/>
        </w:trPr>
        <w:tc>
          <w:tcPr>
            <w:tcW w:w="6420" w:type="dxa"/>
            <w:vAlign w:val="bottom"/>
          </w:tcPr>
          <w:p>
            <w:pPr>
              <w:ind w:left="100"/>
              <w:spacing w:after="0"/>
              <w:rPr>
                <w:sz w:val="20"/>
                <w:szCs w:val="20"/>
                <w:color w:val="auto"/>
              </w:rPr>
            </w:pPr>
            <w:r>
              <w:rPr>
                <w:rFonts w:ascii="PMingLiU" w:cs="PMingLiU" w:eastAsia="PMingLiU" w:hAnsi="PMingLiU"/>
                <w:sz w:val="16"/>
                <w:szCs w:val="16"/>
                <w:b w:val="1"/>
                <w:bCs w:val="1"/>
                <w:color w:val="5C004D"/>
              </w:rPr>
              <w:t>7UDQVDFWLRQ&amp;RPPLWWHH0HPEHU</w:t>
            </w:r>
          </w:p>
        </w:tc>
        <w:tc>
          <w:tcPr>
            <w:tcW w:w="3660" w:type="dxa"/>
            <w:vAlign w:val="bottom"/>
          </w:tcPr>
          <w:p>
            <w:pPr>
              <w:jc w:val="right"/>
              <w:ind w:right="40"/>
              <w:spacing w:after="0"/>
              <w:rPr>
                <w:sz w:val="20"/>
                <w:szCs w:val="20"/>
                <w:color w:val="auto"/>
              </w:rPr>
            </w:pPr>
            <w:r>
              <w:rPr>
                <w:rFonts w:ascii="PMingLiU" w:cs="PMingLiU" w:eastAsia="PMingLiU" w:hAnsi="PMingLiU"/>
                <w:sz w:val="16"/>
                <w:szCs w:val="16"/>
                <w:color w:val="auto"/>
              </w:rPr>
              <w:t>SHUPHHWLQJXSWR</w:t>
            </w:r>
          </w:p>
        </w:tc>
      </w:tr>
      <w:tr>
        <w:trPr>
          <w:trHeight w:val="65"/>
        </w:trPr>
        <w:tc>
          <w:tcPr>
            <w:tcW w:w="6420" w:type="dxa"/>
            <w:vAlign w:val="bottom"/>
            <w:tcBorders>
              <w:bottom w:val="single" w:sz="8" w:color="4454A7"/>
            </w:tcBorders>
          </w:tcPr>
          <w:p>
            <w:pPr>
              <w:spacing w:after="0"/>
              <w:rPr>
                <w:sz w:val="5"/>
                <w:szCs w:val="5"/>
                <w:color w:val="auto"/>
              </w:rPr>
            </w:pPr>
          </w:p>
        </w:tc>
        <w:tc>
          <w:tcPr>
            <w:tcW w:w="3660" w:type="dxa"/>
            <w:vAlign w:val="bottom"/>
            <w:tcBorders>
              <w:bottom w:val="single" w:sz="8" w:color="4454A7"/>
            </w:tcBorders>
          </w:tcPr>
          <w:p>
            <w:pPr>
              <w:spacing w:after="0"/>
              <w:rPr>
                <w:sz w:val="5"/>
                <w:szCs w:val="5"/>
                <w:color w:val="auto"/>
              </w:rPr>
            </w:pPr>
          </w:p>
        </w:tc>
      </w:tr>
      <w:tr>
        <w:trPr>
          <w:trHeight w:val="275"/>
        </w:trPr>
        <w:tc>
          <w:tcPr>
            <w:tcW w:w="6420" w:type="dxa"/>
            <w:vAlign w:val="bottom"/>
          </w:tcPr>
          <w:p>
            <w:pPr>
              <w:ind w:left="100"/>
              <w:spacing w:after="0"/>
              <w:rPr>
                <w:sz w:val="20"/>
                <w:szCs w:val="20"/>
                <w:color w:val="auto"/>
              </w:rPr>
            </w:pPr>
            <w:r>
              <w:rPr>
                <w:rFonts w:ascii="PMingLiU" w:cs="PMingLiU" w:eastAsia="PMingLiU" w:hAnsi="PMingLiU"/>
                <w:sz w:val="16"/>
                <w:szCs w:val="16"/>
                <w:b w:val="1"/>
                <w:bCs w:val="1"/>
                <w:color w:val="5C004D"/>
                <w:w w:val="93"/>
              </w:rPr>
              <w:t>7UDQVDFWLRQ&amp;RPPLWWHH&amp;KDLULQDGGLWLRQWRFRPPLWWHHPHPEHUVKLSUHWDLQHU</w:t>
            </w:r>
          </w:p>
        </w:tc>
        <w:tc>
          <w:tcPr>
            <w:tcW w:w="3660" w:type="dxa"/>
            <w:vAlign w:val="bottom"/>
          </w:tcPr>
          <w:p>
            <w:pPr>
              <w:jc w:val="right"/>
              <w:ind w:right="40"/>
              <w:spacing w:after="0"/>
              <w:rPr>
                <w:sz w:val="20"/>
                <w:szCs w:val="20"/>
                <w:color w:val="auto"/>
              </w:rPr>
            </w:pPr>
            <w:r>
              <w:rPr>
                <w:rFonts w:ascii="PMingLiU" w:cs="PMingLiU" w:eastAsia="PMingLiU" w:hAnsi="PMingLiU"/>
                <w:sz w:val="16"/>
                <w:szCs w:val="16"/>
                <w:color w:val="auto"/>
              </w:rPr>
              <w:t>SHUPHHWLQJXSWRSHU\HDU</w:t>
            </w:r>
          </w:p>
        </w:tc>
      </w:tr>
      <w:tr>
        <w:trPr>
          <w:trHeight w:val="57"/>
        </w:trPr>
        <w:tc>
          <w:tcPr>
            <w:tcW w:w="6420" w:type="dxa"/>
            <w:vAlign w:val="bottom"/>
            <w:tcBorders>
              <w:bottom w:val="single" w:sz="8" w:color="5C004D"/>
            </w:tcBorders>
          </w:tcPr>
          <w:p>
            <w:pPr>
              <w:spacing w:after="0"/>
              <w:rPr>
                <w:sz w:val="4"/>
                <w:szCs w:val="4"/>
                <w:color w:val="auto"/>
              </w:rPr>
            </w:pPr>
          </w:p>
        </w:tc>
        <w:tc>
          <w:tcPr>
            <w:tcW w:w="3660" w:type="dxa"/>
            <w:vAlign w:val="bottom"/>
            <w:tcBorders>
              <w:bottom w:val="single" w:sz="8" w:color="5C004D"/>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-932815</wp:posOffset>
            </wp:positionV>
            <wp:extent cx="642620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3">
                      <a:extLst>
                        <a:ext uri="{28A0092B-C50C-407E-A947-70E740481C1C}"/>
                      </a:extLst>
                    </a:blip>
                    <a:srcRect/>
                    <a:stretch>
                      <a:fillRect/>
                    </a:stretch>
                  </pic:blipFill>
                  <pic:spPr bwMode="auto">
                    <a:xfrm>
                      <a:off x="0" y="0"/>
                      <a:ext cx="6426200" cy="25400"/>
                    </a:xfrm>
                    <a:prstGeom prst="rect">
                      <a:avLst/>
                    </a:prstGeom>
                    <a:noFill/>
                  </pic:spPr>
                </pic:pic>
              </a:graphicData>
            </a:graphic>
          </wp:anchor>
        </w:drawing>
      </w:r>
    </w:p>
    <w:p>
      <w:pPr>
        <w:spacing w:after="0" w:line="260" w:lineRule="exact"/>
        <w:rPr>
          <w:sz w:val="20"/>
          <w:szCs w:val="20"/>
          <w:color w:val="auto"/>
        </w:rPr>
      </w:pPr>
    </w:p>
    <w:p>
      <w:pPr>
        <w:ind w:right="140"/>
        <w:spacing w:after="0" w:line="376" w:lineRule="auto"/>
        <w:rPr>
          <w:sz w:val="20"/>
          <w:szCs w:val="20"/>
          <w:color w:val="auto"/>
        </w:rPr>
      </w:pPr>
      <w:r>
        <w:rPr>
          <w:rFonts w:ascii="PMingLiU" w:cs="PMingLiU" w:eastAsia="PMingLiU" w:hAnsi="PMingLiU"/>
          <w:sz w:val="14"/>
          <w:szCs w:val="14"/>
          <w:color w:val="auto"/>
        </w:rPr>
        <w:t>7KHDGGLWLRQDOFDVKFRPSHQVDWLRQGHVFULEHGDERYHIRUWKHQRQHPSOR\HHGLUHFWRU¶VVHUYLFHRQRXUFRPPLWWHHVRWKHUWKDQRXU 7UDQVDFWLRQ&amp;RPPLWWHHLVSDLGLQIRXUHTXDOTXDUWHUO\LQVWDOOPHQWVHDUQHGXSRQWKHFRPSOHWLRQRIVHUYLFHHDFKFDOHQGDU TXDUWHU7KHDGGLWLRQDOFDVKFRPSHQVDWLRQIRUWKHQRQHPSOR\HHGLUHFWRU¶VVHUYLFHRQRXU7UDQVDFWLRQ&amp;RPPLWWHHLVSDLGLQ IRXUTXDUWHUO\LQVWDOOPHQWVHDUQHGXSRQWKHFRPSOHWLRQRIVHUYLFHVHDFKFDOHQGDUTXDUWHU</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(TXLW\$ZDUGV</w:t>
      </w:r>
    </w:p>
    <w:p>
      <w:pPr>
        <w:spacing w:after="0" w:line="191" w:lineRule="exact"/>
        <w:rPr>
          <w:sz w:val="20"/>
          <w:szCs w:val="20"/>
          <w:color w:val="auto"/>
        </w:rPr>
      </w:pPr>
    </w:p>
    <w:p>
      <w:pPr>
        <w:ind w:right="100"/>
        <w:spacing w:after="0" w:line="332" w:lineRule="auto"/>
        <w:rPr>
          <w:sz w:val="20"/>
          <w:szCs w:val="20"/>
          <w:color w:val="auto"/>
        </w:rPr>
      </w:pPr>
      <w:r>
        <w:rPr>
          <w:rFonts w:ascii="PMingLiU" w:cs="PMingLiU" w:eastAsia="PMingLiU" w:hAnsi="PMingLiU"/>
          <w:sz w:val="15"/>
          <w:szCs w:val="15"/>
          <w:color w:val="auto"/>
        </w:rPr>
        <w:t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amp;RPSDQ\¶VGD\DYHUDJHVKDUHSULFHHQGLQJRQWKHJUDQWGDWH</w:t>
      </w:r>
    </w:p>
    <w:p>
      <w:pPr>
        <w:spacing w:after="0" w:line="114" w:lineRule="exact"/>
        <w:rPr>
          <w:sz w:val="20"/>
          <w:szCs w:val="20"/>
          <w:color w:val="auto"/>
        </w:rPr>
      </w:pPr>
    </w:p>
    <w:p>
      <w:pPr>
        <w:spacing w:after="0" w:line="353" w:lineRule="auto"/>
        <w:rPr>
          <w:sz w:val="20"/>
          <w:szCs w:val="20"/>
          <w:color w:val="auto"/>
        </w:rPr>
      </w:pPr>
      <w:r>
        <w:rPr>
          <w:rFonts w:ascii="PMingLiU" w:cs="PMingLiU" w:eastAsia="PMingLiU" w:hAnsi="PMingLiU"/>
          <w:sz w:val="14"/>
          <w:szCs w:val="14"/>
          <w:color w:val="auto"/>
        </w:rPr>
        <w:t>7KHJUDQWGDWHRIDXWRPDWLFFRQWLQXLQJDQQXDOJUDQWVLVWKHGDWHRIRXU$*0DQGWKHJUDQWGDWHRIDXWRPDWLFSURUDWHGDQQXDO JUDQWVLVWKHVHFRQGWUDGLQJGD\IROORZLQJWKHILOLQJGDWHRIRXUQH[WTXDUWHUO\RUDQQXDOUHSRUWILOHGXQGHUWKH([FKDQJH$FWWKDW RFFXUVDIWHUWKHGDWHWKHGLUHFWRUILUVWMRLQHGRXU%RDUG(DFKDXWRPDWLFFRQWLQXLQJDQQXDOJUDQWYHVWVLQIXOORQWKHILUVW DQQLYHUVDU\RIRXU$*0LQWKH\HDUDQDZDUGLVJUDQWHGDQGHDFKDXWRPDWLFSURUDWHGDQQXDOJUDQWYHVWVLQIXOORQWKHILUVW DQQLYHUVDU\RIRXU$*0KHOGSULRUWRWKHGLUHFWRU¶VLQLWLDOHOHFWLRQRUDSSRLQWPHQWVXEMHFWLQHDFKFDVHWRWKHQRQHPSOR\HH GLUHFWRU¶VFRQWLQXRXVVHUYLFHWKURXJKVXFKGDWHV+RZHYHULIDQRQHPSOR\HHGLUHFWRUGRHVQRWVWDQGIRUUHHOHFWLRQDWRXU $*0LQWKH\HDULQZKLFKKLVRUKHUWHUPH[SLUHVRURWKHUZLVHUHVLJQVHIIHFWLYHDWRXU$*0DQGLQHLWKHUFDVHWKHQRQ HPSOR\HHGLUHFWRU¶VFRQWLQXRXVVHUYLFHWHUPLQDWHVDWVXFKPHHWLQJWKHQHIIHFWLYHDVRIWKHGDWHRIVXFKPHHWLQJDQ\ XQYHVWHGSRUWLRQRIWKHDQQXDOJUDQWZLOOEHFRPHYHVWHGLQIXOO7KHRWKHUWHUPVDQGFRQGLWLRQVDSSOLFDEOHWRHTXLW\DZDUGV PDGHWRRXUQRQHPSOR\HHGLUHFWRUVDUHLQFOXGHGEHORZXQGHUWKHKHDGLQJ³</w:t>
      </w:r>
      <w:r>
        <w:rPr>
          <w:rFonts w:ascii="PMingLiU" w:cs="PMingLiU" w:eastAsia="PMingLiU" w:hAnsi="PMingLiU"/>
          <w:sz w:val="14"/>
          <w:szCs w:val="14"/>
          <w:i w:val="1"/>
          <w:iCs w:val="1"/>
          <w:color w:val="auto"/>
        </w:rPr>
        <w:t>7;0:?536,49(:054!2(49</w:t>
      </w:r>
      <w:r>
        <w:rPr>
          <w:rFonts w:ascii="PMingLiU" w:cs="PMingLiU" w:eastAsia="PMingLiU" w:hAnsi="PMingLiU"/>
          <w:sz w:val="14"/>
          <w:szCs w:val="14"/>
          <w:color w:val="auto"/>
        </w:rPr>
        <w:t>´</w:t>
      </w:r>
    </w:p>
    <w:p>
      <w:pPr>
        <w:spacing w:after="0" w:line="153"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7UDYHODQG2WKHU5HDVRQDEOH([SHQVHV</w:t>
      </w:r>
    </w:p>
    <w:p>
      <w:pPr>
        <w:spacing w:after="0" w:line="191" w:lineRule="exact"/>
        <w:rPr>
          <w:sz w:val="20"/>
          <w:szCs w:val="20"/>
          <w:color w:val="auto"/>
        </w:rPr>
      </w:pPr>
    </w:p>
    <w:p>
      <w:pPr>
        <w:ind w:right="180"/>
        <w:spacing w:after="0" w:line="367" w:lineRule="auto"/>
        <w:rPr>
          <w:sz w:val="20"/>
          <w:szCs w:val="20"/>
          <w:color w:val="auto"/>
        </w:rPr>
      </w:pPr>
      <w:r>
        <w:rPr>
          <w:rFonts w:ascii="PMingLiU" w:cs="PMingLiU" w:eastAsia="PMingLiU" w:hAnsi="PMingLiU"/>
          <w:sz w:val="14"/>
          <w:szCs w:val="14"/>
          <w:color w:val="auto"/>
        </w:rPr>
        <w:t>,QDGGLWLRQRXUQRQHPSOR\HHGLUHFWRUVDUHUHLPEXUVHGIRUWUDYHODQGRWKHUUHDVRQDEOHH[SHQVHVLQFXUUHGLQDWWHQGLQJRXU %RDUGRUFRPPLWWHHPHHWLQJVDVDUHRXUHPSOR\HHVZKRVHUYHDVGLUHFWRUV,IDQ\UHLPEXUVHPHQWSD\PHQWLVVXEMHFWWRWD[ LPSRVHGE\WKH,ULVK5HYHQXH&amp;RPPLVVLRQHUVHDFKQRQHPSOR\HHGLUHFWRULVDOVRHQWLWOHGWRDWD[HTXDOL]DWLRQSD\PHQWLQ RUGHUWRDOORZWKHPWRUHWDLQWKHIXOOUHLPEXUVHPHQWSD\PHQW7KHUHZHUHQRVXFKWD[HTXDOL]DWLRQSD\PHQWVPDGHWRDQ\RI RXUQRQHPSOR\HHGLUHFWRUVZLWKUHVSHFWWRDQ\UHLPEXUVHPHQWSD\PHQWVLQ</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'LUHFWRUV&amp;RQWLQXLQJ(GXFDWLRQ</w:t>
      </w:r>
    </w:p>
    <w:p>
      <w:pPr>
        <w:spacing w:after="0" w:line="219" w:lineRule="exact"/>
        <w:rPr>
          <w:sz w:val="20"/>
          <w:szCs w:val="20"/>
          <w:color w:val="auto"/>
        </w:rPr>
      </w:pPr>
    </w:p>
    <w:p>
      <w:pPr>
        <w:ind w:right="200"/>
        <w:spacing w:after="0" w:line="376" w:lineRule="auto"/>
        <w:rPr>
          <w:sz w:val="20"/>
          <w:szCs w:val="20"/>
          <w:color w:val="auto"/>
        </w:rPr>
      </w:pPr>
      <w:r>
        <w:rPr>
          <w:rFonts w:ascii="PMingLiU" w:cs="PMingLiU" w:eastAsia="PMingLiU" w:hAnsi="PMingLiU"/>
          <w:sz w:val="14"/>
          <w:szCs w:val="14"/>
          <w:color w:val="auto"/>
        </w:rPr>
        <w:t>,QIXUWKHUDQFHRIRXURQJRLQJFRPPLWPHQWWRWKHFRQWLQXLQJHGXFDWLRQRIRXUGLUHFWRUVRXU1RPLQDWLQJ&amp;RPPLWWHHDGRSWHGD SROLF\IRUWKHUHLPEXUVHPHQWRIGLUHFWRUFRQWLQXLQJHGXFDWLRQ8QGHUWKLVSROLF\ZHZLOOSD\RUUHLPEXUVHHDFKGLUHFWRUIRU HQUROOPHQWIHHVDQGUHDVRQDEOHH[SHQVHVLQFXUUHGLQFRQQHFWLRQZLWKDWWHQGLQJDQGSDUWLFLSDWLQJHDFK\HDULQRQHGLUHFWRU FRQWLQXLQJHGXFDWLRQSURJUDPDQGLQRQHKHDOWKFDUHLQGXVWU\FRQWLQXLQJHGXFDWLRQSURJUDPHDFKVSRQVRUHGE\DQRXWVLGH SURYLGHU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1222375</wp:posOffset>
            </wp:positionV>
            <wp:extent cx="1389380" cy="2343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4">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30" w:name="page31"/>
    <w:bookmarkEnd w:id="30"/>
    <w:p>
      <w:pPr>
        <w:ind w:left="77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5436870</wp:posOffset>
                </wp:positionH>
                <wp:positionV relativeFrom="page">
                  <wp:posOffset>1270</wp:posOffset>
                </wp:positionV>
                <wp:extent cx="1533525" cy="41910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3525" cy="419100"/>
                        </a:xfrm>
                        <a:prstGeom prst="rect">
                          <a:avLst/>
                        </a:prstGeom>
                        <a:solidFill>
                          <a:srgbClr val="5C004D"/>
                        </a:solidFill>
                      </wps:spPr>
                      <wps:bodyPr/>
                    </wps:wsp>
                  </a:graphicData>
                </a:graphic>
              </wp:anchor>
            </w:drawing>
          </mc:Choice>
          <mc:Fallback>
            <w:pict>
              <v:rect id="Shape 236" o:spid="_x0000_s1261" style="position:absolute;margin-left:428.1pt;margin-top:0.1pt;width:12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',5(&amp;725&amp;203(16$7,21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6KDUH2ZQHUVKLS*XLGHOLQHVIRU'LUHFWRUV</w:t>
      </w:r>
    </w:p>
    <w:p>
      <w:pPr>
        <w:spacing w:after="0" w:line="219" w:lineRule="exact"/>
        <w:rPr>
          <w:sz w:val="20"/>
          <w:szCs w:val="20"/>
          <w:color w:val="auto"/>
        </w:rPr>
      </w:pPr>
    </w:p>
    <w:p>
      <w:pPr>
        <w:ind w:right="220"/>
        <w:spacing w:after="0" w:line="339" w:lineRule="auto"/>
        <w:rPr>
          <w:sz w:val="20"/>
          <w:szCs w:val="20"/>
          <w:color w:val="auto"/>
        </w:rPr>
      </w:pPr>
      <w:r>
        <w:rPr>
          <w:rFonts w:ascii="PMingLiU" w:cs="PMingLiU" w:eastAsia="PMingLiU" w:hAnsi="PMingLiU"/>
          <w:sz w:val="15"/>
          <w:szCs w:val="15"/>
          <w:color w:val="auto"/>
        </w:rPr>
        <w:t>:HPDLQWDLQVKDUHRZQHUVKLSJXLGHOLQHVIRURXUQRQHPSOR\HHGLUHFWRUVZKLFKUHTXLUHHDFKQRQHPSOR\HHGLUHFWRUWRRZQD QXPEHURIRXU&amp;RPSDQ\¶VRUGLQDU\VKDUHVZLWKDYDOXHHTXDOWRILYHWLPHVKLVRUKHUDQQXDOFDVKUHWDLQHUZLWKLQILYH\HDUVRI ILUVWEHFRPLQJVXEMHFWWRWKHJXLGHOLQHV$VRI$SULOHDFKQRQHPSOR\HHGLUHFWRUZDVLQFRPSOLDQFHZLWKKLVRUKHU VKDUHRZQHUVKLSUHTXLUHPHQWXQGHUWKHDSSOLFDEOHJXLGHOLQHVH[FHSWIRU'U/RYHZKRMRLQHGRXU%RDUGLQ'HFHPEHU DQGDFFRUGLQJO\PXVWDFKLHYHWKHJXLGHOLQHE\WKHODVWGD\RIWKHILVFDO\HDULQZKLFKKLVILIWK\HDUDQQLYHUVDU\RFFXUV</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32"/>
          <w:szCs w:val="32"/>
          <w:color w:val="5C004D"/>
        </w:rPr>
        <w:t>(TXLW\&amp;RPSHQVDWLRQ3ODQV</w:t>
      </w:r>
    </w:p>
    <w:p>
      <w:pPr>
        <w:spacing w:after="0" w:line="219" w:lineRule="exact"/>
        <w:rPr>
          <w:sz w:val="20"/>
          <w:szCs w:val="20"/>
          <w:color w:val="auto"/>
        </w:rPr>
      </w:pPr>
    </w:p>
    <w:p>
      <w:pPr>
        <w:ind w:right="60"/>
        <w:spacing w:after="0" w:line="345" w:lineRule="auto"/>
        <w:rPr>
          <w:sz w:val="20"/>
          <w:szCs w:val="20"/>
          <w:color w:val="auto"/>
        </w:rPr>
      </w:pPr>
      <w:r>
        <w:rPr>
          <w:rFonts w:ascii="PMingLiU" w:cs="PMingLiU" w:eastAsia="PMingLiU" w:hAnsi="PMingLiU"/>
          <w:sz w:val="15"/>
          <w:szCs w:val="15"/>
          <w:color w:val="auto"/>
        </w:rPr>
        <w:t>7KH'LUHFWRUV3ODQZKLFKZDVLQLWLDOO\DGRSWHGE\WKH-D]]3KDUPDFHXWLFDOV,QFERDUGRIGLUHFWRUVDQGDSSURYHGE\WKH -D]]3KDUPDFHXWLFDOV,QFVWRFNKROGHUVLQFRQQHFWLRQZLWKLWVLQLWLDOSXEOLFRIIHULQJZDVFRQWLQXHGDQGDVVXPHGE\XVXSRQ WKHFRQVXPPDWLRQRIWKH$]XU0HUJHU(TXLW\DZDUGVXQGHURXU'LUHFWRU&amp;RPSHQVDWLRQ3ROLF\GHVFULEHGDERYHDUHJUDQWHG XQGHUWKH'LUHFWRUV3ODQ</w:t>
      </w:r>
    </w:p>
    <w:p>
      <w:pPr>
        <w:spacing w:after="0" w:line="103" w:lineRule="exact"/>
        <w:rPr>
          <w:sz w:val="20"/>
          <w:szCs w:val="20"/>
          <w:color w:val="auto"/>
        </w:rPr>
      </w:pPr>
    </w:p>
    <w:p>
      <w:pPr>
        <w:ind w:right="100"/>
        <w:spacing w:after="0" w:line="352" w:lineRule="auto"/>
        <w:rPr>
          <w:sz w:val="20"/>
          <w:szCs w:val="20"/>
          <w:color w:val="auto"/>
        </w:rPr>
      </w:pPr>
      <w:r>
        <w:rPr>
          <w:rFonts w:ascii="PMingLiU" w:cs="PMingLiU" w:eastAsia="PMingLiU" w:hAnsi="PMingLiU"/>
          <w:sz w:val="14"/>
          <w:szCs w:val="14"/>
          <w:color w:val="auto"/>
        </w:rPr>
        <w:t>:LWKUHVSHFWWRRSWLRQVJUDQWHGXQGHUWKH'LUHFWRUV3ODQLIDQRQHPSOR\HHGLUHFWRU¶VVHUYLFHUHODWLRQVKLSZLWKXVRUDQ\ RIRXUDIILOLDWHVZKHWKHUDVDQRQHPSOR\HHGLUHFWRURUVXEVHTXHQWO\DVRXUHPSOR\HHGLUHFWRURUFRQVXOWDQWRUWKDWRIDQ\RI RXUDIILOLDWHVFHDVHVIRUDQ\UHDVRQRWKHUWKDQGLVDELOLW\RUGHDWKRUDIWHUDQ\PRQWKSHULRGIROORZLQJD&amp;,&amp;WKHRSWLRQHH PD\H[HUFLVHDQ\YHVWHGRSWLRQVIRUDSHULRGRIWKUHHPRQWKVIROORZLQJWKHFHVVDWLRQRIVHUYLFH,IVXFKRSWLRQHH¶VVHUYLFH UHODWLRQVKLSZLWKXVRUDQ\RIRXUDIILOLDWHVFHDVHVGXHWRGLVDELOLW\RUGHDWKRUDQRSWLRQHHGLHVZLWKLQDFHUWDLQSHULRG IROORZLQJFHVVDWLRQRIVHUYLFHWKHRSWLRQHHRUDEHQHILFLDU\PD\H[HUFLVHWKHRSWLRQIRUDSHULRGRIPRQWKVLQWKHHYHQWRI GLVDELOLW\DQGPRQWKVLQWKHHYHQWRIGHDWK:LWKUHVSHFWWRRSWLRQVJUDQWHGXQGHUWKH'LUHFWRUV3ODQLIVXFK RSWLRQHH¶VVHUYLFHWHUPLQDWHVZLWKLQPRQWKVIROORZLQJDVSHFLILHG&amp;,&amp;WUDQVDFWLRQWKHRSWLRQHHPD\H[HUFLVHDQ\YHVWHG SRUWLRQRIWKHRSWLRQIRUDSHULRGRIPRQWKVIROORZLQJWKHHIIHFWLYHGDWHRIVXFKDWUDQVDFWLRQ7KHRSWLRQWHUPPD\EH H[WHQGHGLQWKHHYHQWWKDWH[HUFLVHRIWKHRSWLRQIROORZLQJWHUPLQDWLRQRIVHUYLFHLVSURKLELWHGE\DSSOLFDEOHVHFXULWLHVODZV,Q QRHYHQWKRZHYHUPD\DQRSWLRQEHH[HUFLVHGEH\RQGWKHH[SLUDWLRQRILWVWHUP</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15"/>
          <w:szCs w:val="15"/>
          <w:color w:val="auto"/>
        </w:rPr>
        <w:t>:LWKUHVSHFWWR568DZDUGVJUDQWHGXQGHUWKH'LUHFWRUV3ODQLIDQRQHPSOR\HHGLUHFWRU¶VVHUYLFHUHODWLRQVKLSZLWKXVRU</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DQ\RIRXUDIILOLDWHVZKHWKHUDVDQRQHPSOR\HHGLUHFWRURUVXEVHTXHQWO\DVRXUHPSOR\HHGLUHFWRURUFRQVXOWDQWRUWKDWRIDQ\</w:t>
      </w:r>
    </w:p>
    <w:p>
      <w:pPr>
        <w:spacing w:after="0" w:line="60" w:lineRule="exact"/>
        <w:rPr>
          <w:sz w:val="20"/>
          <w:szCs w:val="20"/>
          <w:color w:val="auto"/>
        </w:rPr>
      </w:pPr>
    </w:p>
    <w:p>
      <w:pPr>
        <w:ind w:right="140"/>
        <w:spacing w:after="0" w:line="392" w:lineRule="auto"/>
        <w:rPr>
          <w:sz w:val="20"/>
          <w:szCs w:val="20"/>
          <w:color w:val="auto"/>
        </w:rPr>
      </w:pPr>
      <w:r>
        <w:rPr>
          <w:rFonts w:ascii="PMingLiU" w:cs="PMingLiU" w:eastAsia="PMingLiU" w:hAnsi="PMingLiU"/>
          <w:sz w:val="14"/>
          <w:szCs w:val="14"/>
          <w:color w:val="auto"/>
        </w:rPr>
        <w:t>RIRXUDIILOLDWHVFHDVHVIRUDQ\UHDVRQDQ\568DZDUGVWKDWZHUHXQYHVWHGDVRIWKHGDWHRIVXFKWHUPLQDWLRQJHQHUDOO\ZLOO EHIRUIHLWHG568DZDUGVJUDQWHGSXUVXDQWWRRXU'LUHFWRU&amp;RPSHQVDWLRQ3ROLF\DUHDOVRVXEMHFWWRSRWHQWLDODFFHOHUDWLRQDV GHVFULEHGDERYHXQGHUWKHKHDGLQJ³</w:t>
      </w:r>
      <w:r>
        <w:rPr>
          <w:rFonts w:ascii="PMingLiU" w:cs="PMingLiU" w:eastAsia="PMingLiU" w:hAnsi="PMingLiU"/>
          <w:sz w:val="14"/>
          <w:szCs w:val="14"/>
          <w:i w:val="1"/>
          <w:iCs w:val="1"/>
          <w:color w:val="auto"/>
        </w:rPr>
        <w:t>08,*:58536,49(:054!520*? 7;0:?=(8+9</w:t>
      </w:r>
      <w:r>
        <w:rPr>
          <w:rFonts w:ascii="PMingLiU" w:cs="PMingLiU" w:eastAsia="PMingLiU" w:hAnsi="PMingLiU"/>
          <w:sz w:val="14"/>
          <w:szCs w:val="14"/>
          <w:color w:val="auto"/>
        </w:rPr>
        <w:t>´</w:t>
      </w:r>
    </w:p>
    <w:p>
      <w:pPr>
        <w:spacing w:after="0" w:line="76" w:lineRule="exact"/>
        <w:rPr>
          <w:sz w:val="20"/>
          <w:szCs w:val="20"/>
          <w:color w:val="auto"/>
        </w:rPr>
      </w:pPr>
    </w:p>
    <w:p>
      <w:pPr>
        <w:ind w:right="100"/>
        <w:spacing w:after="0" w:line="350" w:lineRule="auto"/>
        <w:rPr>
          <w:sz w:val="20"/>
          <w:szCs w:val="20"/>
          <w:color w:val="auto"/>
        </w:rPr>
      </w:pPr>
      <w:r>
        <w:rPr>
          <w:rFonts w:ascii="PMingLiU" w:cs="PMingLiU" w:eastAsia="PMingLiU" w:hAnsi="PMingLiU"/>
          <w:sz w:val="14"/>
          <w:szCs w:val="14"/>
          <w:color w:val="auto"/>
        </w:rPr>
        <w:t>,QWKHHYHQWRIFHUWDLQVLJQLILFDQWFRUSRUDWHWUDQVDFWLRQVZKLFKJHQHUDOO\KDYHDPHDQLQJVLPLODUWR³FRUSRUDWHWUDQVDFWLRQ´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amp;,&amp;WUDQVDFWLRQZKLFKJHQHUDOO\KDVDVLPLODUPHDQLQJDVD³&amp;,&amp;´XQGHUWKH3ODQ RUDUHUHPRYHGIURPWKHLUSRVLWLRQLQFRQQHFWLRQZLWKVXFKD&amp;,&amp;ZLOOEHDFFHOHUDWHGLQIXOO</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32"/>
          <w:szCs w:val="32"/>
          <w:color w:val="5C004D"/>
        </w:rPr>
        <w:t>(TXLW\*UDQWV</w:t>
      </w:r>
    </w:p>
    <w:p>
      <w:pPr>
        <w:spacing w:after="0" w:line="219" w:lineRule="exact"/>
        <w:rPr>
          <w:sz w:val="20"/>
          <w:szCs w:val="20"/>
          <w:color w:val="auto"/>
        </w:rPr>
      </w:pPr>
    </w:p>
    <w:p>
      <w:pPr>
        <w:ind w:right="20"/>
        <w:spacing w:after="0" w:line="328" w:lineRule="auto"/>
        <w:rPr>
          <w:sz w:val="20"/>
          <w:szCs w:val="20"/>
          <w:color w:val="auto"/>
        </w:rPr>
      </w:pPr>
      <w:r>
        <w:rPr>
          <w:rFonts w:ascii="PMingLiU" w:cs="PMingLiU" w:eastAsia="PMingLiU" w:hAnsi="PMingLiU"/>
          <w:sz w:val="16"/>
          <w:szCs w:val="16"/>
          <w:color w:val="auto"/>
        </w:rPr>
        <w:t>,QDFFRUGDQFHZLWKRXU'LUHFWRU&amp;RPSHQVDWLRQ3ROLF\ZHPDGHDXWRPDWLFDQQXDOJUDQWVWRHDFKRIRXUQRQHPSOR\HH GLUHFWRUVDVDUHVXOWRIWKHLUFRQWLQXLQJRQRXU%RDUGWKURXJKRXU$*0ZKLFKJUDQWVFRQVLVWHGRIDQ568DZDUGFRYHULQJ RUGLQDU\VKDUHV$OO568VJUDQWHGWRQRQHPSOR\HHGLUHFWRUVGXULQJZHUHJUDQWHGXQGHUWKH'LUHFWRUV3ODQ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735330</wp:posOffset>
            </wp:positionV>
            <wp:extent cx="1386840" cy="2336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5">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40"/>
          </w:cols>
          <w:pgMar w:left="900" w:top="377" w:right="839" w:bottom="0" w:gutter="0" w:footer="0" w:header="0"/>
        </w:sectPr>
      </w:pPr>
    </w:p>
    <w:bookmarkStart w:id="31" w:name="page32"/>
    <w:bookmarkEnd w:id="3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33525" cy="41910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3525" cy="419100"/>
                        </a:xfrm>
                        <a:prstGeom prst="rect">
                          <a:avLst/>
                        </a:prstGeom>
                        <a:solidFill>
                          <a:srgbClr val="5C004D"/>
                        </a:solidFill>
                      </wps:spPr>
                      <wps:bodyPr/>
                    </wps:wsp>
                  </a:graphicData>
                </a:graphic>
              </wp:anchor>
            </w:drawing>
          </mc:Choice>
          <mc:Fallback>
            <w:pict>
              <v:rect id="Shape 238" o:spid="_x0000_s1263" style="position:absolute;margin-left:44.85pt;margin-top:0.1pt;width:120.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',5(&amp;725&amp;203(16$7,21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'LUHFWRU&amp;RPSHQVDWLRQ7DEOH</w:t>
      </w:r>
    </w:p>
    <w:p>
      <w:pPr>
        <w:spacing w:after="0" w:line="219" w:lineRule="exact"/>
        <w:rPr>
          <w:sz w:val="20"/>
          <w:szCs w:val="20"/>
          <w:color w:val="auto"/>
        </w:rPr>
      </w:pPr>
    </w:p>
    <w:p>
      <w:pPr>
        <w:ind w:right="100"/>
        <w:spacing w:after="0" w:line="443" w:lineRule="auto"/>
        <w:rPr>
          <w:sz w:val="20"/>
          <w:szCs w:val="20"/>
          <w:color w:val="auto"/>
        </w:rPr>
      </w:pPr>
      <w:r>
        <w:rPr>
          <w:rFonts w:ascii="PMingLiU" w:cs="PMingLiU" w:eastAsia="PMingLiU" w:hAnsi="PMingLiU"/>
          <w:sz w:val="14"/>
          <w:szCs w:val="14"/>
          <w:color w:val="auto"/>
        </w:rPr>
        <w:t>7KHIROORZLQJWDEOHVHWVIRUWKFHUWDLQLQIRUPDWLRQZLWKUHVSHFWWRWKHFRPSHQVDWLRQRIDOORIRXUQRQHPSOR\HHGLUHFWRUVIRUWKH ILVFDO\HDUHQGHG'HFHPEHU</w:t>
      </w:r>
    </w:p>
    <w:p>
      <w:pPr>
        <w:spacing w:after="0" w:line="39" w:lineRule="exact"/>
        <w:rPr>
          <w:sz w:val="20"/>
          <w:szCs w:val="20"/>
          <w:color w:val="auto"/>
        </w:rPr>
      </w:pPr>
    </w:p>
    <w:p>
      <w:pPr>
        <w:ind w:right="140"/>
        <w:spacing w:after="0" w:line="319" w:lineRule="auto"/>
        <w:rPr>
          <w:sz w:val="20"/>
          <w:szCs w:val="20"/>
          <w:color w:val="auto"/>
        </w:rPr>
      </w:pPr>
      <w:r>
        <w:rPr>
          <w:rFonts w:ascii="PMingLiU" w:cs="PMingLiU" w:eastAsia="PMingLiU" w:hAnsi="PMingLiU"/>
          <w:sz w:val="16"/>
          <w:szCs w:val="16"/>
          <w:color w:val="auto"/>
        </w:rPr>
        <w:t>0V*DODRXU3UHVLGHQW&amp;(2DQG'LUHFWRUDQG0U&amp;R]DGGRXUIRUPHU&amp;(2DQGFXUUHQW&amp;KDLUSHUVRQDUHQRWOLVWHGLQWKH IROORZLQJWDEOHEHFDXVHWKH\ZHUH1(2VLQ0V*DOD¶VDQG0U&amp;R]DGG¶VFRPSHQVDWLRQLVGHVFULEHGXQGHU³</w:t>
      </w:r>
      <w:r>
        <w:rPr>
          <w:rFonts w:ascii="PMingLiU" w:cs="PMingLiU" w:eastAsia="PMingLiU" w:hAnsi="PMingLiU"/>
          <w:sz w:val="16"/>
          <w:szCs w:val="16"/>
          <w:i w:val="1"/>
          <w:iCs w:val="1"/>
          <w:color w:val="auto"/>
        </w:rPr>
        <w:t>&gt;,*;:0&lt;,</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536,49(:054</w:t>
      </w:r>
      <w:r>
        <w:rPr>
          <w:rFonts w:ascii="PMingLiU" w:cs="PMingLiU" w:eastAsia="PMingLiU" w:hAnsi="PMingLiU"/>
          <w:sz w:val="16"/>
          <w:szCs w:val="16"/>
          <w:color w:val="auto"/>
        </w:rPr>
        <w:t>´0U&amp;R]DGG¶VFRPSHQVDWLRQIRUKLVVHUYLFHDVDQRQHPSOR\HHGLUHFWRULQLVLQFOXGHGLQWKH6XPPDU\</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&amp;RPSHQVDWLRQ7DEOH0V*DODUHFHLYHGQRDGGLWLRQDOFRPSHQVDWLRQIRUVHUYLQJRQRXU%RDUGLQ</w:t>
      </w:r>
    </w:p>
    <w:p>
      <w:pPr>
        <w:spacing w:after="0" w:line="166"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'LUHFWRU&amp;RPSHQVDWLRQIRU)LVFDO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780" w:type="dxa"/>
            <w:vAlign w:val="bottom"/>
            <w:shd w:val="clear" w:color="auto" w:fill="000046"/>
          </w:tcPr>
          <w:p>
            <w:pPr>
              <w:spacing w:after="0"/>
              <w:rPr>
                <w:sz w:val="24"/>
                <w:szCs w:val="24"/>
                <w:color w:val="auto"/>
              </w:rPr>
            </w:pPr>
          </w:p>
        </w:tc>
        <w:tc>
          <w:tcPr>
            <w:tcW w:w="3700" w:type="dxa"/>
            <w:vAlign w:val="bottom"/>
            <w:shd w:val="clear" w:color="auto" w:fill="000046"/>
          </w:tcPr>
          <w:p>
            <w:pPr>
              <w:jc w:val="right"/>
              <w:ind w:right="160"/>
              <w:spacing w:after="0"/>
              <w:rPr>
                <w:sz w:val="20"/>
                <w:szCs w:val="20"/>
                <w:color w:val="auto"/>
              </w:rPr>
            </w:pPr>
            <w:r>
              <w:rPr>
                <w:rFonts w:ascii="PMingLiU" w:cs="PMingLiU" w:eastAsia="PMingLiU" w:hAnsi="PMingLiU"/>
                <w:sz w:val="16"/>
                <w:szCs w:val="16"/>
                <w:b w:val="1"/>
                <w:bCs w:val="1"/>
                <w:color w:val="FFFFFF"/>
              </w:rPr>
              <w:t>)HHV(DUQHGRU3DLG</w:t>
            </w:r>
          </w:p>
        </w:tc>
        <w:tc>
          <w:tcPr>
            <w:tcW w:w="1620" w:type="dxa"/>
            <w:vAlign w:val="bottom"/>
            <w:shd w:val="clear" w:color="auto" w:fill="000046"/>
          </w:tcPr>
          <w:p>
            <w:pPr>
              <w:spacing w:after="0"/>
              <w:rPr>
                <w:sz w:val="24"/>
                <w:szCs w:val="24"/>
                <w:color w:val="auto"/>
              </w:rPr>
            </w:pPr>
          </w:p>
        </w:tc>
        <w:tc>
          <w:tcPr>
            <w:tcW w:w="980" w:type="dxa"/>
            <w:vAlign w:val="bottom"/>
            <w:shd w:val="clear" w:color="auto" w:fill="000046"/>
          </w:tcPr>
          <w:p>
            <w:pPr>
              <w:spacing w:after="0"/>
              <w:rPr>
                <w:sz w:val="24"/>
                <w:szCs w:val="24"/>
                <w:color w:val="auto"/>
              </w:rPr>
            </w:pPr>
          </w:p>
        </w:tc>
      </w:tr>
      <w:tr>
        <w:trPr>
          <w:trHeight w:val="192"/>
        </w:trPr>
        <w:tc>
          <w:tcPr>
            <w:tcW w:w="3780" w:type="dxa"/>
            <w:vAlign w:val="bottom"/>
            <w:shd w:val="clear" w:color="auto" w:fill="000046"/>
          </w:tcPr>
          <w:p>
            <w:pPr>
              <w:spacing w:after="0"/>
              <w:rPr>
                <w:sz w:val="16"/>
                <w:szCs w:val="16"/>
                <w:color w:val="auto"/>
              </w:rPr>
            </w:pPr>
          </w:p>
        </w:tc>
        <w:tc>
          <w:tcPr>
            <w:tcW w:w="370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LQ&amp;DVK</w:t>
            </w:r>
          </w:p>
        </w:tc>
        <w:tc>
          <w:tcPr>
            <w:tcW w:w="1620" w:type="dxa"/>
            <w:vAlign w:val="bottom"/>
            <w:shd w:val="clear" w:color="auto" w:fill="000046"/>
          </w:tcPr>
          <w:p>
            <w:pPr>
              <w:jc w:val="right"/>
              <w:ind w:right="222"/>
              <w:spacing w:after="0"/>
              <w:rPr>
                <w:sz w:val="20"/>
                <w:szCs w:val="20"/>
                <w:color w:val="auto"/>
              </w:rPr>
            </w:pPr>
            <w:r>
              <w:rPr>
                <w:rFonts w:ascii="PMingLiU" w:cs="PMingLiU" w:eastAsia="PMingLiU" w:hAnsi="PMingLiU"/>
                <w:sz w:val="16"/>
                <w:szCs w:val="16"/>
                <w:b w:val="1"/>
                <w:bCs w:val="1"/>
                <w:color w:val="FFFFFF"/>
              </w:rPr>
              <w:t>6WRFN$ZDUGV</w:t>
            </w:r>
          </w:p>
        </w:tc>
        <w:tc>
          <w:tcPr>
            <w:tcW w:w="98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7RWDO</w:t>
            </w:r>
          </w:p>
        </w:tc>
      </w:tr>
      <w:tr>
        <w:trPr>
          <w:trHeight w:val="284"/>
        </w:trPr>
        <w:tc>
          <w:tcPr>
            <w:tcW w:w="378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1DPH</w:t>
            </w:r>
          </w:p>
        </w:tc>
        <w:tc>
          <w:tcPr>
            <w:tcW w:w="370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r>
              <w:rPr>
                <w:rFonts w:ascii="PMingLiU" w:cs="PMingLiU" w:eastAsia="PMingLiU" w:hAnsi="PMingLiU"/>
                <w:sz w:val="20"/>
                <w:szCs w:val="20"/>
                <w:b w:val="1"/>
                <w:bCs w:val="1"/>
                <w:color w:val="FFFFFF"/>
                <w:vertAlign w:val="superscript"/>
              </w:rPr>
              <w:t/>
            </w:r>
          </w:p>
        </w:tc>
        <w:tc>
          <w:tcPr>
            <w:tcW w:w="1620" w:type="dxa"/>
            <w:vAlign w:val="bottom"/>
            <w:shd w:val="clear" w:color="auto" w:fill="000046"/>
          </w:tcPr>
          <w:p>
            <w:pPr>
              <w:jc w:val="right"/>
              <w:ind w:right="222"/>
              <w:spacing w:after="0" w:line="284"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98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293"/>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-HQQLIHU(&amp;RRN</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3DWULFN*(QULJKW</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/DXUD-+DPLOO</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3DWULFN.HQQHG\</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340"/>
        </w:trPr>
        <w:tc>
          <w:tcPr>
            <w:tcW w:w="378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5C004D"/>
              </w:rPr>
              <w:t>7HG:/RYH0'</w:t>
            </w:r>
            <w:r>
              <w:rPr>
                <w:rFonts w:ascii="PMingLiU" w:cs="PMingLiU" w:eastAsia="PMingLiU" w:hAnsi="PMingLiU"/>
                <w:sz w:val="20"/>
                <w:szCs w:val="20"/>
                <w:b w:val="1"/>
                <w:bCs w:val="1"/>
                <w:color w:val="5C004D"/>
                <w:vertAlign w:val="superscript"/>
              </w:rPr>
              <w:t/>
            </w:r>
          </w:p>
        </w:tc>
        <w:tc>
          <w:tcPr>
            <w:tcW w:w="3700" w:type="dxa"/>
            <w:vAlign w:val="bottom"/>
            <w:tcBorders>
              <w:bottom w:val="single" w:sz="8" w:color="4454A7"/>
            </w:tcBorders>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Borders>
              <w:bottom w:val="single" w:sz="8" w:color="4454A7"/>
            </w:tcBorders>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+HDWKHU$QQ0F6KDUU\</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6HDPXV&amp;0XOOLJDQ</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340"/>
        </w:trPr>
        <w:tc>
          <w:tcPr>
            <w:tcW w:w="378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5C004D"/>
              </w:rPr>
              <w:t>.HQQHWK:2¶.HHIH</w:t>
            </w:r>
            <w:r>
              <w:rPr>
                <w:rFonts w:ascii="PMingLiU" w:cs="PMingLiU" w:eastAsia="PMingLiU" w:hAnsi="PMingLiU"/>
                <w:sz w:val="20"/>
                <w:szCs w:val="20"/>
                <w:b w:val="1"/>
                <w:bCs w:val="1"/>
                <w:color w:val="5C004D"/>
                <w:vertAlign w:val="superscript"/>
              </w:rPr>
              <w:t/>
            </w:r>
          </w:p>
        </w:tc>
        <w:tc>
          <w:tcPr>
            <w:tcW w:w="3700" w:type="dxa"/>
            <w:vAlign w:val="bottom"/>
            <w:tcBorders>
              <w:bottom w:val="single" w:sz="8" w:color="4454A7"/>
            </w:tcBorders>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Borders>
              <w:bottom w:val="single" w:sz="8" w:color="4454A7"/>
            </w:tcBorders>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$QQH2¶5LRUGDQ</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1RUEHUW*5LHGHO3K'</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0DUN'6PLWK0'</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3780" w:type="dxa"/>
            <w:vAlign w:val="bottom"/>
            <w:tcBorders>
              <w:bottom w:val="single" w:sz="8" w:color="4454A7"/>
            </w:tcBorders>
          </w:tcPr>
          <w:p>
            <w:pPr>
              <w:spacing w:after="0"/>
              <w:rPr>
                <w:sz w:val="5"/>
                <w:szCs w:val="5"/>
                <w:color w:val="auto"/>
              </w:rPr>
            </w:pPr>
          </w:p>
        </w:tc>
        <w:tc>
          <w:tcPr>
            <w:tcW w:w="3700" w:type="dxa"/>
            <w:vAlign w:val="bottom"/>
            <w:tcBorders>
              <w:bottom w:val="single" w:sz="8" w:color="4454A7"/>
            </w:tcBorders>
          </w:tcPr>
          <w:p>
            <w:pPr>
              <w:spacing w:after="0"/>
              <w:rPr>
                <w:sz w:val="5"/>
                <w:szCs w:val="5"/>
                <w:color w:val="auto"/>
              </w:rPr>
            </w:pPr>
          </w:p>
        </w:tc>
        <w:tc>
          <w:tcPr>
            <w:tcW w:w="162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r>
      <w:tr>
        <w:trPr>
          <w:trHeight w:val="275"/>
        </w:trPr>
        <w:tc>
          <w:tcPr>
            <w:tcW w:w="3780" w:type="dxa"/>
            <w:vAlign w:val="bottom"/>
          </w:tcPr>
          <w:p>
            <w:pPr>
              <w:ind w:left="100"/>
              <w:spacing w:after="0"/>
              <w:rPr>
                <w:sz w:val="20"/>
                <w:szCs w:val="20"/>
                <w:color w:val="auto"/>
              </w:rPr>
            </w:pPr>
            <w:r>
              <w:rPr>
                <w:rFonts w:ascii="PMingLiU" w:cs="PMingLiU" w:eastAsia="PMingLiU" w:hAnsi="PMingLiU"/>
                <w:sz w:val="16"/>
                <w:szCs w:val="16"/>
                <w:b w:val="1"/>
                <w:bCs w:val="1"/>
                <w:color w:val="5C004D"/>
              </w:rPr>
              <w:t>5LFN(:LQQLQJKDP</w:t>
            </w:r>
          </w:p>
        </w:tc>
        <w:tc>
          <w:tcPr>
            <w:tcW w:w="370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620" w:type="dxa"/>
            <w:vAlign w:val="bottom"/>
          </w:tcPr>
          <w:p>
            <w:pPr>
              <w:jc w:val="right"/>
              <w:ind w:right="202"/>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57"/>
        </w:trPr>
        <w:tc>
          <w:tcPr>
            <w:tcW w:w="3780" w:type="dxa"/>
            <w:vAlign w:val="bottom"/>
            <w:tcBorders>
              <w:bottom w:val="single" w:sz="8" w:color="5C004D"/>
            </w:tcBorders>
          </w:tcPr>
          <w:p>
            <w:pPr>
              <w:spacing w:after="0"/>
              <w:rPr>
                <w:sz w:val="4"/>
                <w:szCs w:val="4"/>
                <w:color w:val="auto"/>
              </w:rPr>
            </w:pPr>
          </w:p>
        </w:tc>
        <w:tc>
          <w:tcPr>
            <w:tcW w:w="3700" w:type="dxa"/>
            <w:vAlign w:val="bottom"/>
            <w:tcBorders>
              <w:bottom w:val="single" w:sz="8" w:color="5C004D"/>
            </w:tcBorders>
          </w:tcPr>
          <w:p>
            <w:pPr>
              <w:spacing w:after="0"/>
              <w:rPr>
                <w:sz w:val="4"/>
                <w:szCs w:val="4"/>
                <w:color w:val="auto"/>
              </w:rPr>
            </w:pPr>
          </w:p>
        </w:tc>
        <w:tc>
          <w:tcPr>
            <w:tcW w:w="1620" w:type="dxa"/>
            <w:vAlign w:val="bottom"/>
            <w:tcBorders>
              <w:bottom w:val="single" w:sz="8" w:color="5C004D"/>
            </w:tcBorders>
          </w:tcPr>
          <w:p>
            <w:pPr>
              <w:spacing w:after="0"/>
              <w:rPr>
                <w:sz w:val="4"/>
                <w:szCs w:val="4"/>
                <w:color w:val="auto"/>
              </w:rPr>
            </w:pPr>
          </w:p>
        </w:tc>
        <w:tc>
          <w:tcPr>
            <w:tcW w:w="980" w:type="dxa"/>
            <w:vAlign w:val="bottom"/>
            <w:tcBorders>
              <w:bottom w:val="single" w:sz="8" w:color="5C004D"/>
            </w:tcBorders>
          </w:tcPr>
          <w:p>
            <w:pPr>
              <w:spacing w:after="0"/>
              <w:rPr>
                <w:sz w:val="4"/>
                <w:szCs w:val="4"/>
                <w:color w:val="auto"/>
              </w:rPr>
            </w:pPr>
          </w:p>
        </w:tc>
      </w:tr>
    </w:tbl>
    <w:p>
      <w:pPr>
        <w:spacing w:after="0" w:line="10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5:,35;4:93(?45::5:(2+;,:585;4+04.</w:t>
      </w:r>
    </w:p>
    <w:p>
      <w:pPr>
        <w:spacing w:after="0" w:line="74" w:lineRule="exact"/>
        <w:rPr>
          <w:sz w:val="20"/>
          <w:szCs w:val="20"/>
          <w:color w:val="auto"/>
        </w:rPr>
      </w:pPr>
    </w:p>
    <w:p>
      <w:pPr>
        <w:ind w:left="360" w:right="80" w:hanging="359"/>
        <w:spacing w:after="0" w:line="300" w:lineRule="auto"/>
        <w:tabs>
          <w:tab w:leader="none" w:pos="340" w:val="left"/>
        </w:tabs>
        <w:rPr>
          <w:sz w:val="20"/>
          <w:szCs w:val="20"/>
          <w:color w:val="auto"/>
        </w:rPr>
      </w:pPr>
      <w:r>
        <w:rPr>
          <w:rFonts w:ascii="PMingLiU" w:cs="PMingLiU" w:eastAsia="PMingLiU" w:hAnsi="PMingLiU"/>
          <w:sz w:val="13"/>
          <w:szCs w:val="13"/>
          <w:color w:val="auto"/>
        </w:rPr>
        <w:t/>
        <w:tab/>
        <w:t>7KHGROODUDPRXQWVLQWKLVFROXPQUHSUHVHQWHDFKQRQHPSOR\HHGLUHFWRU¶VDFWXDOFDVKFRPSHQVDWLRQHDUQHGIRUERDUGVHUYLFHVLQ ZKLFKLVHTXDOWRWKHDJJUHJDWHRISHU\HDUIRUVHUYLFHDVDPHPEHURIWKHERDUGSURUDWHGIRUDQ\SDUWLDO\HDURIVHUYLFHSOXV VXSSOHPHQWDODPRXQWVIRUKLVRUKHUVHUYLFHRQRQHRUPRUHERDUGFRPPLWWHHVDQGIRU0U:LQQLQJKDPIRUVHUYLFHDV/,'(DFKQRQ HPSOR\HHGLUHFWRU¶VFDVKFRPSHQVDWLRQZDVHDUQHGDQGSD\DEOHLQIRXUTXDUWHUO\LQVWDOOPHQWVH[FHSWIRUDQ\VXFKFDVKSDLGIRUVHUYLFH RQWKHWUDQVDFWLRQFRPPLWWHHDVIXUWKHUGHVFULEHGDERYH)HHVSDLGWRHDFKRI0V0F6KDUU\0V2¶5LRUGDQ0U0XOOLJDQDQG0U</w:t>
      </w:r>
    </w:p>
    <w:p>
      <w:pPr>
        <w:spacing w:after="0" w:line="2" w:lineRule="exact"/>
        <w:rPr>
          <w:sz w:val="20"/>
          <w:szCs w:val="20"/>
          <w:color w:val="auto"/>
        </w:rPr>
      </w:pPr>
    </w:p>
    <w:p>
      <w:pPr>
        <w:ind w:left="360" w:right="180"/>
        <w:spacing w:after="0" w:line="315" w:lineRule="auto"/>
        <w:rPr>
          <w:sz w:val="20"/>
          <w:szCs w:val="20"/>
          <w:color w:val="auto"/>
        </w:rPr>
      </w:pPr>
      <w:r>
        <w:rPr>
          <w:rFonts w:ascii="PMingLiU" w:cs="PMingLiU" w:eastAsia="PMingLiU" w:hAnsi="PMingLiU"/>
          <w:sz w:val="14"/>
          <w:szCs w:val="14"/>
          <w:color w:val="auto"/>
        </w:rPr>
        <w:t>.HQQHG\ZHUHSDLGLQ(XURSHDQ&amp;XUUHQF\(XURV7KHFRQYHUVLRQWR86GROODUVZDVFDOFXODWHGEDVHGRQWKHDYHUDJHH[FKDQJHUDWH IRUHDFKTXDUWHUDVUHSRUWHGE\WKH2$1'$&amp;RUSRUDWLRQ</w:t>
      </w:r>
    </w:p>
    <w:p>
      <w:pPr>
        <w:spacing w:after="0" w:line="17" w:lineRule="exact"/>
        <w:rPr>
          <w:sz w:val="20"/>
          <w:szCs w:val="20"/>
          <w:color w:val="auto"/>
        </w:rPr>
      </w:pPr>
    </w:p>
    <w:p>
      <w:pPr>
        <w:jc w:val="both"/>
        <w:ind w:left="360" w:right="80" w:hanging="359"/>
        <w:spacing w:after="0" w:line="846" w:lineRule="auto"/>
        <w:tabs>
          <w:tab w:leader="none" w:pos="340" w:val="left"/>
        </w:tabs>
        <w:rPr>
          <w:sz w:val="20"/>
          <w:szCs w:val="20"/>
          <w:color w:val="auto"/>
        </w:rPr>
      </w:pPr>
      <w:r>
        <w:rPr>
          <w:rFonts w:ascii="PMingLiU" w:cs="PMingLiU" w:eastAsia="PMingLiU" w:hAnsi="PMingLiU"/>
          <w:sz w:val="7"/>
          <w:szCs w:val="7"/>
          <w:color w:val="auto"/>
        </w:rPr>
        <w:t/>
      </w:r>
      <w:r>
        <w:rPr>
          <w:sz w:val="20"/>
          <w:szCs w:val="20"/>
          <w:color w:val="auto"/>
        </w:rPr>
        <w:tab/>
      </w:r>
      <w:r>
        <w:rPr>
          <w:rFonts w:ascii="PMingLiU" w:cs="PMingLiU" w:eastAsia="PMingLiU" w:hAnsi="PMingLiU"/>
          <w:sz w:val="7"/>
          <w:szCs w:val="7"/>
          <w:color w:val="auto"/>
        </w:rPr>
        <w:t>7KHGROODUDPRXQWVLQWKLVFROXPQUHIOHFWWKHJUDQWGDWHIDLUYDOXHRI568DZDUGVPDGHRQ$XJXVWFRPSXWHGLQDFFRUGDQFHZLWK )$6%$6&amp;7KHJUDQWGDWHIDLUYDOXHRIHDFK568DZDUGLVPHDVXUHGEDVHGRQWKHFORVLQJSULFHRIRXURUGLQDU\VKDUHVRQWKHGDWH RIJUDQW7KHVHDPRXQWVGRQRWQHFHVVDULO\FRUUHVSRQGWRWKHDFWXDOYDOXHUHFRJQL]HGRUWKDWPD\EHUHFRJQL]HGE\WKHQRQHPSOR\HH</w:t>
      </w:r>
    </w:p>
    <w:p>
      <w:pPr>
        <w:ind w:left="360"/>
        <w:spacing w:after="0"/>
        <w:rPr>
          <w:sz w:val="20"/>
          <w:szCs w:val="20"/>
          <w:color w:val="auto"/>
        </w:rPr>
      </w:pPr>
      <w:r>
        <w:rPr>
          <w:rFonts w:ascii="PMingLiU" w:cs="PMingLiU" w:eastAsia="PMingLiU" w:hAnsi="PMingLiU"/>
          <w:sz w:val="16"/>
          <w:szCs w:val="16"/>
          <w:color w:val="auto"/>
        </w:rPr>
        <w:t>GLUHFWRUV</w:t>
      </w:r>
    </w:p>
    <w:p>
      <w:pPr>
        <w:spacing w:after="0" w:line="74" w:lineRule="exact"/>
        <w:rPr>
          <w:sz w:val="20"/>
          <w:szCs w:val="20"/>
          <w:color w:val="auto"/>
        </w:rPr>
      </w:pPr>
    </w:p>
    <w:p>
      <w:pPr>
        <w:ind w:left="360" w:right="100" w:hanging="359"/>
        <w:spacing w:after="0" w:line="316" w:lineRule="auto"/>
        <w:tabs>
          <w:tab w:leader="none" w:pos="340" w:val="left"/>
        </w:tabs>
        <w:rPr>
          <w:sz w:val="20"/>
          <w:szCs w:val="20"/>
          <w:color w:val="auto"/>
        </w:rPr>
      </w:pPr>
      <w:r>
        <w:rPr>
          <w:rFonts w:ascii="PMingLiU" w:cs="PMingLiU" w:eastAsia="PMingLiU" w:hAnsi="PMingLiU"/>
          <w:sz w:val="13"/>
          <w:szCs w:val="13"/>
          <w:color w:val="auto"/>
        </w:rPr>
        <w:t/>
        <w:tab/>
        <w:t>7KHDJJUHJDWHQXPEHURIVKDUHVVXEMHFWWRRXWVWDQGLQJVWRFNRSWLRQVDQG568DZDUGVKHOGE\WKHQRQHPSOR\HHGLUHFWRUVOLVWHGLQWKH WDEOHDERYHDVRI'HFHPEHUZDVDVIROORZVVWRFNRSWLRQVDQG568VIRU0U(QULJKWVWRFNRSWLRQVIRU0U 2.HHIHVWRFNRSWLRQVDQG568VIRUHDFKRI0U0XOOLJDQDQG0U:LQQLQJKDPDQG'U5LHGHOVWRFNRSWLRQVDQG 568VIRUHDFKRI0V&amp;RRNDQG'U6PLWKVWRFNRSWLRQVDQG568VIRU0V25LRUGDQVWRFNRSWLRQVDQG 568VIRU0V0F6KDUU\DQG568VIRUHDFKRI0V+DPLOODQG0U.HQQHG\</w:t>
      </w:r>
    </w:p>
    <w:p>
      <w:pPr>
        <w:spacing w:after="0" w:line="2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'U/RYHZDVHOHFWHGWRRXU%RDUGHIIHFWLYHDVRI'HFHPEHU</w:t>
      </w:r>
    </w:p>
    <w:p>
      <w:pPr>
        <w:spacing w:after="0" w:line="90" w:lineRule="exact"/>
        <w:rPr>
          <w:sz w:val="20"/>
          <w:szCs w:val="20"/>
          <w:color w:val="auto"/>
        </w:rPr>
      </w:pPr>
    </w:p>
    <w:p>
      <w:pPr>
        <w:jc w:val="both"/>
        <w:ind w:left="360" w:right="140" w:hanging="359"/>
        <w:spacing w:after="0" w:line="305" w:lineRule="auto"/>
        <w:tabs>
          <w:tab w:leader="none" w:pos="340" w:val="left"/>
        </w:tabs>
        <w:rPr>
          <w:sz w:val="20"/>
          <w:szCs w:val="20"/>
          <w:color w:val="auto"/>
        </w:rPr>
      </w:pPr>
      <w:r>
        <w:rPr>
          <w:rFonts w:ascii="PMingLiU" w:cs="PMingLiU" w:eastAsia="PMingLiU" w:hAnsi="PMingLiU"/>
          <w:sz w:val="14"/>
          <w:szCs w:val="14"/>
          <w:color w:val="auto"/>
        </w:rPr>
        <w:t/>
        <w:tab/>
        <w:t>0U2¶.HHIHUHWLUHGIURPRXU%RDUGHIIHFWLYHDVRI'HFHPEHU,QFRQQHFWLRQZLWKKLVUHWLUHPHQWDQGLQUHFRJQLWLRQRIKLVVHUYLFH RXU%RDUGDSSURYHGDQDPHQGPHQWWRKLV568DZDUGRULJLQDOO\JUDQWHGRQ$XJXVWWRDOORZDSURUDWHGSRUWLRQRIVXFKDZDUGWR YHVWRQ'HFHPEHUWKHUHPDLQGHURIWKHDZDUGZDVFDQFHOOHGIRUQRYDOXH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683260</wp:posOffset>
            </wp:positionV>
            <wp:extent cx="1389380" cy="2343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6">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32" w:name="page33"/>
    <w:bookmarkEnd w:id="32"/>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&amp;RUSRUDWH*RYHUQDQFH</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color w:val="5C004D"/>
        </w:rPr>
        <w:t>2YHUYLHZ</w:t>
      </w:r>
    </w:p>
    <w:p>
      <w:pPr>
        <w:spacing w:after="0" w:line="235" w:lineRule="exact"/>
        <w:rPr>
          <w:sz w:val="20"/>
          <w:szCs w:val="20"/>
          <w:color w:val="auto"/>
        </w:rPr>
      </w:pPr>
    </w:p>
    <w:p>
      <w:pPr>
        <w:ind w:right="60"/>
        <w:spacing w:after="0" w:line="367" w:lineRule="auto"/>
        <w:rPr>
          <w:sz w:val="20"/>
          <w:szCs w:val="20"/>
          <w:color w:val="auto"/>
        </w:rPr>
      </w:pPr>
      <w:r>
        <w:rPr>
          <w:rFonts w:ascii="PMingLiU" w:cs="PMingLiU" w:eastAsia="PMingLiU" w:hAnsi="PMingLiU"/>
          <w:sz w:val="14"/>
          <w:szCs w:val="14"/>
          <w:color w:val="auto"/>
        </w:rPr>
        <w:t>2XU&amp;RPSDQ\LVFRPPLWWHGWRJRYHUQDQFHSROLFLHVDQGSUDFWLFHVWKDWVHUYHWKHEHVWLQWHUHVWVRIRXU&amp;RPSDQ\DQGHQKDQFH VKDUHKROGHUYDOXHRYHUWKHORQJWHUP$VDSDUWRIWKLVFRPPLWPHQWRXU%RDUGKDVDGRSWHG&amp;RUSRUDWH*RYHUQDQFH *XLGHOLQHVFRPPLWWHHFKDUWHUVDQGD&amp;RGHRI&amp;RQGXFWDQG(WKLFVZKLFKWRJHWKHUZLWKRXU&amp;RQVWLWXWLRQIRUPWKHJRYHUQDQFH IUDPHZRUNRIRXU&amp;RPSDQ\DQGDVVLVWRXU%RDUGLQWKHH[HUFLVHRILWVUHVSRQVLELOLWLHV2XUNH\FRUSRUDWHJRYHUQDQFH GRFXPHQWVLQFOXGLQJRXU&amp;RUSRUDWH*RYHUQDQFH*XLGHOLQHVDQG&amp;RGHRI&amp;RQGXFWDQG(WKLFVFDQEHIRXQGRQRXU:HEVLWH</w:t>
      </w:r>
    </w:p>
    <w:p>
      <w:pPr>
        <w:spacing w:after="0" w:line="93"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2XU1RPLQDWLQJ&amp;RPPLWWHHLVUHVSRQVLEOHIRURYHUVHHLQJRXUDGKHUHQFHWRWKHFRUSRUDWHJRYHUQDQFHVWDQGDUGVDQG FRPSOLDQFHZLWKRXUNH\FRUSRUDWHJRYHUQDQFHGRFXPHQWV2XU1RPLQDWLQJ&amp;RPPLWWHHDQQXDOO\UHYLHZVDQGUHILQHVZKHUH QHFHVVDU\RXU&amp;RPSDQ\¶VRYHUDOOFRUSRUDWHJRYHUQDQFHSULQFLSOHVSURFHGXUHVDQGSUDFWLFHVDQGUHSRUWVWRRXU%RDUGRQWKH HIIHFWLYHQHVVRIWKHFRUSRUDWHJRYHUQDQFHIUDPHZRUNDQGDQ\UHFRPPHQGDWLRQVLWPD\KDYHLQFRQQHFWLRQWKHUHZLWK</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7KHKLJKOLJKWVRIRXUFRUSRUDWHJRYHUQDQFHSUDFWLFHVLQFOXGHWKHIROORZLQJ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3331845</wp:posOffset>
                </wp:positionH>
                <wp:positionV relativeFrom="paragraph">
                  <wp:posOffset>160655</wp:posOffset>
                </wp:positionV>
                <wp:extent cx="3067050" cy="31432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314325"/>
                        </a:xfrm>
                        <a:prstGeom prst="rect">
                          <a:avLst/>
                        </a:prstGeom>
                        <a:solidFill>
                          <a:srgbClr val="4454A7"/>
                        </a:solidFill>
                      </wps:spPr>
                      <wps:bodyPr/>
                    </wps:wsp>
                  </a:graphicData>
                </a:graphic>
              </wp:anchor>
            </w:drawing>
          </mc:Choice>
          <mc:Fallback>
            <w:pict>
              <v:rect id="Shape 241" o:spid="_x0000_s1266" style="position:absolute;margin-left:262.35pt;margin-top:12.65pt;width:241.5pt;height:2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454A7" stroked="f"/>
            </w:pict>
          </mc:Fallback>
        </mc:AlternateContent>
      </w:r>
    </w:p>
    <w:p>
      <w:pPr>
        <w:sectPr>
          <w:pgSz w:w="11880" w:h="15479" w:orient="portrait"/>
          <w:cols w:equalWidth="0" w:num="1">
            <w:col w:w="10080"/>
          </w:cols>
          <w:pgMar w:left="900" w:top="1440" w:right="899" w:bottom="0"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420" w:type="dxa"/>
            <w:vAlign w:val="bottom"/>
            <w:shd w:val="clear" w:color="auto" w:fill="000046"/>
          </w:tcPr>
          <w:p>
            <w:pPr>
              <w:spacing w:after="0"/>
              <w:rPr>
                <w:sz w:val="24"/>
                <w:szCs w:val="24"/>
                <w:color w:val="auto"/>
              </w:rPr>
            </w:pPr>
          </w:p>
        </w:tc>
        <w:tc>
          <w:tcPr>
            <w:tcW w:w="4520" w:type="dxa"/>
            <w:vAlign w:val="bottom"/>
            <w:shd w:val="clear" w:color="auto" w:fill="000046"/>
          </w:tcPr>
          <w:p>
            <w:pPr>
              <w:ind w:left="100"/>
              <w:spacing w:after="0"/>
              <w:rPr>
                <w:sz w:val="20"/>
                <w:szCs w:val="20"/>
                <w:color w:val="auto"/>
              </w:rPr>
            </w:pPr>
            <w:r>
              <w:rPr>
                <w:rFonts w:ascii="PMingLiU" w:cs="PMingLiU" w:eastAsia="PMingLiU" w:hAnsi="PMingLiU"/>
                <w:sz w:val="20"/>
                <w:szCs w:val="20"/>
                <w:b w:val="1"/>
                <w:bCs w:val="1"/>
                <w:color w:val="FFFFFF"/>
              </w:rPr>
              <w:t>%2$5'$1'*29(51$1&amp;(35$&amp;7,&amp;(6</w:t>
            </w:r>
          </w:p>
        </w:tc>
      </w:tr>
      <w:tr>
        <w:trPr>
          <w:trHeight w:val="110"/>
        </w:trPr>
        <w:tc>
          <w:tcPr>
            <w:tcW w:w="420" w:type="dxa"/>
            <w:vAlign w:val="bottom"/>
            <w:shd w:val="clear" w:color="auto" w:fill="000046"/>
          </w:tcPr>
          <w:p>
            <w:pPr>
              <w:spacing w:after="0"/>
              <w:rPr>
                <w:sz w:val="9"/>
                <w:szCs w:val="9"/>
                <w:color w:val="auto"/>
              </w:rPr>
            </w:pPr>
          </w:p>
        </w:tc>
        <w:tc>
          <w:tcPr>
            <w:tcW w:w="4520" w:type="dxa"/>
            <w:vAlign w:val="bottom"/>
            <w:shd w:val="clear" w:color="auto" w:fill="000046"/>
          </w:tcPr>
          <w:p>
            <w:pPr>
              <w:spacing w:after="0"/>
              <w:rPr>
                <w:sz w:val="9"/>
                <w:szCs w:val="9"/>
                <w:color w:val="auto"/>
              </w:rPr>
            </w:pPr>
          </w:p>
        </w:tc>
      </w:tr>
      <w:tr>
        <w:trPr>
          <w:trHeight w:val="415"/>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RXWRIFXUUHQWGLUHFWRUVDUHLQGHSHQGHQW</w:t>
            </w:r>
          </w:p>
        </w:tc>
      </w:tr>
      <w:tr>
        <w:trPr>
          <w:trHeight w:val="359"/>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$QHQJDJHG/,'ZLWKFOHDUO\GHOLQHDWHGGXWLHV</w:t>
            </w:r>
          </w:p>
        </w:tc>
      </w:tr>
      <w:tr>
        <w:trPr>
          <w:trHeight w:val="352"/>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7"/>
              </w:rPr>
              <w:t>6WDQGLQJ%RDUGFRPPLWWHHVFRPSULVHGVROHO\RI</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LQGHSHQGHQWGLUHFWRUV</w:t>
            </w:r>
          </w:p>
        </w:tc>
      </w:tr>
      <w:tr>
        <w:trPr>
          <w:trHeight w:val="367"/>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82"/>
              </w:rPr>
              <w:t>5HJXODUH[HFXWLYHVHVVLRQVRILQGHSHQGHQWGLUHFWRUV</w:t>
            </w:r>
          </w:p>
        </w:tc>
      </w:tr>
      <w:tr>
        <w:trPr>
          <w:trHeight w:val="352"/>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5"/>
              </w:rPr>
              <w:t>&amp;RPPLWPHQWWRDERDUGRIGLUHFWRUVH[KLELWLQJD</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8"/>
              </w:rPr>
              <w:t>GLYHUVLW\RIVNLOOVH[SHULHQFHEDFNJURXQGDQG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SHUVSHFWLYHV</w:t>
            </w:r>
          </w:p>
        </w:tc>
      </w:tr>
      <w:tr>
        <w:trPr>
          <w:trHeight w:val="367"/>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$FWLYH%RDUGUHIUHVKPHQW</w:t>
            </w:r>
          </w:p>
        </w:tc>
      </w:tr>
      <w:tr>
        <w:trPr>
          <w:trHeight w:val="352"/>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86"/>
              </w:rPr>
              <w:t>1HZGLUHFWRURULHQWDWLRQDQGFRQWLQXLQJGLUHFWRU</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HGXFDWLRQ</w:t>
            </w:r>
          </w:p>
        </w:tc>
      </w:tr>
      <w:tr>
        <w:trPr>
          <w:trHeight w:val="360"/>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%RDUGDFFHVVWRVHQLRUPDQDJHPHQWDQG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LQGHSHQGHQWDGYLVRUV</w:t>
            </w:r>
          </w:p>
        </w:tc>
      </w:tr>
      <w:tr>
        <w:trPr>
          <w:trHeight w:val="360"/>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8"/>
              </w:rPr>
              <w:t>5REXVW&amp;RUSRUDWH*RYHUQDQFH*XLGHOLQHVDQG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FRPPLWWHHFKDUWHUV</w:t>
            </w:r>
          </w:p>
        </w:tc>
      </w:tr>
      <w:tr>
        <w:trPr>
          <w:trHeight w:val="360"/>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88"/>
              </w:rPr>
              <w:t>2YHUVLJKWRIULVNLVWKHUHVSRQVLELOLW\RIRXU%RDUG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82"/>
              </w:rPr>
              <w:t>ZLWKVSHFLILFULVNVGHVLJQDWHGWRFHUWDLQFRPPLWWHHV</w:t>
            </w:r>
          </w:p>
        </w:tc>
      </w:tr>
      <w:tr>
        <w:trPr>
          <w:trHeight w:val="360"/>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0"/>
              </w:rPr>
              <w:t>$QQXDOERDUGDQGFRPPLWWHHVHOIHYDOXDWLRQVDQG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6"/>
              </w:rPr>
              <w:t>SHULRGLFXVHRIDWKLUGSDUW\WRIDFLOLWDWHWKH</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HYDOXDWLRQ</w:t>
            </w:r>
          </w:p>
        </w:tc>
      </w:tr>
      <w:tr>
        <w:trPr>
          <w:trHeight w:val="367"/>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5REXVWGLUHFWRURYHUERDUGLQJSROLF\</w:t>
            </w:r>
          </w:p>
        </w:tc>
      </w:tr>
      <w:tr>
        <w:trPr>
          <w:trHeight w:val="352"/>
        </w:trPr>
        <w:tc>
          <w:tcPr>
            <w:tcW w:w="420" w:type="dxa"/>
            <w:vAlign w:val="bottom"/>
            <w:shd w:val="clear" w:color="auto" w:fill="F3F3F1"/>
          </w:tcPr>
          <w:p>
            <w:pPr>
              <w:jc w:val="right"/>
              <w:ind w:right="30"/>
              <w:spacing w:after="0"/>
              <w:rPr>
                <w:sz w:val="20"/>
                <w:szCs w:val="20"/>
                <w:color w:val="auto"/>
              </w:rPr>
            </w:pPr>
            <w:r>
              <w:rPr>
                <w:rFonts w:ascii="PMingLiU" w:cs="PMingLiU" w:eastAsia="PMingLiU" w:hAnsi="PMingLiU"/>
                <w:sz w:val="18"/>
                <w:szCs w:val="18"/>
                <w:b w:val="1"/>
                <w:bCs w:val="1"/>
                <w:color w:val="2D2C36"/>
              </w:rPr>
              <w:t></w:t>
            </w: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8"/>
              </w:rPr>
              <w:t>6KDUHRZQHUVKLSJXLGHOLQHVIRUGLUHFWRUVDQG</w:t>
            </w:r>
          </w:p>
        </w:tc>
      </w:tr>
      <w:tr>
        <w:trPr>
          <w:trHeight w:val="239"/>
        </w:trPr>
        <w:tc>
          <w:tcPr>
            <w:tcW w:w="420" w:type="dxa"/>
            <w:vAlign w:val="bottom"/>
            <w:shd w:val="clear" w:color="auto" w:fill="F3F3F1"/>
          </w:tcPr>
          <w:p>
            <w:pPr>
              <w:spacing w:after="0"/>
              <w:rPr>
                <w:sz w:val="20"/>
                <w:szCs w:val="20"/>
                <w:color w:val="auto"/>
              </w:rPr>
            </w:pPr>
          </w:p>
        </w:tc>
        <w:tc>
          <w:tcPr>
            <w:tcW w:w="45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H[HFXWLYHRIILFHUV</w:t>
            </w:r>
          </w:p>
        </w:tc>
      </w:tr>
      <w:tr>
        <w:trPr>
          <w:trHeight w:val="147"/>
        </w:trPr>
        <w:tc>
          <w:tcPr>
            <w:tcW w:w="420" w:type="dxa"/>
            <w:vAlign w:val="bottom"/>
            <w:shd w:val="clear" w:color="auto" w:fill="F3F3F1"/>
          </w:tcPr>
          <w:p>
            <w:pPr>
              <w:spacing w:after="0"/>
              <w:rPr>
                <w:sz w:val="12"/>
                <w:szCs w:val="12"/>
                <w:color w:val="auto"/>
              </w:rPr>
            </w:pPr>
          </w:p>
        </w:tc>
        <w:tc>
          <w:tcPr>
            <w:tcW w:w="4520" w:type="dxa"/>
            <w:vAlign w:val="bottom"/>
            <w:shd w:val="clear" w:color="auto" w:fill="F3F3F1"/>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243205</wp:posOffset>
            </wp:positionV>
            <wp:extent cx="1386840" cy="2336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160"/>
        <w:spacing w:after="0"/>
        <w:rPr>
          <w:sz w:val="20"/>
          <w:szCs w:val="20"/>
          <w:color w:val="auto"/>
        </w:rPr>
      </w:pPr>
      <w:r>
        <w:rPr>
          <w:rFonts w:ascii="PMingLiU" w:cs="PMingLiU" w:eastAsia="PMingLiU" w:hAnsi="PMingLiU"/>
          <w:sz w:val="20"/>
          <w:szCs w:val="20"/>
          <w:b w:val="1"/>
          <w:bCs w:val="1"/>
          <w:color w:val="FFFFFF"/>
        </w:rPr>
        <w:t>$/,*10(17:,7+6+$5(+2/'(5,17(5(676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 w:type="dxa"/>
            <w:vAlign w:val="bottom"/>
            <w:shd w:val="clear" w:color="auto" w:fill="F3F3F1"/>
          </w:tcPr>
          <w:p>
            <w:pPr>
              <w:spacing w:after="0"/>
              <w:rPr>
                <w:sz w:val="14"/>
                <w:szCs w:val="14"/>
                <w:color w:val="auto"/>
              </w:rPr>
            </w:pPr>
          </w:p>
        </w:tc>
        <w:tc>
          <w:tcPr>
            <w:tcW w:w="4420" w:type="dxa"/>
            <w:vAlign w:val="bottom"/>
            <w:shd w:val="clear" w:color="auto" w:fill="F3F3F1"/>
          </w:tcPr>
          <w:p>
            <w:pPr>
              <w:spacing w:after="0"/>
              <w:rPr>
                <w:sz w:val="14"/>
                <w:szCs w:val="14"/>
                <w:color w:val="auto"/>
              </w:rPr>
            </w:pPr>
          </w:p>
        </w:tc>
      </w:tr>
      <w:tr>
        <w:trPr>
          <w:trHeight w:val="242"/>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8"/>
              </w:rPr>
              <w:t>$FWLYHVKDUHKROGHUHQJDJHPHQWSURJUDPZLWK</w:t>
            </w:r>
          </w:p>
        </w:tc>
      </w:tr>
      <w:tr>
        <w:trPr>
          <w:trHeight w:val="239"/>
        </w:trPr>
        <w:tc>
          <w:tcPr>
            <w:tcW w:w="420" w:type="dxa"/>
            <w:vAlign w:val="bottom"/>
            <w:shd w:val="clear" w:color="auto" w:fill="F3F3F1"/>
          </w:tcPr>
          <w:p>
            <w:pPr>
              <w:spacing w:after="0"/>
              <w:rPr>
                <w:sz w:val="20"/>
                <w:szCs w:val="20"/>
                <w:color w:val="auto"/>
              </w:rPr>
            </w:pP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LQGHSHQGHQWGLUHFWRUSDUWLFLSDWLRQ</w:t>
            </w:r>
          </w:p>
        </w:tc>
      </w:tr>
      <w:tr>
        <w:trPr>
          <w:trHeight w:val="360"/>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96"/>
              </w:rPr>
              <w:t>2XUVKDUHKROGHUVKROGLQJRUPRUHRIRXUWRWDO</w:t>
            </w:r>
          </w:p>
        </w:tc>
      </w:tr>
      <w:tr>
        <w:trPr>
          <w:trHeight w:val="239"/>
        </w:trPr>
        <w:tc>
          <w:tcPr>
            <w:tcW w:w="420" w:type="dxa"/>
            <w:vAlign w:val="bottom"/>
            <w:shd w:val="clear" w:color="auto" w:fill="F3F3F1"/>
          </w:tcPr>
          <w:p>
            <w:pPr>
              <w:spacing w:after="0"/>
              <w:rPr>
                <w:sz w:val="20"/>
                <w:szCs w:val="20"/>
                <w:color w:val="auto"/>
              </w:rPr>
            </w:pP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YRWLQJULJKWVPD\FDOO(*0V</w:t>
            </w:r>
          </w:p>
        </w:tc>
      </w:tr>
      <w:tr>
        <w:trPr>
          <w:trHeight w:val="367"/>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$QWLKHGJLQJSOHGJLQJSROLF\</w:t>
            </w:r>
          </w:p>
        </w:tc>
      </w:tr>
      <w:tr>
        <w:trPr>
          <w:trHeight w:val="359"/>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w w:val="89"/>
              </w:rPr>
              <w:t>1RVKDUHKROGHUULJKWVSODQRUSRLVRQSLOOLQSODFH</w:t>
            </w:r>
          </w:p>
        </w:tc>
      </w:tr>
      <w:tr>
        <w:trPr>
          <w:trHeight w:val="359"/>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$QQXDO6D\RQ3D\9RWH</w:t>
            </w:r>
          </w:p>
        </w:tc>
      </w:tr>
      <w:tr>
        <w:trPr>
          <w:trHeight w:val="359"/>
        </w:trPr>
        <w:tc>
          <w:tcPr>
            <w:tcW w:w="420" w:type="dxa"/>
            <w:vAlign w:val="bottom"/>
            <w:shd w:val="clear" w:color="auto" w:fill="F3F3F1"/>
          </w:tcPr>
          <w:p>
            <w:pPr>
              <w:jc w:val="right"/>
              <w:ind w:right="10"/>
              <w:spacing w:after="0"/>
              <w:rPr>
                <w:sz w:val="20"/>
                <w:szCs w:val="20"/>
                <w:color w:val="auto"/>
              </w:rPr>
            </w:pPr>
            <w:r>
              <w:rPr>
                <w:rFonts w:ascii="PMingLiU" w:cs="PMingLiU" w:eastAsia="PMingLiU" w:hAnsi="PMingLiU"/>
                <w:sz w:val="18"/>
                <w:szCs w:val="18"/>
                <w:b w:val="1"/>
                <w:bCs w:val="1"/>
                <w:color w:val="2D2C36"/>
              </w:rPr>
              <w:t></w:t>
            </w:r>
          </w:p>
        </w:tc>
        <w:tc>
          <w:tcPr>
            <w:tcW w:w="4420" w:type="dxa"/>
            <w:vAlign w:val="bottom"/>
            <w:shd w:val="clear" w:color="auto" w:fill="F3F3F1"/>
          </w:tcPr>
          <w:p>
            <w:pPr>
              <w:ind w:left="100"/>
              <w:spacing w:after="0"/>
              <w:rPr>
                <w:sz w:val="20"/>
                <w:szCs w:val="20"/>
                <w:color w:val="auto"/>
              </w:rPr>
            </w:pPr>
            <w:r>
              <w:rPr>
                <w:rFonts w:ascii="PMingLiU" w:cs="PMingLiU" w:eastAsia="PMingLiU" w:hAnsi="PMingLiU"/>
                <w:sz w:val="18"/>
                <w:szCs w:val="18"/>
                <w:color w:val="2D2C36"/>
              </w:rPr>
              <w:t>&amp;ODZEDFN3ROLF\</w:t>
            </w:r>
          </w:p>
        </w:tc>
      </w:tr>
      <w:tr>
        <w:trPr>
          <w:trHeight w:val="835"/>
        </w:trPr>
        <w:tc>
          <w:tcPr>
            <w:tcW w:w="420" w:type="dxa"/>
            <w:vAlign w:val="bottom"/>
            <w:shd w:val="clear" w:color="auto" w:fill="F3F3F1"/>
          </w:tcPr>
          <w:p>
            <w:pPr>
              <w:spacing w:after="0"/>
              <w:rPr>
                <w:sz w:val="24"/>
                <w:szCs w:val="24"/>
                <w:color w:val="auto"/>
              </w:rPr>
            </w:pPr>
          </w:p>
        </w:tc>
        <w:tc>
          <w:tcPr>
            <w:tcW w:w="4420" w:type="dxa"/>
            <w:vAlign w:val="bottom"/>
            <w:shd w:val="clear" w:color="auto" w:fill="F3F3F1"/>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190500</wp:posOffset>
                </wp:positionV>
                <wp:extent cx="3067050" cy="32385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323850"/>
                        </a:xfrm>
                        <a:prstGeom prst="rect">
                          <a:avLst/>
                        </a:prstGeom>
                        <a:solidFill>
                          <a:srgbClr val="5C004D"/>
                        </a:solidFill>
                      </wps:spPr>
                      <wps:bodyPr/>
                    </wps:wsp>
                  </a:graphicData>
                </a:graphic>
              </wp:anchor>
            </w:drawing>
          </mc:Choice>
          <mc:Fallback>
            <w:pict>
              <v:rect id="Shape 243" o:spid="_x0000_s1268" style="position:absolute;margin-left:0.35pt;margin-top:15pt;width:241.5pt;height: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PMingLiU" w:cs="PMingLiU" w:eastAsia="PMingLiU" w:hAnsi="PMingLiU"/>
          <w:sz w:val="20"/>
          <w:szCs w:val="20"/>
          <w:b w:val="1"/>
          <w:bCs w:val="1"/>
          <w:color w:val="FFFFFF"/>
        </w:rPr>
        <w:t>&amp;203(16$7,2135$&amp;7,&amp;(6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92710</wp:posOffset>
                </wp:positionV>
                <wp:extent cx="3067050" cy="175260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1752600"/>
                        </a:xfrm>
                        <a:prstGeom prst="rect">
                          <a:avLst/>
                        </a:prstGeom>
                        <a:solidFill>
                          <a:srgbClr val="F3F3F1"/>
                        </a:solidFill>
                      </wps:spPr>
                      <wps:bodyPr/>
                    </wps:wsp>
                  </a:graphicData>
                </a:graphic>
              </wp:anchor>
            </w:drawing>
          </mc:Choice>
          <mc:Fallback>
            <w:pict>
              <v:rect id="Shape 244" o:spid="_x0000_s1269" style="position:absolute;margin-left:0.35pt;margin-top:7.3pt;width:241.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293" w:lineRule="exact"/>
        <w:rPr>
          <w:sz w:val="20"/>
          <w:szCs w:val="20"/>
          <w:color w:val="auto"/>
        </w:rPr>
      </w:pPr>
    </w:p>
    <w:p>
      <w:pPr>
        <w:ind w:left="260"/>
        <w:spacing w:after="0"/>
        <w:tabs>
          <w:tab w:leader="none" w:pos="500" w:val="left"/>
        </w:tabs>
        <w:rPr>
          <w:sz w:val="20"/>
          <w:szCs w:val="20"/>
          <w:color w:val="auto"/>
        </w:rPr>
      </w:pPr>
      <w:r>
        <w:rPr>
          <w:rFonts w:ascii="PMingLiU" w:cs="PMingLiU" w:eastAsia="PMingLiU" w:hAnsi="PMingLiU"/>
          <w:sz w:val="18"/>
          <w:szCs w:val="18"/>
          <w:b w:val="1"/>
          <w:bCs w:val="1"/>
          <w:color w:val="2D2C36"/>
        </w:rPr>
        <w:t></w:t>
      </w:r>
      <w:r>
        <w:rPr>
          <w:sz w:val="20"/>
          <w:szCs w:val="20"/>
          <w:color w:val="auto"/>
        </w:rPr>
        <w:tab/>
      </w:r>
      <w:r>
        <w:rPr>
          <w:rFonts w:ascii="PMingLiU" w:cs="PMingLiU" w:eastAsia="PMingLiU" w:hAnsi="PMingLiU"/>
          <w:sz w:val="18"/>
          <w:szCs w:val="18"/>
          <w:color w:val="2D2C36"/>
        </w:rPr>
        <w:t>$QQXDO6D\RQ3D\9RWH</w:t>
      </w:r>
    </w:p>
    <w:p>
      <w:pPr>
        <w:spacing w:after="0" w:line="144" w:lineRule="exact"/>
        <w:rPr>
          <w:sz w:val="20"/>
          <w:szCs w:val="20"/>
          <w:color w:val="auto"/>
        </w:rPr>
      </w:pPr>
    </w:p>
    <w:p>
      <w:pPr>
        <w:ind w:left="520" w:right="560" w:hanging="259"/>
        <w:spacing w:after="0" w:line="398" w:lineRule="auto"/>
        <w:tabs>
          <w:tab w:leader="none" w:pos="500" w:val="left"/>
        </w:tabs>
        <w:rPr>
          <w:sz w:val="20"/>
          <w:szCs w:val="20"/>
          <w:color w:val="auto"/>
        </w:rPr>
      </w:pPr>
      <w:r>
        <w:rPr>
          <w:rFonts w:ascii="PMingLiU" w:cs="PMingLiU" w:eastAsia="PMingLiU" w:hAnsi="PMingLiU"/>
          <w:sz w:val="15"/>
          <w:szCs w:val="15"/>
          <w:b w:val="1"/>
          <w:bCs w:val="1"/>
          <w:color w:val="2D2C36"/>
        </w:rPr>
        <w:t></w:t>
      </w:r>
      <w:r>
        <w:rPr>
          <w:sz w:val="20"/>
          <w:szCs w:val="20"/>
          <w:color w:val="auto"/>
        </w:rPr>
        <w:tab/>
      </w:r>
      <w:r>
        <w:rPr>
          <w:rFonts w:ascii="PMingLiU" w:cs="PMingLiU" w:eastAsia="PMingLiU" w:hAnsi="PMingLiU"/>
          <w:sz w:val="15"/>
          <w:szCs w:val="15"/>
          <w:color w:val="2D2C36"/>
        </w:rPr>
        <w:t>$QQXDOXVHRIHTXLW\DZDUGVZLWKSHUIRUPDQFH EDVHGYHVWLQJ</w:t>
      </w:r>
    </w:p>
    <w:p>
      <w:pPr>
        <w:spacing w:after="0" w:line="2" w:lineRule="exact"/>
        <w:rPr>
          <w:sz w:val="20"/>
          <w:szCs w:val="20"/>
          <w:color w:val="auto"/>
        </w:rPr>
      </w:pPr>
    </w:p>
    <w:p>
      <w:pPr>
        <w:ind w:left="520" w:right="900" w:hanging="259"/>
        <w:spacing w:after="0" w:line="398" w:lineRule="auto"/>
        <w:tabs>
          <w:tab w:leader="none" w:pos="500" w:val="left"/>
        </w:tabs>
        <w:rPr>
          <w:sz w:val="20"/>
          <w:szCs w:val="20"/>
          <w:color w:val="auto"/>
        </w:rPr>
      </w:pPr>
      <w:r>
        <w:rPr>
          <w:rFonts w:ascii="PMingLiU" w:cs="PMingLiU" w:eastAsia="PMingLiU" w:hAnsi="PMingLiU"/>
          <w:sz w:val="15"/>
          <w:szCs w:val="15"/>
          <w:b w:val="1"/>
          <w:bCs w:val="1"/>
          <w:color w:val="2D2C36"/>
        </w:rPr>
        <w:t></w:t>
      </w:r>
      <w:r>
        <w:rPr>
          <w:sz w:val="20"/>
          <w:szCs w:val="20"/>
          <w:color w:val="auto"/>
        </w:rPr>
        <w:tab/>
      </w:r>
      <w:r>
        <w:rPr>
          <w:rFonts w:ascii="PMingLiU" w:cs="PMingLiU" w:eastAsia="PMingLiU" w:hAnsi="PMingLiU"/>
          <w:sz w:val="15"/>
          <w:szCs w:val="15"/>
          <w:color w:val="2D2C36"/>
        </w:rPr>
        <w:t>2XU&amp;RPSHQVDWLRQ&amp;RPPLWWHHHQJDJHVDQ LQGHSHQGHQWFRPSHQVDWLRQFRQVXOWDQW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658495</wp:posOffset>
                </wp:positionV>
                <wp:extent cx="3067050" cy="10477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7050" cy="104775"/>
                        </a:xfrm>
                        <a:prstGeom prst="rect">
                          <a:avLst/>
                        </a:prstGeom>
                        <a:solidFill>
                          <a:srgbClr val="F3F3F1"/>
                        </a:solidFill>
                      </wps:spPr>
                      <wps:bodyPr/>
                    </wps:wsp>
                  </a:graphicData>
                </a:graphic>
              </wp:anchor>
            </w:drawing>
          </mc:Choice>
          <mc:Fallback>
            <w:pict>
              <v:rect id="Shape 245" o:spid="_x0000_s1270" style="position:absolute;margin-left:0.35pt;margin-top:51.85pt;width:241.5pt;height: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1402" w:lineRule="exact"/>
        <w:rPr>
          <w:sz w:val="20"/>
          <w:szCs w:val="20"/>
          <w:color w:val="auto"/>
        </w:rPr>
      </w:pPr>
    </w:p>
    <w:p>
      <w:pPr>
        <w:sectPr>
          <w:pgSz w:w="11880" w:h="15479" w:orient="portrait"/>
          <w:cols w:equalWidth="0" w:num="2">
            <w:col w:w="4940" w:space="300"/>
            <w:col w:w="4840"/>
          </w:cols>
          <w:pgMar w:left="900" w:top="1440" w:right="899" w:bottom="0" w:gutter="0" w:footer="0" w:header="0"/>
          <w:type w:val="continuous"/>
        </w:sectPr>
      </w:pPr>
    </w:p>
    <w:p>
      <w:pPr>
        <w:spacing w:after="0" w:line="207"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1440" w:right="899" w:bottom="0" w:gutter="0" w:footer="0" w:header="0"/>
          <w:type w:val="continuous"/>
        </w:sectPr>
      </w:pPr>
    </w:p>
    <w:bookmarkStart w:id="33" w:name="page34"/>
    <w:bookmarkEnd w:id="3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46" o:spid="_x0000_s1271"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%RDUG&amp;RPSRVLWLRQ</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6"/>
          <w:szCs w:val="16"/>
          <w:color w:val="auto"/>
        </w:rPr>
        <w:t>2XU%RDUGFXUUHQWO\KDVPHPEHUVDQGWKHUHDUHQRYDFDQFLHV7KHVL]HRIRXU%RDUGPD\YDU\DVSURYLGHGE\UHVROXWLRQRI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4"/>
          <w:szCs w:val="14"/>
          <w:color w:val="auto"/>
        </w:rPr>
        <w:t>RXU%RDUGDGRSWHGLQDFFRUGDQFHZLWKRXU&amp;RQVWLWXWLRQ2XU%RDUGDORQJZLWKRXU1RPLQDWLQJ&amp;RPPLWWHHSHULRGLFDOO\UHYLHZV</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8"/>
          <w:szCs w:val="18"/>
          <w:color w:val="auto"/>
        </w:rPr>
        <w:t>WKHDSSURSULDWHVL]HRIRXU%RDUG</w:t>
      </w:r>
    </w:p>
    <w:p>
      <w:pPr>
        <w:spacing w:after="0" w:line="204" w:lineRule="exact"/>
        <w:rPr>
          <w:sz w:val="20"/>
          <w:szCs w:val="20"/>
          <w:color w:val="auto"/>
        </w:rPr>
      </w:pPr>
    </w:p>
    <w:p>
      <w:pPr>
        <w:ind w:right="100"/>
        <w:spacing w:after="0" w:line="392" w:lineRule="auto"/>
        <w:rPr>
          <w:sz w:val="20"/>
          <w:szCs w:val="20"/>
          <w:color w:val="auto"/>
        </w:rPr>
      </w:pPr>
      <w:r>
        <w:rPr>
          <w:rFonts w:ascii="PMingLiU" w:cs="PMingLiU" w:eastAsia="PMingLiU" w:hAnsi="PMingLiU"/>
          <w:sz w:val="14"/>
          <w:szCs w:val="14"/>
          <w:color w:val="auto"/>
        </w:rPr>
        <w:t>2XU%RDUGLVGLYLGHGLQWRWKUHHFODVVHVGHVLJQDWHG&amp;ODVV,&amp;ODVV,,DQG&amp;ODVV,,,WKDWVHUYHVWDJJHUHGWKUHH\HDUWHUPV2XU 1RPLQDWLQJ&amp;RPPLWWHHFRQWLQXHVWREHOLHYHWKDWWKLVVWUXFWXUHLVDSSURSULDWHIRUXVDQGUHPDLQVLQWKHEHVWLQWHUHVWVRIRXU &amp;RPSDQ\DQGLWVVKDUHKROGHUV,QSDUWLFXODURXU1RPLQDWLQJ&amp;RPPLWWHHEHOLHYHVWKDWWKHFODVVLILHGERDUGVWUXFWXUH</w:t>
      </w:r>
    </w:p>
    <w:p>
      <w:pPr>
        <w:spacing w:after="0" w:line="76" w:lineRule="exact"/>
        <w:rPr>
          <w:sz w:val="20"/>
          <w:szCs w:val="20"/>
          <w:color w:val="auto"/>
        </w:rPr>
      </w:pPr>
    </w:p>
    <w:p>
      <w:pPr>
        <w:ind w:left="360" w:right="28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SURPRWHVVWDELOLW\DQGFRQWLQXLW\DOORZLQJRXU%RDUGDQGPDQDJHPHQWWRUHPDLQIRFXVHGRQRXUORQJWHUPVWUDWHJ\DQG YDOXHJHQHUDWLRQIRURXUVKDUHKROGHUV</w:t>
      </w:r>
    </w:p>
    <w:p>
      <w:pPr>
        <w:spacing w:after="0" w:line="2" w:lineRule="exact"/>
        <w:rPr>
          <w:sz w:val="20"/>
          <w:szCs w:val="20"/>
          <w:color w:val="auto"/>
        </w:rPr>
      </w:pPr>
    </w:p>
    <w:p>
      <w:pPr>
        <w:ind w:left="360" w:right="180" w:hanging="279"/>
        <w:spacing w:after="0" w:line="460"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SUHVHUYHVWKHVNLOOVHWSUHVHQWRQRXU%RDUGDQGDOORZVIRUWKHGHYHORSPHQWRILWVGLUHFWRUV¶LQVWLWXWLRQDONQRZOHGJHZKLFK LVSDUWLFXODUO\LPSRUWDQWLQRXULQGXVWU\JLYHQWKHPXOWL\HDUOLIHF\FOHVRIRXUSURGXFWGHYHORSPHQWSURJUDPVDQG</w:t>
      </w:r>
    </w:p>
    <w:p>
      <w:pPr>
        <w:spacing w:after="0" w:line="1" w:lineRule="exact"/>
        <w:rPr>
          <w:sz w:val="20"/>
          <w:szCs w:val="20"/>
          <w:color w:val="auto"/>
        </w:rPr>
      </w:pPr>
    </w:p>
    <w:p>
      <w:pPr>
        <w:ind w:left="360" w:right="720" w:hanging="279"/>
        <w:spacing w:after="0" w:line="443"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HQKDQFHVGLUHFWRULQGHSHQGHQFHE\GHFUHDVLQJSUHVVXUHVIURPVSHFLDOLQWHUHVWJURXSVWKDWPLJKWKDYHVKRUWWHUP DJHQGDVFRQWUDU\WRWKHORQJWHUPLQWHUHVWVRIRXUVKDUHKROGHUV</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:KLOHZHUHFRJQL]HWKDWVRPHVKDUHKROGHUVPD\VHHWKLVVWUXFWXUHDVFUHDWLQJDQHQWUHQFKPHQWULVNZHEHOLHYHWKLVULVNLV</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PLWLJDWHGE\WKHVWDWXWRU\ULJKWRIVKDUHKROGHUVRIDQ,ULVKLQFRUSRUDWHGFRPSDQ\WRUHPRYHGLUHFWRUVDQGUHSODFHDQ\ERDUG</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8"/>
          <w:szCs w:val="18"/>
          <w:color w:val="auto"/>
        </w:rPr>
        <w:t>YDFDQFLHVFUHDWHGE\VXFKUHPRYDOXQGHU,ULVKODZ</w:t>
      </w:r>
    </w:p>
    <w:p>
      <w:pPr>
        <w:spacing w:after="0" w:line="204" w:lineRule="exact"/>
        <w:rPr>
          <w:sz w:val="20"/>
          <w:szCs w:val="20"/>
          <w:color w:val="auto"/>
        </w:rPr>
      </w:pPr>
    </w:p>
    <w:p>
      <w:pPr>
        <w:ind w:right="140"/>
        <w:spacing w:after="0" w:line="362" w:lineRule="auto"/>
        <w:rPr>
          <w:sz w:val="20"/>
          <w:szCs w:val="20"/>
          <w:color w:val="auto"/>
        </w:rPr>
      </w:pPr>
      <w:r>
        <w:rPr>
          <w:rFonts w:ascii="PMingLiU" w:cs="PMingLiU" w:eastAsia="PMingLiU" w:hAnsi="PMingLiU"/>
          <w:sz w:val="14"/>
          <w:szCs w:val="14"/>
          <w:color w:val="auto"/>
        </w:rPr>
        <w:t>2XU%RDUG¶VOHDGHUVKLSVWUXFWXUHSURYLGHVIRUD&amp;KDLUSHUVRQVHOHFWHGE\WKHPHPEHUVRIWKH%RDUGDQGD/,'ZKHUHWKH &amp;KDLUSHUVRQLVQRQLQGHSHQGHQW2XULQGHSHQGHQWGLUHFWRUVHOHFWRXU/,'XSRQWKHUHFRPPHQGDWLRQRIWKH1RPLQDWLQJ &amp;RPPLWWHHDVGHVFULEHGLQRXU&amp;RUSRUDWH*RYHUQDQFH*XLGHOLQHV2XU%RDUGEHOLHYHVWKDWKDYLQJD/,'KHOSVHQVXUHWKH HIIHFWLYHLQGHSHQGHQWIXQFWLRQLQJRIWKH%RDUGLQLWVRYHUVLJKWUHVSRQVLELOLWLHV2XU%RDUGSHULRGLFDOO\UHYLHZVLWVOHDGHUVKLS VWUXFWXUHLQFOXGLQJWKH&amp;KDLUSHUVRQDQG/,'UROHVWRHQVXUHWKDWWKHVWUXFWXUHFRQWLQXHVWRSURPRWHWKHDSSURSULDWHH[HUFLVH RILQGHSHQGHQWMXGJPHQWE\RXU%RDUG</w:t>
      </w:r>
    </w:p>
    <w:p>
      <w:pPr>
        <w:spacing w:after="0" w:line="97"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9DFDQFLHVRQRXU%RDUGLQFOXGLQJDYDFDQF\WKDWUHVXOWVIURPDQLQFUHDVHLQWKHDXWKRUL]HGQXPEHURIGLUHFWRUVPD\EHILOOHG RQO\E\WKHDIILUPDWLYHYRWHRIDPDMRULW\RIWKHGLUHFWRUVWKHQLQRIILFHSURYLGHGWKDWDTXRUXPLVSUHVHQWDWWKHUHOHYDQWERDUG PHHWLQJ$GLUHFWRUHOHFWHGE\RXU%RDUGWRILOODYDFDQF\LQDFODVVZLOOVHUYHIRUWKHUHPDLQGHURIWKHIXOOWHUPRIWKDWFODVV DQGXQWLOWKHGLUHFWRU¶VVXFFHVVRULVHOHFWHGDQGTXDOLILHGRULIVRRQHUXQWLOKLVRUKHUGHDWKUHVLJQDWLRQUHWLUHPHQW</w:t>
      </w:r>
    </w:p>
    <w:p>
      <w:pPr>
        <w:spacing w:after="0" w:line="1" w:lineRule="exact"/>
        <w:rPr>
          <w:sz w:val="20"/>
          <w:szCs w:val="20"/>
          <w:color w:val="auto"/>
        </w:rPr>
      </w:pPr>
    </w:p>
    <w:p>
      <w:pPr>
        <w:ind w:right="240"/>
        <w:spacing w:after="0" w:line="392" w:lineRule="auto"/>
        <w:rPr>
          <w:sz w:val="20"/>
          <w:szCs w:val="20"/>
          <w:color w:val="auto"/>
        </w:rPr>
      </w:pPr>
      <w:r>
        <w:rPr>
          <w:rFonts w:ascii="PMingLiU" w:cs="PMingLiU" w:eastAsia="PMingLiU" w:hAnsi="PMingLiU"/>
          <w:sz w:val="14"/>
          <w:szCs w:val="14"/>
          <w:color w:val="auto"/>
        </w:rPr>
        <w:t>GLVTXDOLILFDWLRQRUUHPRYDO8QGHURXU&amp;RQVWLWXWLRQLIWKHQXPEHURIGLUHFWRUVLVLQFUHDVHGGLUHFWRUVDUHDSSRUWLRQHGDPRQJ WKHFODVVHVWRPDLQWDLQWKHQXPEHURIGLUHFWRUVLQHDFKFODVVDVQHDUO\HTXDODVSRVVLEOHRUDVRXU&amp;KDLUSHUVRQPD\ RWKHUZLVHGLUHFW</w:t>
      </w:r>
    </w:p>
    <w:p>
      <w:pPr>
        <w:spacing w:after="0" w:line="97"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%RDUG/HDGHUVKLS6WUXFWXUH</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467"/>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40"/>
                <w:szCs w:val="40"/>
                <w:b w:val="1"/>
                <w:bCs w:val="1"/>
                <w:color w:val="000046"/>
              </w:rPr>
              <w:t>&amp;KDLUSHUVRQ</w:t>
            </w:r>
          </w:p>
        </w:tc>
        <w:tc>
          <w:tcPr>
            <w:tcW w:w="6600" w:type="dxa"/>
            <w:vAlign w:val="bottom"/>
          </w:tcPr>
          <w:p>
            <w:pPr>
              <w:ind w:left="280"/>
              <w:spacing w:after="0"/>
              <w:rPr>
                <w:sz w:val="20"/>
                <w:szCs w:val="20"/>
                <w:color w:val="auto"/>
              </w:rPr>
            </w:pPr>
            <w:r>
              <w:rPr>
                <w:rFonts w:ascii="PMingLiU" w:cs="PMingLiU" w:eastAsia="PMingLiU" w:hAnsi="PMingLiU"/>
                <w:sz w:val="18"/>
                <w:szCs w:val="18"/>
                <w:color w:val="auto"/>
                <w:w w:val="86"/>
              </w:rPr>
              <w:t>0U&amp;R]DGGFXUUHQWO\VHUYHVDVRXU&amp;KDLUSHUVRQDQGSUHYLRXVO\VHUYHGDVRXU</w:t>
            </w:r>
          </w:p>
        </w:tc>
        <w:tc>
          <w:tcPr>
            <w:tcW w:w="0" w:type="dxa"/>
            <w:vAlign w:val="bottom"/>
          </w:tcPr>
          <w:p>
            <w:pPr>
              <w:spacing w:after="0"/>
              <w:rPr>
                <w:sz w:val="1"/>
                <w:szCs w:val="1"/>
                <w:color w:val="auto"/>
              </w:rPr>
            </w:pPr>
          </w:p>
        </w:tc>
      </w:tr>
      <w:tr>
        <w:trPr>
          <w:trHeight w:val="181"/>
        </w:trPr>
        <w:tc>
          <w:tcPr>
            <w:tcW w:w="3400" w:type="dxa"/>
            <w:vAlign w:val="bottom"/>
            <w:vMerge w:val="continue"/>
            <w:shd w:val="clear" w:color="auto" w:fill="F3F3F1"/>
          </w:tcPr>
          <w:p>
            <w:pPr>
              <w:spacing w:after="0"/>
              <w:rPr>
                <w:sz w:val="15"/>
                <w:szCs w:val="15"/>
                <w:color w:val="auto"/>
              </w:rPr>
            </w:pPr>
          </w:p>
        </w:tc>
        <w:tc>
          <w:tcPr>
            <w:tcW w:w="6600" w:type="dxa"/>
            <w:vAlign w:val="bottom"/>
          </w:tcPr>
          <w:p>
            <w:pPr>
              <w:ind w:left="280"/>
              <w:spacing w:after="0" w:line="181" w:lineRule="exact"/>
              <w:rPr>
                <w:sz w:val="20"/>
                <w:szCs w:val="20"/>
                <w:color w:val="auto"/>
              </w:rPr>
            </w:pPr>
            <w:r>
              <w:rPr>
                <w:rFonts w:ascii="PMingLiU" w:cs="PMingLiU" w:eastAsia="PMingLiU" w:hAnsi="PMingLiU"/>
                <w:sz w:val="18"/>
                <w:szCs w:val="18"/>
                <w:color w:val="auto"/>
              </w:rPr>
              <w:t>&amp;(2IURPWKHFORVLQJRIWKH$]XU0HUJHULQ-DQXDU\XQWLO$XJXVW</w:t>
            </w:r>
          </w:p>
        </w:tc>
        <w:tc>
          <w:tcPr>
            <w:tcW w:w="0" w:type="dxa"/>
            <w:vAlign w:val="bottom"/>
          </w:tcPr>
          <w:p>
            <w:pPr>
              <w:spacing w:after="0"/>
              <w:rPr>
                <w:sz w:val="1"/>
                <w:szCs w:val="1"/>
                <w:color w:val="auto"/>
              </w:rPr>
            </w:pPr>
          </w:p>
        </w:tc>
      </w:tr>
      <w:tr>
        <w:trPr>
          <w:trHeight w:val="297"/>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40"/>
                <w:szCs w:val="40"/>
                <w:b w:val="1"/>
                <w:bCs w:val="1"/>
                <w:color w:val="000046"/>
              </w:rPr>
              <w:t>RIRXU%RDUG</w:t>
            </w:r>
          </w:p>
        </w:tc>
        <w:tc>
          <w:tcPr>
            <w:tcW w:w="6600" w:type="dxa"/>
            <w:vAlign w:val="bottom"/>
          </w:tcPr>
          <w:p>
            <w:pPr>
              <w:ind w:left="280"/>
              <w:spacing w:after="0"/>
              <w:rPr>
                <w:sz w:val="20"/>
                <w:szCs w:val="20"/>
                <w:color w:val="auto"/>
              </w:rPr>
            </w:pPr>
            <w:r>
              <w:rPr>
                <w:rFonts w:ascii="PMingLiU" w:cs="PMingLiU" w:eastAsia="PMingLiU" w:hAnsi="PMingLiU"/>
                <w:sz w:val="18"/>
                <w:szCs w:val="18"/>
                <w:color w:val="auto"/>
                <w:w w:val="98"/>
              </w:rPr>
              <w:t>IROORZLQJZKLFKKHVHUYHGLQDWUDQVLWLRQUROHWKURXJK6HSWHPEHU</w:t>
            </w:r>
          </w:p>
        </w:tc>
        <w:tc>
          <w:tcPr>
            <w:tcW w:w="0" w:type="dxa"/>
            <w:vAlign w:val="bottom"/>
          </w:tcPr>
          <w:p>
            <w:pPr>
              <w:spacing w:after="0"/>
              <w:rPr>
                <w:sz w:val="1"/>
                <w:szCs w:val="1"/>
                <w:color w:val="auto"/>
              </w:rPr>
            </w:pPr>
          </w:p>
        </w:tc>
      </w:tr>
      <w:tr>
        <w:trPr>
          <w:trHeight w:val="240"/>
        </w:trPr>
        <w:tc>
          <w:tcPr>
            <w:tcW w:w="3400" w:type="dxa"/>
            <w:vAlign w:val="bottom"/>
            <w:vMerge w:val="continue"/>
            <w:shd w:val="clear" w:color="auto" w:fill="F3F3F1"/>
          </w:tcPr>
          <w:p>
            <w:pPr>
              <w:spacing w:after="0"/>
              <w:rPr>
                <w:sz w:val="20"/>
                <w:szCs w:val="20"/>
                <w:color w:val="auto"/>
              </w:rPr>
            </w:pPr>
          </w:p>
        </w:tc>
        <w:tc>
          <w:tcPr>
            <w:tcW w:w="6600" w:type="dxa"/>
            <w:vAlign w:val="bottom"/>
          </w:tcPr>
          <w:p>
            <w:pPr>
              <w:ind w:left="280"/>
              <w:spacing w:after="0"/>
              <w:rPr>
                <w:sz w:val="20"/>
                <w:szCs w:val="20"/>
                <w:color w:val="auto"/>
              </w:rPr>
            </w:pPr>
            <w:r>
              <w:rPr>
                <w:rFonts w:ascii="PMingLiU" w:cs="PMingLiU" w:eastAsia="PMingLiU" w:hAnsi="PMingLiU"/>
                <w:sz w:val="18"/>
                <w:szCs w:val="18"/>
                <w:color w:val="auto"/>
              </w:rPr>
              <w:t>DQGVXEVHTXHQWO\UHWLUHG)ROORZLQJKLVUHWLUHPHQW0U&amp;R]DGG</w:t>
            </w:r>
          </w:p>
        </w:tc>
        <w:tc>
          <w:tcPr>
            <w:tcW w:w="0" w:type="dxa"/>
            <w:vAlign w:val="bottom"/>
          </w:tcPr>
          <w:p>
            <w:pPr>
              <w:spacing w:after="0"/>
              <w:rPr>
                <w:sz w:val="1"/>
                <w:szCs w:val="1"/>
                <w:color w:val="auto"/>
              </w:rPr>
            </w:pPr>
          </w:p>
        </w:tc>
      </w:tr>
      <w:tr>
        <w:trPr>
          <w:trHeight w:val="239"/>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&amp;855(17&amp;+$,53(5621</w:t>
            </w:r>
          </w:p>
        </w:tc>
        <w:tc>
          <w:tcPr>
            <w:tcW w:w="6600" w:type="dxa"/>
            <w:vAlign w:val="bottom"/>
          </w:tcPr>
          <w:p>
            <w:pPr>
              <w:ind w:left="280"/>
              <w:spacing w:after="0"/>
              <w:rPr>
                <w:sz w:val="20"/>
                <w:szCs w:val="20"/>
                <w:color w:val="auto"/>
              </w:rPr>
            </w:pPr>
            <w:r>
              <w:rPr>
                <w:rFonts w:ascii="PMingLiU" w:cs="PMingLiU" w:eastAsia="PMingLiU" w:hAnsi="PMingLiU"/>
                <w:sz w:val="18"/>
                <w:szCs w:val="18"/>
                <w:color w:val="auto"/>
                <w:w w:val="88"/>
              </w:rPr>
              <w:t>FRQWLQXHVWRVHUYHDVRXU&amp;KDLUSHUVRQSURYLGLQJRXU&amp;RPSDQ\ZLWKRQJRLQJ</w:t>
            </w:r>
          </w:p>
        </w:tc>
        <w:tc>
          <w:tcPr>
            <w:tcW w:w="0" w:type="dxa"/>
            <w:vAlign w:val="bottom"/>
          </w:tcPr>
          <w:p>
            <w:pPr>
              <w:spacing w:after="0"/>
              <w:rPr>
                <w:sz w:val="1"/>
                <w:szCs w:val="1"/>
                <w:color w:val="auto"/>
              </w:rPr>
            </w:pPr>
          </w:p>
        </w:tc>
      </w:tr>
      <w:tr>
        <w:trPr>
          <w:trHeight w:val="239"/>
        </w:trPr>
        <w:tc>
          <w:tcPr>
            <w:tcW w:w="3400" w:type="dxa"/>
            <w:vAlign w:val="bottom"/>
            <w:vMerge w:val="continue"/>
            <w:shd w:val="clear" w:color="auto" w:fill="F3F3F1"/>
          </w:tcPr>
          <w:p>
            <w:pPr>
              <w:spacing w:after="0"/>
              <w:rPr>
                <w:sz w:val="20"/>
                <w:szCs w:val="20"/>
                <w:color w:val="auto"/>
              </w:rPr>
            </w:pPr>
          </w:p>
        </w:tc>
        <w:tc>
          <w:tcPr>
            <w:tcW w:w="6600" w:type="dxa"/>
            <w:vAlign w:val="bottom"/>
          </w:tcPr>
          <w:p>
            <w:pPr>
              <w:ind w:left="280"/>
              <w:spacing w:after="0"/>
              <w:rPr>
                <w:sz w:val="20"/>
                <w:szCs w:val="20"/>
                <w:color w:val="auto"/>
              </w:rPr>
            </w:pPr>
            <w:r>
              <w:rPr>
                <w:rFonts w:ascii="PMingLiU" w:cs="PMingLiU" w:eastAsia="PMingLiU" w:hAnsi="PMingLiU"/>
                <w:sz w:val="18"/>
                <w:szCs w:val="18"/>
                <w:color w:val="auto"/>
              </w:rPr>
              <w:t>OHDGHUVKLSDQGVWUDWHJLFJXLGDQFH</w:t>
            </w:r>
          </w:p>
        </w:tc>
        <w:tc>
          <w:tcPr>
            <w:tcW w:w="0" w:type="dxa"/>
            <w:vAlign w:val="bottom"/>
          </w:tcPr>
          <w:p>
            <w:pPr>
              <w:spacing w:after="0"/>
              <w:rPr>
                <w:sz w:val="1"/>
                <w:szCs w:val="1"/>
                <w:color w:val="auto"/>
              </w:rPr>
            </w:pPr>
          </w:p>
        </w:tc>
      </w:tr>
      <w:tr>
        <w:trPr>
          <w:trHeight w:val="419"/>
        </w:trPr>
        <w:tc>
          <w:tcPr>
            <w:tcW w:w="3400" w:type="dxa"/>
            <w:vAlign w:val="bottom"/>
            <w:shd w:val="clear" w:color="auto" w:fill="F3F3F1"/>
          </w:tcPr>
          <w:p>
            <w:pPr>
              <w:spacing w:after="0"/>
              <w:rPr>
                <w:sz w:val="24"/>
                <w:szCs w:val="24"/>
                <w:color w:val="auto"/>
              </w:rPr>
            </w:pPr>
          </w:p>
        </w:tc>
        <w:tc>
          <w:tcPr>
            <w:tcW w:w="6600" w:type="dxa"/>
            <w:vAlign w:val="bottom"/>
          </w:tcPr>
          <w:p>
            <w:pPr>
              <w:ind w:left="280"/>
              <w:spacing w:after="0"/>
              <w:rPr>
                <w:sz w:val="20"/>
                <w:szCs w:val="20"/>
                <w:color w:val="auto"/>
              </w:rPr>
            </w:pPr>
            <w:r>
              <w:rPr>
                <w:rFonts w:ascii="PMingLiU" w:cs="PMingLiU" w:eastAsia="PMingLiU" w:hAnsi="PMingLiU"/>
                <w:sz w:val="18"/>
                <w:szCs w:val="18"/>
                <w:color w:val="auto"/>
                <w:w w:val="91"/>
              </w:rPr>
              <w:t>0U&amp;R]DGG¶VZHDOWKRIFRPPHUFLDOLQGXVWU\H[SHULHQFHWRJHWKHUZLWKKLV</w:t>
            </w: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6600" w:type="dxa"/>
            <w:vAlign w:val="bottom"/>
          </w:tcPr>
          <w:p>
            <w:pPr>
              <w:ind w:left="280"/>
              <w:spacing w:after="0"/>
              <w:rPr>
                <w:sz w:val="20"/>
                <w:szCs w:val="20"/>
                <w:color w:val="auto"/>
              </w:rPr>
            </w:pPr>
            <w:r>
              <w:rPr>
                <w:rFonts w:ascii="PMingLiU" w:cs="PMingLiU" w:eastAsia="PMingLiU" w:hAnsi="PMingLiU"/>
                <w:sz w:val="18"/>
                <w:szCs w:val="18"/>
                <w:color w:val="auto"/>
                <w:w w:val="85"/>
              </w:rPr>
              <w:t>XQLTXHNQRZOHGJHRIRXUEXVLQHVVPHDQVKHLVZHOOSRVLWLRQHGWRVHUYHDVRXU</w:t>
            </w: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6600" w:type="dxa"/>
            <w:vAlign w:val="bottom"/>
          </w:tcPr>
          <w:p>
            <w:pPr>
              <w:ind w:left="280"/>
              <w:spacing w:after="0"/>
              <w:rPr>
                <w:sz w:val="20"/>
                <w:szCs w:val="20"/>
                <w:color w:val="auto"/>
              </w:rPr>
            </w:pPr>
            <w:r>
              <w:rPr>
                <w:rFonts w:ascii="PMingLiU" w:cs="PMingLiU" w:eastAsia="PMingLiU" w:hAnsi="PMingLiU"/>
                <w:sz w:val="18"/>
                <w:szCs w:val="18"/>
                <w:color w:val="auto"/>
              </w:rPr>
              <w:t>&amp;KDLUSHUVRQ</w:t>
            </w:r>
          </w:p>
        </w:tc>
        <w:tc>
          <w:tcPr>
            <w:tcW w:w="0" w:type="dxa"/>
            <w:vAlign w:val="bottom"/>
          </w:tcPr>
          <w:p>
            <w:pPr>
              <w:spacing w:after="0"/>
              <w:rPr>
                <w:sz w:val="1"/>
                <w:szCs w:val="1"/>
                <w:color w:val="auto"/>
              </w:rPr>
            </w:pPr>
          </w:p>
        </w:tc>
      </w:tr>
      <w:tr>
        <w:trPr>
          <w:trHeight w:val="379"/>
        </w:trPr>
        <w:tc>
          <w:tcPr>
            <w:tcW w:w="340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%UXFH&amp;&amp;R]DGG</w:t>
            </w: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400" w:type="dxa"/>
            <w:vAlign w:val="bottom"/>
            <w:shd w:val="clear" w:color="auto" w:fill="F3F3F1"/>
          </w:tcPr>
          <w:p>
            <w:pPr>
              <w:spacing w:after="0"/>
              <w:rPr>
                <w:sz w:val="24"/>
                <w:szCs w:val="24"/>
                <w:color w:val="auto"/>
              </w:rPr>
            </w:pP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-1107440</wp:posOffset>
            </wp:positionV>
            <wp:extent cx="585470" cy="5854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09">
                      <a:extLst>
                        <a:ext uri="{28A0092B-C50C-407E-A947-70E740481C1C}"/>
                      </a:extLst>
                    </a:blip>
                    <a:srcRect/>
                    <a:stretch>
                      <a:fillRect/>
                    </a:stretch>
                  </pic:blipFill>
                  <pic:spPr bwMode="auto">
                    <a:xfrm>
                      <a:off x="0" y="0"/>
                      <a:ext cx="585470" cy="5854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-165735</wp:posOffset>
            </wp:positionV>
            <wp:extent cx="180467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10">
                      <a:extLst>
                        <a:ext uri="{28A0092B-C50C-407E-A947-70E740481C1C}"/>
                      </a:extLst>
                    </a:blip>
                    <a:srcRect/>
                    <a:stretch>
                      <a:fillRect/>
                    </a:stretch>
                  </pic:blipFill>
                  <pic:spPr bwMode="auto">
                    <a:xfrm>
                      <a:off x="0" y="0"/>
                      <a:ext cx="1804670" cy="3683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633730</wp:posOffset>
            </wp:positionV>
            <wp:extent cx="1386840" cy="233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1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578"/>
        </w:trPr>
        <w:tc>
          <w:tcPr>
            <w:tcW w:w="3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40" w:type="dxa"/>
            <w:vAlign w:val="bottom"/>
            <w:shd w:val="clear" w:color="auto" w:fill="5C004D"/>
          </w:tcPr>
          <w:p>
            <w:pPr>
              <w:jc w:val="right"/>
              <w:ind w:right="40"/>
              <w:spacing w:after="0"/>
              <w:rPr>
                <w:sz w:val="20"/>
                <w:szCs w:val="20"/>
                <w:color w:val="auto"/>
              </w:rPr>
            </w:pPr>
            <w:r>
              <w:rPr>
                <w:rFonts w:ascii="PMingLiU" w:cs="PMingLiU" w:eastAsia="PMingLiU" w:hAnsi="PMingLiU"/>
                <w:sz w:val="16"/>
                <w:szCs w:val="16"/>
                <w:b w:val="1"/>
                <w:bCs w:val="1"/>
                <w:color w:val="FFFFFF"/>
              </w:rPr>
              <w:t>&amp;25325$7(*29(51$1&amp;(</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4240" w:type="dxa"/>
            <w:vAlign w:val="bottom"/>
            <w:gridSpan w:val="2"/>
          </w:tcPr>
          <w:p>
            <w:pPr>
              <w:spacing w:after="0"/>
              <w:rPr>
                <w:sz w:val="5"/>
                <w:szCs w:val="5"/>
                <w:color w:val="auto"/>
              </w:rPr>
            </w:pPr>
          </w:p>
        </w:tc>
        <w:tc>
          <w:tcPr>
            <w:tcW w:w="2440" w:type="dxa"/>
            <w:vAlign w:val="bottom"/>
            <w:shd w:val="clear" w:color="auto" w:fill="5C004D"/>
          </w:tcPr>
          <w:p>
            <w:pPr>
              <w:spacing w:after="0"/>
              <w:rPr>
                <w:sz w:val="5"/>
                <w:szCs w:val="5"/>
                <w:color w:val="auto"/>
              </w:rPr>
            </w:pPr>
          </w:p>
        </w:tc>
        <w:tc>
          <w:tcPr>
            <w:tcW w:w="0" w:type="dxa"/>
            <w:vAlign w:val="bottom"/>
          </w:tcPr>
          <w:p>
            <w:pPr>
              <w:spacing w:after="0"/>
              <w:rPr>
                <w:sz w:val="1"/>
                <w:szCs w:val="1"/>
                <w:color w:val="auto"/>
              </w:rPr>
            </w:pPr>
          </w:p>
        </w:tc>
      </w:tr>
      <w:tr>
        <w:trPr>
          <w:trHeight w:val="420"/>
        </w:trPr>
        <w:tc>
          <w:tcPr>
            <w:tcW w:w="3400" w:type="dxa"/>
            <w:vAlign w:val="bottom"/>
          </w:tcPr>
          <w:p>
            <w:pPr>
              <w:spacing w:after="0"/>
              <w:rPr>
                <w:sz w:val="24"/>
                <w:szCs w:val="24"/>
                <w:color w:val="auto"/>
              </w:rPr>
            </w:pPr>
          </w:p>
        </w:tc>
        <w:tc>
          <w:tcPr>
            <w:tcW w:w="6680" w:type="dxa"/>
            <w:vAlign w:val="bottom"/>
            <w:gridSpan w:val="3"/>
            <w:vMerge w:val="restart"/>
          </w:tcPr>
          <w:p>
            <w:pPr>
              <w:ind w:left="280"/>
              <w:spacing w:after="0"/>
              <w:rPr>
                <w:sz w:val="20"/>
                <w:szCs w:val="20"/>
                <w:color w:val="auto"/>
              </w:rPr>
            </w:pPr>
            <w:r>
              <w:rPr>
                <w:rFonts w:ascii="PMingLiU" w:cs="PMingLiU" w:eastAsia="PMingLiU" w:hAnsi="PMingLiU"/>
                <w:sz w:val="18"/>
                <w:szCs w:val="18"/>
                <w:color w:val="auto"/>
                <w:w w:val="96"/>
              </w:rPr>
              <w:t>0U:LQQLQJKDPFXUUHQWO\VHUYHVDVRXU/,'$VRXWOLQHGLQRXU&amp;RUSRUDWH</w:t>
            </w:r>
          </w:p>
        </w:tc>
        <w:tc>
          <w:tcPr>
            <w:tcW w:w="0" w:type="dxa"/>
            <w:vAlign w:val="bottom"/>
          </w:tcPr>
          <w:p>
            <w:pPr>
              <w:spacing w:after="0"/>
              <w:rPr>
                <w:sz w:val="1"/>
                <w:szCs w:val="1"/>
                <w:color w:val="auto"/>
              </w:rPr>
            </w:pPr>
          </w:p>
        </w:tc>
      </w:tr>
      <w:tr>
        <w:trPr>
          <w:trHeight w:val="225"/>
        </w:trPr>
        <w:tc>
          <w:tcPr>
            <w:tcW w:w="3400" w:type="dxa"/>
            <w:vAlign w:val="bottom"/>
            <w:shd w:val="clear" w:color="auto" w:fill="F3F3F1"/>
          </w:tcPr>
          <w:p>
            <w:pPr>
              <w:spacing w:after="0"/>
              <w:rPr>
                <w:sz w:val="19"/>
                <w:szCs w:val="19"/>
                <w:color w:val="auto"/>
              </w:rPr>
            </w:pPr>
          </w:p>
        </w:tc>
        <w:tc>
          <w:tcPr>
            <w:tcW w:w="6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0" w:type="dxa"/>
            <w:vAlign w:val="bottom"/>
            <w:vMerge w:val="restart"/>
            <w:shd w:val="clear" w:color="auto" w:fill="F3F3F1"/>
          </w:tcPr>
          <w:p>
            <w:pPr>
              <w:ind w:left="280"/>
              <w:spacing w:after="0" w:line="422" w:lineRule="exact"/>
              <w:rPr>
                <w:sz w:val="20"/>
                <w:szCs w:val="20"/>
                <w:color w:val="auto"/>
              </w:rPr>
            </w:pPr>
            <w:r>
              <w:rPr>
                <w:rFonts w:ascii="PMingLiU" w:cs="PMingLiU" w:eastAsia="PMingLiU" w:hAnsi="PMingLiU"/>
                <w:sz w:val="40"/>
                <w:szCs w:val="40"/>
                <w:b w:val="1"/>
                <w:bCs w:val="1"/>
                <w:color w:val="000046"/>
              </w:rPr>
              <w:t>/HDG</w:t>
            </w:r>
          </w:p>
        </w:tc>
        <w:tc>
          <w:tcPr>
            <w:tcW w:w="66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400" w:type="dxa"/>
            <w:vAlign w:val="bottom"/>
            <w:vMerge w:val="continue"/>
            <w:shd w:val="clear" w:color="auto" w:fill="F3F3F1"/>
          </w:tcPr>
          <w:p>
            <w:pPr>
              <w:spacing w:after="0"/>
              <w:rPr>
                <w:sz w:val="15"/>
                <w:szCs w:val="15"/>
                <w:color w:val="auto"/>
              </w:rPr>
            </w:pPr>
          </w:p>
        </w:tc>
        <w:tc>
          <w:tcPr>
            <w:tcW w:w="6680" w:type="dxa"/>
            <w:vAlign w:val="bottom"/>
            <w:gridSpan w:val="3"/>
          </w:tcPr>
          <w:p>
            <w:pPr>
              <w:ind w:left="280"/>
              <w:spacing w:after="0" w:line="181" w:lineRule="exact"/>
              <w:rPr>
                <w:sz w:val="20"/>
                <w:szCs w:val="20"/>
                <w:color w:val="auto"/>
              </w:rPr>
            </w:pPr>
            <w:r>
              <w:rPr>
                <w:rFonts w:ascii="PMingLiU" w:cs="PMingLiU" w:eastAsia="PMingLiU" w:hAnsi="PMingLiU"/>
                <w:sz w:val="18"/>
                <w:szCs w:val="18"/>
                <w:color w:val="auto"/>
              </w:rPr>
              <w:t>*RYHUQDQFH*XLGHOLQHVRXU/,'LVUHVSRQVLEOHIRU</w:t>
            </w:r>
          </w:p>
        </w:tc>
        <w:tc>
          <w:tcPr>
            <w:tcW w:w="0" w:type="dxa"/>
            <w:vAlign w:val="bottom"/>
          </w:tcPr>
          <w:p>
            <w:pPr>
              <w:spacing w:after="0"/>
              <w:rPr>
                <w:sz w:val="1"/>
                <w:szCs w:val="1"/>
                <w:color w:val="auto"/>
              </w:rPr>
            </w:pPr>
          </w:p>
        </w:tc>
      </w:tr>
      <w:tr>
        <w:trPr>
          <w:trHeight w:val="359"/>
        </w:trPr>
        <w:tc>
          <w:tcPr>
            <w:tcW w:w="3400" w:type="dxa"/>
            <w:vAlign w:val="bottom"/>
            <w:shd w:val="clear" w:color="auto" w:fill="F3F3F1"/>
          </w:tcPr>
          <w:p>
            <w:pPr>
              <w:ind w:left="280"/>
              <w:spacing w:after="0" w:line="359" w:lineRule="exact"/>
              <w:rPr>
                <w:sz w:val="20"/>
                <w:szCs w:val="20"/>
                <w:color w:val="auto"/>
              </w:rPr>
            </w:pPr>
            <w:r>
              <w:rPr>
                <w:rFonts w:ascii="PMingLiU" w:cs="PMingLiU" w:eastAsia="PMingLiU" w:hAnsi="PMingLiU"/>
                <w:sz w:val="39"/>
                <w:szCs w:val="39"/>
                <w:b w:val="1"/>
                <w:bCs w:val="1"/>
                <w:color w:val="000046"/>
              </w:rPr>
              <w:t>,QGHSHQGHQW</w:t>
            </w:r>
          </w:p>
        </w:tc>
        <w:tc>
          <w:tcPr>
            <w:tcW w:w="540" w:type="dxa"/>
            <w:vAlign w:val="bottom"/>
            <w:vMerge w:val="restart"/>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vMerge w:val="restart"/>
          </w:tcPr>
          <w:p>
            <w:pPr>
              <w:ind w:left="100"/>
              <w:spacing w:after="0"/>
              <w:rPr>
                <w:sz w:val="20"/>
                <w:szCs w:val="20"/>
                <w:color w:val="auto"/>
              </w:rPr>
            </w:pPr>
            <w:r>
              <w:rPr>
                <w:rFonts w:ascii="PMingLiU" w:cs="PMingLiU" w:eastAsia="PMingLiU" w:hAnsi="PMingLiU"/>
                <w:sz w:val="18"/>
                <w:szCs w:val="18"/>
                <w:color w:val="auto"/>
                <w:w w:val="88"/>
              </w:rPr>
              <w:t>SUHVLGLQJDWDOOPHHWLQJVRIRXU%RDUGDWZKLFKRXU&amp;KDLUSHUVRQLVQRW</w:t>
            </w:r>
          </w:p>
        </w:tc>
        <w:tc>
          <w:tcPr>
            <w:tcW w:w="0" w:type="dxa"/>
            <w:vAlign w:val="bottom"/>
          </w:tcPr>
          <w:p>
            <w:pPr>
              <w:spacing w:after="0"/>
              <w:rPr>
                <w:sz w:val="1"/>
                <w:szCs w:val="1"/>
                <w:color w:val="auto"/>
              </w:rPr>
            </w:pPr>
          </w:p>
        </w:tc>
      </w:tr>
      <w:tr>
        <w:trPr>
          <w:trHeight w:val="58"/>
        </w:trPr>
        <w:tc>
          <w:tcPr>
            <w:tcW w:w="3400" w:type="dxa"/>
            <w:vAlign w:val="bottom"/>
            <w:shd w:val="clear" w:color="auto" w:fill="F3F3F1"/>
          </w:tcPr>
          <w:p>
            <w:pPr>
              <w:spacing w:after="0"/>
              <w:rPr>
                <w:sz w:val="5"/>
                <w:szCs w:val="5"/>
                <w:color w:val="auto"/>
              </w:rPr>
            </w:pPr>
          </w:p>
        </w:tc>
        <w:tc>
          <w:tcPr>
            <w:tcW w:w="540" w:type="dxa"/>
            <w:vAlign w:val="bottom"/>
            <w:vMerge w:val="continue"/>
          </w:tcPr>
          <w:p>
            <w:pPr>
              <w:spacing w:after="0"/>
              <w:rPr>
                <w:sz w:val="5"/>
                <w:szCs w:val="5"/>
                <w:color w:val="auto"/>
              </w:rPr>
            </w:pPr>
          </w:p>
        </w:tc>
        <w:tc>
          <w:tcPr>
            <w:tcW w:w="6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40"/>
                <w:szCs w:val="40"/>
                <w:b w:val="1"/>
                <w:bCs w:val="1"/>
                <w:color w:val="000046"/>
              </w:rPr>
              <w:t>'LUHFWRU</w:t>
            </w: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SUHVHQW</w:t>
            </w:r>
          </w:p>
        </w:tc>
        <w:tc>
          <w:tcPr>
            <w:tcW w:w="0" w:type="dxa"/>
            <w:vAlign w:val="bottom"/>
          </w:tcPr>
          <w:p>
            <w:pPr>
              <w:spacing w:after="0"/>
              <w:rPr>
                <w:sz w:val="1"/>
                <w:szCs w:val="1"/>
                <w:color w:val="auto"/>
              </w:rPr>
            </w:pPr>
          </w:p>
        </w:tc>
      </w:tr>
      <w:tr>
        <w:trPr>
          <w:trHeight w:val="360"/>
        </w:trPr>
        <w:tc>
          <w:tcPr>
            <w:tcW w:w="3400" w:type="dxa"/>
            <w:vAlign w:val="bottom"/>
            <w:vMerge w:val="continue"/>
            <w:shd w:val="clear" w:color="auto" w:fill="F3F3F1"/>
          </w:tcPr>
          <w:p>
            <w:pPr>
              <w:spacing w:after="0"/>
              <w:rPr>
                <w:sz w:val="24"/>
                <w:szCs w:val="24"/>
                <w:color w:val="auto"/>
              </w:rPr>
            </w:pPr>
          </w:p>
        </w:tc>
        <w:tc>
          <w:tcPr>
            <w:tcW w:w="54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w w:val="79"/>
              </w:rPr>
              <w:t>VHUYLQJDVWKHSULQFLSDOOLDLVRQEHWZHHQWKHLQGHSHQGHQWGLUHFWRUVDQGRXU</w:t>
            </w:r>
          </w:p>
        </w:tc>
        <w:tc>
          <w:tcPr>
            <w:tcW w:w="0" w:type="dxa"/>
            <w:vAlign w:val="bottom"/>
          </w:tcPr>
          <w:p>
            <w:pPr>
              <w:spacing w:after="0"/>
              <w:rPr>
                <w:sz w:val="1"/>
                <w:szCs w:val="1"/>
                <w:color w:val="auto"/>
              </w:rPr>
            </w:pPr>
          </w:p>
        </w:tc>
      </w:tr>
      <w:tr>
        <w:trPr>
          <w:trHeight w:val="239"/>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&amp;855(17/,'</w:t>
            </w: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&amp;KDLUSHUVRQ</w:t>
            </w:r>
          </w:p>
        </w:tc>
        <w:tc>
          <w:tcPr>
            <w:tcW w:w="0" w:type="dxa"/>
            <w:vAlign w:val="bottom"/>
          </w:tcPr>
          <w:p>
            <w:pPr>
              <w:spacing w:after="0"/>
              <w:rPr>
                <w:sz w:val="1"/>
                <w:szCs w:val="1"/>
                <w:color w:val="auto"/>
              </w:rPr>
            </w:pPr>
          </w:p>
        </w:tc>
      </w:tr>
      <w:tr>
        <w:trPr>
          <w:trHeight w:val="170"/>
        </w:trPr>
        <w:tc>
          <w:tcPr>
            <w:tcW w:w="3400" w:type="dxa"/>
            <w:vAlign w:val="bottom"/>
            <w:vMerge w:val="continue"/>
            <w:shd w:val="clear" w:color="auto" w:fill="F3F3F1"/>
          </w:tcPr>
          <w:p>
            <w:pPr>
              <w:spacing w:after="0"/>
              <w:rPr>
                <w:sz w:val="14"/>
                <w:szCs w:val="14"/>
                <w:color w:val="auto"/>
              </w:rPr>
            </w:pPr>
          </w:p>
        </w:tc>
        <w:tc>
          <w:tcPr>
            <w:tcW w:w="540" w:type="dxa"/>
            <w:vAlign w:val="bottom"/>
            <w:vMerge w:val="restart"/>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vMerge w:val="restart"/>
          </w:tcPr>
          <w:p>
            <w:pPr>
              <w:ind w:left="100"/>
              <w:spacing w:after="0"/>
              <w:rPr>
                <w:sz w:val="20"/>
                <w:szCs w:val="20"/>
                <w:color w:val="auto"/>
              </w:rPr>
            </w:pPr>
            <w:r>
              <w:rPr>
                <w:rFonts w:ascii="PMingLiU" w:cs="PMingLiU" w:eastAsia="PMingLiU" w:hAnsi="PMingLiU"/>
                <w:sz w:val="18"/>
                <w:szCs w:val="18"/>
                <w:color w:val="auto"/>
                <w:w w:val="86"/>
              </w:rPr>
              <w:t>FRRUGLQDWLQJWKHDFWLYLWLHVRIWKHLQGHSHQGHQWGLUHFWRUVLQFOXGLQJ</w:t>
            </w:r>
          </w:p>
        </w:tc>
        <w:tc>
          <w:tcPr>
            <w:tcW w:w="0" w:type="dxa"/>
            <w:vAlign w:val="bottom"/>
          </w:tcPr>
          <w:p>
            <w:pPr>
              <w:spacing w:after="0"/>
              <w:rPr>
                <w:sz w:val="1"/>
                <w:szCs w:val="1"/>
                <w:color w:val="auto"/>
              </w:rPr>
            </w:pPr>
          </w:p>
        </w:tc>
      </w:tr>
      <w:tr>
        <w:trPr>
          <w:trHeight w:val="190"/>
        </w:trPr>
        <w:tc>
          <w:tcPr>
            <w:tcW w:w="3400" w:type="dxa"/>
            <w:vAlign w:val="bottom"/>
            <w:shd w:val="clear" w:color="auto" w:fill="F3F3F1"/>
          </w:tcPr>
          <w:p>
            <w:pPr>
              <w:spacing w:after="0"/>
              <w:rPr>
                <w:sz w:val="16"/>
                <w:szCs w:val="16"/>
                <w:color w:val="auto"/>
              </w:rPr>
            </w:pPr>
          </w:p>
        </w:tc>
        <w:tc>
          <w:tcPr>
            <w:tcW w:w="540" w:type="dxa"/>
            <w:vAlign w:val="bottom"/>
            <w:vMerge w:val="continue"/>
          </w:tcPr>
          <w:p>
            <w:pPr>
              <w:spacing w:after="0"/>
              <w:rPr>
                <w:sz w:val="16"/>
                <w:szCs w:val="16"/>
                <w:color w:val="auto"/>
              </w:rPr>
            </w:pPr>
          </w:p>
        </w:tc>
        <w:tc>
          <w:tcPr>
            <w:tcW w:w="6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w w:val="94"/>
              </w:rPr>
              <w:t>GHYHORSLQJDJHQGDVIRUDQGSUHVLGLQJDWH[HFXWLYHVHVVLRQVRIWKH</w:t>
            </w: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LQGHSHQGHQWGLUHFWRUV</w:t>
            </w:r>
          </w:p>
        </w:tc>
        <w:tc>
          <w:tcPr>
            <w:tcW w:w="0" w:type="dxa"/>
            <w:vAlign w:val="bottom"/>
          </w:tcPr>
          <w:p>
            <w:pPr>
              <w:spacing w:after="0"/>
              <w:rPr>
                <w:sz w:val="1"/>
                <w:szCs w:val="1"/>
                <w:color w:val="auto"/>
              </w:rPr>
            </w:pPr>
          </w:p>
        </w:tc>
      </w:tr>
      <w:tr>
        <w:trPr>
          <w:trHeight w:val="360"/>
        </w:trPr>
        <w:tc>
          <w:tcPr>
            <w:tcW w:w="3400" w:type="dxa"/>
            <w:vAlign w:val="bottom"/>
            <w:shd w:val="clear" w:color="auto" w:fill="F3F3F1"/>
          </w:tcPr>
          <w:p>
            <w:pPr>
              <w:spacing w:after="0"/>
              <w:rPr>
                <w:sz w:val="24"/>
                <w:szCs w:val="24"/>
                <w:color w:val="auto"/>
              </w:rPr>
            </w:pPr>
          </w:p>
        </w:tc>
        <w:tc>
          <w:tcPr>
            <w:tcW w:w="54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w w:val="89"/>
              </w:rPr>
              <w:t>DGYLVLQJRXU&amp;KDLUSHUVRQRQRXU%RDUGDQGFRPPLWWHHDJHQGDVPHHWLQJ</w:t>
            </w:r>
          </w:p>
        </w:tc>
        <w:tc>
          <w:tcPr>
            <w:tcW w:w="0" w:type="dxa"/>
            <w:vAlign w:val="bottom"/>
          </w:tcPr>
          <w:p>
            <w:pPr>
              <w:spacing w:after="0"/>
              <w:rPr>
                <w:sz w:val="1"/>
                <w:szCs w:val="1"/>
                <w:color w:val="auto"/>
              </w:rPr>
            </w:pPr>
          </w:p>
        </w:tc>
      </w:tr>
      <w:tr>
        <w:trPr>
          <w:trHeight w:val="239"/>
        </w:trPr>
        <w:tc>
          <w:tcPr>
            <w:tcW w:w="340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color w:val="2D2C36"/>
              </w:rPr>
              <w:t>5LFN(:LQQLQJKDP</w:t>
            </w: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VFKHGXOHVDQGLQIRUPDWLRQSURYLGHGWRRWKHUGLUHFWRUV</w:t>
            </w:r>
          </w:p>
        </w:tc>
        <w:tc>
          <w:tcPr>
            <w:tcW w:w="0" w:type="dxa"/>
            <w:vAlign w:val="bottom"/>
          </w:tcPr>
          <w:p>
            <w:pPr>
              <w:spacing w:after="0"/>
              <w:rPr>
                <w:sz w:val="1"/>
                <w:szCs w:val="1"/>
                <w:color w:val="auto"/>
              </w:rPr>
            </w:pPr>
          </w:p>
        </w:tc>
      </w:tr>
      <w:tr>
        <w:trPr>
          <w:trHeight w:val="78"/>
        </w:trPr>
        <w:tc>
          <w:tcPr>
            <w:tcW w:w="3400" w:type="dxa"/>
            <w:vAlign w:val="bottom"/>
            <w:vMerge w:val="continue"/>
            <w:shd w:val="clear" w:color="auto" w:fill="F3F3F1"/>
          </w:tcPr>
          <w:p>
            <w:pPr>
              <w:spacing w:after="0"/>
              <w:rPr>
                <w:sz w:val="6"/>
                <w:szCs w:val="6"/>
                <w:color w:val="auto"/>
              </w:rPr>
            </w:pPr>
          </w:p>
        </w:tc>
        <w:tc>
          <w:tcPr>
            <w:tcW w:w="540" w:type="dxa"/>
            <w:vAlign w:val="bottom"/>
          </w:tcPr>
          <w:p>
            <w:pPr>
              <w:spacing w:after="0"/>
              <w:rPr>
                <w:sz w:val="6"/>
                <w:szCs w:val="6"/>
                <w:color w:val="auto"/>
              </w:rPr>
            </w:pPr>
          </w:p>
        </w:tc>
        <w:tc>
          <w:tcPr>
            <w:tcW w:w="37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400" w:type="dxa"/>
            <w:vAlign w:val="bottom"/>
            <w:shd w:val="clear" w:color="auto" w:fill="F3F3F1"/>
          </w:tcPr>
          <w:p>
            <w:pPr>
              <w:spacing w:after="0"/>
              <w:rPr>
                <w:sz w:val="24"/>
                <w:szCs w:val="24"/>
                <w:color w:val="auto"/>
              </w:rPr>
            </w:pPr>
          </w:p>
        </w:tc>
        <w:tc>
          <w:tcPr>
            <w:tcW w:w="54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w w:val="82"/>
              </w:rPr>
              <w:t>GLVFXVVLQJWKHUHVXOWVRIWKH&amp;(2¶VSHUIRUPDQFHHYDOXDWLRQZLWKWKHFKDLU</w:t>
            </w: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RIRXU&amp;RPSHQVDWLRQ&amp;RPPLWWHHDQG</w:t>
            </w:r>
          </w:p>
        </w:tc>
        <w:tc>
          <w:tcPr>
            <w:tcW w:w="0" w:type="dxa"/>
            <w:vAlign w:val="bottom"/>
          </w:tcPr>
          <w:p>
            <w:pPr>
              <w:spacing w:after="0"/>
              <w:rPr>
                <w:sz w:val="1"/>
                <w:szCs w:val="1"/>
                <w:color w:val="auto"/>
              </w:rPr>
            </w:pPr>
          </w:p>
        </w:tc>
      </w:tr>
      <w:tr>
        <w:trPr>
          <w:trHeight w:val="360"/>
        </w:trPr>
        <w:tc>
          <w:tcPr>
            <w:tcW w:w="3400" w:type="dxa"/>
            <w:vAlign w:val="bottom"/>
            <w:shd w:val="clear" w:color="auto" w:fill="F3F3F1"/>
          </w:tcPr>
          <w:p>
            <w:pPr>
              <w:spacing w:after="0"/>
              <w:rPr>
                <w:sz w:val="24"/>
                <w:szCs w:val="24"/>
                <w:color w:val="auto"/>
              </w:rPr>
            </w:pPr>
          </w:p>
        </w:tc>
        <w:tc>
          <w:tcPr>
            <w:tcW w:w="54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w w:val="94"/>
              </w:rPr>
              <w:t>FDOOLQJPHHWLQJVRIWKHLQGHSHQGHQWGLUHFWRUVRIRXU%RDUGZKHUH</w:t>
            </w:r>
          </w:p>
        </w:tc>
        <w:tc>
          <w:tcPr>
            <w:tcW w:w="0" w:type="dxa"/>
            <w:vAlign w:val="bottom"/>
          </w:tcPr>
          <w:p>
            <w:pPr>
              <w:spacing w:after="0"/>
              <w:rPr>
                <w:sz w:val="1"/>
                <w:szCs w:val="1"/>
                <w:color w:val="auto"/>
              </w:rPr>
            </w:pPr>
          </w:p>
        </w:tc>
      </w:tr>
      <w:tr>
        <w:trPr>
          <w:trHeight w:val="239"/>
        </w:trPr>
        <w:tc>
          <w:tcPr>
            <w:tcW w:w="3400" w:type="dxa"/>
            <w:vAlign w:val="bottom"/>
            <w:shd w:val="clear" w:color="auto" w:fill="F3F3F1"/>
          </w:tcPr>
          <w:p>
            <w:pPr>
              <w:spacing w:after="0"/>
              <w:rPr>
                <w:sz w:val="20"/>
                <w:szCs w:val="20"/>
                <w:color w:val="auto"/>
              </w:rPr>
            </w:pPr>
          </w:p>
        </w:tc>
        <w:tc>
          <w:tcPr>
            <w:tcW w:w="540" w:type="dxa"/>
            <w:vAlign w:val="bottom"/>
          </w:tcPr>
          <w:p>
            <w:pPr>
              <w:spacing w:after="0"/>
              <w:rPr>
                <w:sz w:val="20"/>
                <w:szCs w:val="20"/>
                <w:color w:val="auto"/>
              </w:rPr>
            </w:pPr>
          </w:p>
        </w:tc>
        <w:tc>
          <w:tcPr>
            <w:tcW w:w="6140" w:type="dxa"/>
            <w:vAlign w:val="bottom"/>
            <w:gridSpan w:val="2"/>
          </w:tcPr>
          <w:p>
            <w:pPr>
              <w:ind w:left="100"/>
              <w:spacing w:after="0"/>
              <w:rPr>
                <w:sz w:val="20"/>
                <w:szCs w:val="20"/>
                <w:color w:val="auto"/>
              </w:rPr>
            </w:pPr>
            <w:r>
              <w:rPr>
                <w:rFonts w:ascii="PMingLiU" w:cs="PMingLiU" w:eastAsia="PMingLiU" w:hAnsi="PMingLiU"/>
                <w:sz w:val="18"/>
                <w:szCs w:val="18"/>
                <w:color w:val="auto"/>
              </w:rPr>
              <w:t>QHFHVVDU\</w:t>
            </w:r>
          </w:p>
        </w:tc>
        <w:tc>
          <w:tcPr>
            <w:tcW w:w="0" w:type="dxa"/>
            <w:vAlign w:val="bottom"/>
          </w:tcPr>
          <w:p>
            <w:pPr>
              <w:spacing w:after="0"/>
              <w:rPr>
                <w:sz w:val="1"/>
                <w:szCs w:val="1"/>
                <w:color w:val="auto"/>
              </w:rPr>
            </w:pPr>
          </w:p>
        </w:tc>
      </w:tr>
      <w:tr>
        <w:trPr>
          <w:trHeight w:val="97"/>
        </w:trPr>
        <w:tc>
          <w:tcPr>
            <w:tcW w:w="3400" w:type="dxa"/>
            <w:vAlign w:val="bottom"/>
            <w:shd w:val="clear" w:color="auto" w:fill="F3F3F1"/>
          </w:tcPr>
          <w:p>
            <w:pPr>
              <w:spacing w:after="0"/>
              <w:rPr>
                <w:sz w:val="8"/>
                <w:szCs w:val="8"/>
                <w:color w:val="auto"/>
              </w:rPr>
            </w:pPr>
          </w:p>
        </w:tc>
        <w:tc>
          <w:tcPr>
            <w:tcW w:w="5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-1564640</wp:posOffset>
            </wp:positionV>
            <wp:extent cx="585470" cy="5854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2">
                      <a:extLst>
                        <a:ext uri="{28A0092B-C50C-407E-A947-70E740481C1C}"/>
                      </a:extLst>
                    </a:blip>
                    <a:srcRect/>
                    <a:stretch>
                      <a:fillRect/>
                    </a:stretch>
                  </pic:blipFill>
                  <pic:spPr bwMode="auto">
                    <a:xfrm>
                      <a:off x="0" y="0"/>
                      <a:ext cx="585470" cy="5854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-165735</wp:posOffset>
            </wp:positionV>
            <wp:extent cx="180467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13">
                      <a:extLst>
                        <a:ext uri="{28A0092B-C50C-407E-A947-70E740481C1C}"/>
                      </a:extLst>
                    </a:blip>
                    <a:srcRect/>
                    <a:stretch>
                      <a:fillRect/>
                    </a:stretch>
                  </pic:blipFill>
                  <pic:spPr bwMode="auto">
                    <a:xfrm>
                      <a:off x="0" y="0"/>
                      <a:ext cx="1804670" cy="36830"/>
                    </a:xfrm>
                    <a:prstGeom prst="rect">
                      <a:avLst/>
                    </a:prstGeom>
                    <a:noFill/>
                  </pic:spPr>
                </pic:pic>
              </a:graphicData>
            </a:graphic>
          </wp:anchor>
        </w:drawing>
      </w:r>
    </w:p>
    <w:p>
      <w:pPr>
        <w:spacing w:after="0" w:line="330" w:lineRule="exact"/>
        <w:rPr>
          <w:sz w:val="20"/>
          <w:szCs w:val="20"/>
          <w:color w:val="auto"/>
        </w:rPr>
      </w:pPr>
    </w:p>
    <w:p>
      <w:pPr>
        <w:ind w:right="440"/>
        <w:spacing w:after="0" w:line="367" w:lineRule="auto"/>
        <w:rPr>
          <w:sz w:val="20"/>
          <w:szCs w:val="20"/>
          <w:color w:val="auto"/>
        </w:rPr>
      </w:pPr>
      <w:r>
        <w:rPr>
          <w:rFonts w:ascii="PMingLiU" w:cs="PMingLiU" w:eastAsia="PMingLiU" w:hAnsi="PMingLiU"/>
          <w:sz w:val="14"/>
          <w:szCs w:val="14"/>
          <w:color w:val="auto"/>
        </w:rPr>
        <w:t>,QDGGLWLRQ0U:LQQLQJKDPDWWHQGVPHHWLQJVRIFRPPLWWHHVZKHUHKHLVQRWDPHPEHUWRUHPDLQLQIRUPHG+HUHJXODUO\ FRPPXQLFDWHVZLWKRXU&amp;KDLUSHUVRQDQG&amp;(2RQPDWWHUVLQYROYLQJRXU&amp;RPSDQ\VHHNVLQSXWIURPRWKHULQGHSHQGHQW GLUHFWRUVUHODWLQJWRVLJQLILFDQWGHYHORSPHQWVDIIHFWLQJRXU&amp;RPSDQ\EHWZHHQUHJXODUERDUGPHHWLQJVDQGDWWHQGVFHUWDLQ PHHWLQJVLQYROYLQJVWUDWHJLFSRUWIROLRDQGRUVFLHQWLILFUHYLHZV0U:LQQLQJKDPDOVRPDNHVKLPVHOIDYDLODEOHIRUGLUHFW FRPPXQLFDWLRQZLWKVLJQLILFDQWVKDUHKROGHUVDVQHFHVVDU\</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,QGHSHQGHQFHRIRXU%RDUG</w:t>
      </w:r>
    </w:p>
    <w:p>
      <w:pPr>
        <w:spacing w:after="0" w:line="219" w:lineRule="exact"/>
        <w:rPr>
          <w:sz w:val="20"/>
          <w:szCs w:val="20"/>
          <w:color w:val="auto"/>
        </w:rPr>
      </w:pPr>
    </w:p>
    <w:p>
      <w:pPr>
        <w:ind w:right="1060"/>
        <w:spacing w:after="0" w:line="398" w:lineRule="auto"/>
        <w:rPr>
          <w:sz w:val="20"/>
          <w:szCs w:val="20"/>
          <w:color w:val="auto"/>
        </w:rPr>
      </w:pPr>
      <w:r>
        <w:rPr>
          <w:rFonts w:ascii="PMingLiU" w:cs="PMingLiU" w:eastAsia="PMingLiU" w:hAnsi="PMingLiU"/>
          <w:sz w:val="15"/>
          <w:szCs w:val="15"/>
          <w:color w:val="auto"/>
        </w:rPr>
        <w:t>7KH1DVGDTOLVWLQJUXOHVUHTXLUHWKDWDPDMRULW\RIWKHPHPEHUVRIDOLVWHGFRPSDQ\¶VERDUGRIGLUHFWRUVTXDOLI\DV ³LQGHSHQGHQW´DVDIILUPDWLYHO\GHWHUPLQHGE\RXU%RDUG</w:t>
      </w:r>
    </w:p>
    <w:p>
      <w:pPr>
        <w:spacing w:after="0" w:line="62" w:lineRule="exact"/>
        <w:rPr>
          <w:sz w:val="20"/>
          <w:szCs w:val="20"/>
          <w:color w:val="auto"/>
        </w:rPr>
      </w:pPr>
    </w:p>
    <w:p>
      <w:pPr>
        <w:ind w:right="260"/>
        <w:spacing w:after="0" w:line="496" w:lineRule="auto"/>
        <w:rPr>
          <w:sz w:val="20"/>
          <w:szCs w:val="20"/>
          <w:color w:val="auto"/>
        </w:rPr>
      </w:pPr>
      <w:r>
        <w:rPr>
          <w:rFonts w:ascii="PMingLiU" w:cs="PMingLiU" w:eastAsia="PMingLiU" w:hAnsi="PMingLiU"/>
          <w:sz w:val="13"/>
          <w:szCs w:val="13"/>
          <w:color w:val="auto"/>
        </w:rPr>
        <w:t>$WOHDVWDQQXDOO\RXU1RPLQDWLQJ&amp;RPPLWWHHFRQVXOWVZLWKFRXQVHOWRHQVXUHWKDWRXU%RDUG¶VGHWHUPLQDWLRQVDUHFRQVLVWHQW ZLWKWKHDSSOLFDEOH1DVGDTDQG6(&amp;UXOHVDQGUHJXODWLRQVUHJDUGLQJWKHGHILQLWLRQRI³LQGHSHQGHQW´</w:t>
      </w:r>
    </w:p>
    <w:p>
      <w:pPr>
        <w:spacing w:after="0" w:line="14"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)ROORZLQJDUHYLHZRIDOOUHOHYDQWWUDQVDFWLRQVRUUHODWLRQVKLSVEHWZHHQHDFKGLUHFWRURUDQ\RIKLVRUKHUIDPLO\PHPEHUVDQG XVRXUVHQLRUPDQDJHPHQWDQGRXULQGHSHQGHQWUHJLVWHUHGSXEOLFDFFRXQWLQJILUPRXU%RDUGKDVDIILUPDWLYHO\GHWHUPLQHGWKDW DOORIRXUFXUUHQWGLUHFWRUVDUHLQGHSHQGHQWGLUHFWRUVZLWKLQWKHPHDQLQJRIWKHDSSOLFDEOH1DVGDTOLVWLQJVWDQGDUGVH[FHSW WKDW0V*DODRXU3UHVLGHQW&amp;(2DQG'LUHFWRUDQG0U&amp;R]DGGRXU&amp;KDLUSHUVRQDQGIRUPHU&amp;(2DUHQRWLQGHSHQGHQWE\</w:t>
      </w:r>
    </w:p>
    <w:p>
      <w:pPr>
        <w:spacing w:after="0" w:line="1" w:lineRule="exact"/>
        <w:rPr>
          <w:sz w:val="20"/>
          <w:szCs w:val="20"/>
          <w:color w:val="auto"/>
        </w:rPr>
      </w:pPr>
    </w:p>
    <w:p>
      <w:pPr>
        <w:jc w:val="both"/>
        <w:ind w:right="20"/>
        <w:spacing w:after="0" w:line="319" w:lineRule="auto"/>
        <w:rPr>
          <w:sz w:val="20"/>
          <w:szCs w:val="20"/>
          <w:color w:val="auto"/>
        </w:rPr>
      </w:pPr>
      <w:r>
        <w:rPr>
          <w:rFonts w:ascii="PMingLiU" w:cs="PMingLiU" w:eastAsia="PMingLiU" w:hAnsi="PMingLiU"/>
          <w:sz w:val="15"/>
          <w:szCs w:val="15"/>
          <w:color w:val="auto"/>
        </w:rPr>
        <w:t>YLUWXHRI0V*DOD¶VHPSOR\PHQWZLWKRXUFRPSDQ\DQG0U&amp;R]DGG¶VSUHYLRXVHPSOR\PHQWZLWKRXU&amp;RPSDQ\ZKLFKHQGHGLQ 6HSWHPEHU,QDGGLWLRQRXU%RDUGKDVGHWHUPLQHGWKDWHDFKPHPEHURIRXU$XGLW&amp;RPPLWWHH&amp;RPSHQVDWLRQ&amp;RPPLWWHH DQG1RPLQDWLQJ&amp;RPPLWWHHPHHWVWKHDSSOLFDEOH1DVGDTDQG6(&amp;UXOHVDQGUHJXODWLRQVUHJDUGLQJ³LQGHSHQGHQFH´DQGWKDW</w:t>
      </w:r>
    </w:p>
    <w:p>
      <w:pPr>
        <w:spacing w:after="0" w:line="1" w:lineRule="exact"/>
        <w:rPr>
          <w:sz w:val="20"/>
          <w:szCs w:val="20"/>
          <w:color w:val="auto"/>
        </w:rPr>
      </w:pPr>
    </w:p>
    <w:p>
      <w:pPr>
        <w:ind w:right="340"/>
        <w:spacing w:after="0" w:line="392" w:lineRule="auto"/>
        <w:rPr>
          <w:sz w:val="20"/>
          <w:szCs w:val="20"/>
          <w:color w:val="auto"/>
        </w:rPr>
      </w:pPr>
      <w:r>
        <w:rPr>
          <w:rFonts w:ascii="PMingLiU" w:cs="PMingLiU" w:eastAsia="PMingLiU" w:hAnsi="PMingLiU"/>
          <w:sz w:val="14"/>
          <w:szCs w:val="14"/>
          <w:color w:val="auto"/>
        </w:rPr>
        <w:t>HDFKPHPEHULVIUHHRIDQ\UHODWLRQVKLSWKDWZRXOGLPSDLUWKHLULQGLYLGXDOH[HUFLVHRILQGHSHQGHQWMXGJPHQWUHJDUGLQJRXU &amp;RPSDQ\2XU%RDUGKDGSUHYLRXVO\GHWHUPLQHGWKDW.HQQHWK:2¶.HHIHZKRUHWLUHGIURPRXU%RDUGLQ'HFHPEHU ZDVDQ³LQGHSHQGHQWGLUHFWRU´DVGHILQHGXQGHUWKHDSSOLFDEOH1DVGDTUXOHV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1842770</wp:posOffset>
            </wp:positionV>
            <wp:extent cx="1386840" cy="2336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20" w:right="859" w:bottom="0" w:gutter="0" w:footer="0" w:header="0"/>
        </w:sectPr>
      </w:pPr>
    </w:p>
    <w:bookmarkStart w:id="35" w:name="page36"/>
    <w:bookmarkEnd w:id="3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53" o:spid="_x0000_s1278"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%RDUG0DQDJHPHQWDQG2YHUVLJKW</w:t>
      </w:r>
    </w:p>
    <w:p>
      <w:pPr>
        <w:spacing w:after="0" w:line="219" w:lineRule="exact"/>
        <w:rPr>
          <w:sz w:val="20"/>
          <w:szCs w:val="20"/>
          <w:color w:val="auto"/>
        </w:rPr>
      </w:pPr>
    </w:p>
    <w:p>
      <w:pPr>
        <w:spacing w:after="0" w:line="376" w:lineRule="auto"/>
        <w:rPr>
          <w:sz w:val="20"/>
          <w:szCs w:val="20"/>
          <w:color w:val="auto"/>
        </w:rPr>
      </w:pPr>
      <w:r>
        <w:rPr>
          <w:rFonts w:ascii="PMingLiU" w:cs="PMingLiU" w:eastAsia="PMingLiU" w:hAnsi="PMingLiU"/>
          <w:sz w:val="14"/>
          <w:szCs w:val="14"/>
          <w:color w:val="auto"/>
        </w:rPr>
        <w:t>7KHSULPDU\GXWLHVRIRXU%RDUGDUHWRSURYLGHFRXQVHOLQJDQGRYHUVLJKWRIWKHEXVLQHVVDQGDIIDLUVRIRXU&amp;RPSDQ\SURYLGH GLUHFWLRQWRWKHPDQDJHPHQWRIRXU&amp;RPSDQ\LQWKHLQWHUHVWVDQGIRUWKHEHQHILWRIRXU&amp;RPSDQ\¶VVKDUHKROGHUVDQGWRVHHN WRHQKDQFHVKDUHKROGHUYDOXH,QSHUIRUPLQJWKHLUGXWLHVWKHGLUHFWRUVDUHUHTXLUHGWRH[HUFLVHWKHLUEXVLQHVVMXGJPHQWLQWKH EHVWLQWHUHVWVRIRXU&amp;RPSDQ\LQDFFRUGDQFHZLWKDSSOLFDEOHODZ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85725</wp:posOffset>
                </wp:positionV>
                <wp:extent cx="6400165" cy="314325"/>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314325"/>
                        </a:xfrm>
                        <a:prstGeom prst="rect">
                          <a:avLst/>
                        </a:prstGeom>
                        <a:solidFill>
                          <a:srgbClr val="000046"/>
                        </a:solidFill>
                      </wps:spPr>
                      <wps:bodyPr/>
                    </wps:wsp>
                  </a:graphicData>
                </a:graphic>
              </wp:anchor>
            </w:drawing>
          </mc:Choice>
          <mc:Fallback>
            <w:pict>
              <v:rect id="Shape 254" o:spid="_x0000_s1279" style="position:absolute;margin-left:-0.0999pt;margin-top:6.75pt;width:503.95pt;height:2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46" stroked="f"/>
            </w:pict>
          </mc:Fallback>
        </mc:AlternateContent>
      </w:r>
    </w:p>
    <w:p>
      <w:pPr>
        <w:spacing w:after="0" w:line="225"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b w:val="1"/>
          <w:bCs w:val="1"/>
          <w:color w:val="FFFFFF"/>
        </w:rPr>
        <w:t>%2$5'5(63216,%,/,7,(6+,*+/,*+76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92710</wp:posOffset>
                </wp:positionV>
                <wp:extent cx="6400165" cy="4448175"/>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448175"/>
                        </a:xfrm>
                        <a:prstGeom prst="rect">
                          <a:avLst/>
                        </a:prstGeom>
                        <a:solidFill>
                          <a:srgbClr val="F3F3F1"/>
                        </a:solidFill>
                      </wps:spPr>
                      <wps:bodyPr/>
                    </wps:wsp>
                  </a:graphicData>
                </a:graphic>
              </wp:anchor>
            </w:drawing>
          </mc:Choice>
          <mc:Fallback>
            <w:pict>
              <v:rect id="Shape 255" o:spid="_x0000_s1280" style="position:absolute;margin-left:-0.0999pt;margin-top:7.3pt;width:503.95pt;height:35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293" w:lineRule="exact"/>
        <w:rPr>
          <w:sz w:val="20"/>
          <w:szCs w:val="20"/>
          <w:color w:val="auto"/>
        </w:rPr>
      </w:pPr>
    </w:p>
    <w:p>
      <w:pPr>
        <w:ind w:left="240"/>
        <w:spacing w:after="0"/>
        <w:tabs>
          <w:tab w:leader="none" w:pos="500" w:val="left"/>
        </w:tabs>
        <w:rPr>
          <w:sz w:val="20"/>
          <w:szCs w:val="20"/>
          <w:color w:val="auto"/>
        </w:rPr>
      </w:pPr>
      <w:r>
        <w:rPr>
          <w:rFonts w:ascii="PMingLiU" w:cs="PMingLiU" w:eastAsia="PMingLiU" w:hAnsi="PMingLiU"/>
          <w:sz w:val="18"/>
          <w:szCs w:val="18"/>
          <w:b w:val="1"/>
          <w:bCs w:val="1"/>
          <w:color w:val="2D2C36"/>
        </w:rPr>
        <w:t></w:t>
      </w:r>
      <w:r>
        <w:rPr>
          <w:sz w:val="20"/>
          <w:szCs w:val="20"/>
          <w:color w:val="auto"/>
        </w:rPr>
        <w:tab/>
      </w:r>
      <w:r>
        <w:rPr>
          <w:rFonts w:ascii="PMingLiU" w:cs="PMingLiU" w:eastAsia="PMingLiU" w:hAnsi="PMingLiU"/>
          <w:sz w:val="18"/>
          <w:szCs w:val="18"/>
          <w:color w:val="2D2C36"/>
        </w:rPr>
        <w:t>6HOHFWLQJDQGHOHFWLQJRXU&amp;(2</w:t>
      </w:r>
    </w:p>
    <w:p>
      <w:pPr>
        <w:spacing w:after="0" w:line="144" w:lineRule="exact"/>
        <w:rPr>
          <w:sz w:val="20"/>
          <w:szCs w:val="20"/>
          <w:color w:val="auto"/>
        </w:rPr>
      </w:pPr>
    </w:p>
    <w:p>
      <w:pPr>
        <w:ind w:left="520" w:right="380" w:hanging="279"/>
        <w:spacing w:after="0" w:line="398" w:lineRule="auto"/>
        <w:tabs>
          <w:tab w:leader="none" w:pos="500" w:val="left"/>
        </w:tabs>
        <w:rPr>
          <w:sz w:val="20"/>
          <w:szCs w:val="20"/>
          <w:color w:val="auto"/>
        </w:rPr>
      </w:pPr>
      <w:r>
        <w:rPr>
          <w:rFonts w:ascii="PMingLiU" w:cs="PMingLiU" w:eastAsia="PMingLiU" w:hAnsi="PMingLiU"/>
          <w:sz w:val="15"/>
          <w:szCs w:val="15"/>
          <w:b w:val="1"/>
          <w:bCs w:val="1"/>
          <w:color w:val="2D2C36"/>
        </w:rPr>
        <w:t></w:t>
      </w:r>
      <w:r>
        <w:rPr>
          <w:sz w:val="20"/>
          <w:szCs w:val="20"/>
          <w:color w:val="auto"/>
        </w:rPr>
        <w:tab/>
      </w:r>
      <w:r>
        <w:rPr>
          <w:rFonts w:ascii="PMingLiU" w:cs="PMingLiU" w:eastAsia="PMingLiU" w:hAnsi="PMingLiU"/>
          <w:sz w:val="15"/>
          <w:szCs w:val="15"/>
          <w:color w:val="2D2C36"/>
        </w:rPr>
        <w:t>$QQXDOO\HYDOXDWLQJWKHSHUIRUPDQFHRIRXU&amp;(2DQGXSRQWKHUHFRPPHQGDWLRQRIRXU&amp;RPSHQVDWLRQ&amp;RPPLWWHH DSSURYLQJWKHFRPSHQVDWLRQDQGRWKHUWHUPVRIHPSOR\PHQWRIWKH&amp;(2</w:t>
      </w:r>
    </w:p>
    <w:p>
      <w:pPr>
        <w:spacing w:after="0" w:line="2" w:lineRule="exact"/>
        <w:rPr>
          <w:sz w:val="20"/>
          <w:szCs w:val="20"/>
          <w:color w:val="auto"/>
        </w:rPr>
      </w:pPr>
    </w:p>
    <w:p>
      <w:pPr>
        <w:jc w:val="both"/>
        <w:ind w:left="520" w:right="620" w:hanging="279"/>
        <w:spacing w:after="0" w:line="392" w:lineRule="auto"/>
        <w:tabs>
          <w:tab w:leader="none" w:pos="500" w:val="left"/>
        </w:tabs>
        <w:rPr>
          <w:sz w:val="20"/>
          <w:szCs w:val="20"/>
          <w:color w:val="auto"/>
        </w:rPr>
      </w:pPr>
      <w:r>
        <w:rPr>
          <w:rFonts w:ascii="PMingLiU" w:cs="PMingLiU" w:eastAsia="PMingLiU" w:hAnsi="PMingLiU"/>
          <w:sz w:val="14"/>
          <w:szCs w:val="14"/>
          <w:b w:val="1"/>
          <w:bCs w:val="1"/>
          <w:color w:val="2D2C36"/>
        </w:rPr>
        <w:t></w:t>
      </w:r>
      <w:r>
        <w:rPr>
          <w:sz w:val="20"/>
          <w:szCs w:val="20"/>
          <w:color w:val="auto"/>
        </w:rPr>
        <w:tab/>
      </w:r>
      <w:r>
        <w:rPr>
          <w:rFonts w:ascii="PMingLiU" w:cs="PMingLiU" w:eastAsia="PMingLiU" w:hAnsi="PMingLiU"/>
          <w:sz w:val="14"/>
          <w:szCs w:val="14"/>
          <w:color w:val="2D2C36"/>
        </w:rPr>
        <w:t>$FWLQJWKURXJKWKHDXWKRULW\GHOHJDWHGWRRXU&amp;RPSHQVDWLRQ&amp;RPPLWWHHFRQIHUULQJZLWKRXU&amp;(2UHJDUGLQJWKH SHUIRUPDQFHRIDOORWKHUH[HFXWLYHRIILFHUVRIRXU&amp;RPSDQ\RWKHUWKDQRXU&amp;(2GHWHUPLQLQJWKHFRPSHQVDWLRQ DUUDQJHPHQWVIRUDOOVXFKRWKHUH[HFXWLYHRIILFHUVRWKHUWKDQIRURXU&amp;(2</w:t>
      </w:r>
    </w:p>
    <w:p>
      <w:pPr>
        <w:spacing w:after="0" w:line="16" w:lineRule="exact"/>
        <w:rPr>
          <w:sz w:val="20"/>
          <w:szCs w:val="20"/>
          <w:color w:val="auto"/>
        </w:rPr>
      </w:pPr>
    </w:p>
    <w:p>
      <w:pPr>
        <w:ind w:left="520" w:right="600" w:hanging="279"/>
        <w:spacing w:after="0" w:line="427" w:lineRule="auto"/>
        <w:tabs>
          <w:tab w:leader="none" w:pos="500" w:val="left"/>
        </w:tabs>
        <w:rPr>
          <w:sz w:val="20"/>
          <w:szCs w:val="20"/>
          <w:color w:val="auto"/>
        </w:rPr>
      </w:pPr>
      <w:r>
        <w:rPr>
          <w:rFonts w:ascii="PMingLiU" w:cs="PMingLiU" w:eastAsia="PMingLiU" w:hAnsi="PMingLiU"/>
          <w:sz w:val="14"/>
          <w:szCs w:val="14"/>
          <w:b w:val="1"/>
          <w:bCs w:val="1"/>
          <w:color w:val="2D2C36"/>
        </w:rPr>
        <w:t></w:t>
      </w:r>
      <w:r>
        <w:rPr>
          <w:sz w:val="20"/>
          <w:szCs w:val="20"/>
          <w:color w:val="auto"/>
        </w:rPr>
        <w:tab/>
      </w:r>
      <w:r>
        <w:rPr>
          <w:rFonts w:ascii="PMingLiU" w:cs="PMingLiU" w:eastAsia="PMingLiU" w:hAnsi="PMingLiU"/>
          <w:sz w:val="14"/>
          <w:szCs w:val="14"/>
          <w:color w:val="2D2C36"/>
        </w:rPr>
        <w:t>$FWLQJWKURXJKWKHDXWKRULW\GHOHJDWHGWRRXU&amp;RPSHQVDWLRQ&amp;RPPLWWHHSHULRGLFDOO\UHYLHZLQJWRJHWKHUZLWKRXU &amp;(2VXFFHVVLRQSODQQLQJDQGPDQDJHPHQWGHYHORSPHQW</w:t>
      </w:r>
    </w:p>
    <w:p>
      <w:pPr>
        <w:spacing w:after="0" w:line="1" w:lineRule="exact"/>
        <w:rPr>
          <w:sz w:val="20"/>
          <w:szCs w:val="20"/>
          <w:color w:val="auto"/>
        </w:rPr>
      </w:pPr>
    </w:p>
    <w:p>
      <w:pPr>
        <w:ind w:left="520" w:right="660" w:hanging="279"/>
        <w:spacing w:after="0" w:line="427" w:lineRule="auto"/>
        <w:tabs>
          <w:tab w:leader="none" w:pos="500" w:val="left"/>
        </w:tabs>
        <w:rPr>
          <w:sz w:val="20"/>
          <w:szCs w:val="20"/>
          <w:color w:val="auto"/>
        </w:rPr>
      </w:pPr>
      <w:r>
        <w:rPr>
          <w:rFonts w:ascii="PMingLiU" w:cs="PMingLiU" w:eastAsia="PMingLiU" w:hAnsi="PMingLiU"/>
          <w:sz w:val="14"/>
          <w:szCs w:val="14"/>
          <w:b w:val="1"/>
          <w:bCs w:val="1"/>
          <w:color w:val="2D2C36"/>
        </w:rPr>
        <w:t></w:t>
      </w:r>
      <w:r>
        <w:rPr>
          <w:sz w:val="20"/>
          <w:szCs w:val="20"/>
          <w:color w:val="auto"/>
        </w:rPr>
        <w:tab/>
      </w:r>
      <w:r>
        <w:rPr>
          <w:rFonts w:ascii="PMingLiU" w:cs="PMingLiU" w:eastAsia="PMingLiU" w:hAnsi="PMingLiU"/>
          <w:sz w:val="14"/>
          <w:szCs w:val="14"/>
          <w:color w:val="2D2C36"/>
        </w:rPr>
        <w:t>5HYLHZLQJDQGZKHUHDSSURSULDWHDSSURYLQJRXU&amp;RPSDQ\¶VPDMRUILQDQFLDOREMHFWLYHVVWUDWHJLFDQGRSHUDWLQJ SODQVDQGDFWLRQV</w:t>
      </w:r>
    </w:p>
    <w:p>
      <w:pPr>
        <w:spacing w:after="0" w:line="1" w:lineRule="exact"/>
        <w:rPr>
          <w:sz w:val="20"/>
          <w:szCs w:val="20"/>
          <w:color w:val="auto"/>
        </w:rPr>
      </w:pPr>
    </w:p>
    <w:p>
      <w:pPr>
        <w:ind w:left="520" w:right="1040" w:hanging="279"/>
        <w:spacing w:after="0" w:line="427" w:lineRule="auto"/>
        <w:tabs>
          <w:tab w:leader="none" w:pos="500" w:val="left"/>
        </w:tabs>
        <w:rPr>
          <w:sz w:val="20"/>
          <w:szCs w:val="20"/>
          <w:color w:val="auto"/>
        </w:rPr>
      </w:pPr>
      <w:r>
        <w:rPr>
          <w:rFonts w:ascii="PMingLiU" w:cs="PMingLiU" w:eastAsia="PMingLiU" w:hAnsi="PMingLiU"/>
          <w:sz w:val="14"/>
          <w:szCs w:val="14"/>
          <w:b w:val="1"/>
          <w:bCs w:val="1"/>
          <w:color w:val="2D2C36"/>
        </w:rPr>
        <w:t></w:t>
      </w:r>
      <w:r>
        <w:rPr>
          <w:sz w:val="20"/>
          <w:szCs w:val="20"/>
          <w:color w:val="auto"/>
        </w:rPr>
        <w:tab/>
      </w:r>
      <w:r>
        <w:rPr>
          <w:rFonts w:ascii="PMingLiU" w:cs="PMingLiU" w:eastAsia="PMingLiU" w:hAnsi="PMingLiU"/>
          <w:sz w:val="14"/>
          <w:szCs w:val="14"/>
          <w:color w:val="2D2C36"/>
        </w:rPr>
        <w:t>2YHUVHHLQJWKHFRQGXFWRIRXU&amp;RPSDQ\¶VEXVLQHVVWRPRQLWRUZKHWKHURXUEXVLQHVVLVEHLQJDSSURSULDWHO\ PDQDJHGLQFOXGLQJVSHFLILFDOO\ZLWKUHVSHFWWR(50</w:t>
      </w:r>
    </w:p>
    <w:p>
      <w:pPr>
        <w:spacing w:after="0" w:line="1" w:lineRule="exact"/>
        <w:rPr>
          <w:sz w:val="20"/>
          <w:szCs w:val="20"/>
          <w:color w:val="auto"/>
        </w:rPr>
      </w:pPr>
    </w:p>
    <w:p>
      <w:pPr>
        <w:ind w:left="520" w:right="340" w:hanging="279"/>
        <w:spacing w:after="0" w:line="342" w:lineRule="auto"/>
        <w:tabs>
          <w:tab w:leader="none" w:pos="500" w:val="left"/>
        </w:tabs>
        <w:rPr>
          <w:sz w:val="20"/>
          <w:szCs w:val="20"/>
          <w:color w:val="auto"/>
        </w:rPr>
      </w:pPr>
      <w:r>
        <w:rPr>
          <w:rFonts w:ascii="PMingLiU" w:cs="PMingLiU" w:eastAsia="PMingLiU" w:hAnsi="PMingLiU"/>
          <w:sz w:val="14"/>
          <w:szCs w:val="14"/>
          <w:b w:val="1"/>
          <w:bCs w:val="1"/>
          <w:color w:val="2D2C36"/>
        </w:rPr>
        <w:t></w:t>
      </w:r>
      <w:r>
        <w:rPr>
          <w:sz w:val="20"/>
          <w:szCs w:val="20"/>
          <w:color w:val="auto"/>
        </w:rPr>
        <w:tab/>
      </w:r>
      <w:r>
        <w:rPr>
          <w:rFonts w:ascii="PMingLiU" w:cs="PMingLiU" w:eastAsia="PMingLiU" w:hAnsi="PMingLiU"/>
          <w:sz w:val="14"/>
          <w:szCs w:val="14"/>
          <w:color w:val="2D2C36"/>
        </w:rPr>
        <w:t>$FWLQJWKURXJKDXWKRULW\GHOHJDWHGWRRXU$XGLW&amp;RPPLWWHHRYHUVHHLQJWKHSURFHVVHVIRUPDLQWDLQLQJWKHLQWHJULW\RI RXU&amp;RPSDQ\ZLWKUHJDUGWRLWVILQDQFLDOVWDWHPHQWVDQGRWKHUSXEOLFGLVFORVXUHVLQFOXGLQJLWV(6*UHODWHG</w:t>
      </w:r>
    </w:p>
    <w:p>
      <w:pPr>
        <w:ind w:left="520" w:right="280"/>
        <w:spacing w:after="0" w:line="376" w:lineRule="auto"/>
        <w:rPr>
          <w:sz w:val="20"/>
          <w:szCs w:val="20"/>
          <w:color w:val="auto"/>
        </w:rPr>
      </w:pPr>
      <w:r>
        <w:rPr>
          <w:rFonts w:ascii="PMingLiU" w:cs="PMingLiU" w:eastAsia="PMingLiU" w:hAnsi="PMingLiU"/>
          <w:sz w:val="14"/>
          <w:szCs w:val="14"/>
          <w:color w:val="2D2C36"/>
        </w:rPr>
        <w:t>GLVFORVXUHVDQGFRPSOLDQFHZLWKRXU&amp;RPSDQ\¶VSURJUDPVDQGSROLFLHVGHVLJQHGWRHQVXUHDGKHUHQFHWRDSSOLFDEOH ODZVDQGUXOHVDVZHOODVWRRXU&amp;RGHRI&amp;RQGXFWDQG(WKLFVDVLWUHODWHVWRRXU&amp;RPSDQ\¶VILQDQFLDOVWDWHPHQWV DFFRXQWLQJSUDFWLFHVDQGLQGHSHQGHQWUHJLVWHUHGSXEOLFDFFRXQWLQJILUPRUDXGLWRUVIRUWKHSXUSRVHRISUHSDULQJRU LVVXLQJDQDXGLWUHSRUWRUSHUIRUPLQJDXGLWVHUYLFHVDQG</w:t>
      </w:r>
    </w:p>
    <w:p>
      <w:pPr>
        <w:spacing w:after="0" w:line="25" w:lineRule="exact"/>
        <w:rPr>
          <w:sz w:val="20"/>
          <w:szCs w:val="20"/>
          <w:color w:val="auto"/>
        </w:rPr>
      </w:pPr>
    </w:p>
    <w:p>
      <w:pPr>
        <w:ind w:left="240"/>
        <w:spacing w:after="0"/>
        <w:tabs>
          <w:tab w:leader="none" w:pos="500" w:val="left"/>
        </w:tabs>
        <w:rPr>
          <w:sz w:val="20"/>
          <w:szCs w:val="20"/>
          <w:color w:val="auto"/>
        </w:rPr>
      </w:pPr>
      <w:r>
        <w:rPr>
          <w:rFonts w:ascii="PMingLiU" w:cs="PMingLiU" w:eastAsia="PMingLiU" w:hAnsi="PMingLiU"/>
          <w:sz w:val="16"/>
          <w:szCs w:val="16"/>
          <w:b w:val="1"/>
          <w:bCs w:val="1"/>
          <w:color w:val="2D2C36"/>
        </w:rPr>
        <w:t></w:t>
      </w:r>
      <w:r>
        <w:rPr>
          <w:sz w:val="20"/>
          <w:szCs w:val="20"/>
          <w:color w:val="auto"/>
        </w:rPr>
        <w:tab/>
      </w:r>
      <w:r>
        <w:rPr>
          <w:rFonts w:ascii="PMingLiU" w:cs="PMingLiU" w:eastAsia="PMingLiU" w:hAnsi="PMingLiU"/>
          <w:sz w:val="16"/>
          <w:szCs w:val="16"/>
          <w:color w:val="2D2C36"/>
        </w:rPr>
        <w:t>$FWLQJWKURXJKDXWKRULW\GHOHJDWHGWRRXU1RPLQDWLQJ&amp;RPPLWWHHRYHUVHHLQJRXU&amp;RPSDQ\¶VDGKHUHQFHWRRXU</w:t>
      </w:r>
    </w:p>
    <w:p>
      <w:pPr>
        <w:spacing w:after="0" w:line="55" w:lineRule="exact"/>
        <w:rPr>
          <w:sz w:val="20"/>
          <w:szCs w:val="20"/>
          <w:color w:val="auto"/>
        </w:rPr>
      </w:pPr>
    </w:p>
    <w:p>
      <w:pPr>
        <w:ind w:left="520"/>
        <w:spacing w:after="0"/>
        <w:rPr>
          <w:sz w:val="20"/>
          <w:szCs w:val="20"/>
          <w:color w:val="auto"/>
        </w:rPr>
      </w:pPr>
      <w:r>
        <w:rPr>
          <w:rFonts w:ascii="PMingLiU" w:cs="PMingLiU" w:eastAsia="PMingLiU" w:hAnsi="PMingLiU"/>
          <w:sz w:val="16"/>
          <w:szCs w:val="16"/>
          <w:color w:val="2D2C36"/>
        </w:rPr>
        <w:t>FRUSRUDWHJRYHUQDQFHVWDQGDUGVDQGFRPSOLDQFHZLWKRXUNH\FRUSRUDWHJRYHUQDQFHGRFXPHQWVLQFOXGLQJRXU</w:t>
      </w:r>
    </w:p>
    <w:p>
      <w:pPr>
        <w:spacing w:after="0" w:line="40" w:lineRule="exact"/>
        <w:rPr>
          <w:sz w:val="20"/>
          <w:szCs w:val="20"/>
          <w:color w:val="auto"/>
        </w:rPr>
      </w:pPr>
    </w:p>
    <w:p>
      <w:pPr>
        <w:ind w:left="520"/>
        <w:spacing w:after="0"/>
        <w:rPr>
          <w:sz w:val="20"/>
          <w:szCs w:val="20"/>
          <w:color w:val="auto"/>
        </w:rPr>
      </w:pPr>
      <w:r>
        <w:rPr>
          <w:rFonts w:ascii="PMingLiU" w:cs="PMingLiU" w:eastAsia="PMingLiU" w:hAnsi="PMingLiU"/>
          <w:sz w:val="17"/>
          <w:szCs w:val="17"/>
          <w:color w:val="2D2C36"/>
        </w:rPr>
        <w:t>&amp;RUSRUDWH*RYHUQDQFH*XLGHOLQHVDQGRXU&amp;RGHRI&amp;RQGXFWDQG(WKLFVDQGFRPSOLDQFHZLWKRXU&amp;RPSDQ\V</w:t>
      </w:r>
    </w:p>
    <w:p>
      <w:pPr>
        <w:spacing w:after="0" w:line="36" w:lineRule="exact"/>
        <w:rPr>
          <w:sz w:val="20"/>
          <w:szCs w:val="20"/>
          <w:color w:val="auto"/>
        </w:rPr>
      </w:pPr>
    </w:p>
    <w:p>
      <w:pPr>
        <w:ind w:left="520"/>
        <w:spacing w:after="0"/>
        <w:rPr>
          <w:sz w:val="20"/>
          <w:szCs w:val="20"/>
          <w:color w:val="auto"/>
        </w:rPr>
      </w:pPr>
      <w:r>
        <w:rPr>
          <w:rFonts w:ascii="PMingLiU" w:cs="PMingLiU" w:eastAsia="PMingLiU" w:hAnsi="PMingLiU"/>
          <w:sz w:val="15"/>
          <w:szCs w:val="15"/>
          <w:color w:val="2D2C36"/>
        </w:rPr>
        <w:t>SURJUDPVDQGSROLFLHVGHVLJQHGWRHQVXUHDGKHUHQFHWRDSSOLFDEOHODZVDQGUXOHVLQHDFKFDVHRWKHUWKDQDVUHODWHG</w:t>
      </w:r>
    </w:p>
    <w:p>
      <w:pPr>
        <w:spacing w:after="0" w:line="60" w:lineRule="exact"/>
        <w:rPr>
          <w:sz w:val="20"/>
          <w:szCs w:val="20"/>
          <w:color w:val="auto"/>
        </w:rPr>
      </w:pPr>
    </w:p>
    <w:p>
      <w:pPr>
        <w:ind w:left="520"/>
        <w:spacing w:after="0"/>
        <w:rPr>
          <w:sz w:val="20"/>
          <w:szCs w:val="20"/>
          <w:color w:val="auto"/>
        </w:rPr>
      </w:pPr>
      <w:r>
        <w:rPr>
          <w:rFonts w:ascii="PMingLiU" w:cs="PMingLiU" w:eastAsia="PMingLiU" w:hAnsi="PMingLiU"/>
          <w:sz w:val="16"/>
          <w:szCs w:val="16"/>
          <w:color w:val="2D2C36"/>
        </w:rPr>
        <w:t>WRRXU&amp;RPSDQ\VILQDQFLDOVWDWHPHQWVDFFRXQWLQJSUDFWLFHVDQGDXGLWRUVDVZHOODVRYHUVHHLQJRXU&amp;RPSDQ\¶V</w:t>
      </w:r>
    </w:p>
    <w:p>
      <w:pPr>
        <w:spacing w:after="0" w:line="48" w:lineRule="exact"/>
        <w:rPr>
          <w:sz w:val="20"/>
          <w:szCs w:val="20"/>
          <w:color w:val="auto"/>
        </w:rPr>
      </w:pPr>
    </w:p>
    <w:p>
      <w:pPr>
        <w:ind w:left="520"/>
        <w:spacing w:after="0"/>
        <w:rPr>
          <w:sz w:val="20"/>
          <w:szCs w:val="20"/>
          <w:color w:val="auto"/>
        </w:rPr>
      </w:pPr>
      <w:r>
        <w:rPr>
          <w:rFonts w:ascii="PMingLiU" w:cs="PMingLiU" w:eastAsia="PMingLiU" w:hAnsi="PMingLiU"/>
          <w:sz w:val="18"/>
          <w:szCs w:val="18"/>
          <w:color w:val="2D2C36"/>
        </w:rPr>
        <w:t>(6*SURJUDPDQGVWUDWHJ\DQGRXU&amp;RPSDQ\¶VFRPSOLDQFHHWKLFVDQGSULYDF\SURJUDPV</w:t>
      </w:r>
    </w:p>
    <w:p>
      <w:pPr>
        <w:spacing w:after="0" w:line="200" w:lineRule="exact"/>
        <w:rPr>
          <w:sz w:val="20"/>
          <w:szCs w:val="20"/>
          <w:color w:val="auto"/>
        </w:rPr>
      </w:pPr>
    </w:p>
    <w:p>
      <w:pPr>
        <w:spacing w:after="0" w:line="365" w:lineRule="exact"/>
        <w:rPr>
          <w:sz w:val="20"/>
          <w:szCs w:val="20"/>
          <w:color w:val="auto"/>
        </w:rPr>
      </w:pPr>
    </w:p>
    <w:p>
      <w:pPr>
        <w:ind w:right="100"/>
        <w:spacing w:after="0" w:line="367" w:lineRule="auto"/>
        <w:rPr>
          <w:sz w:val="20"/>
          <w:szCs w:val="20"/>
          <w:color w:val="auto"/>
        </w:rPr>
      </w:pPr>
      <w:r>
        <w:rPr>
          <w:rFonts w:ascii="PMingLiU" w:cs="PMingLiU" w:eastAsia="PMingLiU" w:hAnsi="PMingLiU"/>
          <w:sz w:val="14"/>
          <w:szCs w:val="14"/>
          <w:color w:val="auto"/>
        </w:rPr>
        <w:t>2XU%RDUGKDVGHOHJDWHGWRRXU&amp;(2ZRUNLQJZLWKRXURWKHUH[HFXWLYHRIILFHUVWKHDXWKRULW\DQGUHVSRQVLELOLW\IRUPDQDJLQJ WKHEXVLQHVVRIRXU&amp;RPSDQ\LQDPDQQHUFRQVLVWHQWZLWKWKHVWDQGDUGVDQGSUDFWLFHVRIRXU&amp;RPSDQ\DQGLQDFFRUGDQFH ZLWKDQ\VSHFLILFSODQVLQVWUXFWLRQVRUGLUHFWLRQVRIRXU%RDUG2XU&amp;(2DQGPDQDJHPHQWDUHUHVSRQVLEOHIRUVHHNLQJWKH DGYLFHDQGLQDSSURSULDWHVLWXDWLRQVWKHDSSURYDORIRXU%RDUGZLWKUHVSHFWWRH[WUDRUGLQDU\DFWLRQVWREHXQGHUWDNHQE\RXU &amp;RPSDQ\</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2YHUVLJKWRI&amp;RUSRUDWH6WUDWHJ\</w:t>
      </w:r>
    </w:p>
    <w:p>
      <w:pPr>
        <w:spacing w:after="0" w:line="191" w:lineRule="exact"/>
        <w:rPr>
          <w:sz w:val="20"/>
          <w:szCs w:val="20"/>
          <w:color w:val="auto"/>
        </w:rPr>
      </w:pPr>
    </w:p>
    <w:p>
      <w:pPr>
        <w:ind w:right="40"/>
        <w:spacing w:after="0" w:line="376" w:lineRule="auto"/>
        <w:rPr>
          <w:sz w:val="20"/>
          <w:szCs w:val="20"/>
          <w:color w:val="auto"/>
        </w:rPr>
      </w:pPr>
      <w:r>
        <w:rPr>
          <w:rFonts w:ascii="PMingLiU" w:cs="PMingLiU" w:eastAsia="PMingLiU" w:hAnsi="PMingLiU"/>
          <w:sz w:val="14"/>
          <w:szCs w:val="14"/>
          <w:color w:val="auto"/>
        </w:rPr>
        <w:t>2XU%RDUGSOD\VDFUXFLDOUROHLQRYHUVHHLQJRXUORQJWHUPFRUSRUDWHVWUDWHJ\DSSURYLQJVWUDWHJLFSODQVPRQLWRULQJ SHUIRUPDQFHZLWKNH\PHWULFVDOORFDWLQJUHVRXUFHVHIIHFWLYHO\DQGPDNLQJLQIRUPHGLQYHVWPHQWGHFLVLRQV%\SURPRWLQJ LQQRYDWLRQDQGDGDSWDELOLW\RXU%RDUGVWULYHVWRHQVXUHWKDWRXU&amp;RPSDQ\UHPDLQVDJLOHDQGFRPSHWLWLYHLQDG\QDPLFPDUNHW HQYLURQPHQW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812165</wp:posOffset>
            </wp:positionV>
            <wp:extent cx="1386840" cy="2336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15">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40"/>
          </w:cols>
          <w:pgMar w:left="900" w:top="377" w:right="939" w:bottom="0" w:gutter="0" w:footer="0" w:header="0"/>
        </w:sectPr>
      </w:pPr>
    </w:p>
    <w:bookmarkStart w:id="36" w:name="page37"/>
    <w:bookmarkEnd w:id="36"/>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57" o:spid="_x0000_s1282"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2YHUVLJKWRI5LVN</w:t>
      </w:r>
    </w:p>
    <w:p>
      <w:pPr>
        <w:spacing w:after="0" w:line="191" w:lineRule="exact"/>
        <w:rPr>
          <w:sz w:val="20"/>
          <w:szCs w:val="20"/>
          <w:color w:val="auto"/>
        </w:rPr>
      </w:pPr>
    </w:p>
    <w:p>
      <w:pPr>
        <w:ind w:right="180"/>
        <w:spacing w:after="0" w:line="367" w:lineRule="auto"/>
        <w:rPr>
          <w:sz w:val="20"/>
          <w:szCs w:val="20"/>
          <w:color w:val="auto"/>
        </w:rPr>
      </w:pPr>
      <w:r>
        <w:rPr>
          <w:rFonts w:ascii="PMingLiU" w:cs="PMingLiU" w:eastAsia="PMingLiU" w:hAnsi="PMingLiU"/>
          <w:sz w:val="14"/>
          <w:szCs w:val="14"/>
          <w:color w:val="auto"/>
        </w:rPr>
        <w:t>$FWLQJDVDIXOO%RDUGDQGWKURXJKLWVIRXUVWDQGLQJFRPPLWWHHVRXU%RDUGSURYLGHVRYHUVLJKWRIULVNPDQDJHPHQWLQFOXGLQJ ILQDQFLDORSHUDWLRQDOEXVLQHVVLQWHOOHFWXDOSURSHUW\LQIRUPDWLRQWHFKQRORJ\LQFOXGLQJF\EHUVHFXULW\SXEOLFSROLF\ UHSXWDWLRQDOULVNJRYHUQDQFHDQGFRPSOLDQFH2XU%RDUGKDVGHOHJDWHGRYHUVLJKWRIFHUWDLQULVNVWRLWVFRPPLWWHHVHDFKRI ZKLFKUHJXODUO\UHSRUWVWRRXU%RDUGRQWKHLUULVNPDQDJHPHQWRYHUVLJKWDFWLYLWLHV0DQDJHPHQWDOVRUHJXODUO\UHSRUWWRRXU %RDUGZLWKXSGDWHVRQFHUWDLQNH\ULVNVDQGOHJDOPDWWHUV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78105</wp:posOffset>
                </wp:positionV>
                <wp:extent cx="6400165"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12700">
                          <a:solidFill>
                            <a:srgbClr val="000046"/>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15pt" to="503.85pt,6.15pt" o:allowincell="f" strokecolor="#000046" strokeweight="1pt"/>
            </w:pict>
          </mc:Fallback>
        </mc:AlternateContent>
      </w:r>
    </w:p>
    <w:p>
      <w:pPr>
        <w:spacing w:after="0" w:line="171" w:lineRule="exact"/>
        <w:rPr>
          <w:sz w:val="20"/>
          <w:szCs w:val="20"/>
          <w:color w:val="auto"/>
        </w:rPr>
      </w:pPr>
    </w:p>
    <w:p>
      <w:pPr>
        <w:ind w:left="460"/>
        <w:spacing w:after="0"/>
        <w:tabs>
          <w:tab w:leader="none" w:pos="1680" w:val="left"/>
        </w:tabs>
        <w:rPr>
          <w:sz w:val="20"/>
          <w:szCs w:val="20"/>
          <w:color w:val="auto"/>
        </w:rPr>
      </w:pPr>
      <w:r>
        <w:rPr>
          <w:rFonts w:ascii="PMingLiU" w:cs="PMingLiU" w:eastAsia="PMingLiU" w:hAnsi="PMingLiU"/>
          <w:sz w:val="16"/>
          <w:szCs w:val="16"/>
          <w:b w:val="1"/>
          <w:bCs w:val="1"/>
          <w:color w:val="5C004D"/>
        </w:rPr>
        <w:t>$XGLW</w:t>
      </w:r>
      <w:r>
        <w:rPr>
          <w:sz w:val="20"/>
          <w:szCs w:val="20"/>
          <w:color w:val="auto"/>
        </w:rPr>
        <w:tab/>
      </w:r>
      <w:r>
        <w:rPr>
          <w:rFonts w:ascii="PMingLiU" w:cs="PMingLiU" w:eastAsia="PMingLiU" w:hAnsi="PMingLiU"/>
          <w:sz w:val="13"/>
          <w:szCs w:val="13"/>
          <w:color w:val="auto"/>
        </w:rPr>
        <w:t>2XU$XGLW&amp;RPPLWWHHLVUHVSRQVLEOHIRURYHUVHHLQJRXUILQDQFLDOUHSRUWLQJSURFHVVRQEHKDOIRIRXU%RDUGDQG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-92710</wp:posOffset>
            </wp:positionV>
            <wp:extent cx="218440" cy="255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16">
                      <a:extLst>
                        <a:ext uri="{28A0092B-C50C-407E-A947-70E740481C1C}"/>
                      </a:extLst>
                    </a:blip>
                    <a:srcRect/>
                    <a:stretch>
                      <a:fillRect/>
                    </a:stretch>
                  </pic:blipFill>
                  <pic:spPr bwMode="auto">
                    <a:xfrm>
                      <a:off x="0" y="0"/>
                      <a:ext cx="218440" cy="255905"/>
                    </a:xfrm>
                    <a:prstGeom prst="rect">
                      <a:avLst/>
                    </a:prstGeom>
                    <a:noFill/>
                  </pic:spPr>
                </pic:pic>
              </a:graphicData>
            </a:graphic>
          </wp:anchor>
        </w:drawing>
      </w:r>
    </w:p>
    <w:p>
      <w:pPr>
        <w:ind w:left="1700" w:right="100" w:hanging="1239"/>
        <w:spacing w:after="0" w:line="310" w:lineRule="auto"/>
        <w:tabs>
          <w:tab w:leader="none" w:pos="1680" w:val="left"/>
        </w:tabs>
        <w:rPr>
          <w:sz w:val="20"/>
          <w:szCs w:val="20"/>
          <w:color w:val="auto"/>
        </w:rPr>
      </w:pPr>
      <w:r>
        <w:rPr>
          <w:rFonts w:ascii="PMingLiU" w:cs="PMingLiU" w:eastAsia="PMingLiU" w:hAnsi="PMingLiU"/>
          <w:sz w:val="13"/>
          <w:szCs w:val="13"/>
          <w:b w:val="1"/>
          <w:bCs w:val="1"/>
          <w:color w:val="5C004D"/>
        </w:rPr>
        <w:t>&amp;RPPLWWHH</w:t>
      </w:r>
      <w:r>
        <w:rPr>
          <w:sz w:val="20"/>
          <w:szCs w:val="20"/>
          <w:color w:val="auto"/>
        </w:rPr>
        <w:tab/>
      </w:r>
      <w:r>
        <w:rPr>
          <w:rFonts w:ascii="PMingLiU" w:cs="PMingLiU" w:eastAsia="PMingLiU" w:hAnsi="PMingLiU"/>
          <w:sz w:val="13"/>
          <w:szCs w:val="13"/>
          <w:color w:val="auto"/>
        </w:rPr>
        <w:t>UHYLHZLQJZLWKPDQDJHPHQWDQGRXUDXGLWRUVDVDSSURSULDWHRXUPDMRUILQDQFLDOULVNH[SRVXUHVDQGWKHVWHSVWDNHQ E\PDQDJHPHQWWRPRQLWRUDQGFRQWUROWKHVHH[SRVXUHV2XU$XGLW&amp;RPPLWWHHKHOSVRYHUVHHRXUF\EHUVHFXULW\ULVN PDQDJHPHQWSURFHVVHVLQFOXGLQJRYHUVLJKWRIULVNVIURPF\EHUVHFXULW\WKUHDWV2XU$XGLW&amp;RPPLWWHHUHFHLYHV TXDUWHUO\XSGDWHVRQLQIRUPDWLRQVHFXULW\GHYHORSPHQWVF\EHUVHFXULW\LQFLGHQWVDQGWKHVWHSVWDNHQE\PDQDJHPHQW WRPRQLWRUDQGPLWLJDWHULVNH[SRVXUHVLQWKHVHDUHDV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22860</wp:posOffset>
                </wp:positionV>
                <wp:extent cx="640016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pt" to="503.85pt,1.8pt" o:allowincell="f" strokecolor="#4454A7" strokeweight="0.25pt"/>
            </w:pict>
          </mc:Fallback>
        </mc:AlternateContent>
      </w:r>
    </w:p>
    <w:p>
      <w:pPr>
        <w:spacing w:after="0" w:line="85" w:lineRule="exact"/>
        <w:rPr>
          <w:sz w:val="20"/>
          <w:szCs w:val="20"/>
          <w:color w:val="auto"/>
        </w:rPr>
      </w:pPr>
    </w:p>
    <w:p>
      <w:pPr>
        <w:ind w:left="460"/>
        <w:spacing w:after="0"/>
        <w:rPr>
          <w:sz w:val="20"/>
          <w:szCs w:val="20"/>
          <w:color w:val="auto"/>
        </w:rPr>
      </w:pPr>
      <w:r>
        <w:rPr>
          <w:rFonts w:ascii="PMingLiU" w:cs="PMingLiU" w:eastAsia="PMingLiU" w:hAnsi="PMingLiU"/>
          <w:sz w:val="13"/>
          <w:szCs w:val="13"/>
          <w:b w:val="1"/>
          <w:bCs w:val="1"/>
          <w:color w:val="5C004D"/>
        </w:rPr>
        <w:t xml:space="preserve">&amp;RPSHQVDWLRQ  </w:t>
      </w:r>
      <w:r>
        <w:rPr>
          <w:rFonts w:ascii="PMingLiU" w:cs="PMingLiU" w:eastAsia="PMingLiU" w:hAnsi="PMingLiU"/>
          <w:sz w:val="13"/>
          <w:szCs w:val="13"/>
          <w:color w:val="000000"/>
        </w:rPr>
        <w:t>2XU&amp;RPSHQVDWLRQ&amp;RPPLWWHHDSSURYHVFRPSHQVDWLRQRIH[HFXWLYHRIILFHUVDQGDOOPDWHULDOFRPSHQVDWLRQSODQVDQG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247015" cy="189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17">
                      <a:extLst>
                        <a:ext uri="{28A0092B-C50C-407E-A947-70E740481C1C}"/>
                      </a:extLst>
                    </a:blip>
                    <a:srcRect/>
                    <a:stretch>
                      <a:fillRect/>
                    </a:stretch>
                  </pic:blipFill>
                  <pic:spPr bwMode="auto">
                    <a:xfrm>
                      <a:off x="0" y="0"/>
                      <a:ext cx="247015" cy="189865"/>
                    </a:xfrm>
                    <a:prstGeom prst="rect">
                      <a:avLst/>
                    </a:prstGeom>
                    <a:noFill/>
                  </pic:spPr>
                </pic:pic>
              </a:graphicData>
            </a:graphic>
          </wp:anchor>
        </w:drawing>
      </w:r>
    </w:p>
    <w:p>
      <w:pPr>
        <w:spacing w:after="0" w:line="32" w:lineRule="exact"/>
        <w:rPr>
          <w:sz w:val="20"/>
          <w:szCs w:val="20"/>
          <w:color w:val="auto"/>
        </w:rPr>
      </w:pPr>
    </w:p>
    <w:p>
      <w:pPr>
        <w:ind w:left="1700" w:right="280" w:hanging="1239"/>
        <w:spacing w:after="0" w:line="320" w:lineRule="auto"/>
        <w:tabs>
          <w:tab w:leader="none" w:pos="1680" w:val="left"/>
        </w:tabs>
        <w:rPr>
          <w:sz w:val="20"/>
          <w:szCs w:val="20"/>
          <w:color w:val="auto"/>
        </w:rPr>
      </w:pPr>
      <w:r>
        <w:rPr>
          <w:rFonts w:ascii="PMingLiU" w:cs="PMingLiU" w:eastAsia="PMingLiU" w:hAnsi="PMingLiU"/>
          <w:sz w:val="12"/>
          <w:szCs w:val="12"/>
          <w:b w:val="1"/>
          <w:bCs w:val="1"/>
          <w:color w:val="5C004D"/>
        </w:rPr>
        <w:t>&amp;RPPLWWHH</w:t>
      </w:r>
      <w:r>
        <w:rPr>
          <w:sz w:val="20"/>
          <w:szCs w:val="20"/>
          <w:color w:val="auto"/>
        </w:rPr>
        <w:tab/>
      </w:r>
      <w:r>
        <w:rPr>
          <w:rFonts w:ascii="PMingLiU" w:cs="PMingLiU" w:eastAsia="PMingLiU" w:hAnsi="PMingLiU"/>
          <w:sz w:val="12"/>
          <w:szCs w:val="12"/>
          <w:color w:val="auto"/>
        </w:rPr>
        <w:t>UHYLHZVRXUFRPSHQVDWLRQSUDFWLFHVWRHQVXUHWKDWWKH\GRQRWHQFRXUDJHH[FHVVLYHULVNWDNLQJDQGSURYLGH DSSURSULDWHLQFHQWLYHVIRUPHHWLQJERWKVKRUWWHUPDQGORQJWHUPREMHFWLYHVDQGLQFUHDVLQJVKDUHKROGHUYDOXHRYHU WLPH2XU&amp;RPSHQVDWLRQ&amp;RPPLWWHHDOVRZRUNVZLWKRXU%RDUGWRRYHUVHHPDWWHUVUHODWHGWRWDOHQWDQGFXOWXUH</w:t>
      </w:r>
    </w:p>
    <w:p>
      <w:pPr>
        <w:ind w:left="1700" w:right="200"/>
        <w:spacing w:after="0" w:line="348" w:lineRule="auto"/>
        <w:rPr>
          <w:sz w:val="20"/>
          <w:szCs w:val="20"/>
          <w:color w:val="auto"/>
        </w:rPr>
      </w:pPr>
      <w:r>
        <w:rPr>
          <w:rFonts w:ascii="PMingLiU" w:cs="PMingLiU" w:eastAsia="PMingLiU" w:hAnsi="PMingLiU"/>
          <w:sz w:val="12"/>
          <w:szCs w:val="12"/>
          <w:color w:val="auto"/>
        </w:rPr>
        <w:t>LQFOXGLQJKXPDQFDSLWDOSURJUDPVDQGSROLFLHVUHJDUGLQJPDQDJHPHQWGHYHORSPHQWWDOHQWSODQQLQJDQGHPSOR\HH HQJDJHPHQWDVZHOODVKXPDQFDSLWDOPDQDJHPHQWZKLFKLQFOXGHVUHYLHZLQJZRUNIRUFHWUHQGVH[HFXWLYH VXFFHVVLRQSODQVDQGWDOHQWULVNDQGPDLQWDLQLQJFRPSHQVDWLRQREMHFWLYHVDQGFRUSRUDWHSROLFLHVWKDWDSSURSULDWHO\ LQFHQWLYL]HFUHDWLQJDQGPDLQWDLQLQJDSRVLWLYHZRUNSODFHDQGFRUSRUDWHFXOWXUH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24130</wp:posOffset>
                </wp:positionV>
                <wp:extent cx="6400165"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9pt" to="503.85pt,1.9pt" o:allowincell="f" strokecolor="#4454A7" strokeweight="0.25pt"/>
            </w:pict>
          </mc:Fallback>
        </mc:AlternateContent>
      </w:r>
    </w:p>
    <w:p>
      <w:pPr>
        <w:spacing w:after="0" w:line="86" w:lineRule="exact"/>
        <w:rPr>
          <w:sz w:val="20"/>
          <w:szCs w:val="20"/>
          <w:color w:val="auto"/>
        </w:rPr>
      </w:pPr>
    </w:p>
    <w:p>
      <w:pPr>
        <w:ind w:left="460"/>
        <w:spacing w:after="0"/>
        <w:tabs>
          <w:tab w:leader="none" w:pos="1680" w:val="left"/>
        </w:tabs>
        <w:rPr>
          <w:sz w:val="20"/>
          <w:szCs w:val="20"/>
          <w:color w:val="auto"/>
        </w:rPr>
      </w:pPr>
      <w:r>
        <w:rPr>
          <w:rFonts w:ascii="PMingLiU" w:cs="PMingLiU" w:eastAsia="PMingLiU" w:hAnsi="PMingLiU"/>
          <w:sz w:val="13"/>
          <w:szCs w:val="13"/>
          <w:b w:val="1"/>
          <w:bCs w:val="1"/>
          <w:color w:val="5C004D"/>
        </w:rPr>
        <w:t>1RPLQDWLQJ</w:t>
      </w:r>
      <w:r>
        <w:rPr>
          <w:sz w:val="20"/>
          <w:szCs w:val="20"/>
          <w:color w:val="auto"/>
        </w:rPr>
        <w:tab/>
      </w:r>
      <w:r>
        <w:rPr>
          <w:rFonts w:ascii="PMingLiU" w:cs="PMingLiU" w:eastAsia="PMingLiU" w:hAnsi="PMingLiU"/>
          <w:sz w:val="13"/>
          <w:szCs w:val="13"/>
          <w:color w:val="auto"/>
        </w:rPr>
        <w:t>2XU1RPLQDWLQJ&amp;RPPLWWHHRYHUVHHVRXUULVNPDQDJHPHQWRWKHUWKDQWKRVHULVNVFRQFHUQLQJRXUPDMRUILQDQFLDO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247015" cy="2178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8">
                      <a:extLst>
                        <a:ext uri="{28A0092B-C50C-407E-A947-70E740481C1C}"/>
                      </a:extLst>
                    </a:blip>
                    <a:srcRect/>
                    <a:stretch>
                      <a:fillRect/>
                    </a:stretch>
                  </pic:blipFill>
                  <pic:spPr bwMode="auto">
                    <a:xfrm>
                      <a:off x="0" y="0"/>
                      <a:ext cx="247015" cy="217805"/>
                    </a:xfrm>
                    <a:prstGeom prst="rect">
                      <a:avLst/>
                    </a:prstGeom>
                    <a:noFill/>
                  </pic:spPr>
                </pic:pic>
              </a:graphicData>
            </a:graphic>
          </wp:anchor>
        </w:drawing>
      </w:r>
    </w:p>
    <w:p>
      <w:pPr>
        <w:spacing w:after="0" w:line="32" w:lineRule="exact"/>
        <w:rPr>
          <w:sz w:val="20"/>
          <w:szCs w:val="20"/>
          <w:color w:val="auto"/>
        </w:rPr>
      </w:pPr>
    </w:p>
    <w:p>
      <w:pPr>
        <w:ind w:left="1700" w:right="80" w:hanging="1239"/>
        <w:spacing w:after="0" w:line="316" w:lineRule="auto"/>
        <w:tabs>
          <w:tab w:leader="none" w:pos="1680" w:val="left"/>
        </w:tabs>
        <w:rPr>
          <w:sz w:val="20"/>
          <w:szCs w:val="20"/>
          <w:color w:val="auto"/>
        </w:rPr>
      </w:pPr>
      <w:r>
        <w:rPr>
          <w:rFonts w:ascii="PMingLiU" w:cs="PMingLiU" w:eastAsia="PMingLiU" w:hAnsi="PMingLiU"/>
          <w:sz w:val="13"/>
          <w:szCs w:val="13"/>
          <w:b w:val="1"/>
          <w:bCs w:val="1"/>
          <w:color w:val="5C004D"/>
        </w:rPr>
        <w:t>&amp;RPPLWWHH</w:t>
      </w:r>
      <w:r>
        <w:rPr>
          <w:sz w:val="20"/>
          <w:szCs w:val="20"/>
          <w:color w:val="auto"/>
        </w:rPr>
        <w:tab/>
      </w:r>
      <w:r>
        <w:rPr>
          <w:rFonts w:ascii="PMingLiU" w:cs="PMingLiU" w:eastAsia="PMingLiU" w:hAnsi="PMingLiU"/>
          <w:sz w:val="13"/>
          <w:szCs w:val="13"/>
          <w:color w:val="auto"/>
        </w:rPr>
        <w:t>EXVLQHVVRUF\EHUVHFXULW\ULVNH[SRVXUHVRUULVNVUHODWHGWRRXUFRPSHQVDWLRQSURJUDPVDQGSROLFLHVRQEHKDOIRIRXU %RDUG2XU1RPLQDWLQJ&amp;RPPLWWHHKDVRYHUVLJKWUHVSRQVLELOLW\RYHURXU&amp;66,SURJUDPDQGVWUDWHJ\DQGFRPSOLDQFH DQGHWKLFVSURJUDP$GGLWLRQDOO\RXU1RPLQDWLQJ&amp;RPPLWWHHPDLQWDLQVRYHUVLJKWRYHURXU(50SURJUDPZKLFKLVD FRPSUHKHQVLYHIUDPHZRUNGHVLJQHGWRLGHQWLI\DVVHVVSUHSDUHIRUDQGPLWLJDWHULVNVWKDWPD\DIIHFWRXU&amp;RPSDQ\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640016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35pt" to="503.85pt,1.35pt" o:allowincell="f" strokecolor="#4454A7" strokeweight="0.25pt"/>
            </w:pict>
          </mc:Fallback>
        </mc:AlternateContent>
      </w:r>
    </w:p>
    <w:p>
      <w:pPr>
        <w:spacing w:after="0" w:line="76" w:lineRule="exact"/>
        <w:rPr>
          <w:sz w:val="20"/>
          <w:szCs w:val="20"/>
          <w:color w:val="auto"/>
        </w:rPr>
      </w:pPr>
    </w:p>
    <w:p>
      <w:pPr>
        <w:ind w:left="460"/>
        <w:spacing w:after="0"/>
        <w:tabs>
          <w:tab w:leader="none" w:pos="1680" w:val="left"/>
        </w:tabs>
        <w:rPr>
          <w:sz w:val="20"/>
          <w:szCs w:val="20"/>
          <w:color w:val="auto"/>
        </w:rPr>
      </w:pPr>
      <w:r>
        <w:rPr>
          <w:rFonts w:ascii="PMingLiU" w:cs="PMingLiU" w:eastAsia="PMingLiU" w:hAnsi="PMingLiU"/>
          <w:sz w:val="14"/>
          <w:szCs w:val="14"/>
          <w:b w:val="1"/>
          <w:bCs w:val="1"/>
          <w:color w:val="5C004D"/>
        </w:rPr>
        <w:t>60&amp;</w:t>
      </w:r>
      <w:r>
        <w:rPr>
          <w:sz w:val="20"/>
          <w:szCs w:val="20"/>
          <w:color w:val="auto"/>
        </w:rPr>
        <w:tab/>
      </w:r>
      <w:r>
        <w:rPr>
          <w:rFonts w:ascii="PMingLiU" w:cs="PMingLiU" w:eastAsia="PMingLiU" w:hAnsi="PMingLiU"/>
          <w:sz w:val="14"/>
          <w:szCs w:val="14"/>
          <w:color w:val="auto"/>
        </w:rPr>
        <w:t>2XU60&amp;LVUHVSRQVLEOHIRURYHUVHHLQJUHVHDUFKGHYHORSPHQWDQGWHFKQRORJ\LQLWLDWLYHV2XU60&amp;DOVRGLVFXVVHV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-77470</wp:posOffset>
            </wp:positionV>
            <wp:extent cx="182880" cy="265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9">
                      <a:extLst>
                        <a:ext uri="{28A0092B-C50C-407E-A947-70E740481C1C}"/>
                      </a:extLst>
                    </a:blip>
                    <a:srcRect/>
                    <a:stretch>
                      <a:fillRect/>
                    </a:stretch>
                  </pic:blipFill>
                  <pic:spPr bwMode="auto">
                    <a:xfrm>
                      <a:off x="0" y="0"/>
                      <a:ext cx="182880" cy="265430"/>
                    </a:xfrm>
                    <a:prstGeom prst="rect">
                      <a:avLst/>
                    </a:prstGeom>
                    <a:noFill/>
                  </pic:spPr>
                </pic:pic>
              </a:graphicData>
            </a:graphic>
          </wp:anchor>
        </w:drawing>
      </w:r>
    </w:p>
    <w:p>
      <w:pPr>
        <w:spacing w:after="0" w:line="20" w:lineRule="exact"/>
        <w:rPr>
          <w:sz w:val="20"/>
          <w:szCs w:val="20"/>
          <w:color w:val="auto"/>
        </w:rPr>
      </w:pPr>
    </w:p>
    <w:p>
      <w:pPr>
        <w:ind w:left="1700" w:right="80"/>
        <w:spacing w:after="0" w:line="358" w:lineRule="auto"/>
        <w:rPr>
          <w:sz w:val="20"/>
          <w:szCs w:val="20"/>
          <w:color w:val="auto"/>
        </w:rPr>
      </w:pPr>
      <w:r>
        <w:rPr>
          <w:rFonts w:ascii="PMingLiU" w:cs="PMingLiU" w:eastAsia="PMingLiU" w:hAnsi="PMingLiU"/>
          <w:sz w:val="13"/>
          <w:szCs w:val="13"/>
          <w:color w:val="auto"/>
        </w:rPr>
        <w:t>VLJQLILFDQWHPHUJLQJWUHQGVLVVXHVDQGULVNVLQVFLHQFHDQGWHFKQRORJ\DQGFRQVLGHUVWKHSRWHQWLDOLPSDFWWKHVHPD\ KDYHRQXV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14605</wp:posOffset>
                </wp:positionV>
                <wp:extent cx="640016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12700">
                          <a:solidFill>
                            <a:srgbClr val="5C004D"/>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15pt" to="503.85pt,1.15pt" o:allowincell="f" strokecolor="#5C004D" strokeweight="1pt"/>
            </w:pict>
          </mc:Fallback>
        </mc:AlternateContent>
      </w:r>
    </w:p>
    <w:p>
      <w:pPr>
        <w:spacing w:after="0" w:line="283"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2YHUVLJKWRI&amp;\EHUVHFXULW\</w:t>
      </w:r>
    </w:p>
    <w:p>
      <w:pPr>
        <w:spacing w:after="0" w:line="191" w:lineRule="exact"/>
        <w:rPr>
          <w:sz w:val="20"/>
          <w:szCs w:val="20"/>
          <w:color w:val="auto"/>
        </w:rPr>
      </w:pPr>
    </w:p>
    <w:p>
      <w:pPr>
        <w:ind w:right="60"/>
        <w:spacing w:after="0" w:line="398" w:lineRule="auto"/>
        <w:rPr>
          <w:sz w:val="20"/>
          <w:szCs w:val="20"/>
          <w:color w:val="auto"/>
        </w:rPr>
      </w:pPr>
      <w:r>
        <w:rPr>
          <w:rFonts w:ascii="PMingLiU" w:cs="PMingLiU" w:eastAsia="PMingLiU" w:hAnsi="PMingLiU"/>
          <w:sz w:val="15"/>
          <w:szCs w:val="15"/>
          <w:color w:val="auto"/>
        </w:rPr>
        <w:t>2XU%RDUGDGGUHVVHVRXUF\EHUVHFXULW\ULVNPDQDJHPHQWDVSDUWRILWVJHQHUDORYHUVLJKWIXQFWLRQ2XU$XGLW&amp;RPPLWWHHKHOSV RYHUVHHRXUF\EHUVHFXULW\ULVNPDQDJHPHQWSURFHVVHVLQFOXGLQJRYHUVLJKWRIULVNVIURPF\EHUVHFXULW\WKUHDWV</w:t>
      </w:r>
    </w:p>
    <w:p>
      <w:pPr>
        <w:spacing w:after="0" w:line="62" w:lineRule="exact"/>
        <w:rPr>
          <w:sz w:val="20"/>
          <w:szCs w:val="20"/>
          <w:color w:val="auto"/>
        </w:rPr>
      </w:pPr>
    </w:p>
    <w:p>
      <w:pPr>
        <w:spacing w:after="0" w:line="319" w:lineRule="auto"/>
        <w:rPr>
          <w:sz w:val="20"/>
          <w:szCs w:val="20"/>
          <w:color w:val="auto"/>
        </w:rPr>
      </w:pPr>
      <w:r>
        <w:rPr>
          <w:rFonts w:ascii="PMingLiU" w:cs="PMingLiU" w:eastAsia="PMingLiU" w:hAnsi="PMingLiU"/>
          <w:sz w:val="15"/>
          <w:szCs w:val="15"/>
          <w:color w:val="auto"/>
        </w:rPr>
        <w:t>2XU,QIRUPDWLRQ6HFXULW\*RYHUQDQFH&amp;RPPLWWHHZKLFKLVFRPSRVHGRIRXU&amp;,62&amp;KLHI'LJLWDO2IILFHU&amp;KLHI/HJDO2IILFHU &amp;)2DQG&amp;KLHI(WKLFV &amp;RPSOLDQFH2IILFHUVDQGRXU$XGLW&amp;RPPLWWHHUHFHLYHYDULRXVUHSRUWVIURPRXU&amp;,62DQG&amp;KLHI 'LJLWDO2IILFHU7KH&amp;,62RUWKHLUGHVLJQHHUHSRUWVWRRXU$XGLW&amp;RPPLWWHHRQF\EHUVHFXULW\ULVNRQDWOHDVWDTXDUWHUO\EDVLV</w:t>
      </w:r>
    </w:p>
    <w:p>
      <w:pPr>
        <w:spacing w:after="0" w:line="1" w:lineRule="exact"/>
        <w:rPr>
          <w:sz w:val="20"/>
          <w:szCs w:val="20"/>
          <w:color w:val="auto"/>
        </w:rPr>
      </w:pPr>
    </w:p>
    <w:p>
      <w:pPr>
        <w:ind w:right="60"/>
        <w:spacing w:after="0" w:line="392" w:lineRule="auto"/>
        <w:rPr>
          <w:sz w:val="20"/>
          <w:szCs w:val="20"/>
          <w:color w:val="auto"/>
        </w:rPr>
      </w:pPr>
      <w:r>
        <w:rPr>
          <w:rFonts w:ascii="PMingLiU" w:cs="PMingLiU" w:eastAsia="PMingLiU" w:hAnsi="PMingLiU"/>
          <w:sz w:val="14"/>
          <w:szCs w:val="14"/>
          <w:color w:val="auto"/>
        </w:rPr>
        <w:t>:ULWWHQUHSRUWVDQGSUHVHQWDWLRQPDWHULDOVUHJDUGLQJF\EHUVHFXULW\ULVNSURYLGHGWRRXU$XGLW&amp;RPPLWWHHDUHPDGHDYDLODEOHWR RXU%RDUGDQGWKH\FDQGLVFXVVWKHPDWHULDOVDQGF\EHUVHFXULW\ULVNZLWKRXU$XGLW&amp;RPPLWWHHPHPEHUV2XULQWHUQDODXGLW WHDPRYHUVHHVLQWHUQDOFRQWUROVLPSOHPHQWHGE\XVXQGHURXULQIRUPDWLRQVHFXULW\SURJUDP</w:t>
      </w:r>
    </w:p>
    <w:p>
      <w:pPr>
        <w:spacing w:after="0" w:line="76" w:lineRule="exact"/>
        <w:rPr>
          <w:sz w:val="20"/>
          <w:szCs w:val="20"/>
          <w:color w:val="auto"/>
        </w:rPr>
      </w:pPr>
    </w:p>
    <w:p>
      <w:pPr>
        <w:ind w:right="320"/>
        <w:spacing w:after="0" w:line="398" w:lineRule="auto"/>
        <w:rPr>
          <w:sz w:val="20"/>
          <w:szCs w:val="20"/>
          <w:color w:val="auto"/>
        </w:rPr>
      </w:pPr>
      <w:r>
        <w:rPr>
          <w:rFonts w:ascii="PMingLiU" w:cs="PMingLiU" w:eastAsia="PMingLiU" w:hAnsi="PMingLiU"/>
          <w:sz w:val="15"/>
          <w:szCs w:val="15"/>
          <w:color w:val="auto"/>
        </w:rPr>
        <w:t>2XULQIRUPDWLRQVHFXULW\SURJUDPLVLPSOHPHQWHGDQGPDLQWDLQHGE\FHUWDLQRIRXUPDQDJHPHQWLQFOXGLQJWKH&amp;,62&amp;KLHI 'LJLWDO2IILFHUDQGRWKHUPHPEHUVRIRXU,QIRUPDWLRQ6HFXULW\*RYHUQDQFH&amp;RPPLWWHH</w:t>
      </w:r>
    </w:p>
    <w:p>
      <w:pPr>
        <w:spacing w:after="0" w:line="62" w:lineRule="exact"/>
        <w:rPr>
          <w:sz w:val="20"/>
          <w:szCs w:val="20"/>
          <w:color w:val="auto"/>
        </w:rPr>
      </w:pPr>
    </w:p>
    <w:p>
      <w:pPr>
        <w:ind w:right="40"/>
        <w:spacing w:after="0" w:line="1014" w:lineRule="auto"/>
        <w:rPr>
          <w:sz w:val="20"/>
          <w:szCs w:val="20"/>
          <w:color w:val="auto"/>
        </w:rPr>
      </w:pPr>
      <w:r>
        <w:rPr>
          <w:rFonts w:ascii="PMingLiU" w:cs="PMingLiU" w:eastAsia="PMingLiU" w:hAnsi="PMingLiU"/>
          <w:sz w:val="7"/>
          <w:szCs w:val="7"/>
          <w:color w:val="auto"/>
        </w:rPr>
        <w:t>7KH,QIRUPDWLRQ6HFXULW\*RYHUQDQFH&amp;RPPLWWHHKHOSVDVVHVVDQGPDQDJHRXUF\EHUVHFXULW\ULVNVDQGPRQLWRUWKH HIIHFWLYHQHVVRIRXULQIRUPDWLRQVHFXULW\SURJUDPDQGULVNPDQDJHPHQW0DQDJHPHQWLQFOXGLQJWKRVHVHUYLQJRQRXU ,QIRUPDWLRQ6HFXULW\*RYHUQDQFH&amp;RPPLWWHHLVUHVSRQVLEOHIRUKLULQJDSSURSULDWHF\EHUVHFXULW\SHUVRQQHOKHOSLQJWRLQWHJUDWH F\EHUVHFXULW\FRQVLGHUDWLRQVLQWRRXURYHUDOOULVNPDQDJHPHQWVWUDWHJ\SURYLGLQJDSSURSULDWHUHVRXUFHVIRUF\EHUVHFXULW\ULVN PDQDJHPHQWDQGFRPPXQLFDWLQJNH\SULRULWLHVWRUHOHYDQWSHUVRQQHO2XUF\EHUVHFXULW\LQFLGHQWUHVSRQVHSODQLQFOXGHV SURFHVVHVGHVLJQHGWRHVFDODWHFHUWDLQF\EHUVHFXULW\LQFLGHQWVWKDWFDXVHDVLJQLILFDQWLPSDFWWRRXU&amp;RPSDQ\WRPHPEHUVRI</w:t>
      </w:r>
    </w:p>
    <w:p>
      <w:pPr>
        <w:spacing w:after="0" w:line="18" w:lineRule="exact"/>
        <w:rPr>
          <w:sz w:val="20"/>
          <w:szCs w:val="20"/>
          <w:color w:val="auto"/>
        </w:rPr>
      </w:pPr>
    </w:p>
    <w:p>
      <w:pPr>
        <w:ind w:right="400"/>
        <w:spacing w:after="0" w:line="392" w:lineRule="auto"/>
        <w:rPr>
          <w:sz w:val="20"/>
          <w:szCs w:val="20"/>
          <w:color w:val="auto"/>
        </w:rPr>
      </w:pPr>
      <w:r>
        <w:rPr>
          <w:rFonts w:ascii="PMingLiU" w:cs="PMingLiU" w:eastAsia="PMingLiU" w:hAnsi="PMingLiU"/>
          <w:sz w:val="14"/>
          <w:szCs w:val="14"/>
          <w:color w:val="auto"/>
        </w:rPr>
        <w:t>WKH,QIRUPDWLRQ*RYHUQDQFH6HFXULW\&amp;RPPLWWHHDQGFHUWDLQPHPEHUVRIH[HFXWLYHPDQDJHPHQWGHSHQGLQJRQWKH FLUFXPVWDQFHV,QDGGLWLRQRXULQFLGHQWUHVSRQVHSODQLQFOXGHVUHSRUWLQJWRRXU$XGLW&amp;RPPLWWHHIRUFHUWDLQF\EHUVHFXULW\ LQFLGHQWVLQFOXGLQJWKRVHWKDWKDYHSRWHQWLDOO\KDGDPDWHULDOLPSDFWRQXV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1389380" cy="2343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20">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00"/>
          </w:cols>
          <w:pgMar w:left="900" w:top="377" w:right="879" w:bottom="0" w:gutter="0" w:footer="0" w:header="0"/>
        </w:sectPr>
      </w:pPr>
    </w:p>
    <w:bookmarkStart w:id="37" w:name="page38"/>
    <w:bookmarkEnd w:id="3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68" o:spid="_x0000_s1293"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2YHUVLJKWRI&amp;RPSOLDQFH</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16"/>
          <w:szCs w:val="16"/>
          <w:color w:val="auto"/>
        </w:rPr>
        <w:t>2XU&amp;KLHI(WKLFVDQG&amp;RPSOLDQFH2IILFHUZKRUHSRUWVWRRXU&amp;KLHI/HJDO2IILFHUDQGKDVGLUHFWDFFHVVWRRXU&amp;(2DQGRXU</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%RDUGLVUHVSRQVLEOHIRUGHVLJQLQJDQGLPSOHPHQWLQJRXUFRPSOLDQFHSURJUDPPDQDJLQJWKH(WKLFVDQG&amp;RPSOLDQFHWHDP</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8"/>
          <w:szCs w:val="18"/>
          <w:color w:val="auto"/>
        </w:rPr>
        <w:t>DQGFRPSOLDQFHSURJUDPHOHPHQWV</w:t>
      </w:r>
    </w:p>
    <w:p>
      <w:pPr>
        <w:spacing w:after="0" w:line="204" w:lineRule="exact"/>
        <w:rPr>
          <w:sz w:val="20"/>
          <w:szCs w:val="20"/>
          <w:color w:val="auto"/>
        </w:rPr>
      </w:pPr>
    </w:p>
    <w:p>
      <w:pPr>
        <w:ind w:right="20"/>
        <w:spacing w:after="0" w:line="359" w:lineRule="auto"/>
        <w:rPr>
          <w:sz w:val="20"/>
          <w:szCs w:val="20"/>
          <w:color w:val="auto"/>
        </w:rPr>
      </w:pPr>
      <w:r>
        <w:rPr>
          <w:rFonts w:ascii="PMingLiU" w:cs="PMingLiU" w:eastAsia="PMingLiU" w:hAnsi="PMingLiU"/>
          <w:sz w:val="14"/>
          <w:szCs w:val="14"/>
          <w:color w:val="auto"/>
        </w:rPr>
        <w:t>2XU%RDUGRYHUVHHVPDWWHUVUHODWHGWRFRPSOLDQFHUHTXLUHPHQWVDQGRXUFRPSOLDQFHSURJUDPJHQHUDOO\LQFOXGLQJWKH DGHTXDF\RIUHVRXUFHVGHGLFDWHGWRWKHFRPSOLDQFHIXQFWLRQWKHLGHQWLILFDWLRQDQGKDQGOLQJRILQVWDQFHVRIQRQFRPSOLDQFH DQGWKHRYHUDOOHIIHFWLYHQHVVRIWKHGHVLJQDQGLPSOHPHQWDWLRQRIWKHFRPSOLDQFHSURJUDP2XU1RPLQDWLQJ&amp;RPPLWWHHKDV UHVSRQVLELOLW\IRUUHYLHZDQGRYHUVLJKWRIPDWWHUVUHODWHGWRFRPSOLDQFHZLWK86IHGHUDOKHDOWKFDUHSURJUDPUHTXLUHPHQWV 2XU1RPLQDWLQJ&amp;RPPLWWHHPHHWVDWOHDVWTXDUWHUO\ZLWKWKH&amp;KLHI(WKLFVDQG&amp;RPSOLDQFH2IILFHUWRUHYLHZRXUFRPSOLDQFH SURJUDPDQGDQQXDOO\DGRSWDUHVROXWLRQVXPPDUL]LQJLWVUHYLHZDQGRYHUVLJKWRIRXU&amp;RPSDQ\¶VFRPSOLDQFHZLWK86IHGHUDO KHDOWKFDUHSURJUDPUHTXLUHPHQWV2XU%RDUGPHHWVUHJXODUO\ZLWKRXU&amp;KLHI(WKLFVDQG&amp;RPSOLDQFH2IILFHU</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2YHUVLJKWRI&amp;66,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-128270</wp:posOffset>
            </wp:positionV>
            <wp:extent cx="2733040" cy="11112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21">
                      <a:extLst>
                        <a:ext uri="{28A0092B-C50C-407E-A947-70E740481C1C}"/>
                      </a:extLst>
                    </a:blip>
                    <a:srcRect/>
                    <a:stretch>
                      <a:fillRect/>
                    </a:stretch>
                  </pic:blipFill>
                  <pic:spPr bwMode="auto">
                    <a:xfrm>
                      <a:off x="0" y="0"/>
                      <a:ext cx="2733040" cy="1111250"/>
                    </a:xfrm>
                    <a:prstGeom prst="rect">
                      <a:avLst/>
                    </a:prstGeom>
                    <a:noFill/>
                  </pic:spPr>
                </pic:pic>
              </a:graphicData>
            </a:graphic>
          </wp:anchor>
        </w:drawing>
      </w:r>
    </w:p>
    <w:p>
      <w:pPr>
        <w:spacing w:after="0" w:line="171" w:lineRule="exact"/>
        <w:rPr>
          <w:sz w:val="20"/>
          <w:szCs w:val="20"/>
          <w:color w:val="auto"/>
        </w:rPr>
      </w:pPr>
    </w:p>
    <w:p>
      <w:pPr>
        <w:ind w:right="5100"/>
        <w:spacing w:after="0" w:line="367" w:lineRule="auto"/>
        <w:rPr>
          <w:sz w:val="20"/>
          <w:szCs w:val="20"/>
          <w:color w:val="auto"/>
        </w:rPr>
      </w:pPr>
      <w:r>
        <w:rPr>
          <w:rFonts w:ascii="PMingLiU" w:cs="PMingLiU" w:eastAsia="PMingLiU" w:hAnsi="PMingLiU"/>
          <w:sz w:val="14"/>
          <w:szCs w:val="14"/>
          <w:color w:val="auto"/>
        </w:rPr>
        <w:t>2XU%RDUGRYHUVHHVWKHVWUDWHJ\IRUDGGUHVVLQJ(6*UHODWHG ULVNVDQGRSSRUWXQLWLHVVLJQLILFDQWWRXVDQGRXUVKDUHKROGHUV &amp;HUWDLQFRPPLWWHHVRIRXU%RDUGRYHUVHH(6*PDWWHUVDFURVV RXUEXVLQHVVRSHUDWLRQVLQWKHDUHDVWKDWDOLJQZLWKWKHLU UHVSHFWLYHUHVSRQVLELOLWLHV</w:t>
      </w:r>
    </w:p>
    <w:p>
      <w:pPr>
        <w:spacing w:after="0" w:line="11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&amp;66,&amp;RPPLWPHQW</w:t>
      </w:r>
    </w:p>
    <w:p>
      <w:pPr>
        <w:spacing w:after="0" w:line="126" w:lineRule="exact"/>
        <w:rPr>
          <w:sz w:val="20"/>
          <w:szCs w:val="20"/>
          <w:color w:val="auto"/>
        </w:rPr>
      </w:pPr>
    </w:p>
    <w:p>
      <w:pPr>
        <w:ind w:right="40"/>
        <w:spacing w:after="0" w:line="339" w:lineRule="auto"/>
        <w:rPr>
          <w:sz w:val="20"/>
          <w:szCs w:val="20"/>
          <w:color w:val="auto"/>
        </w:rPr>
      </w:pPr>
      <w:r>
        <w:rPr>
          <w:rFonts w:ascii="PMingLiU" w:cs="PMingLiU" w:eastAsia="PMingLiU" w:hAnsi="PMingLiU"/>
          <w:sz w:val="15"/>
          <w:szCs w:val="15"/>
          <w:color w:val="auto"/>
        </w:rPr>
        <w:t>2XUYDOXHVXQGHUSLQQHGE\VWURQJFRUSRUDWHJRYHUQDQFHVRFLDOUHVSRQVLELOLW\DQGHQYLURQPHQWDOVWHZDUGVKLSDQFKRURXU FRUSRUDWHVWUDWHJ\DQGPDNHXSNH\HOHPHQWVRIRXUYLVLRQWRGHOLYHURQRXUFRPPLWPHQWWRJHQHUDWHSRVLWLYHRXWFRPHVIRU SDWLHQWVHPSOR\HHVVKDUHKROGHUVDQGRWKHUVWDNHKROGHUV7KHSLOODUVRIRXU&amp;66,VWUDWHJ\DUH3DWLHQWV3HRSOH&amp;RPPXQLW\ DQG3ODQHW:HUHFRJQL]HWKHFULWLFDOLPSRUWDQFHRIWKHVH&amp;66,SLOODUVLQDFKLHYLQJRXUQHDUDQGORQJWHUPEXVLQHVV REMHFWLYHV</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&amp;66,*RYHUQDQFH6WUXFWXUH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5C004D"/>
              </w:rPr>
              <w:t>%2$5'29(56,*+7</w:t>
            </w:r>
          </w:p>
        </w:tc>
        <w:tc>
          <w:tcPr>
            <w:tcW w:w="280" w:type="dxa"/>
            <w:vAlign w:val="bottom"/>
          </w:tcPr>
          <w:p>
            <w:pPr>
              <w:spacing w:after="0"/>
              <w:rPr>
                <w:sz w:val="16"/>
                <w:szCs w:val="16"/>
                <w:color w:val="auto"/>
              </w:rPr>
            </w:pPr>
          </w:p>
        </w:tc>
        <w:tc>
          <w:tcPr>
            <w:tcW w:w="2940" w:type="dxa"/>
            <w:vAlign w:val="bottom"/>
            <w:vMerge w:val="restart"/>
            <w:shd w:val="clear" w:color="auto" w:fill="F3F3F1"/>
          </w:tcPr>
          <w:p>
            <w:pPr>
              <w:ind w:left="300"/>
              <w:spacing w:after="0"/>
              <w:rPr>
                <w:sz w:val="20"/>
                <w:szCs w:val="20"/>
                <w:color w:val="auto"/>
              </w:rPr>
            </w:pPr>
            <w:r>
              <w:rPr>
                <w:rFonts w:ascii="PMingLiU" w:cs="PMingLiU" w:eastAsia="PMingLiU" w:hAnsi="PMingLiU"/>
                <w:sz w:val="16"/>
                <w:szCs w:val="16"/>
                <w:b w:val="1"/>
                <w:bCs w:val="1"/>
                <w:color w:val="5C004D"/>
              </w:rPr>
              <w:t>0$1$*(0(1752/(6</w:t>
            </w:r>
          </w:p>
        </w:tc>
        <w:tc>
          <w:tcPr>
            <w:tcW w:w="240" w:type="dxa"/>
            <w:vAlign w:val="bottom"/>
            <w:shd w:val="clear" w:color="auto" w:fill="F3F3F1"/>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5C004D"/>
              </w:rPr>
              <w:t>675$7(*&lt;  (;(&amp;87,21</w:t>
            </w:r>
          </w:p>
        </w:tc>
        <w:tc>
          <w:tcPr>
            <w:tcW w:w="0" w:type="dxa"/>
            <w:vAlign w:val="bottom"/>
          </w:tcPr>
          <w:p>
            <w:pPr>
              <w:spacing w:after="0"/>
              <w:rPr>
                <w:sz w:val="1"/>
                <w:szCs w:val="1"/>
                <w:color w:val="auto"/>
              </w:rPr>
            </w:pPr>
          </w:p>
        </w:tc>
      </w:tr>
      <w:tr>
        <w:trPr>
          <w:trHeight w:val="221"/>
        </w:trPr>
        <w:tc>
          <w:tcPr>
            <w:tcW w:w="3160" w:type="dxa"/>
            <w:vAlign w:val="bottom"/>
            <w:vMerge w:val="continue"/>
            <w:shd w:val="clear" w:color="auto" w:fill="F3F3F1"/>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vMerge w:val="continue"/>
            <w:shd w:val="clear" w:color="auto" w:fill="F3F3F1"/>
          </w:tcPr>
          <w:p>
            <w:pPr>
              <w:spacing w:after="0"/>
              <w:rPr>
                <w:sz w:val="19"/>
                <w:szCs w:val="19"/>
                <w:color w:val="auto"/>
              </w:rPr>
            </w:pPr>
          </w:p>
        </w:tc>
        <w:tc>
          <w:tcPr>
            <w:tcW w:w="240" w:type="dxa"/>
            <w:vAlign w:val="bottom"/>
            <w:shd w:val="clear" w:color="auto" w:fill="F3F3F1"/>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vMerge w:val="continue"/>
            <w:shd w:val="clear" w:color="auto" w:fill="F3F3F1"/>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1RPLQDWLQJ&amp;RPPLWWHH</w:t>
            </w:r>
          </w:p>
        </w:tc>
        <w:tc>
          <w:tcPr>
            <w:tcW w:w="280" w:type="dxa"/>
            <w:vAlign w:val="bottom"/>
          </w:tcPr>
          <w:p>
            <w:pPr>
              <w:spacing w:after="0"/>
              <w:rPr>
                <w:sz w:val="19"/>
                <w:szCs w:val="19"/>
                <w:color w:val="auto"/>
              </w:rPr>
            </w:pPr>
          </w:p>
        </w:tc>
        <w:tc>
          <w:tcPr>
            <w:tcW w:w="2940" w:type="dxa"/>
            <w:vAlign w:val="bottom"/>
            <w:vMerge w:val="restart"/>
            <w:shd w:val="clear" w:color="auto" w:fill="F3F3F1"/>
          </w:tcPr>
          <w:p>
            <w:pPr>
              <w:ind w:left="300"/>
              <w:spacing w:after="0"/>
              <w:rPr>
                <w:sz w:val="20"/>
                <w:szCs w:val="20"/>
                <w:color w:val="auto"/>
              </w:rPr>
            </w:pPr>
            <w:r>
              <w:rPr>
                <w:rFonts w:ascii="PMingLiU" w:cs="PMingLiU" w:eastAsia="PMingLiU" w:hAnsi="PMingLiU"/>
                <w:sz w:val="16"/>
                <w:szCs w:val="16"/>
                <w:b w:val="1"/>
                <w:bCs w:val="1"/>
                <w:color w:val="2D2C36"/>
              </w:rPr>
              <w:t>&amp;(2&amp;KLHI/HJDO2IILFHUDQG&amp;)2</w:t>
            </w:r>
          </w:p>
        </w:tc>
        <w:tc>
          <w:tcPr>
            <w:tcW w:w="240" w:type="dxa"/>
            <w:vAlign w:val="bottom"/>
            <w:shd w:val="clear" w:color="auto" w:fill="F3F3F1"/>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b w:val="1"/>
                <w:bCs w:val="1"/>
                <w:color w:val="5C004D"/>
              </w:rPr>
              <w:t>52/(6</w:t>
            </w:r>
          </w:p>
        </w:tc>
        <w:tc>
          <w:tcPr>
            <w:tcW w:w="0" w:type="dxa"/>
            <w:vAlign w:val="bottom"/>
          </w:tcPr>
          <w:p>
            <w:pPr>
              <w:spacing w:after="0"/>
              <w:rPr>
                <w:sz w:val="1"/>
                <w:szCs w:val="1"/>
                <w:color w:val="auto"/>
              </w:rPr>
            </w:pPr>
          </w:p>
        </w:tc>
      </w:tr>
      <w:tr>
        <w:trPr>
          <w:trHeight w:val="160"/>
        </w:trPr>
        <w:tc>
          <w:tcPr>
            <w:tcW w:w="3160" w:type="dxa"/>
            <w:vAlign w:val="bottom"/>
            <w:vMerge w:val="continue"/>
            <w:shd w:val="clear" w:color="auto" w:fill="F3F3F1"/>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vMerge w:val="continue"/>
            <w:shd w:val="clear" w:color="auto" w:fill="F3F3F1"/>
          </w:tcPr>
          <w:p>
            <w:pPr>
              <w:spacing w:after="0"/>
              <w:rPr>
                <w:sz w:val="13"/>
                <w:szCs w:val="13"/>
                <w:color w:val="auto"/>
              </w:rPr>
            </w:pPr>
          </w:p>
        </w:tc>
        <w:tc>
          <w:tcPr>
            <w:tcW w:w="240" w:type="dxa"/>
            <w:vAlign w:val="bottom"/>
            <w:shd w:val="clear" w:color="auto" w:fill="F3F3F1"/>
          </w:tcPr>
          <w:p>
            <w:pPr>
              <w:spacing w:after="0"/>
              <w:rPr>
                <w:sz w:val="13"/>
                <w:szCs w:val="13"/>
                <w:color w:val="auto"/>
              </w:rPr>
            </w:pPr>
          </w:p>
        </w:tc>
        <w:tc>
          <w:tcPr>
            <w:tcW w:w="300" w:type="dxa"/>
            <w:vAlign w:val="bottom"/>
          </w:tcPr>
          <w:p>
            <w:pPr>
              <w:spacing w:after="0"/>
              <w:rPr>
                <w:sz w:val="13"/>
                <w:szCs w:val="13"/>
                <w:color w:val="auto"/>
              </w:rPr>
            </w:pPr>
          </w:p>
        </w:tc>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&amp;66,6WUDWHJ\7HDP</w:t>
            </w:r>
          </w:p>
        </w:tc>
        <w:tc>
          <w:tcPr>
            <w:tcW w:w="0" w:type="dxa"/>
            <w:vAlign w:val="bottom"/>
          </w:tcPr>
          <w:p>
            <w:pPr>
              <w:spacing w:after="0"/>
              <w:rPr>
                <w:sz w:val="1"/>
                <w:szCs w:val="1"/>
                <w:color w:val="auto"/>
              </w:rPr>
            </w:pPr>
          </w:p>
        </w:tc>
      </w:tr>
      <w:tr>
        <w:trPr>
          <w:trHeight w:val="265"/>
        </w:trPr>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2YHUVHHVGHYHORSPHQWDQG</w:t>
            </w:r>
          </w:p>
        </w:tc>
        <w:tc>
          <w:tcPr>
            <w:tcW w:w="280" w:type="dxa"/>
            <w:vAlign w:val="bottom"/>
          </w:tcPr>
          <w:p>
            <w:pPr>
              <w:spacing w:after="0"/>
              <w:rPr>
                <w:sz w:val="23"/>
                <w:szCs w:val="23"/>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w w:val="85"/>
              </w:rPr>
              <w:t>3URYLGHVPDQDJHULDORYHUVLJKWDQG</w:t>
            </w:r>
          </w:p>
        </w:tc>
        <w:tc>
          <w:tcPr>
            <w:tcW w:w="240" w:type="dxa"/>
            <w:vAlign w:val="bottom"/>
            <w:shd w:val="clear" w:color="auto" w:fill="F3F3F1"/>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vMerge w:val="continue"/>
            <w:shd w:val="clear" w:color="auto" w:fill="F3F3F1"/>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LPSOHPHQWDWLRQRI&amp;66,VWUDWHJ\</w:t>
            </w:r>
          </w:p>
        </w:tc>
        <w:tc>
          <w:tcPr>
            <w:tcW w:w="280" w:type="dxa"/>
            <w:vAlign w:val="bottom"/>
          </w:tcPr>
          <w:p>
            <w:pPr>
              <w:spacing w:after="0"/>
              <w:rPr>
                <w:sz w:val="18"/>
                <w:szCs w:val="18"/>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w w:val="80"/>
              </w:rPr>
              <w:t>GLUHFWLRQUHODWLYHWRWKHVFRSHDQG</w:t>
            </w: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/HDGV&amp;66,VWUDWHJ\GHYHORSPHQW</w:t>
            </w:r>
          </w:p>
        </w:tc>
        <w:tc>
          <w:tcPr>
            <w:tcW w:w="0" w:type="dxa"/>
            <w:vAlign w:val="bottom"/>
          </w:tcPr>
          <w:p>
            <w:pPr>
              <w:spacing w:after="0"/>
              <w:rPr>
                <w:sz w:val="1"/>
                <w:szCs w:val="1"/>
                <w:color w:val="auto"/>
              </w:rPr>
            </w:pPr>
          </w:p>
        </w:tc>
      </w:tr>
      <w:tr>
        <w:trPr>
          <w:trHeight w:val="213"/>
        </w:trPr>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$XGLW&amp;RPPLWWHH</w:t>
            </w:r>
          </w:p>
        </w:tc>
        <w:tc>
          <w:tcPr>
            <w:tcW w:w="280" w:type="dxa"/>
            <w:vAlign w:val="bottom"/>
          </w:tcPr>
          <w:p>
            <w:pPr>
              <w:spacing w:after="0"/>
              <w:rPr>
                <w:sz w:val="18"/>
                <w:szCs w:val="18"/>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w w:val="95"/>
              </w:rPr>
              <w:t>LPSOHPHQWDWLRQRI&amp;66,VWUDWHJ\</w:t>
            </w: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LPSOHPHQWDWLRQDQGUHSRUWLQJ</w:t>
            </w:r>
          </w:p>
        </w:tc>
        <w:tc>
          <w:tcPr>
            <w:tcW w:w="0" w:type="dxa"/>
            <w:vAlign w:val="bottom"/>
          </w:tcPr>
          <w:p>
            <w:pPr>
              <w:spacing w:after="0"/>
              <w:rPr>
                <w:sz w:val="1"/>
                <w:szCs w:val="1"/>
                <w:color w:val="auto"/>
              </w:rPr>
            </w:pPr>
          </w:p>
        </w:tc>
      </w:tr>
      <w:tr>
        <w:trPr>
          <w:trHeight w:val="168"/>
        </w:trPr>
        <w:tc>
          <w:tcPr>
            <w:tcW w:w="3160" w:type="dxa"/>
            <w:vAlign w:val="bottom"/>
            <w:vMerge w:val="continue"/>
            <w:shd w:val="clear" w:color="auto" w:fill="F3F3F1"/>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vMerge w:val="restart"/>
            <w:shd w:val="clear" w:color="auto" w:fill="F3F3F1"/>
          </w:tcPr>
          <w:p>
            <w:pPr>
              <w:ind w:left="300"/>
              <w:spacing w:after="0"/>
              <w:rPr>
                <w:sz w:val="20"/>
                <w:szCs w:val="20"/>
                <w:color w:val="auto"/>
              </w:rPr>
            </w:pPr>
            <w:r>
              <w:rPr>
                <w:rFonts w:ascii="PMingLiU" w:cs="PMingLiU" w:eastAsia="PMingLiU" w:hAnsi="PMingLiU"/>
                <w:sz w:val="16"/>
                <w:szCs w:val="16"/>
                <w:b w:val="1"/>
                <w:bCs w:val="1"/>
                <w:color w:val="2D2C36"/>
              </w:rPr>
              <w:t>(&amp;6SRQVRUV</w:t>
            </w:r>
          </w:p>
        </w:tc>
        <w:tc>
          <w:tcPr>
            <w:tcW w:w="240" w:type="dxa"/>
            <w:vAlign w:val="bottom"/>
            <w:shd w:val="clear" w:color="auto" w:fill="F3F3F1"/>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vMerge w:val="restart"/>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&amp;66,3LOODU/HDGHUV</w:t>
            </w:r>
          </w:p>
        </w:tc>
        <w:tc>
          <w:tcPr>
            <w:tcW w:w="0" w:type="dxa"/>
            <w:vAlign w:val="bottom"/>
          </w:tcPr>
          <w:p>
            <w:pPr>
              <w:spacing w:after="0"/>
              <w:rPr>
                <w:sz w:val="1"/>
                <w:szCs w:val="1"/>
                <w:color w:val="auto"/>
              </w:rPr>
            </w:pPr>
          </w:p>
        </w:tc>
      </w:tr>
      <w:tr>
        <w:trPr>
          <w:trHeight w:val="265"/>
        </w:trPr>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w w:val="91"/>
              </w:rPr>
              <w:t>2YHUVHHVSURFHVVHVIRUPDLQWDLQLQJ</w:t>
            </w:r>
          </w:p>
        </w:tc>
        <w:tc>
          <w:tcPr>
            <w:tcW w:w="280" w:type="dxa"/>
            <w:vAlign w:val="bottom"/>
          </w:tcPr>
          <w:p>
            <w:pPr>
              <w:spacing w:after="0"/>
              <w:rPr>
                <w:sz w:val="23"/>
                <w:szCs w:val="23"/>
                <w:color w:val="auto"/>
              </w:rPr>
            </w:pPr>
          </w:p>
        </w:tc>
        <w:tc>
          <w:tcPr>
            <w:tcW w:w="2940" w:type="dxa"/>
            <w:vAlign w:val="bottom"/>
            <w:vMerge w:val="continue"/>
            <w:shd w:val="clear" w:color="auto" w:fill="F3F3F1"/>
          </w:tcPr>
          <w:p>
            <w:pPr>
              <w:spacing w:after="0"/>
              <w:rPr>
                <w:sz w:val="23"/>
                <w:szCs w:val="23"/>
                <w:color w:val="auto"/>
              </w:rPr>
            </w:pPr>
          </w:p>
        </w:tc>
        <w:tc>
          <w:tcPr>
            <w:tcW w:w="240" w:type="dxa"/>
            <w:vAlign w:val="bottom"/>
            <w:shd w:val="clear" w:color="auto" w:fill="F3F3F1"/>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vMerge w:val="continue"/>
            <w:shd w:val="clear" w:color="auto" w:fill="F3F3F1"/>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WKHLQWHJULW\RI(6*UHODWHG</w:t>
            </w:r>
          </w:p>
        </w:tc>
        <w:tc>
          <w:tcPr>
            <w:tcW w:w="280" w:type="dxa"/>
            <w:vAlign w:val="bottom"/>
          </w:tcPr>
          <w:p>
            <w:pPr>
              <w:spacing w:after="0"/>
              <w:rPr>
                <w:sz w:val="18"/>
                <w:szCs w:val="18"/>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rPr>
              <w:t>$FFRXQWDEOHIRU&amp;66,VWUDWHJ\</w:t>
            </w: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/HDGV,PSDFW$UHDDFWLYLWLHV</w:t>
            </w: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GLVFORVXUHV</w:t>
            </w:r>
          </w:p>
        </w:tc>
        <w:tc>
          <w:tcPr>
            <w:tcW w:w="280" w:type="dxa"/>
            <w:vAlign w:val="bottom"/>
          </w:tcPr>
          <w:p>
            <w:pPr>
              <w:spacing w:after="0"/>
              <w:rPr>
                <w:sz w:val="18"/>
                <w:szCs w:val="18"/>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rPr>
              <w:t>GHYHORSPHQWH[HFXWLRQDQG</w:t>
            </w: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HQVXUHVYDOLGLW\RI&amp;66,UHSRUWV</w:t>
            </w: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shd w:val="clear" w:color="auto" w:fill="F3F3F1"/>
          </w:tcPr>
          <w:p>
            <w:pPr>
              <w:ind w:left="300"/>
              <w:spacing w:after="0"/>
              <w:rPr>
                <w:sz w:val="20"/>
                <w:szCs w:val="20"/>
                <w:color w:val="auto"/>
              </w:rPr>
            </w:pPr>
            <w:r>
              <w:rPr>
                <w:rFonts w:ascii="PMingLiU" w:cs="PMingLiU" w:eastAsia="PMingLiU" w:hAnsi="PMingLiU"/>
                <w:sz w:val="16"/>
                <w:szCs w:val="16"/>
                <w:color w:val="2D2C36"/>
              </w:rPr>
              <w:t>XSGDWHV</w:t>
            </w: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DFFRXQWDEOHIRUGHOLYHU\RI&amp;66,</w:t>
            </w: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shd w:val="clear" w:color="auto" w:fill="F3F3F1"/>
          </w:tcPr>
          <w:p>
            <w:pPr>
              <w:spacing w:after="0"/>
              <w:rPr>
                <w:sz w:val="18"/>
                <w:szCs w:val="18"/>
                <w:color w:val="auto"/>
              </w:rPr>
            </w:pP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LQLWLDWLYHV</w:t>
            </w:r>
          </w:p>
        </w:tc>
        <w:tc>
          <w:tcPr>
            <w:tcW w:w="0" w:type="dxa"/>
            <w:vAlign w:val="bottom"/>
          </w:tcPr>
          <w:p>
            <w:pPr>
              <w:spacing w:after="0"/>
              <w:rPr>
                <w:sz w:val="1"/>
                <w:szCs w:val="1"/>
                <w:color w:val="auto"/>
              </w:rPr>
            </w:pPr>
          </w:p>
        </w:tc>
      </w:tr>
      <w:tr>
        <w:trPr>
          <w:trHeight w:val="381"/>
        </w:trPr>
        <w:tc>
          <w:tcPr>
            <w:tcW w:w="3160" w:type="dxa"/>
            <w:vAlign w:val="bottom"/>
            <w:shd w:val="clear" w:color="auto" w:fill="F3F3F1"/>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shd w:val="clear" w:color="auto" w:fill="F3F3F1"/>
          </w:tcPr>
          <w:p>
            <w:pPr>
              <w:spacing w:after="0"/>
              <w:rPr>
                <w:sz w:val="24"/>
                <w:szCs w:val="24"/>
                <w:color w:val="auto"/>
              </w:rPr>
            </w:pPr>
          </w:p>
        </w:tc>
        <w:tc>
          <w:tcPr>
            <w:tcW w:w="240" w:type="dxa"/>
            <w:vAlign w:val="bottom"/>
            <w:shd w:val="clear" w:color="auto" w:fill="F3F3F1"/>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b w:val="1"/>
                <w:bCs w:val="1"/>
                <w:color w:val="2D2C36"/>
              </w:rPr>
              <w:t>(6*'LVFORVXUH7HDP</w:t>
            </w:r>
          </w:p>
        </w:tc>
        <w:tc>
          <w:tcPr>
            <w:tcW w:w="0" w:type="dxa"/>
            <w:vAlign w:val="bottom"/>
          </w:tcPr>
          <w:p>
            <w:pPr>
              <w:spacing w:after="0"/>
              <w:rPr>
                <w:sz w:val="1"/>
                <w:szCs w:val="1"/>
                <w:color w:val="auto"/>
              </w:rPr>
            </w:pPr>
          </w:p>
        </w:tc>
      </w:tr>
      <w:tr>
        <w:trPr>
          <w:trHeight w:val="265"/>
        </w:trPr>
        <w:tc>
          <w:tcPr>
            <w:tcW w:w="3160" w:type="dxa"/>
            <w:vAlign w:val="bottom"/>
            <w:shd w:val="clear" w:color="auto" w:fill="F3F3F1"/>
          </w:tcPr>
          <w:p>
            <w:pPr>
              <w:spacing w:after="0"/>
              <w:rPr>
                <w:sz w:val="23"/>
                <w:szCs w:val="23"/>
                <w:color w:val="auto"/>
              </w:rPr>
            </w:pPr>
          </w:p>
        </w:tc>
        <w:tc>
          <w:tcPr>
            <w:tcW w:w="280" w:type="dxa"/>
            <w:vAlign w:val="bottom"/>
          </w:tcPr>
          <w:p>
            <w:pPr>
              <w:spacing w:after="0"/>
              <w:rPr>
                <w:sz w:val="23"/>
                <w:szCs w:val="23"/>
                <w:color w:val="auto"/>
              </w:rPr>
            </w:pPr>
          </w:p>
        </w:tc>
        <w:tc>
          <w:tcPr>
            <w:tcW w:w="2940" w:type="dxa"/>
            <w:vAlign w:val="bottom"/>
            <w:shd w:val="clear" w:color="auto" w:fill="F3F3F1"/>
          </w:tcPr>
          <w:p>
            <w:pPr>
              <w:spacing w:after="0"/>
              <w:rPr>
                <w:sz w:val="23"/>
                <w:szCs w:val="23"/>
                <w:color w:val="auto"/>
              </w:rPr>
            </w:pPr>
          </w:p>
        </w:tc>
        <w:tc>
          <w:tcPr>
            <w:tcW w:w="240" w:type="dxa"/>
            <w:vAlign w:val="bottom"/>
            <w:shd w:val="clear" w:color="auto" w:fill="F3F3F1"/>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w w:val="95"/>
              </w:rPr>
              <w:t>5HSRUWVGDWDH[WHUQDOO\SURYLGHV</w:t>
            </w:r>
          </w:p>
        </w:tc>
        <w:tc>
          <w:tcPr>
            <w:tcW w:w="0" w:type="dxa"/>
            <w:vAlign w:val="bottom"/>
          </w:tcPr>
          <w:p>
            <w:pPr>
              <w:spacing w:after="0"/>
              <w:rPr>
                <w:sz w:val="1"/>
                <w:szCs w:val="1"/>
                <w:color w:val="auto"/>
              </w:rPr>
            </w:pPr>
          </w:p>
        </w:tc>
      </w:tr>
      <w:tr>
        <w:trPr>
          <w:trHeight w:val="213"/>
        </w:trPr>
        <w:tc>
          <w:tcPr>
            <w:tcW w:w="3160" w:type="dxa"/>
            <w:vAlign w:val="bottom"/>
            <w:shd w:val="clear" w:color="auto" w:fill="F3F3F1"/>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shd w:val="clear" w:color="auto" w:fill="F3F3F1"/>
          </w:tcPr>
          <w:p>
            <w:pPr>
              <w:spacing w:after="0"/>
              <w:rPr>
                <w:sz w:val="18"/>
                <w:szCs w:val="18"/>
                <w:color w:val="auto"/>
              </w:rPr>
            </w:pPr>
          </w:p>
        </w:tc>
        <w:tc>
          <w:tcPr>
            <w:tcW w:w="240" w:type="dxa"/>
            <w:vAlign w:val="bottom"/>
            <w:shd w:val="clear" w:color="auto" w:fill="F3F3F1"/>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shd w:val="clear" w:color="auto" w:fill="F3F3F1"/>
          </w:tcPr>
          <w:p>
            <w:pPr>
              <w:ind w:left="280"/>
              <w:spacing w:after="0"/>
              <w:rPr>
                <w:sz w:val="20"/>
                <w:szCs w:val="20"/>
                <w:color w:val="auto"/>
              </w:rPr>
            </w:pPr>
            <w:r>
              <w:rPr>
                <w:rFonts w:ascii="PMingLiU" w:cs="PMingLiU" w:eastAsia="PMingLiU" w:hAnsi="PMingLiU"/>
                <w:sz w:val="16"/>
                <w:szCs w:val="16"/>
                <w:color w:val="2D2C36"/>
              </w:rPr>
              <w:t>YDOLGLW\DVVHVVPHQWDQGVLJQRII</w:t>
            </w:r>
          </w:p>
        </w:tc>
        <w:tc>
          <w:tcPr>
            <w:tcW w:w="0" w:type="dxa"/>
            <w:vAlign w:val="bottom"/>
          </w:tcPr>
          <w:p>
            <w:pPr>
              <w:spacing w:after="0"/>
              <w:rPr>
                <w:sz w:val="1"/>
                <w:szCs w:val="1"/>
                <w:color w:val="auto"/>
              </w:rPr>
            </w:pPr>
          </w:p>
        </w:tc>
      </w:tr>
      <w:tr>
        <w:trPr>
          <w:trHeight w:val="510"/>
        </w:trPr>
        <w:tc>
          <w:tcPr>
            <w:tcW w:w="3160" w:type="dxa"/>
            <w:vAlign w:val="bottom"/>
            <w:shd w:val="clear" w:color="auto" w:fill="F3F3F1"/>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shd w:val="clear" w:color="auto" w:fill="F3F3F1"/>
          </w:tcPr>
          <w:p>
            <w:pPr>
              <w:spacing w:after="0"/>
              <w:rPr>
                <w:sz w:val="24"/>
                <w:szCs w:val="24"/>
                <w:color w:val="auto"/>
              </w:rPr>
            </w:pPr>
          </w:p>
        </w:tc>
        <w:tc>
          <w:tcPr>
            <w:tcW w:w="240" w:type="dxa"/>
            <w:vAlign w:val="bottom"/>
            <w:shd w:val="clear" w:color="auto" w:fill="F3F3F1"/>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shd w:val="clear" w:color="auto" w:fill="F3F3F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-165735</wp:posOffset>
            </wp:positionV>
            <wp:extent cx="601472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2">
                      <a:extLst>
                        <a:ext uri="{28A0092B-C50C-407E-A947-70E740481C1C}"/>
                      </a:extLst>
                    </a:blip>
                    <a:srcRect/>
                    <a:stretch>
                      <a:fillRect/>
                    </a:stretch>
                  </pic:blipFill>
                  <pic:spPr bwMode="auto">
                    <a:xfrm>
                      <a:off x="0" y="0"/>
                      <a:ext cx="6014720" cy="3683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&amp;66,6XPPDU\</w:t>
      </w:r>
    </w:p>
    <w:p>
      <w:pPr>
        <w:spacing w:after="0" w:line="126" w:lineRule="exact"/>
        <w:rPr>
          <w:sz w:val="20"/>
          <w:szCs w:val="20"/>
          <w:color w:val="auto"/>
        </w:rPr>
      </w:pPr>
    </w:p>
    <w:p>
      <w:pPr>
        <w:ind w:right="80"/>
        <w:spacing w:after="0" w:line="367" w:lineRule="auto"/>
        <w:rPr>
          <w:sz w:val="20"/>
          <w:szCs w:val="20"/>
          <w:color w:val="auto"/>
        </w:rPr>
      </w:pPr>
      <w:r>
        <w:rPr>
          <w:rFonts w:ascii="PMingLiU" w:cs="PMingLiU" w:eastAsia="PMingLiU" w:hAnsi="PMingLiU"/>
          <w:sz w:val="14"/>
          <w:szCs w:val="14"/>
          <w:color w:val="auto"/>
        </w:rPr>
        <w:t>,QZHPDGHVLJQLILFDQWVWULGHVLQSUHSDULQJIRUXSFRPLQJVXVWDLQDELOLW\UHSRUWLQJUHJXODWLRQVLQFOXGLQJDGYDQFLQJRXU UHSRUWLQJPHFKDQLVPVWRPHHWWKHUHTXLUHPHQWVRIWKH&amp;65'2XU&amp;RPSDQ\FRPSOHWHGD&amp;65'GRXEOHPDWHULDOLW\ DVVHVVPHQWZLWKDQH[WHUQDODGYLVRUGHVLJQHGWRLGHQWLI\RXUUHTXLUHGGLVFORVXUHV:HDOVRFRQGXFWHGJDSDVVHVVPHQWVDQG UHPHGLDWLRQVDOLJQHGZLWKWKH(656WRVXSSRUWRXU&amp;RPSDQ\¶VUHDGLQHVVIRU&amp;65'UHSRUWLQJLQ:HFRQWLQXHWR LQWHJUDWHWKHVHUHVXOWVLQWRRXUEURDGHU&amp;66,VWUDWHJ\(50DQGUHSRUWLQJ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307975</wp:posOffset>
            </wp:positionV>
            <wp:extent cx="1386840" cy="2336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2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38" w:name="page39"/>
    <w:bookmarkEnd w:id="38"/>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72" o:spid="_x0000_s1297"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00" w:type="dxa"/>
            <w:vAlign w:val="bottom"/>
            <w:gridSpan w:val="4"/>
          </w:tcPr>
          <w:p>
            <w:pPr>
              <w:spacing w:after="0"/>
              <w:rPr>
                <w:sz w:val="20"/>
                <w:szCs w:val="20"/>
                <w:color w:val="auto"/>
              </w:rPr>
            </w:pPr>
            <w:r>
              <w:rPr>
                <w:rFonts w:ascii="PMingLiU" w:cs="PMingLiU" w:eastAsia="PMingLiU" w:hAnsi="PMingLiU"/>
                <w:sz w:val="20"/>
                <w:szCs w:val="20"/>
                <w:b w:val="1"/>
                <w:bCs w:val="1"/>
                <w:color w:val="5C004D"/>
              </w:rPr>
              <w:t>&amp;66,3LOODUV+LJKOLJKWV</w:t>
            </w:r>
          </w:p>
        </w:tc>
        <w:tc>
          <w:tcPr>
            <w:tcW w:w="2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0"/>
        </w:trPr>
        <w:tc>
          <w:tcPr>
            <w:tcW w:w="320" w:type="dxa"/>
            <w:vAlign w:val="bottom"/>
            <w:shd w:val="clear" w:color="auto" w:fill="000046"/>
          </w:tcPr>
          <w:p>
            <w:pPr>
              <w:spacing w:after="0"/>
              <w:rPr>
                <w:sz w:val="24"/>
                <w:szCs w:val="24"/>
                <w:color w:val="auto"/>
              </w:rPr>
            </w:pPr>
          </w:p>
        </w:tc>
        <w:tc>
          <w:tcPr>
            <w:tcW w:w="1980" w:type="dxa"/>
            <w:vAlign w:val="bottom"/>
            <w:shd w:val="clear" w:color="auto" w:fill="000046"/>
          </w:tcPr>
          <w:p>
            <w:pPr>
              <w:ind w:left="340"/>
              <w:spacing w:after="0"/>
              <w:rPr>
                <w:sz w:val="20"/>
                <w:szCs w:val="20"/>
                <w:color w:val="auto"/>
              </w:rPr>
            </w:pPr>
            <w:r>
              <w:rPr>
                <w:rFonts w:ascii="PMingLiU" w:cs="PMingLiU" w:eastAsia="PMingLiU" w:hAnsi="PMingLiU"/>
                <w:sz w:val="20"/>
                <w:szCs w:val="20"/>
                <w:b w:val="1"/>
                <w:bCs w:val="1"/>
                <w:color w:val="FFFFFF"/>
              </w:rPr>
              <w:t>3$7,(176</w:t>
            </w:r>
          </w:p>
        </w:tc>
        <w:tc>
          <w:tcPr>
            <w:tcW w:w="300" w:type="dxa"/>
            <w:vAlign w:val="bottom"/>
          </w:tcPr>
          <w:p>
            <w:pPr>
              <w:spacing w:after="0"/>
              <w:rPr>
                <w:sz w:val="24"/>
                <w:szCs w:val="24"/>
                <w:color w:val="auto"/>
              </w:rPr>
            </w:pPr>
          </w:p>
        </w:tc>
        <w:tc>
          <w:tcPr>
            <w:tcW w:w="100" w:type="dxa"/>
            <w:vAlign w:val="bottom"/>
            <w:shd w:val="clear" w:color="auto" w:fill="4454A7"/>
          </w:tcPr>
          <w:p>
            <w:pPr>
              <w:spacing w:after="0"/>
              <w:rPr>
                <w:sz w:val="24"/>
                <w:szCs w:val="24"/>
                <w:color w:val="auto"/>
              </w:rPr>
            </w:pPr>
          </w:p>
        </w:tc>
        <w:tc>
          <w:tcPr>
            <w:tcW w:w="220" w:type="dxa"/>
            <w:vAlign w:val="bottom"/>
            <w:shd w:val="clear" w:color="auto" w:fill="4454A7"/>
          </w:tcPr>
          <w:p>
            <w:pPr>
              <w:spacing w:after="0"/>
              <w:rPr>
                <w:sz w:val="24"/>
                <w:szCs w:val="24"/>
                <w:color w:val="auto"/>
              </w:rPr>
            </w:pPr>
          </w:p>
        </w:tc>
        <w:tc>
          <w:tcPr>
            <w:tcW w:w="1980" w:type="dxa"/>
            <w:vAlign w:val="bottom"/>
            <w:shd w:val="clear" w:color="auto" w:fill="4454A7"/>
          </w:tcPr>
          <w:p>
            <w:pPr>
              <w:ind w:left="420"/>
              <w:spacing w:after="0"/>
              <w:rPr>
                <w:sz w:val="20"/>
                <w:szCs w:val="20"/>
                <w:color w:val="auto"/>
              </w:rPr>
            </w:pPr>
            <w:r>
              <w:rPr>
                <w:rFonts w:ascii="PMingLiU" w:cs="PMingLiU" w:eastAsia="PMingLiU" w:hAnsi="PMingLiU"/>
                <w:sz w:val="20"/>
                <w:szCs w:val="20"/>
                <w:b w:val="1"/>
                <w:bCs w:val="1"/>
                <w:color w:val="FFFFFF"/>
              </w:rPr>
              <w:t>3(23/(</w:t>
            </w:r>
          </w:p>
        </w:tc>
        <w:tc>
          <w:tcPr>
            <w:tcW w:w="280" w:type="dxa"/>
            <w:vAlign w:val="bottom"/>
          </w:tcPr>
          <w:p>
            <w:pPr>
              <w:spacing w:after="0"/>
              <w:rPr>
                <w:sz w:val="24"/>
                <w:szCs w:val="24"/>
                <w:color w:val="auto"/>
              </w:rPr>
            </w:pPr>
          </w:p>
        </w:tc>
        <w:tc>
          <w:tcPr>
            <w:tcW w:w="320" w:type="dxa"/>
            <w:vAlign w:val="bottom"/>
            <w:shd w:val="clear" w:color="auto" w:fill="5C004D"/>
          </w:tcPr>
          <w:p>
            <w:pPr>
              <w:spacing w:after="0"/>
              <w:rPr>
                <w:sz w:val="24"/>
                <w:szCs w:val="24"/>
                <w:color w:val="auto"/>
              </w:rPr>
            </w:pPr>
          </w:p>
        </w:tc>
        <w:tc>
          <w:tcPr>
            <w:tcW w:w="2000" w:type="dxa"/>
            <w:vAlign w:val="bottom"/>
            <w:shd w:val="clear" w:color="auto" w:fill="5C004D"/>
          </w:tcPr>
          <w:p>
            <w:pPr>
              <w:ind w:left="220"/>
              <w:spacing w:after="0"/>
              <w:rPr>
                <w:sz w:val="20"/>
                <w:szCs w:val="20"/>
                <w:color w:val="auto"/>
              </w:rPr>
            </w:pPr>
            <w:r>
              <w:rPr>
                <w:rFonts w:ascii="PMingLiU" w:cs="PMingLiU" w:eastAsia="PMingLiU" w:hAnsi="PMingLiU"/>
                <w:sz w:val="20"/>
                <w:szCs w:val="20"/>
                <w:b w:val="1"/>
                <w:bCs w:val="1"/>
                <w:color w:val="FFFFFF"/>
              </w:rPr>
              <w:t>&amp;20081,7&lt;</w:t>
            </w:r>
          </w:p>
        </w:tc>
        <w:tc>
          <w:tcPr>
            <w:tcW w:w="280" w:type="dxa"/>
            <w:vAlign w:val="bottom"/>
          </w:tcPr>
          <w:p>
            <w:pPr>
              <w:spacing w:after="0"/>
              <w:rPr>
                <w:sz w:val="24"/>
                <w:szCs w:val="24"/>
                <w:color w:val="auto"/>
              </w:rPr>
            </w:pPr>
          </w:p>
        </w:tc>
        <w:tc>
          <w:tcPr>
            <w:tcW w:w="320" w:type="dxa"/>
            <w:vAlign w:val="bottom"/>
            <w:shd w:val="clear" w:color="auto" w:fill="D25F0C"/>
          </w:tcPr>
          <w:p>
            <w:pPr>
              <w:spacing w:after="0"/>
              <w:rPr>
                <w:sz w:val="24"/>
                <w:szCs w:val="24"/>
                <w:color w:val="auto"/>
              </w:rPr>
            </w:pPr>
          </w:p>
        </w:tc>
        <w:tc>
          <w:tcPr>
            <w:tcW w:w="1980" w:type="dxa"/>
            <w:vAlign w:val="bottom"/>
            <w:shd w:val="clear" w:color="auto" w:fill="D25F0C"/>
          </w:tcPr>
          <w:p>
            <w:pPr>
              <w:ind w:left="440"/>
              <w:spacing w:after="0"/>
              <w:rPr>
                <w:sz w:val="20"/>
                <w:szCs w:val="20"/>
                <w:color w:val="auto"/>
              </w:rPr>
            </w:pPr>
            <w:r>
              <w:rPr>
                <w:rFonts w:ascii="PMingLiU" w:cs="PMingLiU" w:eastAsia="PMingLiU" w:hAnsi="PMingLiU"/>
                <w:sz w:val="20"/>
                <w:szCs w:val="20"/>
                <w:b w:val="1"/>
                <w:bCs w:val="1"/>
                <w:color w:val="FFFFFF"/>
              </w:rPr>
              <w:t>3/$1(7</w:t>
            </w:r>
          </w:p>
        </w:tc>
        <w:tc>
          <w:tcPr>
            <w:tcW w:w="0" w:type="dxa"/>
            <w:vAlign w:val="bottom"/>
          </w:tcPr>
          <w:p>
            <w:pPr>
              <w:spacing w:after="0"/>
              <w:rPr>
                <w:sz w:val="1"/>
                <w:szCs w:val="1"/>
                <w:color w:val="auto"/>
              </w:rPr>
            </w:pPr>
          </w:p>
        </w:tc>
      </w:tr>
      <w:tr>
        <w:trPr>
          <w:trHeight w:val="125"/>
        </w:trPr>
        <w:tc>
          <w:tcPr>
            <w:tcW w:w="320" w:type="dxa"/>
            <w:vAlign w:val="bottom"/>
            <w:shd w:val="clear" w:color="auto" w:fill="000046"/>
          </w:tcPr>
          <w:p>
            <w:pPr>
              <w:spacing w:after="0"/>
              <w:rPr>
                <w:sz w:val="10"/>
                <w:szCs w:val="10"/>
                <w:color w:val="auto"/>
              </w:rPr>
            </w:pPr>
          </w:p>
        </w:tc>
        <w:tc>
          <w:tcPr>
            <w:tcW w:w="1980" w:type="dxa"/>
            <w:vAlign w:val="bottom"/>
            <w:shd w:val="clear" w:color="auto" w:fill="000046"/>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shd w:val="clear" w:color="auto" w:fill="4454A7"/>
          </w:tcPr>
          <w:p>
            <w:pPr>
              <w:spacing w:after="0"/>
              <w:rPr>
                <w:sz w:val="10"/>
                <w:szCs w:val="10"/>
                <w:color w:val="auto"/>
              </w:rPr>
            </w:pPr>
          </w:p>
        </w:tc>
        <w:tc>
          <w:tcPr>
            <w:tcW w:w="220" w:type="dxa"/>
            <w:vAlign w:val="bottom"/>
            <w:shd w:val="clear" w:color="auto" w:fill="4454A7"/>
          </w:tcPr>
          <w:p>
            <w:pPr>
              <w:spacing w:after="0"/>
              <w:rPr>
                <w:sz w:val="10"/>
                <w:szCs w:val="10"/>
                <w:color w:val="auto"/>
              </w:rPr>
            </w:pPr>
          </w:p>
        </w:tc>
        <w:tc>
          <w:tcPr>
            <w:tcW w:w="1980" w:type="dxa"/>
            <w:vAlign w:val="bottom"/>
            <w:shd w:val="clear" w:color="auto" w:fill="4454A7"/>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shd w:val="clear" w:color="auto" w:fill="5C004D"/>
          </w:tcPr>
          <w:p>
            <w:pPr>
              <w:spacing w:after="0"/>
              <w:rPr>
                <w:sz w:val="10"/>
                <w:szCs w:val="10"/>
                <w:color w:val="auto"/>
              </w:rPr>
            </w:pPr>
          </w:p>
        </w:tc>
        <w:tc>
          <w:tcPr>
            <w:tcW w:w="2000" w:type="dxa"/>
            <w:vAlign w:val="bottom"/>
            <w:shd w:val="clear" w:color="auto" w:fill="5C004D"/>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shd w:val="clear" w:color="auto" w:fill="D25F0C"/>
          </w:tcPr>
          <w:p>
            <w:pPr>
              <w:spacing w:after="0"/>
              <w:rPr>
                <w:sz w:val="10"/>
                <w:szCs w:val="10"/>
                <w:color w:val="auto"/>
              </w:rPr>
            </w:pPr>
          </w:p>
        </w:tc>
        <w:tc>
          <w:tcPr>
            <w:tcW w:w="1980" w:type="dxa"/>
            <w:vAlign w:val="bottom"/>
            <w:shd w:val="clear" w:color="auto" w:fill="D25F0C"/>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0" w:type="dxa"/>
            <w:vAlign w:val="bottom"/>
            <w:shd w:val="clear" w:color="auto" w:fill="F3F3F1"/>
          </w:tcPr>
          <w:p>
            <w:pPr>
              <w:spacing w:after="0"/>
              <w:rPr>
                <w:sz w:val="9"/>
                <w:szCs w:val="9"/>
                <w:color w:val="auto"/>
              </w:rPr>
            </w:pPr>
          </w:p>
        </w:tc>
        <w:tc>
          <w:tcPr>
            <w:tcW w:w="1980" w:type="dxa"/>
            <w:vAlign w:val="bottom"/>
            <w:shd w:val="clear" w:color="auto" w:fill="F3F3F1"/>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shd w:val="clear" w:color="auto" w:fill="F3F3F1"/>
          </w:tcPr>
          <w:p>
            <w:pPr>
              <w:spacing w:after="0"/>
              <w:rPr>
                <w:sz w:val="9"/>
                <w:szCs w:val="9"/>
                <w:color w:val="auto"/>
              </w:rPr>
            </w:pPr>
          </w:p>
        </w:tc>
        <w:tc>
          <w:tcPr>
            <w:tcW w:w="220" w:type="dxa"/>
            <w:vAlign w:val="bottom"/>
            <w:shd w:val="clear" w:color="auto" w:fill="F3F3F1"/>
          </w:tcPr>
          <w:p>
            <w:pPr>
              <w:spacing w:after="0"/>
              <w:rPr>
                <w:sz w:val="9"/>
                <w:szCs w:val="9"/>
                <w:color w:val="auto"/>
              </w:rPr>
            </w:pPr>
          </w:p>
        </w:tc>
        <w:tc>
          <w:tcPr>
            <w:tcW w:w="1980" w:type="dxa"/>
            <w:vAlign w:val="bottom"/>
            <w:shd w:val="clear" w:color="auto" w:fill="F3F3F1"/>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shd w:val="clear" w:color="auto" w:fill="F3F3F1"/>
          </w:tcPr>
          <w:p>
            <w:pPr>
              <w:spacing w:after="0"/>
              <w:rPr>
                <w:sz w:val="9"/>
                <w:szCs w:val="9"/>
                <w:color w:val="auto"/>
              </w:rPr>
            </w:pPr>
          </w:p>
        </w:tc>
        <w:tc>
          <w:tcPr>
            <w:tcW w:w="2000" w:type="dxa"/>
            <w:vAlign w:val="bottom"/>
            <w:shd w:val="clear" w:color="auto" w:fill="F3F3F1"/>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shd w:val="clear" w:color="auto" w:fill="F3F3F1"/>
          </w:tcPr>
          <w:p>
            <w:pPr>
              <w:spacing w:after="0"/>
              <w:rPr>
                <w:sz w:val="9"/>
                <w:szCs w:val="9"/>
                <w:color w:val="auto"/>
              </w:rPr>
            </w:pPr>
          </w:p>
        </w:tc>
        <w:tc>
          <w:tcPr>
            <w:tcW w:w="1980" w:type="dxa"/>
            <w:vAlign w:val="bottom"/>
            <w:shd w:val="clear" w:color="auto" w:fill="F3F3F1"/>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320" w:type="dxa"/>
            <w:vAlign w:val="bottom"/>
          </w:tcPr>
          <w:p>
            <w:pPr>
              <w:jc w:val="right"/>
              <w:ind w:right="15"/>
              <w:spacing w:after="0"/>
              <w:rPr>
                <w:sz w:val="20"/>
                <w:szCs w:val="20"/>
                <w:color w:val="auto"/>
              </w:rPr>
            </w:pPr>
            <w:r>
              <w:rPr>
                <w:rFonts w:ascii="PMingLiU" w:cs="PMingLiU" w:eastAsia="PMingLiU" w:hAnsi="PMingLiU"/>
                <w:sz w:val="16"/>
                <w:szCs w:val="16"/>
                <w:b w:val="1"/>
                <w:bCs w:val="1"/>
                <w:color w:val="2D2C36"/>
              </w:rPr>
              <w:t></w:t>
            </w:r>
          </w:p>
        </w:tc>
        <w:tc>
          <w:tcPr>
            <w:tcW w:w="2380" w:type="dxa"/>
            <w:vAlign w:val="bottom"/>
            <w:gridSpan w:val="3"/>
          </w:tcPr>
          <w:p>
            <w:pPr>
              <w:ind w:left="100"/>
              <w:spacing w:after="0"/>
              <w:rPr>
                <w:sz w:val="20"/>
                <w:szCs w:val="20"/>
                <w:color w:val="auto"/>
              </w:rPr>
            </w:pPr>
            <w:r>
              <w:rPr>
                <w:rFonts w:ascii="PMingLiU" w:cs="PMingLiU" w:eastAsia="PMingLiU" w:hAnsi="PMingLiU"/>
                <w:sz w:val="16"/>
                <w:szCs w:val="16"/>
                <w:color w:val="2D2C36"/>
              </w:rPr>
              <w:t>&amp;RQWLQXHGSURFHVVIRU</w:t>
            </w:r>
          </w:p>
        </w:tc>
        <w:tc>
          <w:tcPr>
            <w:tcW w:w="220" w:type="dxa"/>
            <w:vAlign w:val="bottom"/>
          </w:tcPr>
          <w:p>
            <w:pPr>
              <w:jc w:val="right"/>
              <w:ind w:right="40"/>
              <w:spacing w:after="0"/>
              <w:rPr>
                <w:sz w:val="20"/>
                <w:szCs w:val="20"/>
                <w:color w:val="auto"/>
              </w:rPr>
            </w:pPr>
            <w:r>
              <w:rPr>
                <w:rFonts w:ascii="PMingLiU" w:cs="PMingLiU" w:eastAsia="PMingLiU" w:hAnsi="PMingLiU"/>
                <w:sz w:val="16"/>
                <w:szCs w:val="16"/>
                <w:b w:val="1"/>
                <w:bCs w:val="1"/>
                <w:color w:val="2D2C36"/>
                <w:w w:val="99"/>
              </w:rPr>
              <w:t></w:t>
            </w: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&amp;RQWLQXHG</w:t>
            </w:r>
          </w:p>
        </w:tc>
        <w:tc>
          <w:tcPr>
            <w:tcW w:w="600" w:type="dxa"/>
            <w:vAlign w:val="bottom"/>
            <w:gridSpan w:val="2"/>
          </w:tcPr>
          <w:p>
            <w:pPr>
              <w:jc w:val="right"/>
              <w:ind w:right="100"/>
              <w:spacing w:after="0"/>
              <w:rPr>
                <w:sz w:val="20"/>
                <w:szCs w:val="20"/>
                <w:color w:val="auto"/>
              </w:rPr>
            </w:pPr>
            <w:r>
              <w:rPr>
                <w:rFonts w:ascii="PMingLiU" w:cs="PMingLiU" w:eastAsia="PMingLiU" w:hAnsi="PMingLiU"/>
                <w:sz w:val="16"/>
                <w:szCs w:val="16"/>
                <w:b w:val="1"/>
                <w:bCs w:val="1"/>
                <w:color w:val="2D2C36"/>
              </w:rPr>
              <w:t></w:t>
            </w: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rPr>
              <w:t>&amp;RUSRUDWHJLYLQJ</w:t>
            </w:r>
          </w:p>
        </w:tc>
        <w:tc>
          <w:tcPr>
            <w:tcW w:w="320" w:type="dxa"/>
            <w:vAlign w:val="bottom"/>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&amp;RPSOHWHGD6FRSH</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380" w:type="dxa"/>
            <w:vAlign w:val="bottom"/>
            <w:gridSpan w:val="3"/>
          </w:tcPr>
          <w:p>
            <w:pPr>
              <w:ind w:left="100"/>
              <w:spacing w:after="0"/>
              <w:rPr>
                <w:sz w:val="20"/>
                <w:szCs w:val="20"/>
                <w:color w:val="auto"/>
              </w:rPr>
            </w:pPr>
            <w:r>
              <w:rPr>
                <w:rFonts w:ascii="PMingLiU" w:cs="PMingLiU" w:eastAsia="PMingLiU" w:hAnsi="PMingLiU"/>
                <w:sz w:val="16"/>
                <w:szCs w:val="16"/>
                <w:color w:val="2D2C36"/>
              </w:rPr>
              <w:t>LQFOXGLQJSDWLHQW</w:t>
            </w:r>
          </w:p>
        </w:tc>
        <w:tc>
          <w:tcPr>
            <w:tcW w:w="2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HQKDQFHPHQWRI</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w w:val="97"/>
              </w:rPr>
              <w:t>LQLWLDWLYHVVXSSRUWLQJ</w:t>
            </w:r>
          </w:p>
        </w:tc>
        <w:tc>
          <w:tcPr>
            <w:tcW w:w="3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DQGJUHHQKRXVHJDV</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380" w:type="dxa"/>
            <w:vAlign w:val="bottom"/>
            <w:gridSpan w:val="3"/>
          </w:tcPr>
          <w:p>
            <w:pPr>
              <w:ind w:left="100"/>
              <w:spacing w:after="0"/>
              <w:rPr>
                <w:sz w:val="20"/>
                <w:szCs w:val="20"/>
                <w:color w:val="auto"/>
              </w:rPr>
            </w:pPr>
            <w:r>
              <w:rPr>
                <w:rFonts w:ascii="PMingLiU" w:cs="PMingLiU" w:eastAsia="PMingLiU" w:hAnsi="PMingLiU"/>
                <w:sz w:val="16"/>
                <w:szCs w:val="16"/>
                <w:color w:val="2D2C36"/>
              </w:rPr>
              <w:t>LQVLJKWVLQWRSDWLHQW</w:t>
            </w:r>
          </w:p>
        </w:tc>
        <w:tc>
          <w:tcPr>
            <w:tcW w:w="2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w w:val="89"/>
              </w:rPr>
              <w:t>VFLHQWLILFDQGFOLQLFDO</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rPr>
              <w:t>DSSUR[LPDWHO\</w:t>
            </w:r>
          </w:p>
        </w:tc>
        <w:tc>
          <w:tcPr>
            <w:tcW w:w="3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HPLVVLRQVLQYHQWRU\</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380" w:type="dxa"/>
            <w:vAlign w:val="bottom"/>
            <w:gridSpan w:val="3"/>
          </w:tcPr>
          <w:p>
            <w:pPr>
              <w:ind w:left="100"/>
              <w:spacing w:after="0"/>
              <w:rPr>
                <w:sz w:val="20"/>
                <w:szCs w:val="20"/>
                <w:color w:val="auto"/>
              </w:rPr>
            </w:pPr>
            <w:r>
              <w:rPr>
                <w:rFonts w:ascii="PMingLiU" w:cs="PMingLiU" w:eastAsia="PMingLiU" w:hAnsi="PMingLiU"/>
                <w:sz w:val="16"/>
                <w:szCs w:val="16"/>
                <w:color w:val="2D2C36"/>
              </w:rPr>
              <w:t>IDFLQJPDWHULDOV</w:t>
            </w:r>
          </w:p>
        </w:tc>
        <w:tc>
          <w:tcPr>
            <w:tcW w:w="2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FDSDELOLWLHV</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rPr>
              <w:t>RUJDQL]DWLRQV</w:t>
            </w:r>
          </w:p>
        </w:tc>
        <w:tc>
          <w:tcPr>
            <w:tcW w:w="3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w w:val="81"/>
              </w:rPr>
              <w:t>DQGHVWDEOLVKHGDWDUJHW</w:t>
            </w:r>
          </w:p>
        </w:tc>
        <w:tc>
          <w:tcPr>
            <w:tcW w:w="0" w:type="dxa"/>
            <w:vAlign w:val="bottom"/>
          </w:tcPr>
          <w:p>
            <w:pPr>
              <w:spacing w:after="0"/>
              <w:rPr>
                <w:sz w:val="1"/>
                <w:szCs w:val="1"/>
                <w:color w:val="auto"/>
              </w:rPr>
            </w:pPr>
          </w:p>
        </w:tc>
      </w:tr>
      <w:tr>
        <w:trPr>
          <w:trHeight w:val="192"/>
        </w:trPr>
        <w:tc>
          <w:tcPr>
            <w:tcW w:w="320" w:type="dxa"/>
            <w:vAlign w:val="bottom"/>
            <w:vMerge w:val="restart"/>
          </w:tcPr>
          <w:p>
            <w:pPr>
              <w:jc w:val="right"/>
              <w:ind w:right="15"/>
              <w:spacing w:after="0"/>
              <w:rPr>
                <w:sz w:val="20"/>
                <w:szCs w:val="20"/>
                <w:color w:val="auto"/>
              </w:rPr>
            </w:pPr>
            <w:r>
              <w:rPr>
                <w:rFonts w:ascii="PMingLiU" w:cs="PMingLiU" w:eastAsia="PMingLiU" w:hAnsi="PMingLiU"/>
                <w:sz w:val="16"/>
                <w:szCs w:val="16"/>
                <w:b w:val="1"/>
                <w:bCs w:val="1"/>
                <w:color w:val="2D2C36"/>
              </w:rPr>
              <w:t></w:t>
            </w: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)RUPHGWKH*($</w:t>
            </w:r>
          </w:p>
        </w:tc>
        <w:tc>
          <w:tcPr>
            <w:tcW w:w="220" w:type="dxa"/>
            <w:vAlign w:val="bottom"/>
            <w:vMerge w:val="restart"/>
          </w:tcPr>
          <w:p>
            <w:pPr>
              <w:jc w:val="right"/>
              <w:ind w:right="40"/>
              <w:spacing w:after="0"/>
              <w:rPr>
                <w:sz w:val="20"/>
                <w:szCs w:val="20"/>
                <w:color w:val="auto"/>
              </w:rPr>
            </w:pPr>
            <w:r>
              <w:rPr>
                <w:rFonts w:ascii="PMingLiU" w:cs="PMingLiU" w:eastAsia="PMingLiU" w:hAnsi="PMingLiU"/>
                <w:sz w:val="16"/>
                <w:szCs w:val="16"/>
                <w:b w:val="1"/>
                <w:bCs w:val="1"/>
                <w:color w:val="2D2C36"/>
                <w:w w:val="99"/>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w w:val="76"/>
              </w:rPr>
              <w:t>%XLOWGHHSHUFDSDELOLWLHV</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w w:val="96"/>
              </w:rPr>
              <w:t>VXSSRUWLQJSDWLHQWVDQG</w:t>
            </w:r>
          </w:p>
        </w:tc>
        <w:tc>
          <w:tcPr>
            <w:tcW w:w="3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WRUHGXFH6FRSHDQG</w:t>
            </w:r>
          </w:p>
        </w:tc>
        <w:tc>
          <w:tcPr>
            <w:tcW w:w="0" w:type="dxa"/>
            <w:vAlign w:val="bottom"/>
          </w:tcPr>
          <w:p>
            <w:pPr>
              <w:spacing w:after="0"/>
              <w:rPr>
                <w:sz w:val="1"/>
                <w:szCs w:val="1"/>
                <w:color w:val="auto"/>
              </w:rPr>
            </w:pPr>
          </w:p>
        </w:tc>
      </w:tr>
      <w:tr>
        <w:trPr>
          <w:trHeight w:val="60"/>
        </w:trPr>
        <w:tc>
          <w:tcPr>
            <w:tcW w:w="320" w:type="dxa"/>
            <w:vAlign w:val="bottom"/>
            <w:vMerge w:val="continue"/>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FDUHJLYHUVKHDOWK</w:t>
            </w: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JUHHQKRXVHJDV</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3DWLHQW$GYLVRU\</w:t>
            </w:r>
          </w:p>
        </w:tc>
        <w:tc>
          <w:tcPr>
            <w:tcW w:w="220" w:type="dxa"/>
            <w:vAlign w:val="bottom"/>
          </w:tcPr>
          <w:p>
            <w:pPr>
              <w:spacing w:after="0"/>
              <w:rPr>
                <w:sz w:val="11"/>
                <w:szCs w:val="11"/>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w w:val="77"/>
              </w:rPr>
              <w:t>LQDUWLILFLDOLQWHOOLJHQFH</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HTXLW\HGXFDWLRQDQG</w:t>
            </w: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HPLVVLRQV</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6WHHULQJ&amp;RPPLWWHHWR</w:t>
            </w:r>
          </w:p>
        </w:tc>
        <w:tc>
          <w:tcPr>
            <w:tcW w:w="220" w:type="dxa"/>
            <w:vAlign w:val="bottom"/>
          </w:tcPr>
          <w:p>
            <w:pPr>
              <w:spacing w:after="0"/>
              <w:rPr>
                <w:sz w:val="11"/>
                <w:szCs w:val="11"/>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DQGEURDGHQHG</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VFLHQWLILFGHYHORSPHQW</w:t>
            </w:r>
          </w:p>
        </w:tc>
        <w:tc>
          <w:tcPr>
            <w:tcW w:w="3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SURYLGHLQSXWRQ</w:t>
            </w:r>
          </w:p>
        </w:tc>
        <w:tc>
          <w:tcPr>
            <w:tcW w:w="220" w:type="dxa"/>
            <w:vAlign w:val="bottom"/>
          </w:tcPr>
          <w:p>
            <w:pPr>
              <w:spacing w:after="0"/>
              <w:rPr>
                <w:sz w:val="13"/>
                <w:szCs w:val="13"/>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UHVSRQVLEOHXVH</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320" w:type="dxa"/>
            <w:vAlign w:val="bottom"/>
            <w:vMerge w:val="restart"/>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&amp;RPSOHWHGWKH</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380" w:type="dxa"/>
            <w:vAlign w:val="bottom"/>
            <w:gridSpan w:val="3"/>
          </w:tcPr>
          <w:p>
            <w:pPr>
              <w:ind w:left="100"/>
              <w:spacing w:after="0"/>
              <w:rPr>
                <w:sz w:val="20"/>
                <w:szCs w:val="20"/>
                <w:color w:val="auto"/>
              </w:rPr>
            </w:pPr>
            <w:r>
              <w:rPr>
                <w:rFonts w:ascii="PMingLiU" w:cs="PMingLiU" w:eastAsia="PMingLiU" w:hAnsi="PMingLiU"/>
                <w:sz w:val="16"/>
                <w:szCs w:val="16"/>
                <w:color w:val="2D2C36"/>
              </w:rPr>
              <w:t>PDWHULDOVUHVRXUFHV</w:t>
            </w:r>
          </w:p>
        </w:tc>
        <w:tc>
          <w:tcPr>
            <w:tcW w:w="220" w:type="dxa"/>
            <w:vAlign w:val="bottom"/>
            <w:vMerge w:val="restart"/>
          </w:tcPr>
          <w:p>
            <w:pPr>
              <w:jc w:val="right"/>
              <w:ind w:right="40"/>
              <w:spacing w:after="0"/>
              <w:rPr>
                <w:sz w:val="20"/>
                <w:szCs w:val="20"/>
                <w:color w:val="auto"/>
              </w:rPr>
            </w:pPr>
            <w:r>
              <w:rPr>
                <w:rFonts w:ascii="PMingLiU" w:cs="PMingLiU" w:eastAsia="PMingLiU" w:hAnsi="PMingLiU"/>
                <w:sz w:val="16"/>
                <w:szCs w:val="16"/>
                <w:b w:val="1"/>
                <w:bCs w:val="1"/>
                <w:color w:val="2D2C36"/>
                <w:w w:val="99"/>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w w:val="96"/>
              </w:rPr>
              <w:t>+HOGILUVWHYHUJOREDO</w:t>
            </w:r>
          </w:p>
        </w:tc>
        <w:tc>
          <w:tcPr>
            <w:tcW w:w="600" w:type="dxa"/>
            <w:vAlign w:val="bottom"/>
            <w:gridSpan w:val="2"/>
          </w:tcPr>
          <w:p>
            <w:pPr>
              <w:jc w:val="right"/>
              <w:ind w:right="100"/>
              <w:spacing w:after="0"/>
              <w:rPr>
                <w:sz w:val="20"/>
                <w:szCs w:val="20"/>
                <w:color w:val="auto"/>
              </w:rPr>
            </w:pPr>
            <w:r>
              <w:rPr>
                <w:rFonts w:ascii="PMingLiU" w:cs="PMingLiU" w:eastAsia="PMingLiU" w:hAnsi="PMingLiU"/>
                <w:sz w:val="16"/>
                <w:szCs w:val="16"/>
                <w:b w:val="1"/>
                <w:bCs w:val="1"/>
                <w:color w:val="2D2C36"/>
              </w:rPr>
              <w:t></w:t>
            </w:r>
          </w:p>
        </w:tc>
        <w:tc>
          <w:tcPr>
            <w:tcW w:w="2280" w:type="dxa"/>
            <w:vAlign w:val="bottom"/>
            <w:gridSpan w:val="2"/>
          </w:tcPr>
          <w:p>
            <w:pPr>
              <w:ind w:left="120"/>
              <w:spacing w:after="0"/>
              <w:rPr>
                <w:sz w:val="20"/>
                <w:szCs w:val="20"/>
                <w:color w:val="auto"/>
              </w:rPr>
            </w:pPr>
            <w:r>
              <w:rPr>
                <w:rFonts w:ascii="PMingLiU" w:cs="PMingLiU" w:eastAsia="PMingLiU" w:hAnsi="PMingLiU"/>
                <w:sz w:val="16"/>
                <w:szCs w:val="16"/>
                <w:color w:val="2D2C36"/>
              </w:rPr>
              <w:t>(PSOR\HHVYROXQWHHUHG</w:t>
            </w:r>
          </w:p>
        </w:tc>
        <w:tc>
          <w:tcPr>
            <w:tcW w:w="320" w:type="dxa"/>
            <w:vAlign w:val="bottom"/>
          </w:tcPr>
          <w:p>
            <w:pPr>
              <w:spacing w:after="0"/>
              <w:rPr>
                <w:sz w:val="16"/>
                <w:szCs w:val="16"/>
                <w:color w:val="auto"/>
              </w:rPr>
            </w:pPr>
          </w:p>
        </w:tc>
        <w:tc>
          <w:tcPr>
            <w:tcW w:w="1980" w:type="dxa"/>
            <w:vAlign w:val="bottom"/>
          </w:tcPr>
          <w:p>
            <w:pPr>
              <w:ind w:left="100"/>
              <w:spacing w:after="0"/>
              <w:rPr>
                <w:sz w:val="20"/>
                <w:szCs w:val="20"/>
                <w:color w:val="auto"/>
              </w:rPr>
            </w:pPr>
            <w:r>
              <w:rPr>
                <w:rFonts w:ascii="PMingLiU" w:cs="PMingLiU" w:eastAsia="PMingLiU" w:hAnsi="PMingLiU"/>
                <w:sz w:val="16"/>
                <w:szCs w:val="16"/>
                <w:color w:val="2D2C36"/>
              </w:rPr>
              <w:t>WUDQVLWLRQWR</w:t>
            </w: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DQGEXVLQHVVGHFLVLRQV</w:t>
            </w:r>
          </w:p>
        </w:tc>
        <w:tc>
          <w:tcPr>
            <w:tcW w:w="22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RYHUKRXUVRI</w:t>
            </w: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w w:val="80"/>
              </w:rPr>
              <w:t>UHQHZDEOHHOHFWULFLW\DW</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FRPSDQ\ZLGH-D]]</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UHODWHGWR*($</w:t>
            </w: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VHUYLFHZLWK/LIH</w:t>
            </w: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NH\VLWHV</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:HOOEHLQJ:HHN</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vMerge w:val="restart"/>
          </w:tcPr>
          <w:p>
            <w:pPr>
              <w:jc w:val="right"/>
              <w:ind w:right="15"/>
              <w:spacing w:after="0"/>
              <w:rPr>
                <w:sz w:val="20"/>
                <w:szCs w:val="20"/>
                <w:color w:val="auto"/>
              </w:rPr>
            </w:pPr>
            <w:r>
              <w:rPr>
                <w:rFonts w:ascii="PMingLiU" w:cs="PMingLiU" w:eastAsia="PMingLiU" w:hAnsi="PMingLiU"/>
                <w:sz w:val="16"/>
                <w:szCs w:val="16"/>
                <w:b w:val="1"/>
                <w:bCs w:val="1"/>
                <w:color w:val="2D2C36"/>
              </w:rPr>
              <w:t></w:t>
            </w: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3URYLGHG3DWLHQW</w:t>
            </w:r>
          </w:p>
        </w:tc>
        <w:tc>
          <w:tcPr>
            <w:tcW w:w="2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6FLHQFH&amp;DUHVZKR</w:t>
            </w:r>
          </w:p>
        </w:tc>
        <w:tc>
          <w:tcPr>
            <w:tcW w:w="320" w:type="dxa"/>
            <w:vAlign w:val="bottom"/>
            <w:vMerge w:val="restart"/>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ODEVFHUWLILHGXQGHU</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220" w:type="dxa"/>
            <w:vAlign w:val="bottom"/>
            <w:vMerge w:val="restart"/>
          </w:tcPr>
          <w:p>
            <w:pPr>
              <w:jc w:val="right"/>
              <w:ind w:right="40"/>
              <w:spacing w:after="0"/>
              <w:rPr>
                <w:sz w:val="20"/>
                <w:szCs w:val="20"/>
                <w:color w:val="auto"/>
              </w:rPr>
            </w:pPr>
            <w:r>
              <w:rPr>
                <w:rFonts w:ascii="PMingLiU" w:cs="PMingLiU" w:eastAsia="PMingLiU" w:hAnsi="PMingLiU"/>
                <w:sz w:val="16"/>
                <w:szCs w:val="16"/>
                <w:b w:val="1"/>
                <w:bCs w:val="1"/>
                <w:color w:val="2D2C36"/>
                <w:w w:val="99"/>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HPSOR\HHVDFWLYH</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20" w:type="dxa"/>
            <w:vAlign w:val="bottom"/>
            <w:vMerge w:val="continue"/>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FRPEDWVSRYHUW\DQG</w:t>
            </w:r>
          </w:p>
        </w:tc>
        <w:tc>
          <w:tcPr>
            <w:tcW w:w="32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DVVLVWDQFHSURJUDPVIRU</w:t>
            </w:r>
          </w:p>
        </w:tc>
        <w:tc>
          <w:tcPr>
            <w:tcW w:w="22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0\*UHHQ/DE</w:t>
            </w:r>
          </w:p>
        </w:tc>
        <w:tc>
          <w:tcPr>
            <w:tcW w:w="0" w:type="dxa"/>
            <w:vAlign w:val="bottom"/>
          </w:tcPr>
          <w:p>
            <w:pPr>
              <w:spacing w:after="0"/>
              <w:rPr>
                <w:sz w:val="1"/>
                <w:szCs w:val="1"/>
                <w:color w:val="auto"/>
              </w:rPr>
            </w:pPr>
          </w:p>
        </w:tc>
      </w:tr>
      <w:tr>
        <w:trPr>
          <w:trHeight w:val="72"/>
        </w:trPr>
        <w:tc>
          <w:tcPr>
            <w:tcW w:w="32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LQHPSOR\HHUHVRXUFH</w:t>
            </w: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LPSURYHOLYHVWKURXJK</w:t>
            </w:r>
          </w:p>
        </w:tc>
        <w:tc>
          <w:tcPr>
            <w:tcW w:w="3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HOLJLEOHSDWLHQWVZKR</w:t>
            </w: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w w:val="93"/>
              </w:rPr>
              <w:t>&amp;HUWLILFDWLRQSURJUDP</w:t>
            </w:r>
          </w:p>
        </w:tc>
        <w:tc>
          <w:tcPr>
            <w:tcW w:w="0" w:type="dxa"/>
            <w:vAlign w:val="bottom"/>
          </w:tcPr>
          <w:p>
            <w:pPr>
              <w:spacing w:after="0"/>
              <w:rPr>
                <w:sz w:val="1"/>
                <w:szCs w:val="1"/>
                <w:color w:val="auto"/>
              </w:rPr>
            </w:pPr>
          </w:p>
        </w:tc>
      </w:tr>
      <w:tr>
        <w:trPr>
          <w:trHeight w:val="72"/>
        </w:trPr>
        <w:tc>
          <w:tcPr>
            <w:tcW w:w="32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WHDPV</w:t>
            </w: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80" w:type="dxa"/>
            <w:vAlign w:val="bottom"/>
            <w:gridSpan w:val="2"/>
            <w:vMerge w:val="restart"/>
          </w:tcPr>
          <w:p>
            <w:pPr>
              <w:ind w:left="120"/>
              <w:spacing w:after="0"/>
              <w:rPr>
                <w:sz w:val="20"/>
                <w:szCs w:val="20"/>
                <w:color w:val="auto"/>
              </w:rPr>
            </w:pPr>
            <w:r>
              <w:rPr>
                <w:rFonts w:ascii="PMingLiU" w:cs="PMingLiU" w:eastAsia="PMingLiU" w:hAnsi="PMingLiU"/>
                <w:sz w:val="16"/>
                <w:szCs w:val="16"/>
                <w:color w:val="2D2C36"/>
              </w:rPr>
              <w:t>VXSSRUWIRUEDVLFQHHGV</w:t>
            </w:r>
          </w:p>
        </w:tc>
        <w:tc>
          <w:tcPr>
            <w:tcW w:w="32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2380" w:type="dxa"/>
            <w:vAlign w:val="bottom"/>
            <w:gridSpan w:val="3"/>
            <w:vMerge w:val="restart"/>
          </w:tcPr>
          <w:p>
            <w:pPr>
              <w:ind w:left="100"/>
              <w:spacing w:after="0"/>
              <w:rPr>
                <w:sz w:val="20"/>
                <w:szCs w:val="20"/>
                <w:color w:val="auto"/>
              </w:rPr>
            </w:pPr>
            <w:r>
              <w:rPr>
                <w:rFonts w:ascii="PMingLiU" w:cs="PMingLiU" w:eastAsia="PMingLiU" w:hAnsi="PMingLiU"/>
                <w:sz w:val="16"/>
                <w:szCs w:val="16"/>
                <w:color w:val="2D2C36"/>
              </w:rPr>
              <w:t>FDQQRWDIIRUGWKHPDQG</w:t>
            </w:r>
          </w:p>
        </w:tc>
        <w:tc>
          <w:tcPr>
            <w:tcW w:w="22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20" w:type="dxa"/>
            <w:vAlign w:val="bottom"/>
            <w:vMerge w:val="restart"/>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80" w:type="dxa"/>
            <w:vAlign w:val="bottom"/>
            <w:vMerge w:val="restart"/>
          </w:tcPr>
          <w:p>
            <w:pPr>
              <w:ind w:left="100"/>
              <w:spacing w:after="0"/>
              <w:rPr>
                <w:sz w:val="20"/>
                <w:szCs w:val="20"/>
                <w:color w:val="auto"/>
              </w:rPr>
            </w:pPr>
            <w:r>
              <w:rPr>
                <w:rFonts w:ascii="PMingLiU" w:cs="PMingLiU" w:eastAsia="PMingLiU" w:hAnsi="PMingLiU"/>
                <w:sz w:val="16"/>
                <w:szCs w:val="16"/>
                <w:color w:val="2D2C36"/>
              </w:rPr>
              <w:t>,62DQG,62</w:t>
            </w:r>
          </w:p>
        </w:tc>
        <w:tc>
          <w:tcPr>
            <w:tcW w:w="0" w:type="dxa"/>
            <w:vAlign w:val="bottom"/>
          </w:tcPr>
          <w:p>
            <w:pPr>
              <w:spacing w:after="0"/>
              <w:rPr>
                <w:sz w:val="1"/>
                <w:szCs w:val="1"/>
                <w:color w:val="auto"/>
              </w:rPr>
            </w:pPr>
          </w:p>
        </w:tc>
      </w:tr>
      <w:tr>
        <w:trPr>
          <w:trHeight w:val="51"/>
        </w:trPr>
        <w:tc>
          <w:tcPr>
            <w:tcW w:w="32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gridSpan w:val="2"/>
            <w:vMerge w:val="restart"/>
          </w:tcPr>
          <w:p>
            <w:pPr>
              <w:ind w:left="120"/>
              <w:spacing w:after="0" w:line="76" w:lineRule="exact"/>
              <w:rPr>
                <w:sz w:val="20"/>
                <w:szCs w:val="20"/>
                <w:color w:val="auto"/>
              </w:rPr>
            </w:pPr>
            <w:r>
              <w:rPr>
                <w:rFonts w:ascii="PMingLiU" w:cs="PMingLiU" w:eastAsia="PMingLiU" w:hAnsi="PMingLiU"/>
                <w:sz w:val="8"/>
                <w:szCs w:val="8"/>
                <w:color w:val="2D2C36"/>
              </w:rPr>
              <w:t>HGXFDWLRQDQGMREVNLOOV</w:t>
            </w:r>
          </w:p>
        </w:tc>
        <w:tc>
          <w:tcPr>
            <w:tcW w:w="3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3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-1965960</wp:posOffset>
                </wp:positionV>
                <wp:extent cx="1466215" cy="253301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6215" cy="2533015"/>
                        </a:xfrm>
                        <a:prstGeom prst="rect">
                          <a:avLst/>
                        </a:prstGeom>
                        <a:solidFill>
                          <a:srgbClr val="F3F3F1"/>
                        </a:solidFill>
                      </wps:spPr>
                      <wps:bodyPr/>
                    </wps:wsp>
                  </a:graphicData>
                </a:graphic>
              </wp:anchor>
            </w:drawing>
          </mc:Choice>
          <mc:Fallback>
            <w:pict>
              <v:rect id="Shape 273" o:spid="_x0000_s1298" style="position:absolute;margin-left:-0.0999pt;margin-top:-154.7999pt;width:115.45pt;height:19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3293745</wp:posOffset>
                </wp:positionH>
                <wp:positionV relativeFrom="paragraph">
                  <wp:posOffset>-1965960</wp:posOffset>
                </wp:positionV>
                <wp:extent cx="1466850" cy="253301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6850" cy="2533015"/>
                        </a:xfrm>
                        <a:prstGeom prst="rect">
                          <a:avLst/>
                        </a:prstGeom>
                        <a:solidFill>
                          <a:srgbClr val="F3F3F1"/>
                        </a:solidFill>
                      </wps:spPr>
                      <wps:bodyPr/>
                    </wps:wsp>
                  </a:graphicData>
                </a:graphic>
              </wp:anchor>
            </w:drawing>
          </mc:Choice>
          <mc:Fallback>
            <w:pict>
              <v:rect id="Shape 274" o:spid="_x0000_s1299" style="position:absolute;margin-left:259.35pt;margin-top:-154.7999pt;width:115.5pt;height:19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4941570</wp:posOffset>
                </wp:positionH>
                <wp:positionV relativeFrom="paragraph">
                  <wp:posOffset>-1965960</wp:posOffset>
                </wp:positionV>
                <wp:extent cx="1457325" cy="2533015"/>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7325" cy="2533015"/>
                        </a:xfrm>
                        <a:prstGeom prst="rect">
                          <a:avLst/>
                        </a:prstGeom>
                        <a:solidFill>
                          <a:srgbClr val="F3F3F1"/>
                        </a:solidFill>
                      </wps:spPr>
                      <wps:bodyPr/>
                    </wps:wsp>
                  </a:graphicData>
                </a:graphic>
              </wp:anchor>
            </w:drawing>
          </mc:Choice>
          <mc:Fallback>
            <w:pict>
              <v:rect id="Shape 275" o:spid="_x0000_s1300" style="position:absolute;margin-left:389.1pt;margin-top:-154.7999pt;width:114.75pt;height:19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mc:AlternateContent>
          <mc:Choice Requires="wps">
            <w:drawing>
              <wp:anchor simplePos="0" relativeHeight="251657728" behindDoc="1" locked="0" layoutInCell="0" allowOverlap="1">
                <wp:simplePos x="0" y="0"/>
                <wp:positionH relativeFrom="column">
                  <wp:posOffset>1645920</wp:posOffset>
                </wp:positionH>
                <wp:positionV relativeFrom="paragraph">
                  <wp:posOffset>-1965960</wp:posOffset>
                </wp:positionV>
                <wp:extent cx="1466850" cy="2533015"/>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6850" cy="2533015"/>
                        </a:xfrm>
                        <a:prstGeom prst="rect">
                          <a:avLst/>
                        </a:prstGeom>
                        <a:solidFill>
                          <a:srgbClr val="F3F3F1"/>
                        </a:solidFill>
                      </wps:spPr>
                      <wps:bodyPr/>
                    </wps:wsp>
                  </a:graphicData>
                </a:graphic>
              </wp:anchor>
            </w:drawing>
          </mc:Choice>
          <mc:Fallback>
            <w:pict>
              <v:rect id="Shape 276" o:spid="_x0000_s1301" style="position:absolute;margin-left:129.6pt;margin-top:-154.7999pt;width:115.5pt;height:19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tbl>
      <w:tblPr>
        <w:tblLayout w:type="fixed"/>
        <w:tblInd w:w="420" w:type="dxa"/>
        <w:tblCellMar>
          <w:top w:w="0" w:type="dxa"/>
          <w:left w:w="0" w:type="dxa"/>
          <w:bottom w:w="0" w:type="dxa"/>
          <w:right w:w="0" w:type="dxa"/>
        </w:tblCellMar>
      </w:tblPr>
      <w:tr>
        <w:trPr>
          <w:trHeight w:val="176"/>
        </w:trPr>
        <w:tc>
          <w:tcPr>
            <w:tcW w:w="4700" w:type="dxa"/>
            <w:vAlign w:val="bottom"/>
          </w:tcPr>
          <w:p>
            <w:pPr>
              <w:spacing w:after="0" w:line="176" w:lineRule="exact"/>
              <w:rPr>
                <w:sz w:val="20"/>
                <w:szCs w:val="20"/>
                <w:color w:val="auto"/>
              </w:rPr>
            </w:pPr>
            <w:r>
              <w:rPr>
                <w:rFonts w:ascii="PMingLiU" w:cs="PMingLiU" w:eastAsia="PMingLiU" w:hAnsi="PMingLiU"/>
                <w:sz w:val="16"/>
                <w:szCs w:val="16"/>
                <w:color w:val="2D2C36"/>
              </w:rPr>
              <w:t>RIIHUHGHDUO\DFFHVVWR</w:t>
            </w:r>
          </w:p>
        </w:tc>
        <w:tc>
          <w:tcPr>
            <w:tcW w:w="4760" w:type="dxa"/>
            <w:vAlign w:val="bottom"/>
            <w:vMerge w:val="restart"/>
          </w:tcPr>
          <w:p>
            <w:pPr>
              <w:ind w:left="3080"/>
              <w:spacing w:after="0"/>
              <w:rPr>
                <w:sz w:val="20"/>
                <w:szCs w:val="20"/>
                <w:color w:val="auto"/>
              </w:rPr>
            </w:pPr>
            <w:r>
              <w:rPr>
                <w:rFonts w:ascii="PMingLiU" w:cs="PMingLiU" w:eastAsia="PMingLiU" w:hAnsi="PMingLiU"/>
                <w:sz w:val="16"/>
                <w:szCs w:val="16"/>
                <w:color w:val="2D2C36"/>
                <w:w w:val="87"/>
              </w:rPr>
              <w:t>FHUWLILFDWLRQDWDOO</w:t>
            </w:r>
          </w:p>
        </w:tc>
        <w:tc>
          <w:tcPr>
            <w:tcW w:w="0" w:type="dxa"/>
            <w:vAlign w:val="bottom"/>
          </w:tcPr>
          <w:p>
            <w:pPr>
              <w:spacing w:after="0"/>
              <w:rPr>
                <w:sz w:val="1"/>
                <w:szCs w:val="1"/>
                <w:color w:val="auto"/>
              </w:rPr>
            </w:pPr>
          </w:p>
        </w:tc>
      </w:tr>
      <w:tr>
        <w:trPr>
          <w:trHeight w:val="60"/>
        </w:trPr>
        <w:tc>
          <w:tcPr>
            <w:tcW w:w="4700" w:type="dxa"/>
            <w:vAlign w:val="bottom"/>
            <w:vMerge w:val="restart"/>
          </w:tcPr>
          <w:p>
            <w:pPr>
              <w:spacing w:after="0"/>
              <w:rPr>
                <w:sz w:val="20"/>
                <w:szCs w:val="20"/>
                <w:color w:val="auto"/>
              </w:rPr>
            </w:pPr>
            <w:r>
              <w:rPr>
                <w:rFonts w:ascii="PMingLiU" w:cs="PMingLiU" w:eastAsia="PMingLiU" w:hAnsi="PMingLiU"/>
                <w:sz w:val="16"/>
                <w:szCs w:val="16"/>
                <w:color w:val="2D2C36"/>
              </w:rPr>
              <w:t>SURGXFWVIRUWKRVHZLWK</w:t>
            </w:r>
          </w:p>
        </w:tc>
        <w:tc>
          <w:tcPr>
            <w:tcW w:w="4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700" w:type="dxa"/>
            <w:vAlign w:val="bottom"/>
            <w:vMerge w:val="continue"/>
          </w:tcPr>
          <w:p>
            <w:pPr>
              <w:spacing w:after="0"/>
              <w:rPr>
                <w:sz w:val="11"/>
                <w:szCs w:val="11"/>
                <w:color w:val="auto"/>
              </w:rPr>
            </w:pPr>
          </w:p>
        </w:tc>
        <w:tc>
          <w:tcPr>
            <w:tcW w:w="4760" w:type="dxa"/>
            <w:vAlign w:val="bottom"/>
            <w:vMerge w:val="restart"/>
          </w:tcPr>
          <w:p>
            <w:pPr>
              <w:ind w:left="3080"/>
              <w:spacing w:after="0"/>
              <w:rPr>
                <w:sz w:val="20"/>
                <w:szCs w:val="20"/>
                <w:color w:val="auto"/>
              </w:rPr>
            </w:pPr>
            <w:r>
              <w:rPr>
                <w:rFonts w:ascii="PMingLiU" w:cs="PMingLiU" w:eastAsia="PMingLiU" w:hAnsi="PMingLiU"/>
                <w:sz w:val="16"/>
                <w:szCs w:val="16"/>
                <w:color w:val="2D2C36"/>
                <w:w w:val="77"/>
              </w:rPr>
              <w:t>LQWHUQDOPDQXIDFWXULQJ</w:t>
            </w:r>
          </w:p>
        </w:tc>
        <w:tc>
          <w:tcPr>
            <w:tcW w:w="0" w:type="dxa"/>
            <w:vAlign w:val="bottom"/>
          </w:tcPr>
          <w:p>
            <w:pPr>
              <w:spacing w:after="0"/>
              <w:rPr>
                <w:sz w:val="1"/>
                <w:szCs w:val="1"/>
                <w:color w:val="auto"/>
              </w:rPr>
            </w:pPr>
          </w:p>
        </w:tc>
      </w:tr>
      <w:tr>
        <w:trPr>
          <w:trHeight w:val="60"/>
        </w:trPr>
        <w:tc>
          <w:tcPr>
            <w:tcW w:w="4700" w:type="dxa"/>
            <w:vAlign w:val="bottom"/>
            <w:vMerge w:val="restart"/>
          </w:tcPr>
          <w:p>
            <w:pPr>
              <w:spacing w:after="0"/>
              <w:rPr>
                <w:sz w:val="20"/>
                <w:szCs w:val="20"/>
                <w:color w:val="auto"/>
              </w:rPr>
            </w:pPr>
            <w:r>
              <w:rPr>
                <w:rFonts w:ascii="PMingLiU" w:cs="PMingLiU" w:eastAsia="PMingLiU" w:hAnsi="PMingLiU"/>
                <w:sz w:val="16"/>
                <w:szCs w:val="16"/>
                <w:color w:val="2D2C36"/>
              </w:rPr>
              <w:t>KLJKXQPHWPHGLFDO</w:t>
            </w:r>
          </w:p>
        </w:tc>
        <w:tc>
          <w:tcPr>
            <w:tcW w:w="4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700" w:type="dxa"/>
            <w:vAlign w:val="bottom"/>
            <w:vMerge w:val="continue"/>
          </w:tcPr>
          <w:p>
            <w:pPr>
              <w:spacing w:after="0"/>
              <w:rPr>
                <w:sz w:val="11"/>
                <w:szCs w:val="11"/>
                <w:color w:val="auto"/>
              </w:rPr>
            </w:pPr>
          </w:p>
        </w:tc>
        <w:tc>
          <w:tcPr>
            <w:tcW w:w="4760" w:type="dxa"/>
            <w:vAlign w:val="bottom"/>
            <w:vMerge w:val="restart"/>
          </w:tcPr>
          <w:p>
            <w:pPr>
              <w:ind w:left="3080"/>
              <w:spacing w:after="0"/>
              <w:rPr>
                <w:sz w:val="20"/>
                <w:szCs w:val="20"/>
                <w:color w:val="auto"/>
              </w:rPr>
            </w:pPr>
            <w:r>
              <w:rPr>
                <w:rFonts w:ascii="PMingLiU" w:cs="PMingLiU" w:eastAsia="PMingLiU" w:hAnsi="PMingLiU"/>
                <w:sz w:val="16"/>
                <w:szCs w:val="16"/>
                <w:color w:val="2D2C36"/>
              </w:rPr>
              <w:t>VLWHV</w:t>
            </w:r>
          </w:p>
        </w:tc>
        <w:tc>
          <w:tcPr>
            <w:tcW w:w="0" w:type="dxa"/>
            <w:vAlign w:val="bottom"/>
          </w:tcPr>
          <w:p>
            <w:pPr>
              <w:spacing w:after="0"/>
              <w:rPr>
                <w:sz w:val="1"/>
                <w:szCs w:val="1"/>
                <w:color w:val="auto"/>
              </w:rPr>
            </w:pPr>
          </w:p>
        </w:tc>
      </w:tr>
      <w:tr>
        <w:trPr>
          <w:trHeight w:val="81"/>
        </w:trPr>
        <w:tc>
          <w:tcPr>
            <w:tcW w:w="4700" w:type="dxa"/>
            <w:vAlign w:val="bottom"/>
            <w:vMerge w:val="restart"/>
          </w:tcPr>
          <w:p>
            <w:pPr>
              <w:spacing w:after="0"/>
              <w:rPr>
                <w:sz w:val="20"/>
                <w:szCs w:val="20"/>
                <w:color w:val="auto"/>
              </w:rPr>
            </w:pPr>
            <w:r>
              <w:rPr>
                <w:rFonts w:ascii="PMingLiU" w:cs="PMingLiU" w:eastAsia="PMingLiU" w:hAnsi="PMingLiU"/>
                <w:sz w:val="16"/>
                <w:szCs w:val="16"/>
                <w:color w:val="2D2C36"/>
              </w:rPr>
              <w:t>QHHGV</w:t>
            </w:r>
          </w:p>
        </w:tc>
        <w:tc>
          <w:tcPr>
            <w:tcW w:w="4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700" w:type="dxa"/>
            <w:vAlign w:val="bottom"/>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6XVWDLQDELOLW\5HSRUWLQJ</w:t>
      </w:r>
    </w:p>
    <w:p>
      <w:pPr>
        <w:spacing w:after="0" w:line="126"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)RUPRUHLQIRUPDWLRQDERXWRXU&amp;66,SURJUDPDQGRXUVXVWDLQDELOLW\SHUIRUPDQFHDQGGDWDIRUZHHQFRXUDJH\RXWR UHDGRXU&amp;66,5HSRUWZKLFKZLOOEHDYDLODEOHRQRXU:HEVLWHWKHHQGRI-XQH7KLVUHSRUWZLOOUHIHUHQFHWKH*OREDO 5HSRUWLQJ,QLWLDWLYH6WDQGDUGVDQGDOLJQVZLWKWKH7DVN)RUFHRQ&amp;OLPDWHUHODWHG)LQDQFLDO'LVFORVXUHVIUDPHZRUNDQG 6XVWDLQDELOLW\$FFRXQWLQJ6WDQGDUGV%RDUG%LRWHFKQRORJ\ 3KDUPDFHXWLFDOV6WDQGDUGV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%RDUG2SHUDWLRQV</w:t>
      </w:r>
    </w:p>
    <w:p>
      <w:pPr>
        <w:spacing w:after="0" w:line="219" w:lineRule="exact"/>
        <w:rPr>
          <w:sz w:val="20"/>
          <w:szCs w:val="20"/>
          <w:color w:val="auto"/>
        </w:rPr>
      </w:pPr>
    </w:p>
    <w:p>
      <w:pPr>
        <w:spacing w:after="0" w:line="358" w:lineRule="auto"/>
        <w:rPr>
          <w:sz w:val="20"/>
          <w:szCs w:val="20"/>
          <w:color w:val="auto"/>
        </w:rPr>
      </w:pPr>
      <w:r>
        <w:rPr>
          <w:rFonts w:ascii="PMingLiU" w:cs="PMingLiU" w:eastAsia="PMingLiU" w:hAnsi="PMingLiU"/>
          <w:sz w:val="15"/>
          <w:szCs w:val="15"/>
          <w:color w:val="auto"/>
        </w:rPr>
        <w:t>'XULQJILVFDORXU%RDUGPHWVHYHQWLPHV(DFKRIRXUGLUHFWRUVDWWHQGHGDWOHDVWRIWKHWRWDOQXPEHURIPHHWLQJVRI RXU%RDUGDQGWKHWRWDOQXPEHURIDOOPHHWLQJVRIFRPPLWWHHVRQZKLFKVXFKGLUHFWRUVHUYHGLQHDFKFDVHGXULQJWKHSHULRGV LQZKLFKWKH\VHUYHG</w:t>
      </w:r>
    </w:p>
    <w:p>
      <w:pPr>
        <w:spacing w:after="0" w:line="93" w:lineRule="exact"/>
        <w:rPr>
          <w:sz w:val="20"/>
          <w:szCs w:val="20"/>
          <w:color w:val="auto"/>
        </w:rPr>
      </w:pPr>
    </w:p>
    <w:p>
      <w:pPr>
        <w:ind w:right="140"/>
        <w:spacing w:after="0" w:line="392" w:lineRule="auto"/>
        <w:rPr>
          <w:sz w:val="20"/>
          <w:szCs w:val="20"/>
          <w:color w:val="auto"/>
        </w:rPr>
      </w:pPr>
      <w:r>
        <w:rPr>
          <w:rFonts w:ascii="PMingLiU" w:cs="PMingLiU" w:eastAsia="PMingLiU" w:hAnsi="PMingLiU"/>
          <w:sz w:val="14"/>
          <w:szCs w:val="14"/>
          <w:color w:val="auto"/>
        </w:rPr>
        <w:t>2XUGLUHFWRUVDUHW\SLFDOO\LQYLWHGWRDQGRIWHQSDUWLFLSDWHLQWKHPHHWLQJVRIRXUIRXUVWDQGLQJFRPPLWWHHVH[FHSWIRUFHUWDLQ VHVVLRQVWKDWDUHH[FOXVLYHWRFRPPLWWHHPHPEHUV2XUGLUHFWRUVFDQRQO\YRWHDWPHHWLQJVRIWKHFRPPLWWHHVWRZKLFKWKH\ DUHDSSRLQWHG</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([HFXWLYH6HVVLRQV</w:t>
      </w:r>
    </w:p>
    <w:p>
      <w:pPr>
        <w:spacing w:after="0" w:line="191"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2XU%RDUGFRQVLGHUVUHJXODUH[HFXWLYHVHVVLRQVZKHUHLQGHSHQGHQWGLUHFWRUVPHHWZLWKRXWPDQDJHPHQWDVDFUXFLDODVSHFW RIHIIHFWLYHDQGLQGHSHQGHQWRYHUVLJKW$VUHTXLUHGXQGHUDSSOLFDEOH1DVGDTOLVWLQJVWDQGDUGVLQWKHLQGHSHQGHQW</w:t>
      </w:r>
    </w:p>
    <w:p>
      <w:pPr>
        <w:ind w:right="260"/>
        <w:spacing w:after="0" w:line="443" w:lineRule="auto"/>
        <w:rPr>
          <w:sz w:val="20"/>
          <w:szCs w:val="20"/>
          <w:color w:val="auto"/>
        </w:rPr>
      </w:pPr>
      <w:r>
        <w:rPr>
          <w:rFonts w:ascii="PMingLiU" w:cs="PMingLiU" w:eastAsia="PMingLiU" w:hAnsi="PMingLiU"/>
          <w:sz w:val="14"/>
          <w:szCs w:val="14"/>
          <w:color w:val="auto"/>
        </w:rPr>
        <w:t>GLUHFWRUVJHQHUDOO\PHWDWHDFKUHJXODUERDUGPHHWLQJLQVFKHGXOHGH[HFXWLYHVHVVLRQVDWZKLFKRQO\LQGHSHQGHQWGLUHFWRUV ZHUHSUHVHQW</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'LUHFWRU$WWHQGDQFHDW$*0V</w:t>
      </w:r>
    </w:p>
    <w:p>
      <w:pPr>
        <w:spacing w:after="0" w:line="191" w:lineRule="exact"/>
        <w:rPr>
          <w:sz w:val="20"/>
          <w:szCs w:val="20"/>
          <w:color w:val="auto"/>
        </w:rPr>
      </w:pPr>
    </w:p>
    <w:p>
      <w:pPr>
        <w:ind w:right="80"/>
        <w:spacing w:after="0" w:line="398" w:lineRule="auto"/>
        <w:rPr>
          <w:sz w:val="20"/>
          <w:szCs w:val="20"/>
          <w:color w:val="auto"/>
        </w:rPr>
      </w:pPr>
      <w:r>
        <w:rPr>
          <w:rFonts w:ascii="PMingLiU" w:cs="PMingLiU" w:eastAsia="PMingLiU" w:hAnsi="PMingLiU"/>
          <w:sz w:val="15"/>
          <w:szCs w:val="15"/>
          <w:color w:val="auto"/>
        </w:rPr>
        <w:t>,WLVRXUSROLF\WRLQYLWHGLUHFWRUVDQGGLUHFWRUQRPLQHHVWRDWWHQGRXU$*0(DFKGLUHFWRULVHQFRXUDJHGWRDWWHQGRXU$*0LQ SHUVRQ$OOGLUHFWRUVWKHQLQRIILFHDWWHQGHGRXU$*0</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1HZ'LUHFWRU2ULHQWDWLRQDQG&amp;RQWLQXLQJ(GXFDWLRQ</w:t>
      </w:r>
    </w:p>
    <w:p>
      <w:pPr>
        <w:spacing w:after="0" w:line="191" w:lineRule="exact"/>
        <w:rPr>
          <w:sz w:val="20"/>
          <w:szCs w:val="20"/>
          <w:color w:val="auto"/>
        </w:rPr>
      </w:pPr>
    </w:p>
    <w:p>
      <w:pPr>
        <w:ind w:right="340"/>
        <w:spacing w:after="0" w:line="443" w:lineRule="auto"/>
        <w:rPr>
          <w:sz w:val="20"/>
          <w:szCs w:val="20"/>
          <w:color w:val="auto"/>
        </w:rPr>
      </w:pPr>
      <w:r>
        <w:rPr>
          <w:rFonts w:ascii="PMingLiU" w:cs="PMingLiU" w:eastAsia="PMingLiU" w:hAnsi="PMingLiU"/>
          <w:sz w:val="14"/>
          <w:szCs w:val="14"/>
          <w:color w:val="auto"/>
        </w:rPr>
        <w:t>2XU&amp;RPSDQ\SURYLGHVRULHQWDWLRQIRUQHZGLUHFWRUVZKLFKLQFOXGHVPDWFKLQJQHZO\HOHFWHGGLUHFWRUVZLWKDQH[SHULHQFHG GLUHFWRUIRURQJRLQJPHQWRUVKLS7KLVRULHQWDWLRQLVGHVLJQHGWRIDPLOLDUL]HQHZGLUHFWRUVZLWKRXU&amp;RPSDQ\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373380</wp:posOffset>
            </wp:positionV>
            <wp:extent cx="1386840" cy="2336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39" w:name="page40"/>
    <w:bookmarkEnd w:id="3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78" o:spid="_x0000_s1303"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63" w:lineRule="exact"/>
        <w:rPr>
          <w:sz w:val="20"/>
          <w:szCs w:val="20"/>
          <w:color w:val="auto"/>
        </w:rPr>
      </w:pPr>
    </w:p>
    <w:p>
      <w:pPr>
        <w:ind w:right="320"/>
        <w:spacing w:after="0" w:line="392" w:lineRule="auto"/>
        <w:rPr>
          <w:sz w:val="20"/>
          <w:szCs w:val="20"/>
          <w:color w:val="auto"/>
        </w:rPr>
      </w:pPr>
      <w:r>
        <w:rPr>
          <w:rFonts w:ascii="PMingLiU" w:cs="PMingLiU" w:eastAsia="PMingLiU" w:hAnsi="PMingLiU"/>
          <w:sz w:val="14"/>
          <w:szCs w:val="14"/>
          <w:color w:val="auto"/>
        </w:rPr>
        <w:t>2XU1RPLQDWLQJ&amp;RPPLWWHHLVUHVSRQVLEOHIRURYHUVHHLQJWKHQHHGIRUFRQWLQXLQJHGXFDWLRQRIGLUHFWRUVDQGHQFRXUDJHVDOO GLUHFWRUVWRDWWHQGRUSDUWLFLSDWHLQRQJRLQJHGXFDWLRQSURJUDPVIRUGLUHFWRUV2XU&amp;RPSDQ\DOVRHQFRXUDJHVGLUHFWRUVWR DWWHQGDSSURSULDWH&amp;RPSDQ\DQGKHDOWKFDUHLQGXVWU\PHHWLQJVDQGHYHQWV</w:t>
      </w:r>
    </w:p>
    <w:p>
      <w:pPr>
        <w:spacing w:after="0" w:line="76" w:lineRule="exact"/>
        <w:rPr>
          <w:sz w:val="20"/>
          <w:szCs w:val="20"/>
          <w:color w:val="auto"/>
        </w:rPr>
      </w:pPr>
    </w:p>
    <w:p>
      <w:pPr>
        <w:ind w:right="460"/>
        <w:spacing w:after="0" w:line="398" w:lineRule="auto"/>
        <w:rPr>
          <w:sz w:val="20"/>
          <w:szCs w:val="20"/>
          <w:color w:val="auto"/>
        </w:rPr>
      </w:pPr>
      <w:r>
        <w:rPr>
          <w:rFonts w:ascii="PMingLiU" w:cs="PMingLiU" w:eastAsia="PMingLiU" w:hAnsi="PMingLiU"/>
          <w:sz w:val="15"/>
          <w:szCs w:val="15"/>
          <w:color w:val="auto"/>
        </w:rPr>
        <w:t>0RUHLQIRUPDWLRQRQRXU&amp;RPSDQ\¶VRQJRLQJFRPPLWPHQWWRWKHFRQWLQXLQJHGXFDWLRQRIGLUHFWRUVFDQEHIRXQGXQGHUWKH VHFWLRQRIRXUSUR[\VWDWHPHQWHQWLWOHG</w:t>
      </w:r>
      <w:r>
        <w:rPr>
          <w:rFonts w:ascii="PMingLiU" w:cs="PMingLiU" w:eastAsia="PMingLiU" w:hAnsi="PMingLiU"/>
          <w:sz w:val="15"/>
          <w:szCs w:val="15"/>
          <w:i w:val="1"/>
          <w:iCs w:val="1"/>
          <w:color w:val="auto"/>
        </w:rPr>
        <w:t>E08,*:58536,49(:054 08,*:58954:04;04.+;*(:054F</w:t>
      </w:r>
    </w:p>
    <w:p>
      <w:pPr>
        <w:spacing w:after="0" w:line="83"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&amp;RPPLWWHHVRIRXU%RDUG</w:t>
      </w:r>
    </w:p>
    <w:p>
      <w:pPr>
        <w:spacing w:after="0" w:line="219" w:lineRule="exact"/>
        <w:rPr>
          <w:sz w:val="20"/>
          <w:szCs w:val="20"/>
          <w:color w:val="auto"/>
        </w:rPr>
      </w:pPr>
    </w:p>
    <w:p>
      <w:pPr>
        <w:spacing w:after="0" w:line="1353" w:lineRule="auto"/>
        <w:rPr>
          <w:sz w:val="20"/>
          <w:szCs w:val="20"/>
          <w:color w:val="auto"/>
        </w:rPr>
      </w:pPr>
      <w:r>
        <w:rPr>
          <w:rFonts w:ascii="PMingLiU" w:cs="PMingLiU" w:eastAsia="PMingLiU" w:hAnsi="PMingLiU"/>
          <w:sz w:val="7"/>
          <w:szCs w:val="7"/>
          <w:color w:val="auto"/>
        </w:rPr>
        <w:t>2XU%RDUGKDVIRXUVWDQGLQJFRPPLWWHHVRXU$XGLW&amp;RPPLWWHH&amp;RPSHQVDWLRQ&amp;RPPLWWHH1RPLQDWLQJ&amp;RPPLWWHHDQG60&amp; ,QDGGLWLRQWRRXUVWDQGLQJFRPPLWWHHVZHKDYHD7UDQVDFWLRQ&amp;RPPLWWHHZKLFKPHHWVRQDQDGKRFEDVLVZKHQQHFHVVDU\WR DSSURYHVSHFLILFWUDQVDFWLRQV</w:t>
      </w:r>
    </w:p>
    <w:p>
      <w:pPr>
        <w:spacing w:after="0" w:line="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&amp;RPPLWWHH0HPEHUVKLS</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7KHIROORZLQJWDEOHSURYLGHVPHPEHUVKLSLQIRUPDWLRQIRUHDFKVWDQGLQJFRPPLWWHHDVRI-XQH</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20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1DPH</w:t>
            </w:r>
          </w:p>
        </w:tc>
        <w:tc>
          <w:tcPr>
            <w:tcW w:w="2360" w:type="dxa"/>
            <w:vAlign w:val="bottom"/>
            <w:shd w:val="clear" w:color="auto" w:fill="000046"/>
          </w:tcPr>
          <w:p>
            <w:pPr>
              <w:jc w:val="center"/>
              <w:ind w:left="469"/>
              <w:spacing w:after="0"/>
              <w:rPr>
                <w:sz w:val="20"/>
                <w:szCs w:val="20"/>
                <w:color w:val="auto"/>
              </w:rPr>
            </w:pPr>
            <w:r>
              <w:rPr>
                <w:rFonts w:ascii="PMingLiU" w:cs="PMingLiU" w:eastAsia="PMingLiU" w:hAnsi="PMingLiU"/>
                <w:sz w:val="16"/>
                <w:szCs w:val="16"/>
                <w:b w:val="1"/>
                <w:bCs w:val="1"/>
                <w:color w:val="FFFFFF"/>
                <w:w w:val="85"/>
              </w:rPr>
              <w:t>$XGLW&amp;RPPLWWHH</w:t>
            </w:r>
          </w:p>
        </w:tc>
        <w:tc>
          <w:tcPr>
            <w:tcW w:w="2500" w:type="dxa"/>
            <w:vAlign w:val="bottom"/>
            <w:shd w:val="clear" w:color="auto" w:fill="000046"/>
          </w:tcPr>
          <w:p>
            <w:pPr>
              <w:jc w:val="center"/>
              <w:spacing w:after="0"/>
              <w:rPr>
                <w:sz w:val="20"/>
                <w:szCs w:val="20"/>
                <w:color w:val="auto"/>
              </w:rPr>
            </w:pPr>
            <w:r>
              <w:rPr>
                <w:rFonts w:ascii="PMingLiU" w:cs="PMingLiU" w:eastAsia="PMingLiU" w:hAnsi="PMingLiU"/>
                <w:sz w:val="16"/>
                <w:szCs w:val="16"/>
                <w:b w:val="1"/>
                <w:bCs w:val="1"/>
                <w:color w:val="FFFFFF"/>
                <w:w w:val="88"/>
              </w:rPr>
              <w:t>&amp;RPSHQVDWLRQ&amp;RPPLWWHH</w:t>
            </w:r>
          </w:p>
        </w:tc>
        <w:tc>
          <w:tcPr>
            <w:tcW w:w="2260" w:type="dxa"/>
            <w:vAlign w:val="bottom"/>
            <w:shd w:val="clear" w:color="auto" w:fill="000046"/>
          </w:tcPr>
          <w:p>
            <w:pPr>
              <w:jc w:val="center"/>
              <w:spacing w:after="0"/>
              <w:rPr>
                <w:sz w:val="20"/>
                <w:szCs w:val="20"/>
                <w:color w:val="auto"/>
              </w:rPr>
            </w:pPr>
            <w:r>
              <w:rPr>
                <w:rFonts w:ascii="PMingLiU" w:cs="PMingLiU" w:eastAsia="PMingLiU" w:hAnsi="PMingLiU"/>
                <w:sz w:val="16"/>
                <w:szCs w:val="16"/>
                <w:b w:val="1"/>
                <w:bCs w:val="1"/>
                <w:color w:val="FFFFFF"/>
                <w:w w:val="89"/>
              </w:rPr>
              <w:t>1RPLQDWLQJ&amp;RPPLWWHH</w:t>
            </w:r>
          </w:p>
        </w:tc>
        <w:tc>
          <w:tcPr>
            <w:tcW w:w="920" w:type="dxa"/>
            <w:vAlign w:val="bottom"/>
            <w:shd w:val="clear" w:color="auto" w:fill="000046"/>
          </w:tcPr>
          <w:p>
            <w:pPr>
              <w:jc w:val="center"/>
              <w:spacing w:after="0"/>
              <w:rPr>
                <w:sz w:val="20"/>
                <w:szCs w:val="20"/>
                <w:color w:val="auto"/>
              </w:rPr>
            </w:pPr>
            <w:r>
              <w:rPr>
                <w:rFonts w:ascii="PMingLiU" w:cs="PMingLiU" w:eastAsia="PMingLiU" w:hAnsi="PMingLiU"/>
                <w:sz w:val="16"/>
                <w:szCs w:val="16"/>
                <w:b w:val="1"/>
                <w:bCs w:val="1"/>
                <w:color w:val="FFFFFF"/>
              </w:rPr>
              <w:t>60&amp;</w:t>
            </w:r>
          </w:p>
        </w:tc>
      </w:tr>
      <w:tr>
        <w:trPr>
          <w:trHeight w:val="64"/>
        </w:trPr>
        <w:tc>
          <w:tcPr>
            <w:tcW w:w="2040" w:type="dxa"/>
            <w:vAlign w:val="bottom"/>
            <w:shd w:val="clear" w:color="auto" w:fill="000046"/>
          </w:tcPr>
          <w:p>
            <w:pPr>
              <w:spacing w:after="0"/>
              <w:rPr>
                <w:sz w:val="5"/>
                <w:szCs w:val="5"/>
                <w:color w:val="auto"/>
              </w:rPr>
            </w:pPr>
          </w:p>
        </w:tc>
        <w:tc>
          <w:tcPr>
            <w:tcW w:w="2360" w:type="dxa"/>
            <w:vAlign w:val="bottom"/>
            <w:shd w:val="clear" w:color="auto" w:fill="000046"/>
          </w:tcPr>
          <w:p>
            <w:pPr>
              <w:spacing w:after="0"/>
              <w:rPr>
                <w:sz w:val="5"/>
                <w:szCs w:val="5"/>
                <w:color w:val="auto"/>
              </w:rPr>
            </w:pPr>
          </w:p>
        </w:tc>
        <w:tc>
          <w:tcPr>
            <w:tcW w:w="2500" w:type="dxa"/>
            <w:vAlign w:val="bottom"/>
            <w:shd w:val="clear" w:color="auto" w:fill="000046"/>
          </w:tcPr>
          <w:p>
            <w:pPr>
              <w:spacing w:after="0"/>
              <w:rPr>
                <w:sz w:val="5"/>
                <w:szCs w:val="5"/>
                <w:color w:val="auto"/>
              </w:rPr>
            </w:pPr>
          </w:p>
        </w:tc>
        <w:tc>
          <w:tcPr>
            <w:tcW w:w="2260" w:type="dxa"/>
            <w:vAlign w:val="bottom"/>
            <w:shd w:val="clear" w:color="auto" w:fill="000046"/>
          </w:tcPr>
          <w:p>
            <w:pPr>
              <w:spacing w:after="0"/>
              <w:rPr>
                <w:sz w:val="5"/>
                <w:szCs w:val="5"/>
                <w:color w:val="auto"/>
              </w:rPr>
            </w:pPr>
          </w:p>
        </w:tc>
        <w:tc>
          <w:tcPr>
            <w:tcW w:w="920" w:type="dxa"/>
            <w:vAlign w:val="bottom"/>
            <w:shd w:val="clear" w:color="auto" w:fill="000046"/>
          </w:tcPr>
          <w:p>
            <w:pPr>
              <w:spacing w:after="0"/>
              <w:rPr>
                <w:sz w:val="5"/>
                <w:szCs w:val="5"/>
                <w:color w:val="auto"/>
              </w:rPr>
            </w:pPr>
          </w:p>
        </w:tc>
      </w:tr>
      <w:tr>
        <w:trPr>
          <w:trHeight w:val="344"/>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-HQQLIHU(&amp;RRN</w:t>
            </w:r>
          </w:p>
        </w:tc>
        <w:tc>
          <w:tcPr>
            <w:tcW w:w="2360" w:type="dxa"/>
            <w:vAlign w:val="bottom"/>
          </w:tcPr>
          <w:p>
            <w:pPr>
              <w:spacing w:after="0"/>
              <w:rPr>
                <w:sz w:val="24"/>
                <w:szCs w:val="24"/>
                <w:color w:val="auto"/>
              </w:rPr>
            </w:pPr>
          </w:p>
        </w:tc>
        <w:tc>
          <w:tcPr>
            <w:tcW w:w="2500" w:type="dxa"/>
            <w:vAlign w:val="bottom"/>
          </w:tcPr>
          <w:p>
            <w:pPr>
              <w:jc w:val="center"/>
              <w:spacing w:after="0" w:line="192" w:lineRule="exact"/>
              <w:rPr>
                <w:sz w:val="20"/>
                <w:szCs w:val="20"/>
                <w:color w:val="auto"/>
              </w:rPr>
            </w:pPr>
            <w:r>
              <w:rPr>
                <w:rFonts w:ascii="PMingLiU" w:cs="PMingLiU" w:eastAsia="PMingLiU" w:hAnsi="PMingLiU"/>
                <w:sz w:val="16"/>
                <w:szCs w:val="16"/>
                <w:color w:val="5C004D"/>
              </w:rPr>
              <w:t/>
            </w:r>
          </w:p>
        </w:tc>
        <w:tc>
          <w:tcPr>
            <w:tcW w:w="2260" w:type="dxa"/>
            <w:vAlign w:val="bottom"/>
          </w:tcPr>
          <w:p>
            <w:pPr>
              <w:spacing w:after="0"/>
              <w:rPr>
                <w:sz w:val="24"/>
                <w:szCs w:val="24"/>
                <w:color w:val="auto"/>
              </w:rPr>
            </w:pP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3DWULFN*(QULJKW</w:t>
            </w:r>
          </w:p>
        </w:tc>
        <w:tc>
          <w:tcPr>
            <w:tcW w:w="2360" w:type="dxa"/>
            <w:vAlign w:val="bottom"/>
          </w:tcPr>
          <w:p>
            <w:pPr>
              <w:jc w:val="center"/>
              <w:ind w:left="449"/>
              <w:spacing w:after="0" w:line="240" w:lineRule="exact"/>
              <w:rPr>
                <w:sz w:val="20"/>
                <w:szCs w:val="20"/>
                <w:color w:val="auto"/>
              </w:rPr>
            </w:pPr>
            <w:r>
              <w:rPr>
                <w:rFonts w:ascii="PMingLiU" w:cs="PMingLiU" w:eastAsia="PMingLiU" w:hAnsi="PMingLiU"/>
                <w:sz w:val="20"/>
                <w:szCs w:val="20"/>
                <w:color w:val="5C004D"/>
              </w:rPr>
              <w:t/>
            </w: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/DXUD-+DPLOO</w:t>
            </w:r>
          </w:p>
        </w:tc>
        <w:tc>
          <w:tcPr>
            <w:tcW w:w="2360" w:type="dxa"/>
            <w:vAlign w:val="bottom"/>
          </w:tcPr>
          <w:p>
            <w:pPr>
              <w:spacing w:after="0"/>
              <w:rPr>
                <w:sz w:val="24"/>
                <w:szCs w:val="24"/>
                <w:color w:val="auto"/>
              </w:rPr>
            </w:pPr>
          </w:p>
        </w:tc>
        <w:tc>
          <w:tcPr>
            <w:tcW w:w="250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00"/>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3DWULFN.HQQHG\</w:t>
            </w:r>
          </w:p>
        </w:tc>
        <w:tc>
          <w:tcPr>
            <w:tcW w:w="2360" w:type="dxa"/>
            <w:vAlign w:val="bottom"/>
          </w:tcPr>
          <w:p>
            <w:pPr>
              <w:jc w:val="center"/>
              <w:ind w:left="449"/>
              <w:spacing w:after="0" w:line="192" w:lineRule="exact"/>
              <w:rPr>
                <w:sz w:val="20"/>
                <w:szCs w:val="20"/>
                <w:color w:val="auto"/>
              </w:rPr>
            </w:pPr>
            <w:r>
              <w:rPr>
                <w:rFonts w:ascii="PMingLiU" w:cs="PMingLiU" w:eastAsia="PMingLiU" w:hAnsi="PMingLiU"/>
                <w:sz w:val="16"/>
                <w:szCs w:val="16"/>
                <w:color w:val="5C004D"/>
              </w:rPr>
              <w:t/>
            </w: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5"/>
        </w:trPr>
        <w:tc>
          <w:tcPr>
            <w:tcW w:w="2040" w:type="dxa"/>
            <w:vAlign w:val="bottom"/>
            <w:tcBorders>
              <w:bottom w:val="single" w:sz="8" w:color="4454A7"/>
            </w:tcBorders>
          </w:tcPr>
          <w:p>
            <w:pPr>
              <w:spacing w:after="0"/>
              <w:rPr>
                <w:sz w:val="7"/>
                <w:szCs w:val="7"/>
                <w:color w:val="auto"/>
              </w:rPr>
            </w:pPr>
          </w:p>
        </w:tc>
        <w:tc>
          <w:tcPr>
            <w:tcW w:w="2360" w:type="dxa"/>
            <w:vAlign w:val="bottom"/>
            <w:tcBorders>
              <w:bottom w:val="single" w:sz="8" w:color="4454A7"/>
            </w:tcBorders>
          </w:tcPr>
          <w:p>
            <w:pPr>
              <w:spacing w:after="0"/>
              <w:rPr>
                <w:sz w:val="7"/>
                <w:szCs w:val="7"/>
                <w:color w:val="auto"/>
              </w:rPr>
            </w:pPr>
          </w:p>
        </w:tc>
        <w:tc>
          <w:tcPr>
            <w:tcW w:w="2500" w:type="dxa"/>
            <w:vAlign w:val="bottom"/>
            <w:tcBorders>
              <w:bottom w:val="single" w:sz="8" w:color="4454A7"/>
            </w:tcBorders>
          </w:tcPr>
          <w:p>
            <w:pPr>
              <w:spacing w:after="0"/>
              <w:rPr>
                <w:sz w:val="7"/>
                <w:szCs w:val="7"/>
                <w:color w:val="auto"/>
              </w:rPr>
            </w:pPr>
          </w:p>
        </w:tc>
        <w:tc>
          <w:tcPr>
            <w:tcW w:w="2260" w:type="dxa"/>
            <w:vAlign w:val="bottom"/>
            <w:tcBorders>
              <w:bottom w:val="single" w:sz="8" w:color="4454A7"/>
            </w:tcBorders>
          </w:tcPr>
          <w:p>
            <w:pPr>
              <w:spacing w:after="0"/>
              <w:rPr>
                <w:sz w:val="7"/>
                <w:szCs w:val="7"/>
                <w:color w:val="auto"/>
              </w:rPr>
            </w:pPr>
          </w:p>
        </w:tc>
        <w:tc>
          <w:tcPr>
            <w:tcW w:w="920" w:type="dxa"/>
            <w:vAlign w:val="bottom"/>
            <w:tcBorders>
              <w:bottom w:val="single" w:sz="8" w:color="4454A7"/>
            </w:tcBorders>
          </w:tcPr>
          <w:p>
            <w:pPr>
              <w:spacing w:after="0"/>
              <w:rPr>
                <w:sz w:val="7"/>
                <w:szCs w:val="7"/>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7HG:/RYH0'</w:t>
            </w:r>
          </w:p>
        </w:tc>
        <w:tc>
          <w:tcPr>
            <w:tcW w:w="2360" w:type="dxa"/>
            <w:vAlign w:val="bottom"/>
          </w:tcPr>
          <w:p>
            <w:pPr>
              <w:jc w:val="center"/>
              <w:ind w:left="449"/>
              <w:spacing w:after="0" w:line="240" w:lineRule="exact"/>
              <w:rPr>
                <w:sz w:val="20"/>
                <w:szCs w:val="20"/>
                <w:color w:val="auto"/>
              </w:rPr>
            </w:pPr>
            <w:r>
              <w:rPr>
                <w:rFonts w:ascii="PMingLiU" w:cs="PMingLiU" w:eastAsia="PMingLiU" w:hAnsi="PMingLiU"/>
                <w:sz w:val="20"/>
                <w:szCs w:val="20"/>
                <w:color w:val="5C004D"/>
              </w:rPr>
              <w:t/>
            </w: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+HDWKHU$QQ0F6KDUU\</w:t>
            </w:r>
          </w:p>
        </w:tc>
        <w:tc>
          <w:tcPr>
            <w:tcW w:w="2360" w:type="dxa"/>
            <w:vAlign w:val="bottom"/>
          </w:tcPr>
          <w:p>
            <w:pPr>
              <w:jc w:val="center"/>
              <w:ind w:left="449"/>
              <w:spacing w:after="0" w:line="240" w:lineRule="exact"/>
              <w:rPr>
                <w:sz w:val="20"/>
                <w:szCs w:val="20"/>
                <w:color w:val="auto"/>
              </w:rPr>
            </w:pPr>
            <w:r>
              <w:rPr>
                <w:rFonts w:ascii="PMingLiU" w:cs="PMingLiU" w:eastAsia="PMingLiU" w:hAnsi="PMingLiU"/>
                <w:sz w:val="20"/>
                <w:szCs w:val="20"/>
                <w:color w:val="5C004D"/>
              </w:rPr>
              <w:t/>
            </w:r>
          </w:p>
        </w:tc>
        <w:tc>
          <w:tcPr>
            <w:tcW w:w="2500" w:type="dxa"/>
            <w:vAlign w:val="bottom"/>
          </w:tcPr>
          <w:p>
            <w:pPr>
              <w:spacing w:after="0"/>
              <w:rPr>
                <w:sz w:val="24"/>
                <w:szCs w:val="24"/>
                <w:color w:val="auto"/>
              </w:rPr>
            </w:pPr>
          </w:p>
        </w:tc>
        <w:tc>
          <w:tcPr>
            <w:tcW w:w="2260" w:type="dxa"/>
            <w:vAlign w:val="bottom"/>
          </w:tcPr>
          <w:p>
            <w:pPr>
              <w:jc w:val="center"/>
              <w:spacing w:after="0" w:line="192" w:lineRule="exact"/>
              <w:rPr>
                <w:sz w:val="20"/>
                <w:szCs w:val="20"/>
                <w:color w:val="auto"/>
              </w:rPr>
            </w:pPr>
            <w:r>
              <w:rPr>
                <w:rFonts w:ascii="PMingLiU" w:cs="PMingLiU" w:eastAsia="PMingLiU" w:hAnsi="PMingLiU"/>
                <w:sz w:val="16"/>
                <w:szCs w:val="16"/>
                <w:color w:val="5C004D"/>
              </w:rPr>
              <w:t/>
            </w:r>
          </w:p>
        </w:tc>
        <w:tc>
          <w:tcPr>
            <w:tcW w:w="920" w:type="dxa"/>
            <w:vAlign w:val="bottom"/>
          </w:tcPr>
          <w:p>
            <w:pPr>
              <w:spacing w:after="0"/>
              <w:rPr>
                <w:sz w:val="24"/>
                <w:szCs w:val="24"/>
                <w:color w:val="auto"/>
              </w:rPr>
            </w:pP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6HDPXV&amp;0XOOLJDQ</w:t>
            </w: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76"/>
        </w:trPr>
        <w:tc>
          <w:tcPr>
            <w:tcW w:w="204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5C004D"/>
              </w:rPr>
              <w:t>$QQH2¶5LRUGDQ</w:t>
            </w:r>
            <w:r>
              <w:rPr>
                <w:rFonts w:ascii="PMingLiU" w:cs="PMingLiU" w:eastAsia="PMingLiU" w:hAnsi="PMingLiU"/>
                <w:sz w:val="20"/>
                <w:szCs w:val="20"/>
                <w:b w:val="1"/>
                <w:bCs w:val="1"/>
                <w:color w:val="5C004D"/>
                <w:vertAlign w:val="superscript"/>
              </w:rPr>
              <w:t/>
            </w:r>
          </w:p>
        </w:tc>
        <w:tc>
          <w:tcPr>
            <w:tcW w:w="2360" w:type="dxa"/>
            <w:vAlign w:val="bottom"/>
            <w:tcBorders>
              <w:bottom w:val="single" w:sz="8" w:color="4454A7"/>
            </w:tcBorders>
          </w:tcPr>
          <w:p>
            <w:pPr>
              <w:jc w:val="center"/>
              <w:ind w:left="449"/>
              <w:spacing w:after="0" w:line="240" w:lineRule="exact"/>
              <w:rPr>
                <w:sz w:val="20"/>
                <w:szCs w:val="20"/>
                <w:color w:val="auto"/>
              </w:rPr>
            </w:pPr>
            <w:r>
              <w:rPr>
                <w:rFonts w:ascii="PMingLiU" w:cs="PMingLiU" w:eastAsia="PMingLiU" w:hAnsi="PMingLiU"/>
                <w:sz w:val="20"/>
                <w:szCs w:val="20"/>
                <w:color w:val="5C004D"/>
              </w:rPr>
              <w:t/>
            </w:r>
          </w:p>
        </w:tc>
        <w:tc>
          <w:tcPr>
            <w:tcW w:w="2500" w:type="dxa"/>
            <w:vAlign w:val="bottom"/>
            <w:tcBorders>
              <w:bottom w:val="single" w:sz="8" w:color="4454A7"/>
            </w:tcBorders>
          </w:tcPr>
          <w:p>
            <w:pPr>
              <w:jc w:val="center"/>
              <w:spacing w:after="0" w:line="240" w:lineRule="exact"/>
              <w:rPr>
                <w:sz w:val="20"/>
                <w:szCs w:val="20"/>
                <w:color w:val="auto"/>
              </w:rPr>
            </w:pPr>
            <w:r>
              <w:rPr>
                <w:rFonts w:ascii="PMingLiU" w:cs="PMingLiU" w:eastAsia="PMingLiU" w:hAnsi="PMingLiU"/>
                <w:sz w:val="20"/>
                <w:szCs w:val="20"/>
                <w:color w:val="5C004D"/>
              </w:rPr>
              <w:t/>
            </w:r>
          </w:p>
        </w:tc>
        <w:tc>
          <w:tcPr>
            <w:tcW w:w="2260" w:type="dxa"/>
            <w:vAlign w:val="bottom"/>
            <w:tcBorders>
              <w:bottom w:val="single" w:sz="8" w:color="4454A7"/>
            </w:tcBorders>
          </w:tcPr>
          <w:p>
            <w:pPr>
              <w:spacing w:after="0"/>
              <w:rPr>
                <w:sz w:val="24"/>
                <w:szCs w:val="24"/>
                <w:color w:val="auto"/>
              </w:rPr>
            </w:pPr>
          </w:p>
        </w:tc>
        <w:tc>
          <w:tcPr>
            <w:tcW w:w="920" w:type="dxa"/>
            <w:vAlign w:val="bottom"/>
            <w:tcBorders>
              <w:bottom w:val="single" w:sz="8" w:color="4454A7"/>
            </w:tcBorders>
          </w:tcPr>
          <w:p>
            <w:pPr>
              <w:spacing w:after="0"/>
              <w:rPr>
                <w:sz w:val="24"/>
                <w:szCs w:val="24"/>
                <w:color w:val="auto"/>
              </w:rPr>
            </w:pPr>
          </w:p>
        </w:tc>
      </w:tr>
      <w:tr>
        <w:trPr>
          <w:trHeight w:val="33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1RUEHUW*5LHGHO3K'</w:t>
            </w: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5C004D"/>
              </w:rPr>
              <w:t/>
            </w: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0DUN'6PLWK0'</w:t>
            </w: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r>
      <w:tr>
        <w:trPr>
          <w:trHeight w:val="59"/>
        </w:trPr>
        <w:tc>
          <w:tcPr>
            <w:tcW w:w="2040" w:type="dxa"/>
            <w:vAlign w:val="bottom"/>
            <w:tcBorders>
              <w:bottom w:val="single" w:sz="8" w:color="4454A7"/>
            </w:tcBorders>
          </w:tcPr>
          <w:p>
            <w:pPr>
              <w:spacing w:after="0"/>
              <w:rPr>
                <w:sz w:val="5"/>
                <w:szCs w:val="5"/>
                <w:color w:val="auto"/>
              </w:rPr>
            </w:pPr>
          </w:p>
        </w:tc>
        <w:tc>
          <w:tcPr>
            <w:tcW w:w="23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22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r>
      <w:tr>
        <w:trPr>
          <w:trHeight w:val="326"/>
        </w:trPr>
        <w:tc>
          <w:tcPr>
            <w:tcW w:w="2040" w:type="dxa"/>
            <w:vAlign w:val="bottom"/>
          </w:tcPr>
          <w:p>
            <w:pPr>
              <w:ind w:left="100"/>
              <w:spacing w:after="0"/>
              <w:rPr>
                <w:sz w:val="20"/>
                <w:szCs w:val="20"/>
                <w:color w:val="auto"/>
              </w:rPr>
            </w:pPr>
            <w:r>
              <w:rPr>
                <w:rFonts w:ascii="PMingLiU" w:cs="PMingLiU" w:eastAsia="PMingLiU" w:hAnsi="PMingLiU"/>
                <w:sz w:val="16"/>
                <w:szCs w:val="16"/>
                <w:b w:val="1"/>
                <w:bCs w:val="1"/>
                <w:color w:val="5C004D"/>
              </w:rPr>
              <w:t>5LFN(:LQQLQJKDP</w:t>
            </w: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color w:val="5C004D"/>
              </w:rPr>
              <w:t/>
            </w:r>
          </w:p>
        </w:tc>
      </w:tr>
      <w:tr>
        <w:trPr>
          <w:trHeight w:val="51"/>
        </w:trPr>
        <w:tc>
          <w:tcPr>
            <w:tcW w:w="2040" w:type="dxa"/>
            <w:vAlign w:val="bottom"/>
            <w:tcBorders>
              <w:bottom w:val="single" w:sz="8" w:color="5C004D"/>
            </w:tcBorders>
          </w:tcPr>
          <w:p>
            <w:pPr>
              <w:spacing w:after="0"/>
              <w:rPr>
                <w:sz w:val="4"/>
                <w:szCs w:val="4"/>
                <w:color w:val="auto"/>
              </w:rPr>
            </w:pPr>
          </w:p>
        </w:tc>
        <w:tc>
          <w:tcPr>
            <w:tcW w:w="2360" w:type="dxa"/>
            <w:vAlign w:val="bottom"/>
            <w:tcBorders>
              <w:bottom w:val="single" w:sz="8" w:color="5C004D"/>
            </w:tcBorders>
          </w:tcPr>
          <w:p>
            <w:pPr>
              <w:spacing w:after="0"/>
              <w:rPr>
                <w:sz w:val="4"/>
                <w:szCs w:val="4"/>
                <w:color w:val="auto"/>
              </w:rPr>
            </w:pPr>
          </w:p>
        </w:tc>
        <w:tc>
          <w:tcPr>
            <w:tcW w:w="2500" w:type="dxa"/>
            <w:vAlign w:val="bottom"/>
            <w:tcBorders>
              <w:bottom w:val="single" w:sz="8" w:color="5C004D"/>
            </w:tcBorders>
          </w:tcPr>
          <w:p>
            <w:pPr>
              <w:spacing w:after="0"/>
              <w:rPr>
                <w:sz w:val="4"/>
                <w:szCs w:val="4"/>
                <w:color w:val="auto"/>
              </w:rPr>
            </w:pPr>
          </w:p>
        </w:tc>
        <w:tc>
          <w:tcPr>
            <w:tcW w:w="2260" w:type="dxa"/>
            <w:vAlign w:val="bottom"/>
            <w:tcBorders>
              <w:bottom w:val="single" w:sz="8" w:color="5C004D"/>
            </w:tcBorders>
          </w:tcPr>
          <w:p>
            <w:pPr>
              <w:spacing w:after="0"/>
              <w:rPr>
                <w:sz w:val="4"/>
                <w:szCs w:val="4"/>
                <w:color w:val="auto"/>
              </w:rPr>
            </w:pPr>
          </w:p>
        </w:tc>
        <w:tc>
          <w:tcPr>
            <w:tcW w:w="920" w:type="dxa"/>
            <w:vAlign w:val="bottom"/>
            <w:tcBorders>
              <w:bottom w:val="single" w:sz="8" w:color="5C004D"/>
            </w:tcBorders>
          </w:tcPr>
          <w:p>
            <w:pPr>
              <w:spacing w:after="0"/>
              <w:rPr>
                <w:sz w:val="4"/>
                <w:szCs w:val="4"/>
                <w:color w:val="auto"/>
              </w:rPr>
            </w:pPr>
          </w:p>
        </w:tc>
      </w:tr>
      <w:tr>
        <w:trPr>
          <w:trHeight w:val="374"/>
        </w:trPr>
        <w:tc>
          <w:tcPr>
            <w:tcW w:w="2040" w:type="dxa"/>
            <w:vAlign w:val="bottom"/>
          </w:tcPr>
          <w:p>
            <w:pPr>
              <w:spacing w:after="0" w:line="240" w:lineRule="exact"/>
              <w:rPr>
                <w:sz w:val="20"/>
                <w:szCs w:val="20"/>
                <w:color w:val="auto"/>
              </w:rPr>
            </w:pPr>
            <w:r>
              <w:rPr>
                <w:rFonts w:ascii="PMingLiU" w:cs="PMingLiU" w:eastAsia="PMingLiU" w:hAnsi="PMingLiU"/>
                <w:sz w:val="20"/>
                <w:szCs w:val="20"/>
                <w:color w:val="5C004D"/>
              </w:rPr>
              <w:t/>
            </w:r>
            <w:r>
              <w:rPr>
                <w:rFonts w:ascii="PMingLiU" w:cs="PMingLiU" w:eastAsia="PMingLiU" w:hAnsi="PMingLiU"/>
                <w:sz w:val="16"/>
                <w:szCs w:val="16"/>
                <w:color w:val="auto"/>
              </w:rPr>
              <w:t> &amp;RPPLWWHH0HPEHU</w:t>
            </w:r>
          </w:p>
        </w:tc>
        <w:tc>
          <w:tcPr>
            <w:tcW w:w="2360" w:type="dxa"/>
            <w:vAlign w:val="bottom"/>
          </w:tcPr>
          <w:p>
            <w:pPr>
              <w:ind w:left="120"/>
              <w:spacing w:after="0" w:line="192" w:lineRule="exact"/>
              <w:rPr>
                <w:sz w:val="20"/>
                <w:szCs w:val="20"/>
                <w:color w:val="auto"/>
              </w:rPr>
            </w:pPr>
            <w:r>
              <w:rPr>
                <w:rFonts w:ascii="PMingLiU" w:cs="PMingLiU" w:eastAsia="PMingLiU" w:hAnsi="PMingLiU"/>
                <w:sz w:val="16"/>
                <w:szCs w:val="16"/>
                <w:color w:val="5C004D"/>
              </w:rPr>
              <w:t/>
            </w:r>
            <w:r>
              <w:rPr>
                <w:rFonts w:ascii="PMingLiU" w:cs="PMingLiU" w:eastAsia="PMingLiU" w:hAnsi="PMingLiU"/>
                <w:sz w:val="16"/>
                <w:szCs w:val="16"/>
                <w:color w:val="auto"/>
              </w:rPr>
              <w:t> &amp;RPPLWWHH&amp;KDLU</w:t>
            </w: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62" w:lineRule="exact"/>
        <w:rPr>
          <w:sz w:val="20"/>
          <w:szCs w:val="20"/>
          <w:color w:val="auto"/>
        </w:rPr>
      </w:pPr>
    </w:p>
    <w:p>
      <w:pPr>
        <w:ind w:left="360" w:right="180" w:hanging="359"/>
        <w:spacing w:after="0" w:line="289" w:lineRule="auto"/>
        <w:tabs>
          <w:tab w:leader="none" w:pos="340" w:val="left"/>
        </w:tabs>
        <w:rPr>
          <w:sz w:val="20"/>
          <w:szCs w:val="20"/>
          <w:color w:val="auto"/>
        </w:rPr>
      </w:pPr>
      <w:r>
        <w:rPr>
          <w:rFonts w:ascii="PMingLiU" w:cs="PMingLiU" w:eastAsia="PMingLiU" w:hAnsi="PMingLiU"/>
          <w:sz w:val="14"/>
          <w:szCs w:val="14"/>
          <w:color w:val="auto"/>
        </w:rPr>
        <w:t/>
        <w:tab/>
        <w:t>0V2¶5LRUGDQQRWLILHGXVWKDWVKHLVQRWVWDQGLQJIRUUHHOHFWLRQDWWKH$*0+HUWHUPRIRIILFHDVDGLUHFWRUZLOOH[SLUHDWWKH $*0</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&amp;RPPLWWHH5RWDWLRQDQG6HOHFWLRQ3URFHVV</w:t>
      </w:r>
    </w:p>
    <w:p>
      <w:pPr>
        <w:spacing w:after="0" w:line="191" w:lineRule="exact"/>
        <w:rPr>
          <w:sz w:val="20"/>
          <w:szCs w:val="20"/>
          <w:color w:val="auto"/>
        </w:rPr>
      </w:pPr>
    </w:p>
    <w:p>
      <w:pPr>
        <w:ind w:right="60"/>
        <w:spacing w:after="0" w:line="345" w:lineRule="auto"/>
        <w:rPr>
          <w:sz w:val="20"/>
          <w:szCs w:val="20"/>
          <w:color w:val="auto"/>
        </w:rPr>
      </w:pPr>
      <w:r>
        <w:rPr>
          <w:rFonts w:ascii="PMingLiU" w:cs="PMingLiU" w:eastAsia="PMingLiU" w:hAnsi="PMingLiU"/>
          <w:sz w:val="15"/>
          <w:szCs w:val="15"/>
          <w:color w:val="auto"/>
        </w:rPr>
        <w:t>2XU1RPLQDWLQJ&amp;RPPLWWHHRYHUVHHVWKHFRPPLWWHHVWUXFWXUHDQGRSHUDWLRQVLQFOXGLQJDXWKRULW\WRGHOHJDWHWR VXEFRPPLWWHHV2XU%RDUGZLWKUHFRPPHQGDWLRQVIURPRXU1RPLQDWLQJ&amp;RPPLWWHHUHYLHZVDQGUHVROYHVXSRQRXU FRPPLWWHHFKDLUVDQGFRPPLWWHHPHPEHUVDQQXDOO\7KHUHDUHQRIL[HGWHUPVIRUFRPPLWWHHFKDLUVRUPHPEHUVKRZHYHURXU %RDUGUHFRJQL]HVWKHLPSRUWDQFHRIFRPPLWWHHURWDWLRQDQGUHIUHVKPHQW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97155</wp:posOffset>
                </wp:positionV>
                <wp:extent cx="6400165" cy="27622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76225"/>
                        </a:xfrm>
                        <a:prstGeom prst="rect">
                          <a:avLst/>
                        </a:prstGeom>
                        <a:solidFill>
                          <a:srgbClr val="000046"/>
                        </a:solidFill>
                      </wps:spPr>
                      <wps:bodyPr/>
                    </wps:wsp>
                  </a:graphicData>
                </a:graphic>
              </wp:anchor>
            </w:drawing>
          </mc:Choice>
          <mc:Fallback>
            <w:pict>
              <v:rect id="Shape 279" o:spid="_x0000_s1304" style="position:absolute;margin-left:-0.0999pt;margin-top:7.65pt;width:503.95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46" stroked="f"/>
            </w:pict>
          </mc:Fallback>
        </mc:AlternateContent>
      </w:r>
    </w:p>
    <w:p>
      <w:pPr>
        <w:spacing w:after="0" w:line="213" w:lineRule="exact"/>
        <w:rPr>
          <w:sz w:val="20"/>
          <w:szCs w:val="20"/>
          <w:color w:val="auto"/>
        </w:rPr>
      </w:pPr>
    </w:p>
    <w:p>
      <w:pPr>
        <w:ind w:left="2620"/>
        <w:spacing w:after="0"/>
        <w:rPr>
          <w:sz w:val="20"/>
          <w:szCs w:val="20"/>
          <w:color w:val="auto"/>
        </w:rPr>
      </w:pPr>
      <w:r>
        <w:rPr>
          <w:rFonts w:ascii="PMingLiU" w:cs="PMingLiU" w:eastAsia="PMingLiU" w:hAnsi="PMingLiU"/>
          <w:sz w:val="20"/>
          <w:szCs w:val="20"/>
          <w:b w:val="1"/>
          <w:bCs w:val="1"/>
          <w:color w:val="FFFFFF"/>
        </w:rPr>
        <w:t>&amp;200,77((5()5(6+0(17+,*+/,*+76,1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73660</wp:posOffset>
                </wp:positionV>
                <wp:extent cx="6400165" cy="561975"/>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561975"/>
                        </a:xfrm>
                        <a:prstGeom prst="rect">
                          <a:avLst/>
                        </a:prstGeom>
                        <a:solidFill>
                          <a:srgbClr val="F3F3F1"/>
                        </a:solidFill>
                      </wps:spPr>
                      <wps:bodyPr/>
                    </wps:wsp>
                  </a:graphicData>
                </a:graphic>
              </wp:anchor>
            </w:drawing>
          </mc:Choice>
          <mc:Fallback>
            <w:pict>
              <v:rect id="Shape 280" o:spid="_x0000_s1305" style="position:absolute;margin-left:-0.0999pt;margin-top:5.8pt;width:503.95pt;height:4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245" w:lineRule="exact"/>
        <w:rPr>
          <w:sz w:val="20"/>
          <w:szCs w:val="20"/>
          <w:color w:val="auto"/>
        </w:rPr>
      </w:pPr>
    </w:p>
    <w:p>
      <w:pPr>
        <w:ind w:left="240"/>
        <w:spacing w:after="0"/>
        <w:tabs>
          <w:tab w:leader="none" w:pos="500" w:val="left"/>
        </w:tabs>
        <w:rPr>
          <w:sz w:val="20"/>
          <w:szCs w:val="20"/>
          <w:color w:val="auto"/>
        </w:rPr>
      </w:pPr>
      <w:r>
        <w:rPr>
          <w:rFonts w:ascii="PMingLiU" w:cs="PMingLiU" w:eastAsia="PMingLiU" w:hAnsi="PMingLiU"/>
          <w:sz w:val="18"/>
          <w:szCs w:val="18"/>
          <w:b w:val="1"/>
          <w:bCs w:val="1"/>
          <w:color w:val="2D2C36"/>
        </w:rPr>
        <w:t></w:t>
      </w:r>
      <w:r>
        <w:rPr>
          <w:sz w:val="20"/>
          <w:szCs w:val="20"/>
          <w:color w:val="auto"/>
        </w:rPr>
        <w:tab/>
      </w:r>
      <w:r>
        <w:rPr>
          <w:rFonts w:ascii="PMingLiU" w:cs="PMingLiU" w:eastAsia="PMingLiU" w:hAnsi="PMingLiU"/>
          <w:sz w:val="18"/>
          <w:szCs w:val="18"/>
          <w:color w:val="2D2C36"/>
        </w:rPr>
        <w:t>7HG:/RYHZDVDSSRLQWHGDVDPHPEHURIRXU$XGLW&amp;RPPLWWHHDQG60&amp;DQG</w:t>
      </w:r>
    </w:p>
    <w:p>
      <w:pPr>
        <w:spacing w:after="0" w:line="94" w:lineRule="exact"/>
        <w:rPr>
          <w:sz w:val="20"/>
          <w:szCs w:val="20"/>
          <w:color w:val="auto"/>
        </w:rPr>
      </w:pPr>
    </w:p>
    <w:p>
      <w:pPr>
        <w:ind w:left="240"/>
        <w:spacing w:after="0"/>
        <w:tabs>
          <w:tab w:leader="none" w:pos="500" w:val="left"/>
        </w:tabs>
        <w:rPr>
          <w:sz w:val="20"/>
          <w:szCs w:val="20"/>
          <w:color w:val="auto"/>
        </w:rPr>
      </w:pPr>
      <w:r>
        <w:rPr>
          <w:rFonts w:ascii="PMingLiU" w:cs="PMingLiU" w:eastAsia="PMingLiU" w:hAnsi="PMingLiU"/>
          <w:sz w:val="18"/>
          <w:szCs w:val="18"/>
          <w:b w:val="1"/>
          <w:bCs w:val="1"/>
          <w:color w:val="2D2C36"/>
        </w:rPr>
        <w:t></w:t>
      </w:r>
      <w:r>
        <w:rPr>
          <w:sz w:val="20"/>
          <w:szCs w:val="20"/>
          <w:color w:val="auto"/>
        </w:rPr>
        <w:tab/>
      </w:r>
      <w:r>
        <w:rPr>
          <w:rFonts w:ascii="PMingLiU" w:cs="PMingLiU" w:eastAsia="PMingLiU" w:hAnsi="PMingLiU"/>
          <w:sz w:val="18"/>
          <w:szCs w:val="18"/>
          <w:color w:val="2D2C36"/>
        </w:rPr>
        <w:t>'XHWRKLVUHWLUHPHQWLQ'HFHPEHU.HQQHWK:2¶.HHIHURWDWHGRIIRXU$XGLW&amp;RPPLWWHH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609600</wp:posOffset>
            </wp:positionV>
            <wp:extent cx="1389380" cy="2343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2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40" w:name="page41"/>
    <w:bookmarkEnd w:id="40"/>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82" o:spid="_x0000_s1307"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2162175" cy="7181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26">
                      <a:extLst>
                        <a:ext uri="{28A0092B-C50C-407E-A947-70E740481C1C}"/>
                      </a:extLst>
                    </a:blip>
                    <a:srcRect/>
                    <a:stretch>
                      <a:fillRect/>
                    </a:stretch>
                  </pic:blipFill>
                  <pic:spPr bwMode="auto">
                    <a:xfrm>
                      <a:off x="0" y="0"/>
                      <a:ext cx="2162175" cy="7181850"/>
                    </a:xfrm>
                    <a:prstGeom prst="rect">
                      <a:avLst/>
                    </a:prstGeom>
                    <a:noFill/>
                  </pic:spPr>
                </pic:pic>
              </a:graphicData>
            </a:graphic>
          </wp:anchor>
        </w:drawing>
      </w:r>
    </w:p>
    <w:p>
      <w:pPr>
        <w:sectPr>
          <w:pgSz w:w="11880" w:h="15479" w:orient="portrait"/>
          <w:cols w:equalWidth="0" w:num="1">
            <w:col w:w="10020"/>
          </w:cols>
          <w:pgMar w:left="900" w:top="377" w:right="9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right="820"/>
        <w:spacing w:after="0" w:line="365" w:lineRule="auto"/>
        <w:rPr>
          <w:sz w:val="20"/>
          <w:szCs w:val="20"/>
          <w:color w:val="auto"/>
        </w:rPr>
      </w:pPr>
      <w:r>
        <w:rPr>
          <w:rFonts w:ascii="PMingLiU" w:cs="PMingLiU" w:eastAsia="PMingLiU" w:hAnsi="PMingLiU"/>
          <w:sz w:val="33"/>
          <w:szCs w:val="33"/>
          <w:b w:val="1"/>
          <w:bCs w:val="1"/>
          <w:color w:val="000046"/>
        </w:rPr>
        <w:t>$XGLW &amp;RPPLWWHH</w:t>
      </w:r>
    </w:p>
    <w:p>
      <w:pPr>
        <w:spacing w:after="0" w:line="3"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&amp;+$,5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3DWULFN.HQQHG\</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0(0%(56</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3DWULFN*(QULJKW</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7HG:/RYH0'</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+HDWKHU$QQ0F6KDUU\</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$QQH2¶5LRUGDQ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PMingLiU" w:cs="PMingLiU" w:eastAsia="PMingLiU" w:hAnsi="PMingLiU"/>
          <w:sz w:val="13"/>
          <w:szCs w:val="13"/>
          <w:color w:val="2D2C36"/>
        </w:rPr>
        <w:t>2XU%RDUGGHWHUPLQHGWKDWDOO0HPEHUV</w:t>
      </w:r>
    </w:p>
    <w:p>
      <w:pPr>
        <w:spacing w:after="0" w:line="57" w:lineRule="exact"/>
        <w:rPr>
          <w:sz w:val="20"/>
          <w:szCs w:val="20"/>
          <w:color w:val="auto"/>
        </w:rPr>
      </w:pPr>
    </w:p>
    <w:p>
      <w:pPr>
        <w:ind w:left="280"/>
        <w:spacing w:after="0" w:line="327" w:lineRule="auto"/>
        <w:rPr>
          <w:sz w:val="20"/>
          <w:szCs w:val="20"/>
          <w:color w:val="auto"/>
        </w:rPr>
      </w:pPr>
      <w:r>
        <w:rPr>
          <w:rFonts w:ascii="PMingLiU" w:cs="PMingLiU" w:eastAsia="PMingLiU" w:hAnsi="PMingLiU"/>
          <w:sz w:val="13"/>
          <w:szCs w:val="13"/>
          <w:color w:val="2D2C36"/>
        </w:rPr>
        <w:t>PHHWWKHLQGHSHQGHQFHUHTXLUHPHQWVRI 5XOH$RIWKH([FKDQJH$FWDQGWKH</w:t>
      </w:r>
    </w:p>
    <w:p>
      <w:pPr>
        <w:spacing w:after="0" w:line="1" w:lineRule="exact"/>
        <w:rPr>
          <w:sz w:val="20"/>
          <w:szCs w:val="20"/>
          <w:color w:val="auto"/>
        </w:rPr>
      </w:pPr>
    </w:p>
    <w:p>
      <w:pPr>
        <w:ind w:left="280" w:right="20"/>
        <w:spacing w:after="0" w:line="426" w:lineRule="auto"/>
        <w:rPr>
          <w:sz w:val="20"/>
          <w:szCs w:val="20"/>
          <w:color w:val="auto"/>
        </w:rPr>
      </w:pPr>
      <w:r>
        <w:rPr>
          <w:rFonts w:ascii="PMingLiU" w:cs="PMingLiU" w:eastAsia="PMingLiU" w:hAnsi="PMingLiU"/>
          <w:sz w:val="12"/>
          <w:szCs w:val="12"/>
          <w:color w:val="2D2C36"/>
        </w:rPr>
        <w:t>1DVGDTOLVWLQJVWDQGDUGVZLWKUHVSHFWWR DXGLWFRPPLWWHHPHPEHUV</w:t>
      </w:r>
    </w:p>
    <w:p>
      <w:pPr>
        <w:ind w:left="280"/>
        <w:spacing w:after="0"/>
        <w:rPr>
          <w:sz w:val="20"/>
          <w:szCs w:val="20"/>
          <w:color w:val="auto"/>
        </w:rPr>
      </w:pPr>
      <w:r>
        <w:rPr>
          <w:rFonts w:ascii="PMingLiU" w:cs="PMingLiU" w:eastAsia="PMingLiU" w:hAnsi="PMingLiU"/>
          <w:sz w:val="60"/>
          <w:szCs w:val="60"/>
          <w:color w:val="000046"/>
        </w:rPr>
        <w:t/>
      </w:r>
    </w:p>
    <w:p>
      <w:pPr>
        <w:spacing w:after="0" w:line="122"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0((7,1*6+(/''85,1*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80"/>
        <w:spacing w:after="0" w:line="382" w:lineRule="auto"/>
        <w:rPr>
          <w:sz w:val="20"/>
          <w:szCs w:val="20"/>
          <w:color w:val="auto"/>
        </w:rPr>
      </w:pPr>
      <w:r>
        <w:rPr>
          <w:rFonts w:ascii="PMingLiU" w:cs="PMingLiU" w:eastAsia="PMingLiU" w:hAnsi="PMingLiU"/>
          <w:sz w:val="14"/>
          <w:szCs w:val="14"/>
          <w:color w:val="auto"/>
        </w:rPr>
        <w:t>2XU$XGLW&amp;RPPLWWHHLVJRYHUQHGE\DQDQQXDOO\UHYLHZHG%RDUGDSSURYHG FKDUWHUZKLFKLVDYDLODEOHRQRXU:HEVLWH7KHSULPDU\UHVSRQVLELOLWLHVRIRXU $XGLW&amp;RPPLWWHHLQFOXGH</w:t>
      </w:r>
    </w:p>
    <w:p>
      <w:pPr>
        <w:spacing w:after="0" w:line="15" w:lineRule="exact"/>
        <w:rPr>
          <w:sz w:val="20"/>
          <w:szCs w:val="20"/>
          <w:color w:val="auto"/>
        </w:rPr>
      </w:pPr>
    </w:p>
    <w:p>
      <w:pPr>
        <w:ind w:left="360" w:right="500" w:hanging="279"/>
        <w:spacing w:after="0" w:line="403"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HYDOXDWLQJWKHSHUIRUPDQFHRIDQGDVVHVVLQJWKHTXDOLILFDWLRQVRIRXU LQGHSHQGHQWDXGLWRUV</w:t>
      </w:r>
    </w:p>
    <w:p>
      <w:pPr>
        <w:spacing w:after="0" w:line="1" w:lineRule="exact"/>
        <w:rPr>
          <w:sz w:val="20"/>
          <w:szCs w:val="20"/>
          <w:color w:val="auto"/>
        </w:rPr>
      </w:pPr>
    </w:p>
    <w:p>
      <w:pPr>
        <w:ind w:left="360" w:right="520" w:hanging="279"/>
        <w:spacing w:after="0" w:line="376"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GHWHUPLQLQJDQGDSSURYLQJWKHHQJDJHPHQWDQGUHPXQHUDWLRQRIRXU LQGHSHQGHQWDXGLWRUV</w:t>
      </w:r>
    </w:p>
    <w:p>
      <w:pPr>
        <w:spacing w:after="0" w:line="1" w:lineRule="exact"/>
        <w:rPr>
          <w:sz w:val="20"/>
          <w:szCs w:val="20"/>
          <w:color w:val="auto"/>
        </w:rPr>
      </w:pPr>
    </w:p>
    <w:p>
      <w:pPr>
        <w:ind w:left="360" w:right="620" w:hanging="279"/>
        <w:spacing w:after="0" w:line="434"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GHWHUPLQLQJZKHWKHUWRUHWDLQRUWHUPLQDWHRXUH[LVWLQJLQGHSHQGHQW DXGLWRUVRUWRDSSRLQWDQGHQJDJHQHZLQGHSHQGHQWDXGLWRUV</w:t>
      </w:r>
    </w:p>
    <w:p>
      <w:pPr>
        <w:spacing w:after="0" w:line="1" w:lineRule="exact"/>
        <w:rPr>
          <w:sz w:val="20"/>
          <w:szCs w:val="20"/>
          <w:color w:val="auto"/>
        </w:rPr>
      </w:pPr>
    </w:p>
    <w:p>
      <w:pPr>
        <w:ind w:left="360" w:right="60" w:hanging="279"/>
        <w:spacing w:after="0" w:line="403"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GHWHUPLQLQJDQGDSSURYLQJWKHHQJDJHPHQWRIRXULQGHSHQGHQWDXGLWRUVWR SHUIRUPDQ\SURSRVHGSHUPLVVLEOHQRQDXGLWVHUYLFHV</w:t>
      </w:r>
    </w:p>
    <w:p>
      <w:pPr>
        <w:spacing w:after="0" w:line="1" w:lineRule="exact"/>
        <w:rPr>
          <w:sz w:val="20"/>
          <w:szCs w:val="20"/>
          <w:color w:val="auto"/>
        </w:rPr>
      </w:pPr>
    </w:p>
    <w:p>
      <w:pPr>
        <w:ind w:left="360" w:right="40" w:hanging="279"/>
        <w:spacing w:after="0" w:line="434"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PRQLWRULQJWKHURWDWLRQRISDUWQHUVRIWKHLQGHSHQGHQWDXGLWRUVRQRXUDXGLW HQJDJHPHQWWHDPDVUHTXLUHGE\DSSOLFDEOHODZVDQGUXOHV</w:t>
      </w:r>
    </w:p>
    <w:p>
      <w:pPr>
        <w:spacing w:after="0" w:line="1" w:lineRule="exact"/>
        <w:rPr>
          <w:sz w:val="20"/>
          <w:szCs w:val="20"/>
          <w:color w:val="auto"/>
        </w:rPr>
      </w:pPr>
    </w:p>
    <w:p>
      <w:pPr>
        <w:jc w:val="both"/>
        <w:ind w:left="360" w:right="340" w:hanging="279"/>
        <w:spacing w:after="0" w:line="408"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UHYLHZLQJDQGDGYLVLQJRQWKHVHOHFWLRQDQGUHPRYDORIRXUKHDGRIRXU LQWHUQDODXGLWIXQFWLRQWKHDFWLYLWLHVDQGRUJDQL]DWLRQDOVWUXFWXUHRIRXU LQWHUQDODXGLWIXQFWLRQDQGWKHUHVXOWVRILQWHUQDODXGLWDFWLYLWLHV</w:t>
      </w:r>
    </w:p>
    <w:p>
      <w:pPr>
        <w:spacing w:after="0" w:line="2" w:lineRule="exact"/>
        <w:rPr>
          <w:sz w:val="20"/>
          <w:szCs w:val="20"/>
          <w:color w:val="auto"/>
        </w:rPr>
      </w:pPr>
    </w:p>
    <w:p>
      <w:pPr>
        <w:ind w:left="360" w:right="20" w:hanging="279"/>
        <w:spacing w:after="0" w:line="434"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UHYLHZLQJDQGDSSURYLQJRXULQWHUQDODXGLWFKDUWHUDWOHDVWDQQXDOO\DQGRXU DQQXDOLQWHUQDODXGLWSODQDQGEXGJHW</w:t>
      </w:r>
    </w:p>
    <w:p>
      <w:pPr>
        <w:spacing w:after="0" w:line="1" w:lineRule="exact"/>
        <w:rPr>
          <w:sz w:val="20"/>
          <w:szCs w:val="20"/>
          <w:color w:val="auto"/>
        </w:rPr>
      </w:pPr>
    </w:p>
    <w:p>
      <w:pPr>
        <w:ind w:left="360" w:right="260" w:hanging="279"/>
        <w:spacing w:after="0" w:line="383"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PHHWLQJWRUHYLHZRXUDQQXDODXGLWHGILQDQFLDOVWDWHPHQWVRXUTXDUWHUO\ ILQDQFLDOVWDWHPHQWVDQGRXUILQDQFLDOSUHVVUHOHDVHVZLWKPDQDJHPHQW DQGWKHLQGHSHQGHQWDXGLWRUVLQFOXGLQJUHYLHZLQJRXUGLVFORVXUHVXQGHU ³0DQDJHPHQW¶V'LVFXVVLRQDQG$QDO\VLVRI)LQDQFLDO&amp;RQGLWLRQDQG 5HVXOWVRI2SHUDWLRQV´LQFOXGHGLQRXUDQQXDODQGTXDUWHUO\UHSRUWVILOHG ZLWKWKH6(&amp;</w:t>
      </w:r>
    </w:p>
    <w:p>
      <w:pPr>
        <w:ind w:left="360" w:right="360" w:hanging="279"/>
        <w:spacing w:after="0" w:line="376"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UHYLHZLQJRYHUVHHLQJDQGDSSURYLQJWUDQVDFWLRQVEHWZHHQXVDQGDQ\ UHODWHGSHUVRQV</w:t>
      </w:r>
    </w:p>
    <w:p>
      <w:pPr>
        <w:spacing w:after="0" w:line="1" w:lineRule="exact"/>
        <w:rPr>
          <w:sz w:val="20"/>
          <w:szCs w:val="20"/>
          <w:color w:val="auto"/>
        </w:rPr>
      </w:pPr>
    </w:p>
    <w:p>
      <w:pPr>
        <w:ind w:left="360" w:right="120" w:hanging="279"/>
        <w:spacing w:after="0" w:line="379"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FRQIHUULQJZLWKPDQDJHPHQWRXULQWHUQDODXGLWIXQFWLRQDQGRXU LQGHSHQGHQWDXGLWRUVUHJDUGLQJWKHVFRSHDGHTXDF\DQGHIIHFWLYHQHVVRI RXULQWHUQDOFRQWURORYHUILQDQFLDOUHSRUWLQJ</w:t>
      </w:r>
    </w:p>
    <w:p>
      <w:pPr>
        <w:spacing w:after="0" w:line="1" w:lineRule="exact"/>
        <w:rPr>
          <w:sz w:val="20"/>
          <w:szCs w:val="20"/>
          <w:color w:val="auto"/>
        </w:rPr>
      </w:pPr>
    </w:p>
    <w:p>
      <w:pPr>
        <w:ind w:left="360" w:right="520" w:hanging="279"/>
        <w:spacing w:after="0" w:line="357"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UHYLHZLQJZLWKPDQDJHPHQWRXULQWHUQDODXGLWIXQFWLRQDQGRXU LQGHSHQGHQWDXGLWRUVDVDSSURSULDWHPDMRUILQDQFLDOULVNH[SRVXUHV LQFOXGLQJUHYLHZLQJHYDOXDWLQJDQGDSSURYLQJRXUKHGJLQJDQGRWKHU ILQDQFLDOULVNPDQDJHPHQWSROLFLHVDVZHOODVWKHVWHSVWDNHQE\ PDQDJHPHQWWRPRQLWRUDQGFRQWUROWKHVHH[SRVXUHV</w:t>
      </w:r>
    </w:p>
    <w:p>
      <w:pPr>
        <w:spacing w:after="0" w:line="12" w:lineRule="exact"/>
        <w:rPr>
          <w:sz w:val="20"/>
          <w:szCs w:val="20"/>
          <w:color w:val="auto"/>
        </w:rPr>
      </w:pPr>
    </w:p>
    <w:p>
      <w:pPr>
        <w:ind w:left="360" w:hanging="279"/>
        <w:spacing w:after="0" w:line="336"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HVWDEOLVKLQJSURFHGXUHVZKHQDQGDVUHTXLUHGXQGHUDSSOLFDEOHODZVDQG UXOHVIRUWKHUHFHLSWUHWHQWLRQDQGWUHDWPHQWRIDQ\FRPSODLQWVUHFHLYHGE\</w:t>
      </w:r>
    </w:p>
    <w:p>
      <w:pPr>
        <w:spacing w:after="0" w:line="1" w:lineRule="exact"/>
        <w:rPr>
          <w:sz w:val="20"/>
          <w:szCs w:val="20"/>
          <w:color w:val="auto"/>
        </w:rPr>
      </w:pPr>
    </w:p>
    <w:p>
      <w:pPr>
        <w:ind w:left="360"/>
        <w:spacing w:after="0" w:line="376" w:lineRule="auto"/>
        <w:rPr>
          <w:sz w:val="20"/>
          <w:szCs w:val="20"/>
          <w:color w:val="auto"/>
        </w:rPr>
      </w:pPr>
      <w:r>
        <w:rPr>
          <w:rFonts w:ascii="PMingLiU" w:cs="PMingLiU" w:eastAsia="PMingLiU" w:hAnsi="PMingLiU"/>
          <w:sz w:val="14"/>
          <w:szCs w:val="14"/>
          <w:color w:val="auto"/>
        </w:rPr>
        <w:t>XVUHJDUGLQJDFFRXQWLQJLQWHUQDODFFRXQWLQJFRQWUROVRUDXGLWLQJPDWWHUV DQGWKHFRQILGHQWLDODQGDQRQ\PRXVVXEPLVVLRQE\HPSOR\HHVRIFRQFHUQV UHJDUGLQJTXHVWLRQDEOHDFFRXQWLQJRUDXGLWLQJPDWWHUVDQG</w:t>
      </w:r>
    </w:p>
    <w:p>
      <w:pPr>
        <w:spacing w:after="0" w:line="1" w:lineRule="exact"/>
        <w:rPr>
          <w:sz w:val="20"/>
          <w:szCs w:val="20"/>
          <w:color w:val="auto"/>
        </w:rPr>
      </w:pPr>
    </w:p>
    <w:p>
      <w:pPr>
        <w:ind w:left="360" w:right="480" w:hanging="279"/>
        <w:spacing w:after="0" w:line="314"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UHYLHZLQJZLWKPDQDJHPHQWRXULQIRUPDWLRQVHFXULW\LQFOXGLQJ F\EHUVHFXULW\ULVNH[SRVXUHVDQGWKHVWHSVWDNHQE\PDQDJHPHQWWR</w:t>
      </w:r>
    </w:p>
    <w:p>
      <w:pPr>
        <w:ind w:left="360"/>
        <w:spacing w:after="0"/>
        <w:rPr>
          <w:sz w:val="20"/>
          <w:szCs w:val="20"/>
          <w:color w:val="auto"/>
        </w:rPr>
      </w:pPr>
      <w:r>
        <w:rPr>
          <w:rFonts w:ascii="PMingLiU" w:cs="PMingLiU" w:eastAsia="PMingLiU" w:hAnsi="PMingLiU"/>
          <w:sz w:val="18"/>
          <w:szCs w:val="18"/>
          <w:color w:val="auto"/>
        </w:rPr>
        <w:t>PRQLWRUDQGPLWLJDWHWKHVHH[SRVXUHV</w:t>
      </w:r>
    </w:p>
    <w:p>
      <w:pPr>
        <w:spacing w:after="0" w:line="200" w:lineRule="exact"/>
        <w:rPr>
          <w:sz w:val="20"/>
          <w:szCs w:val="20"/>
          <w:color w:val="auto"/>
        </w:rPr>
      </w:pPr>
    </w:p>
    <w:p>
      <w:pPr>
        <w:sectPr>
          <w:pgSz w:w="11880" w:h="15479" w:orient="portrait"/>
          <w:cols w:equalWidth="0" w:num="2">
            <w:col w:w="3160" w:space="520"/>
            <w:col w:w="6340"/>
          </w:cols>
          <w:pgMar w:left="900" w:top="377" w:right="959" w:bottom="0" w:gutter="0" w:footer="0" w:header="0"/>
          <w:type w:val="continuous"/>
        </w:sectPr>
      </w:pPr>
    </w:p>
    <w:p>
      <w:pPr>
        <w:spacing w:after="0" w:line="110" w:lineRule="exact"/>
        <w:rPr>
          <w:sz w:val="20"/>
          <w:szCs w:val="20"/>
          <w:color w:val="auto"/>
        </w:rPr>
      </w:pPr>
    </w:p>
    <w:p>
      <w:pPr>
        <w:ind w:right="320"/>
        <w:spacing w:after="0" w:line="319" w:lineRule="auto"/>
        <w:rPr>
          <w:sz w:val="20"/>
          <w:szCs w:val="20"/>
          <w:color w:val="auto"/>
        </w:rPr>
      </w:pPr>
      <w:r>
        <w:rPr>
          <w:rFonts w:ascii="PMingLiU" w:cs="PMingLiU" w:eastAsia="PMingLiU" w:hAnsi="PMingLiU"/>
          <w:sz w:val="15"/>
          <w:szCs w:val="15"/>
          <w:color w:val="auto"/>
        </w:rPr>
        <w:t>2XU%RDUGGHWHUPLQHGWKDWHDFKRI0U(QULJKW0U.HQQHG\'U/RYHDQG0V0F6KDUU\TXDOLILHVDVDQ³DXGLWFRPPLWWHH ILQDQFLDOH[SHUW´ZLWKLQWKHPHDQLQJRI6(&amp;UHJXODWLRQV,QPDNLQJWKLVGHWHUPLQDWLRQRXU%RDUGFRQVLGHUHGWKHRYHUDOO</w:t>
      </w:r>
    </w:p>
    <w:p>
      <w:pPr>
        <w:spacing w:after="0" w:line="1"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NQRZOHGJHH[SHULHQFHDQGIDPLOLDULW\RIHDFKZLWKDFFRXQWLQJPDWWHUVDQDO\]LQJDQGHYDOXDWLQJILQDQFLDOVWDWHPHQWVDQGLQ WKHFDVHRI0U(QULJKWPDQDJLQJYHQWXUHFDSLWDOLQYHVWPHQWV0U.HQQHG\VHUYHVDVFKDLUSHUVRQRIRXU$XGLW&amp;RPPLWWHH</w:t>
      </w:r>
    </w:p>
    <w:p>
      <w:pPr>
        <w:ind w:right="40"/>
        <w:spacing w:after="0" w:line="319" w:lineRule="auto"/>
        <w:rPr>
          <w:sz w:val="20"/>
          <w:szCs w:val="20"/>
          <w:color w:val="auto"/>
        </w:rPr>
      </w:pPr>
      <w:r>
        <w:rPr>
          <w:rFonts w:ascii="PMingLiU" w:cs="PMingLiU" w:eastAsia="PMingLiU" w:hAnsi="PMingLiU"/>
          <w:sz w:val="15"/>
          <w:szCs w:val="15"/>
          <w:color w:val="auto"/>
        </w:rPr>
        <w:t>.HQQHWK:2.HHIHSUHYLRXVO\VHUYHGDVDPHPEHURIRXU$XGLW&amp;RPPLWWHHXQWLOKLVUHWLUHPHQWHIIHFWLYH'HFHPEHU 2XU%RDUGGHWHUPLQHG0U2.HHIHTXDOLILHGDVDQDXGLWFRPPLWWHHILQDQFLDOH[SHUWZLWKLQWKHPHDQLQJRI6(&amp;UHJXODWLRQV</w:t>
      </w:r>
    </w:p>
    <w:p>
      <w:pPr>
        <w:spacing w:after="0" w:line="1" w:lineRule="exact"/>
        <w:rPr>
          <w:sz w:val="20"/>
          <w:szCs w:val="20"/>
          <w:color w:val="auto"/>
        </w:rPr>
      </w:pPr>
    </w:p>
    <w:p>
      <w:pPr>
        <w:ind w:right="100"/>
        <w:spacing w:after="0" w:line="443" w:lineRule="auto"/>
        <w:rPr>
          <w:sz w:val="20"/>
          <w:szCs w:val="20"/>
          <w:color w:val="auto"/>
        </w:rPr>
      </w:pPr>
      <w:r>
        <w:rPr>
          <w:rFonts w:ascii="PMingLiU" w:cs="PMingLiU" w:eastAsia="PMingLiU" w:hAnsi="PMingLiU"/>
          <w:sz w:val="14"/>
          <w:szCs w:val="14"/>
          <w:color w:val="auto"/>
        </w:rPr>
        <w:t>WDNLQJLQWRFRQVLGHUDWLRQKLVRYHUDOONQRZOHGJHH[SHULHQFHDQGIDPLOLDULW\ZLWKDFFRXQWLQJPDWWHUVDQDO\]LQJDQGHYDOXDWLQJ ILQDQFLDOVWDWHPHQWVDQGPDQDJLQJSULYDWHHTXLW\LQYHVWPHQWV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30480</wp:posOffset>
            </wp:positionV>
            <wp:extent cx="1386840" cy="2336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2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52"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00" w:top="377" w:right="959" w:bottom="0" w:gutter="0" w:footer="0" w:header="0"/>
          <w:type w:val="continuous"/>
        </w:sectPr>
      </w:pPr>
    </w:p>
    <w:bookmarkStart w:id="41" w:name="page42"/>
    <w:bookmarkEnd w:id="4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85" o:spid="_x0000_s1310"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63" w:lineRule="exact"/>
        <w:rPr>
          <w:sz w:val="20"/>
          <w:szCs w:val="20"/>
          <w:color w:val="auto"/>
        </w:rPr>
      </w:pPr>
    </w:p>
    <w:p>
      <w:pPr>
        <w:ind w:right="120"/>
        <w:spacing w:after="0" w:line="443" w:lineRule="auto"/>
        <w:rPr>
          <w:sz w:val="20"/>
          <w:szCs w:val="20"/>
          <w:color w:val="auto"/>
        </w:rPr>
      </w:pPr>
      <w:r>
        <w:rPr>
          <w:rFonts w:ascii="PMingLiU" w:cs="PMingLiU" w:eastAsia="PMingLiU" w:hAnsi="PMingLiU"/>
          <w:sz w:val="14"/>
          <w:szCs w:val="14"/>
          <w:color w:val="auto"/>
        </w:rPr>
        <w:t>,QDGGLWLRQWRPHHWLQJVRXU$XGLW&amp;RPPLWWHHDOVRKDGDQXPEHURILQIRUPDOGLVFXVVLRQVDQGFRQVXOWDWLRQVZLWKRQHDQRWKHU ZLWKRXU&amp;)2RXU&amp;KLHI$FFRXQWLQJ2IILFHURXU+HDGRI,QWHUQDO$XGLWDQGRXU&amp;(2GXULQJ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2162175" cy="54578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28">
                      <a:extLst>
                        <a:ext uri="{28A0092B-C50C-407E-A947-70E740481C1C}"/>
                      </a:extLst>
                    </a:blip>
                    <a:srcRect/>
                    <a:stretch>
                      <a:fillRect/>
                    </a:stretch>
                  </pic:blipFill>
                  <pic:spPr bwMode="auto">
                    <a:xfrm>
                      <a:off x="0" y="0"/>
                      <a:ext cx="2162175" cy="5457825"/>
                    </a:xfrm>
                    <a:prstGeom prst="rect">
                      <a:avLst/>
                    </a:prstGeom>
                    <a:noFill/>
                  </pic:spPr>
                </pic:pic>
              </a:graphicData>
            </a:graphic>
          </wp:anchor>
        </w:drawing>
      </w:r>
    </w:p>
    <w:p>
      <w:pPr>
        <w:sectPr>
          <w:pgSz w:w="11880" w:h="15479" w:orient="portrait"/>
          <w:cols w:equalWidth="0" w:num="1">
            <w:col w:w="10000"/>
          </w:cols>
          <w:pgMar w:left="900" w:top="377" w:right="979" w:bottom="0" w:gutter="0" w:footer="0" w:header="0"/>
        </w:sectPr>
      </w:pPr>
    </w:p>
    <w:p>
      <w:pPr>
        <w:spacing w:after="0" w:line="316" w:lineRule="exact"/>
        <w:rPr>
          <w:sz w:val="20"/>
          <w:szCs w:val="20"/>
          <w:color w:val="auto"/>
        </w:rPr>
      </w:pPr>
    </w:p>
    <w:p>
      <w:pPr>
        <w:ind w:left="280"/>
        <w:spacing w:after="0"/>
        <w:rPr>
          <w:sz w:val="20"/>
          <w:szCs w:val="20"/>
          <w:color w:val="auto"/>
        </w:rPr>
      </w:pPr>
      <w:r>
        <w:rPr>
          <w:rFonts w:ascii="PMingLiU" w:cs="PMingLiU" w:eastAsia="PMingLiU" w:hAnsi="PMingLiU"/>
          <w:sz w:val="36"/>
          <w:szCs w:val="36"/>
          <w:b w:val="1"/>
          <w:bCs w:val="1"/>
          <w:color w:val="000046"/>
        </w:rPr>
        <w:t>&amp;RPSHQVDWLRQ</w:t>
      </w:r>
    </w:p>
    <w:p>
      <w:pPr>
        <w:spacing w:after="0" w:line="88" w:lineRule="exact"/>
        <w:rPr>
          <w:sz w:val="20"/>
          <w:szCs w:val="20"/>
          <w:color w:val="auto"/>
        </w:rPr>
      </w:pPr>
    </w:p>
    <w:p>
      <w:pPr>
        <w:ind w:left="280"/>
        <w:spacing w:after="0"/>
        <w:rPr>
          <w:sz w:val="20"/>
          <w:szCs w:val="20"/>
          <w:color w:val="auto"/>
        </w:rPr>
      </w:pPr>
      <w:r>
        <w:rPr>
          <w:rFonts w:ascii="PMingLiU" w:cs="PMingLiU" w:eastAsia="PMingLiU" w:hAnsi="PMingLiU"/>
          <w:sz w:val="40"/>
          <w:szCs w:val="40"/>
          <w:b w:val="1"/>
          <w:bCs w:val="1"/>
          <w:color w:val="000046"/>
        </w:rPr>
        <w:t>DQG</w:t>
      </w:r>
    </w:p>
    <w:p>
      <w:pPr>
        <w:ind w:left="280"/>
        <w:spacing w:after="0"/>
        <w:rPr>
          <w:sz w:val="20"/>
          <w:szCs w:val="20"/>
          <w:color w:val="auto"/>
        </w:rPr>
      </w:pPr>
      <w:r>
        <w:rPr>
          <w:rFonts w:ascii="PMingLiU" w:cs="PMingLiU" w:eastAsia="PMingLiU" w:hAnsi="PMingLiU"/>
          <w:sz w:val="40"/>
          <w:szCs w:val="40"/>
          <w:b w:val="1"/>
          <w:bCs w:val="1"/>
          <w:color w:val="000046"/>
        </w:rPr>
        <w:t>0DQDJHPHQW</w:t>
      </w:r>
    </w:p>
    <w:p>
      <w:pPr>
        <w:ind w:left="280"/>
        <w:spacing w:after="0"/>
        <w:rPr>
          <w:sz w:val="20"/>
          <w:szCs w:val="20"/>
          <w:color w:val="auto"/>
        </w:rPr>
      </w:pPr>
      <w:r>
        <w:rPr>
          <w:rFonts w:ascii="PMingLiU" w:cs="PMingLiU" w:eastAsia="PMingLiU" w:hAnsi="PMingLiU"/>
          <w:sz w:val="40"/>
          <w:szCs w:val="40"/>
          <w:b w:val="1"/>
          <w:bCs w:val="1"/>
          <w:color w:val="000046"/>
        </w:rPr>
        <w:t>'HYHORSPHQW</w:t>
      </w:r>
    </w:p>
    <w:p>
      <w:pPr>
        <w:ind w:left="280"/>
        <w:spacing w:after="0"/>
        <w:rPr>
          <w:sz w:val="20"/>
          <w:szCs w:val="20"/>
          <w:color w:val="auto"/>
        </w:rPr>
      </w:pPr>
      <w:r>
        <w:rPr>
          <w:rFonts w:ascii="PMingLiU" w:cs="PMingLiU" w:eastAsia="PMingLiU" w:hAnsi="PMingLiU"/>
          <w:sz w:val="40"/>
          <w:szCs w:val="40"/>
          <w:b w:val="1"/>
          <w:bCs w:val="1"/>
          <w:color w:val="000046"/>
        </w:rPr>
        <w:t>&amp;RPPLWWHH</w:t>
      </w:r>
    </w:p>
    <w:p>
      <w:pPr>
        <w:spacing w:after="0" w:line="207"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&amp;+$,5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-HQQLIHU(&amp;RRN</w:t>
      </w:r>
    </w:p>
    <w:p>
      <w:pPr>
        <w:spacing w:after="0" w:line="181"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0(0%(56</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3DWULFN*(QULJKW</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/DXUD-+DPLOO</w:t>
      </w:r>
    </w:p>
    <w:p>
      <w:pPr>
        <w:spacing w:after="0" w:line="81"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$QQH2¶5LRUGDQ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PMingLiU" w:cs="PMingLiU" w:eastAsia="PMingLiU" w:hAnsi="PMingLiU"/>
          <w:sz w:val="60"/>
          <w:szCs w:val="60"/>
          <w:color w:val="000046"/>
        </w:rPr>
        <w:t/>
      </w:r>
    </w:p>
    <w:p>
      <w:pPr>
        <w:spacing w:after="0" w:line="122" w:lineRule="exact"/>
        <w:rPr>
          <w:sz w:val="20"/>
          <w:szCs w:val="20"/>
          <w:color w:val="auto"/>
        </w:rPr>
      </w:pPr>
    </w:p>
    <w:p>
      <w:pPr>
        <w:ind w:left="280"/>
        <w:spacing w:after="0"/>
        <w:rPr>
          <w:sz w:val="20"/>
          <w:szCs w:val="20"/>
          <w:color w:val="auto"/>
        </w:rPr>
      </w:pPr>
      <w:r>
        <w:rPr>
          <w:rFonts w:ascii="PMingLiU" w:cs="PMingLiU" w:eastAsia="PMingLiU" w:hAnsi="PMingLiU"/>
          <w:sz w:val="16"/>
          <w:szCs w:val="16"/>
          <w:color w:val="2D2C36"/>
        </w:rPr>
        <w:t>0((7,1*6+(/''85,1*</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300"/>
        <w:spacing w:after="0" w:line="358" w:lineRule="auto"/>
        <w:rPr>
          <w:sz w:val="20"/>
          <w:szCs w:val="20"/>
          <w:color w:val="auto"/>
        </w:rPr>
      </w:pPr>
      <w:r>
        <w:rPr>
          <w:rFonts w:ascii="PMingLiU" w:cs="PMingLiU" w:eastAsia="PMingLiU" w:hAnsi="PMingLiU"/>
          <w:sz w:val="15"/>
          <w:szCs w:val="15"/>
          <w:color w:val="auto"/>
        </w:rPr>
        <w:t>2XU&amp;RPSHQVDWLRQ&amp;RPPLWWHHLVJRYHUQHGE\DQDQQXDOO\UHYLHZHG%RDUG DSSURYHGFKDUWHUZKLFKLVDYDLODEOHRQRXU:HEVLWH7KHSULPDU\ UHVSRQVLELOLWLHVRIRXU&amp;RPSHQVDWLRQ&amp;RPPLWWHHLQFOXGH</w:t>
      </w:r>
    </w:p>
    <w:p>
      <w:pPr>
        <w:spacing w:after="0" w:line="33" w:lineRule="exact"/>
        <w:rPr>
          <w:sz w:val="20"/>
          <w:szCs w:val="20"/>
          <w:color w:val="auto"/>
        </w:rPr>
      </w:pPr>
    </w:p>
    <w:p>
      <w:pPr>
        <w:ind w:left="360" w:right="380" w:hanging="279"/>
        <w:spacing w:after="0" w:line="38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UHYLHZLQJPRGLI\LQJDVQHHGHGDQGDSSURYLQJRYHUDOOFRPSHQVDWLRQ VWUDWHJ\DQGSROLFLHV</w:t>
      </w:r>
    </w:p>
    <w:p>
      <w:pPr>
        <w:spacing w:after="0" w:line="3" w:lineRule="exact"/>
        <w:rPr>
          <w:sz w:val="20"/>
          <w:szCs w:val="20"/>
          <w:color w:val="auto"/>
        </w:rPr>
      </w:pPr>
    </w:p>
    <w:p>
      <w:pPr>
        <w:ind w:left="360" w:right="120" w:hanging="279"/>
        <w:spacing w:after="0" w:line="34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UHFRPPHQGLQJWRRXU%RDUGIRUGHWHUPLQDWLRQDQGDSSURYDOWKH FRPSHQVDWLRQDQGRWKHUWHUPVRIHPSOR\PHQWRIRXU&amp;(2DQGHYDOXDWLQJ RXU&amp;(2¶VSHUIRUPDQFHLQOLJKWRIUHOHYDQWJRDOVDQGREMHFWLYHV</w:t>
      </w:r>
    </w:p>
    <w:p>
      <w:pPr>
        <w:spacing w:after="0" w:line="32" w:lineRule="exact"/>
        <w:rPr>
          <w:sz w:val="20"/>
          <w:szCs w:val="20"/>
          <w:color w:val="auto"/>
        </w:rPr>
      </w:pPr>
    </w:p>
    <w:p>
      <w:pPr>
        <w:ind w:left="360" w:right="80" w:hanging="279"/>
        <w:spacing w:after="0" w:line="38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UHYLHZLQJDQGDSSURYLQJWKHJRDOVDQGREMHFWLYHVRIRXURWKHUH[HFXWLYH RIILFHUVDQGGHWHUPLQLQJDQGDSSURYLQJWKHFRPSHQVDWLRQDQGRWKHUWHUPV RIHPSOR\PHQWRIWKHVHH[HFXWLYHRIILFHUVDVDSSURSULDWH</w:t>
      </w:r>
    </w:p>
    <w:p>
      <w:pPr>
        <w:spacing w:after="0" w:line="15" w:lineRule="exact"/>
        <w:rPr>
          <w:sz w:val="20"/>
          <w:szCs w:val="20"/>
          <w:color w:val="auto"/>
        </w:rPr>
      </w:pPr>
    </w:p>
    <w:p>
      <w:pPr>
        <w:jc w:val="both"/>
        <w:ind w:left="360" w:right="660" w:hanging="279"/>
        <w:spacing w:after="0" w:line="38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UHYLHZLQJDQGUHFRPPHQGLQJWRRXU%RDUGWKHW\SHDQGDPRXQWRI FRPSHQVDWLRQWREHSDLGRUDZDUGHGWRWKHPHPEHUVRIRXU%RDUG</w:t>
      </w:r>
    </w:p>
    <w:p>
      <w:pPr>
        <w:spacing w:after="0" w:line="3"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KDYLQJWKHIXOOSRZHUDQGDXWKRULW\RIRXU%RDUGUHJDUGLQJWKHDGRSWLRQ</w:t>
      </w:r>
    </w:p>
    <w:p>
      <w:pPr>
        <w:spacing w:after="0" w:line="67"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DPHQGPHQWDQGWHUPLQDWLRQRIRXUFRPSHQVDWLRQSODQVDQGSURJUDPVDQG</w:t>
      </w:r>
    </w:p>
    <w:p>
      <w:pPr>
        <w:spacing w:after="0" w:line="44"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DGPLQLVWHULQJWKHVHSODQVDQGSURJUDPV</w:t>
      </w:r>
    </w:p>
    <w:p>
      <w:pPr>
        <w:spacing w:after="0" w:line="130" w:lineRule="exact"/>
        <w:rPr>
          <w:sz w:val="20"/>
          <w:szCs w:val="20"/>
          <w:color w:val="auto"/>
        </w:rPr>
      </w:pPr>
    </w:p>
    <w:p>
      <w:pPr>
        <w:ind w:left="360" w:hanging="279"/>
        <w:spacing w:after="0" w:line="365"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KDYLQJGLUHFWUHVSRQVLELOLW\IRUDSSRLQWLQJDQGSURYLGLQJFRPSHQVDWLRQDQG RYHUVLJKWRIWKHZRUNRIDQ\FRPSHQVDWLRQFRQVXOWDQWVDQGRWKHUDGYLVRUV UHWDLQHGE\RXU&amp;RPSHQVDWLRQ&amp;RPPLWWHHDQGFRQVLGHULQJWKH LQGHSHQGHQFHRIHDFKVXFKDGYLVRU</w:t>
      </w:r>
    </w:p>
    <w:p>
      <w:pPr>
        <w:spacing w:after="0" w:line="27" w:lineRule="exact"/>
        <w:rPr>
          <w:sz w:val="20"/>
          <w:szCs w:val="20"/>
          <w:color w:val="auto"/>
        </w:rPr>
      </w:pPr>
    </w:p>
    <w:p>
      <w:pPr>
        <w:ind w:left="360" w:right="20" w:hanging="279"/>
        <w:spacing w:after="0" w:line="365"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UHYLHZLQJRXUSUDFWLFHVDQGSROLFLHVRIHPSOR\HHFRPSHQVDWLRQDVWKH\ UHODWHWRULVNPDQDJHPHQWDQGULVNWDNLQJLQFHQWLYHVWRGHWHUPLQHZKHWKHU VXFKFRPSHQVDWLRQSROLFLHVDQGSUDFWLFHVDUHUHDVRQDEO\OLNHO\WRKDYHD PDWHULDODGYHUVHHIIHFWRQXV</w:t>
      </w:r>
    </w:p>
    <w:p>
      <w:pPr>
        <w:spacing w:after="0" w:line="27"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SHULRGLFDOO\UHYLHZLQJZLWKRXU&amp;(2WKHSODQVIRUVXFFHVVLRQWRWKHRIILFHV</w:t>
      </w:r>
    </w:p>
    <w:p>
      <w:pPr>
        <w:spacing w:after="0" w:line="67"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RIRXUH[HFXWLYHRIILFHUVDQGPDNLQJUHFRPPHQGDWLRQVWRRXU%RDUGZLWK</w:t>
      </w:r>
    </w:p>
    <w:p>
      <w:pPr>
        <w:spacing w:after="0" w:line="44"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UHVSHFWWRWKHVHOHFWLRQRIDSSURSULDWHLQGLYLGXDOVWRVXFFHHGWRWKHVH</w:t>
      </w:r>
    </w:p>
    <w:p>
      <w:pPr>
        <w:spacing w:after="0" w:line="64"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SRVLWLRQVDQG</w:t>
      </w:r>
    </w:p>
    <w:p>
      <w:pPr>
        <w:spacing w:after="0" w:line="130" w:lineRule="exact"/>
        <w:rPr>
          <w:sz w:val="20"/>
          <w:szCs w:val="20"/>
          <w:color w:val="auto"/>
        </w:rPr>
      </w:pPr>
    </w:p>
    <w:p>
      <w:pPr>
        <w:ind w:left="360" w:right="160" w:hanging="279"/>
        <w:spacing w:after="0" w:line="34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UHYLHZLQJDQGGLVFXVVLQJZLWKPDQDJHPHQWRXUGLVFORVXUHVFRQWDLQHG XQGHUWKHFDSWLRQ</w:t>
      </w:r>
      <w:r>
        <w:rPr>
          <w:rFonts w:ascii="PMingLiU" w:cs="PMingLiU" w:eastAsia="PMingLiU" w:hAnsi="PMingLiU"/>
          <w:sz w:val="15"/>
          <w:szCs w:val="15"/>
          <w:i w:val="1"/>
          <w:iCs w:val="1"/>
          <w:color w:val="auto"/>
        </w:rPr>
        <w:t>E536,49(:05409*;99054(4+4(2?909F</w:t>
      </w:r>
      <w:r>
        <w:rPr>
          <w:rFonts w:ascii="PMingLiU" w:cs="PMingLiU" w:eastAsia="PMingLiU" w:hAnsi="PMingLiU"/>
          <w:sz w:val="15"/>
          <w:szCs w:val="15"/>
          <w:color w:val="auto"/>
        </w:rPr>
        <w:t>LQRXUDQQXDO SUR[\VWDWHPHQW</w:t>
      </w:r>
    </w:p>
    <w:p>
      <w:pPr>
        <w:spacing w:after="0" w:line="200" w:lineRule="exact"/>
        <w:rPr>
          <w:sz w:val="20"/>
          <w:szCs w:val="20"/>
          <w:color w:val="auto"/>
        </w:rPr>
      </w:pPr>
    </w:p>
    <w:p>
      <w:pPr>
        <w:sectPr>
          <w:pgSz w:w="11880" w:h="15479" w:orient="portrait"/>
          <w:cols w:equalWidth="0" w:num="2">
            <w:col w:w="3160" w:space="520"/>
            <w:col w:w="6320"/>
          </w:cols>
          <w:pgMar w:left="900" w:top="377" w:right="979" w:bottom="0" w:gutter="0" w:footer="0" w:header="0"/>
          <w:type w:val="continuous"/>
        </w:sectPr>
      </w:pPr>
    </w:p>
    <w:p>
      <w:pPr>
        <w:spacing w:after="0" w:line="129" w:lineRule="exact"/>
        <w:rPr>
          <w:sz w:val="20"/>
          <w:szCs w:val="20"/>
          <w:color w:val="auto"/>
        </w:rPr>
      </w:pPr>
    </w:p>
    <w:p>
      <w:pPr>
        <w:ind w:right="40"/>
        <w:spacing w:after="0" w:line="389" w:lineRule="auto"/>
        <w:rPr>
          <w:sz w:val="20"/>
          <w:szCs w:val="20"/>
          <w:color w:val="auto"/>
        </w:rPr>
      </w:pPr>
      <w:r>
        <w:rPr>
          <w:rFonts w:ascii="PMingLiU" w:cs="PMingLiU" w:eastAsia="PMingLiU" w:hAnsi="PMingLiU"/>
          <w:sz w:val="13"/>
          <w:szCs w:val="13"/>
          <w:color w:val="auto"/>
        </w:rPr>
        <w:t>(DFKPHPEHURIRXU&amp;RPSHQVDWLRQ&amp;RPPLWWHHPHHWVWKHLQGHSHQGHQFHUHTXLUHPHQWVRIWKH1DVGDTOLVWLQJVWDQGDUGVZLWK UHVSHFWWR&amp;RPSHQVDWLRQ&amp;RPPLWWHHPHPEHUV,QGHWHUPLQLQJZKHWKHUHDFKPHPEHULVLQGHSHQGHQWZLWKLQWKHPHDQLQJRI WKH1DVGDTOLVWLQJVWDQGDUGVSHUWDLQLQJWR&amp;RPSHQVDWLRQ&amp;RPPLWWHHPHPEHUVKLSRXU%RDUGGHWHUPLQHGEDVHGRQLWV FRQVLGHUDWLRQRIIDFWRUVVSHFLILFDOO\UHOHYDQWWRGHWHUPLQLQJZKHWKHUDQ\VXFKGLUHFWRUKDVDUHODWLRQVKLSWRXVWKDWLVPDWHULDO WRWKDWGLUHFWRU¶VDELOLW\WREHLQGHSHQGHQWIURPPDQDJHPHQWLQFRQQHFWLRQZLWKWKHGXWLHVRIDFRPSHQVDWLRQFRPPLWWHH PHPEHUWKDWQRPHPEHURIRXU&amp;RPSHQVDWLRQ&amp;RPPLWWHHKDVDUHODWLRQVKLSWKDWZRXOGLPSDLUWKDWPHPEHU¶VDELOLW\WRPDNH LQGHSHQGHQWMXGJPHQWVDERXWFRPSHQVDWLRQRIRXUH[HFXWLYHRIILFHUV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1442085</wp:posOffset>
            </wp:positionV>
            <wp:extent cx="1386840" cy="2336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2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00"/>
          </w:cols>
          <w:pgMar w:left="900" w:top="377" w:right="979" w:bottom="0" w:gutter="0" w:footer="0" w:header="0"/>
          <w:type w:val="continuous"/>
        </w:sectPr>
      </w:pPr>
    </w:p>
    <w:bookmarkStart w:id="42" w:name="page43"/>
    <w:bookmarkEnd w:id="42"/>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88" o:spid="_x0000_s1313"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2XU&amp;RPSHQVDWLRQ&amp;RPPLWWHH3URFHVVHVDQG3URFHGXUHV</w:t>
      </w:r>
    </w:p>
    <w:p>
      <w:pPr>
        <w:spacing w:after="0" w:line="191" w:lineRule="exact"/>
        <w:rPr>
          <w:sz w:val="20"/>
          <w:szCs w:val="20"/>
          <w:color w:val="auto"/>
        </w:rPr>
      </w:pPr>
    </w:p>
    <w:p>
      <w:pPr>
        <w:ind w:right="40"/>
        <w:spacing w:after="0" w:line="356" w:lineRule="auto"/>
        <w:rPr>
          <w:sz w:val="20"/>
          <w:szCs w:val="20"/>
          <w:color w:val="auto"/>
        </w:rPr>
      </w:pPr>
      <w:r>
        <w:rPr>
          <w:rFonts w:ascii="PMingLiU" w:cs="PMingLiU" w:eastAsia="PMingLiU" w:hAnsi="PMingLiU"/>
          <w:sz w:val="14"/>
          <w:szCs w:val="14"/>
          <w:color w:val="auto"/>
        </w:rPr>
        <w:t>2XU&amp;RPSHQVDWLRQ&amp;RPPLWWHHPHHWVDVRIWHQDVLWGHWHUPLQHVQHFHVVDU\WRFDUU\RXWLWVGXWLHVDQGUHVSRQVLELOLWLHVWKURXJK UHJXODUO\VFKHGXOHGPHHWLQJVDQGLIQHFHVVDU\VSHFLDOPHHWLQJV7KHDJHQGDIRUHDFK&amp;RPSHQVDWLRQ&amp;RPPLWWHHPHHWLQJLV XVXDOO\GHYHORSHGE\PHPEHUVRIRXUKXPDQUHVRXUFHVGHSDUWPHQWDQGRXU&amp;(2ZLWKLQSXWIURPPHPEHUVRIRXUOHJDO GHSDUWPHQWDQGLVUHYLHZHGDQGILQDOL]HGZLWKWKHFKDLURIRXU&amp;RPSHQVDWLRQ&amp;RPPLWWHH0HPEHUVRIRXUKXPDQUHVRXUFHV GHSDUWPHQWDOVRDWWHQG&amp;RPSHQVDWLRQ&amp;RPPLWWHHPHHWLQJV)URPWLPHWRWLPHYDULRXVRWKHUPHPEHUVRIPDQDJHPHQWDQG RWKHUHPSOR\HHVDVZHOODVRXWVLGHDGYLVRUVRUFRQVXOWDQWVPD\EHLQYLWHGE\RXU&amp;RPSHQVDWLRQ&amp;RPPLWWHHWRPDNH SUHVHQWDWLRQVSURYLGHILQDQFLDORURWKHUEDFNJURXQGLQIRUPDWLRQRUDGYLFHRURWKHUZLVHSDUWLFLSDWHLQRXU&amp;RPSHQVDWLRQ &amp;RPPLWWHHPHHWLQJV</w:t>
      </w:r>
    </w:p>
    <w:p>
      <w:pPr>
        <w:spacing w:after="0" w:line="103" w:lineRule="exact"/>
        <w:rPr>
          <w:sz w:val="20"/>
          <w:szCs w:val="20"/>
          <w:color w:val="auto"/>
        </w:rPr>
      </w:pPr>
    </w:p>
    <w:p>
      <w:pPr>
        <w:ind w:right="320"/>
        <w:spacing w:after="0" w:line="342" w:lineRule="auto"/>
        <w:rPr>
          <w:sz w:val="20"/>
          <w:szCs w:val="20"/>
          <w:color w:val="auto"/>
        </w:rPr>
      </w:pPr>
      <w:r>
        <w:rPr>
          <w:rFonts w:ascii="PMingLiU" w:cs="PMingLiU" w:eastAsia="PMingLiU" w:hAnsi="PMingLiU"/>
          <w:sz w:val="14"/>
          <w:szCs w:val="14"/>
          <w:color w:val="auto"/>
        </w:rPr>
        <w:t>,QPDNLQJH[HFXWLYHFRPSHQVDWLRQGHWHUPLQDWLRQVRWKHUWKDQIRURXU&amp;(2RXU&amp;RPSHQVDWLRQ&amp;RPPLWWHHFRQVLGHUV UHFRPPHQGDWLRQVIURPRXU&amp;(2,QPDNLQJKHUUHFRPPHQGDWLRQVRXU&amp;(2UHFHLYHVLQSXWIURPRXUKXPDQUHVRXUFHV GHSDUWPHQWDQGIURPWKHLQGLYLGXDOVZKRPDQDJHRUUHSRUWGLUHFWO\WRWKHRWKHUH[HFXWLYHRIILFHUVDQGVKHUHYLHZVYDULRXV</w:t>
      </w:r>
    </w:p>
    <w:p>
      <w:pPr>
        <w:ind w:right="20"/>
        <w:spacing w:after="0" w:line="319" w:lineRule="auto"/>
        <w:rPr>
          <w:sz w:val="20"/>
          <w:szCs w:val="20"/>
          <w:color w:val="auto"/>
        </w:rPr>
      </w:pPr>
      <w:r>
        <w:rPr>
          <w:rFonts w:ascii="PMingLiU" w:cs="PMingLiU" w:eastAsia="PMingLiU" w:hAnsi="PMingLiU"/>
          <w:sz w:val="15"/>
          <w:szCs w:val="15"/>
          <w:color w:val="auto"/>
        </w:rPr>
        <w:t>WKLUGSDUW\FRPSHQVDWLRQVXUYH\VDQGFRPSHQVDWLRQGDWDSURYLGHGE\WKHLQGHSHQGHQWFRPSHQVDWLRQFRQVXOWDQWWRRXU &amp;RPSHQVDWLRQ&amp;RPPLWWHHDVGHVFULEHGLQWKHVHFWLRQRIRXUSUR[\VWDWHPHQWHQWLWOHG</w:t>
      </w:r>
      <w:r>
        <w:rPr>
          <w:rFonts w:ascii="PMingLiU" w:cs="PMingLiU" w:eastAsia="PMingLiU" w:hAnsi="PMingLiU"/>
          <w:sz w:val="15"/>
          <w:szCs w:val="15"/>
          <w:i w:val="1"/>
          <w:iCs w:val="1"/>
          <w:color w:val="auto"/>
        </w:rPr>
        <w:t>E&gt;,*;:0&lt;,536,49(:054</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536,49(:05409*;99054(4+4(2?909F</w:t>
      </w:r>
      <w:r>
        <w:rPr>
          <w:rFonts w:ascii="PMingLiU" w:cs="PMingLiU" w:eastAsia="PMingLiU" w:hAnsi="PMingLiU"/>
          <w:sz w:val="15"/>
          <w:szCs w:val="15"/>
          <w:color w:val="auto"/>
        </w:rPr>
        <w:t>:KLOHRXU&amp;(2GLVFXVVHVKHUUHFRPPHQGDWLRQVIRUWKHRWKHUH[HFXWLYHRIILFHUVZLWK</w:t>
      </w:r>
    </w:p>
    <w:p>
      <w:pPr>
        <w:spacing w:after="0" w:line="1" w:lineRule="exact"/>
        <w:rPr>
          <w:sz w:val="20"/>
          <w:szCs w:val="20"/>
          <w:color w:val="auto"/>
        </w:rPr>
      </w:pPr>
    </w:p>
    <w:p>
      <w:pPr>
        <w:spacing w:after="0" w:line="443" w:lineRule="auto"/>
        <w:rPr>
          <w:sz w:val="20"/>
          <w:szCs w:val="20"/>
          <w:color w:val="auto"/>
        </w:rPr>
      </w:pPr>
      <w:r>
        <w:rPr>
          <w:rFonts w:ascii="PMingLiU" w:cs="PMingLiU" w:eastAsia="PMingLiU" w:hAnsi="PMingLiU"/>
          <w:sz w:val="14"/>
          <w:szCs w:val="14"/>
          <w:color w:val="auto"/>
        </w:rPr>
        <w:t>RXU&amp;RPSHQVDWLRQ&amp;RPPLWWHHVKHGRHVQRWSDUWLFLSDWHLQWKHGHOLEHUDWLRQVDQGUHFRPPHQGDWLRQVWRRXU%RDUGFRQFHUQLQJRU RXU%RDUG¶VGHWHUPLQDWLRQRIKHURZQFRPSHQVDWLRQ</w:t>
      </w:r>
    </w:p>
    <w:p>
      <w:pPr>
        <w:spacing w:after="0" w:line="39" w:lineRule="exact"/>
        <w:rPr>
          <w:sz w:val="20"/>
          <w:szCs w:val="20"/>
          <w:color w:val="auto"/>
        </w:rPr>
      </w:pPr>
    </w:p>
    <w:p>
      <w:pPr>
        <w:ind w:right="240"/>
        <w:spacing w:after="0" w:line="359" w:lineRule="auto"/>
        <w:rPr>
          <w:sz w:val="20"/>
          <w:szCs w:val="20"/>
          <w:color w:val="auto"/>
        </w:rPr>
      </w:pPr>
      <w:r>
        <w:rPr>
          <w:rFonts w:ascii="PMingLiU" w:cs="PMingLiU" w:eastAsia="PMingLiU" w:hAnsi="PMingLiU"/>
          <w:sz w:val="14"/>
          <w:szCs w:val="14"/>
          <w:color w:val="auto"/>
        </w:rPr>
        <w:t>2XU&amp;RPSHQVDWLRQ&amp;RPPLWWHHHQJDJHVDQLQGHSHQGHQWFRPSHQVDWLRQFRQVXOWDQWHDFK\HDUWRSURYLGHDFRPSHWLWLYH FRPSHQVDWLRQDVVHVVPHQWZLWKUHVSHFWWRWKHH[HFXWLYHRIILFHUVWRDVVLVWRXU&amp;RPSHQVDWLRQ&amp;RPPLWWHHLQPDNLQJDQQXDO FRPSHQVDWLRQGHFLVLRQV6LQFH$RQKDVEHHQHQJDJHGE\RXU&amp;RPSHQVDWLRQ&amp;RPPLWWHHDVRXULQGHSHQGHQW FRQVXOWDQW$RQVXSSRUWVRXU&amp;RPSHQVDWLRQ&amp;RPPLWWHHLQDGGUHVVLQJWKHGHVLJQRIRXUSHHUJURXSSURYLGHVLQGXVWU\ FRPSHQVDWLRQGDWDDQGSURYLGHVRXU&amp;RPSHQVDWLRQ&amp;RPPLWWHHZLWKDGYLFHUHJDUGLQJH[HFXWLYHRIILFHUV¶FRPSHQVDWLRQ LQFOXGLQJEDVHVDODULHVSHUIRUPDQFHEDVHGERQXVHVDQGORQJWHUPHTXLW\FRPSHQVDWLRQDQGVLPLODUDGYLFHUHJDUGLQJQRQ HPSOR\HHGLUHFWRUFRPSHQVDWLRQ</w:t>
      </w:r>
    </w:p>
    <w:p>
      <w:pPr>
        <w:spacing w:after="0" w:line="98" w:lineRule="exact"/>
        <w:rPr>
          <w:sz w:val="20"/>
          <w:szCs w:val="20"/>
          <w:color w:val="auto"/>
        </w:rPr>
      </w:pPr>
    </w:p>
    <w:p>
      <w:pPr>
        <w:ind w:right="320"/>
        <w:spacing w:after="0" w:line="342" w:lineRule="auto"/>
        <w:rPr>
          <w:sz w:val="20"/>
          <w:szCs w:val="20"/>
          <w:color w:val="auto"/>
        </w:rPr>
      </w:pPr>
      <w:r>
        <w:rPr>
          <w:rFonts w:ascii="PMingLiU" w:cs="PMingLiU" w:eastAsia="PMingLiU" w:hAnsi="PMingLiU"/>
          <w:sz w:val="14"/>
          <w:szCs w:val="14"/>
          <w:color w:val="auto"/>
        </w:rPr>
        <w:t>)RUDGGLWLRQDOLQIRUPDWLRQUHJDUGLQJRXUSURFHVVHVDQGSURFHGXUHVIRUWKHFRQVLGHUDWLRQDQGGHWHUPLQDWLRQRIH[HFXWLYH FRPSHQVDWLRQLQFOXGLQJWKHUROHRI$RQLQGHWHUPLQLQJDQGUHFRPPHQGLQJH[HFXWLYHFRPSHQVDWLRQVHHWKHVHFWLRQRIRXU SUR[\VWDWHPHQWHQWLWOHG</w:t>
      </w:r>
      <w:r>
        <w:rPr>
          <w:rFonts w:ascii="PMingLiU" w:cs="PMingLiU" w:eastAsia="PMingLiU" w:hAnsi="PMingLiU"/>
          <w:sz w:val="14"/>
          <w:szCs w:val="14"/>
          <w:i w:val="1"/>
          <w:iCs w:val="1"/>
          <w:color w:val="auto"/>
        </w:rPr>
        <w:t>E&gt;,*;:0&lt;,536,49(:054 536,49(:05409*;99054(4+4(2?909F</w:t>
      </w:r>
      <w:r>
        <w:rPr>
          <w:rFonts w:ascii="PMingLiU" w:cs="PMingLiU" w:eastAsia="PMingLiU" w:hAnsi="PMingLiU"/>
          <w:sz w:val="14"/>
          <w:szCs w:val="14"/>
          <w:color w:val="auto"/>
        </w:rPr>
        <w:t>:LWKUHVSHFWWRGLUHFWRU FRPSHQVDWLRQPDWWHUVRXU&amp;RPSHQVDWLRQ&amp;RPPLWWHHUHFRPPHQGVWRRXU%RDUGDQGRXU%RDUGGHWHUPLQHVDQGVHWVQRQ</w:t>
      </w:r>
    </w:p>
    <w:p>
      <w:pPr>
        <w:spacing w:after="0" w:line="1" w:lineRule="exact"/>
        <w:rPr>
          <w:sz w:val="20"/>
          <w:szCs w:val="20"/>
          <w:color w:val="auto"/>
        </w:rPr>
      </w:pPr>
    </w:p>
    <w:p>
      <w:pPr>
        <w:ind w:right="200"/>
        <w:spacing w:after="0" w:line="398" w:lineRule="auto"/>
        <w:rPr>
          <w:sz w:val="20"/>
          <w:szCs w:val="20"/>
          <w:color w:val="auto"/>
        </w:rPr>
      </w:pPr>
      <w:r>
        <w:rPr>
          <w:rFonts w:ascii="PMingLiU" w:cs="PMingLiU" w:eastAsia="PMingLiU" w:hAnsi="PMingLiU"/>
          <w:sz w:val="15"/>
          <w:szCs w:val="15"/>
          <w:color w:val="auto"/>
        </w:rPr>
        <w:t>HPSOR\HHGLUHFWRUFRPSHQVDWLRQ2XUFRPSHQVDWLRQDUUDQJHPHQWVIRURXUQRQHPSOR\HHGLUHFWRUVDUHGHVFULEHGXQGHUWKH VHFWLRQRIRXUSUR[\VWDWHPHQWHQWLWOHG</w:t>
      </w:r>
      <w:r>
        <w:rPr>
          <w:rFonts w:ascii="PMingLiU" w:cs="PMingLiU" w:eastAsia="PMingLiU" w:hAnsi="PMingLiU"/>
          <w:sz w:val="15"/>
          <w:szCs w:val="15"/>
          <w:i w:val="1"/>
          <w:iCs w:val="1"/>
          <w:color w:val="auto"/>
        </w:rPr>
        <w:t>E08,*:58536,49(:054F</w:t>
      </w:r>
    </w:p>
    <w:p>
      <w:pPr>
        <w:spacing w:after="0" w:line="62" w:lineRule="exact"/>
        <w:rPr>
          <w:sz w:val="20"/>
          <w:szCs w:val="20"/>
          <w:color w:val="auto"/>
        </w:rPr>
      </w:pPr>
    </w:p>
    <w:p>
      <w:pPr>
        <w:spacing w:after="0" w:line="381" w:lineRule="auto"/>
        <w:rPr>
          <w:sz w:val="20"/>
          <w:szCs w:val="20"/>
          <w:color w:val="auto"/>
        </w:rPr>
      </w:pPr>
      <w:r>
        <w:rPr>
          <w:rFonts w:ascii="PMingLiU" w:cs="PMingLiU" w:eastAsia="PMingLiU" w:hAnsi="PMingLiU"/>
          <w:sz w:val="13"/>
          <w:szCs w:val="13"/>
          <w:color w:val="auto"/>
        </w:rPr>
        <w:t>2XU&amp;RPSHQVDWLRQ&amp;RPPLWWHHFKDUWHUJUDQWVRXU&amp;RPSHQVDWLRQ&amp;RPPLWWHHIXOODFFHVVWRDOORIRXUERRNVUHFRUGVIDFLOLWLHV DQGSHUVRQQHODVZHOODVDXWKRULW\WRREWDLQDWRXUH[SHQVHDGYLFHDQGDVVLVWDQFHIURPFRPSHQVDWLRQFRQVXOWDQWVDQG LQWHUQDODQGH[WHUQDOOHJDODFFRXQWLQJRURWKHUDGYLVRUVDQGFRQVXOWDQWVDQGRWKHUH[WHUQDOUHVRXUFHVWKDWRXU&amp;RPSHQVDWLRQ &amp;RPPLWWHHFRQVLGHUVQHFHVVDU\RUDSSURSULDWHLQWKHSHUIRUPDQFHRILWVGXWLHV,QSDUWLFXODURXU&amp;RPSHQVDWLRQ&amp;RPPLWWHH KDVWKHDXWKRULW\LQLWVVROHGLVFUHWLRQWRUHWDLQRUREWDLQDWRXUH[SHQVHFRPSHQVDWLRQFRQVXOWDQWVWRDVVLVWLQLWVHYDOXDWLRQ RIH[HFXWLYHFRPSHQVDWLRQDQGLVGLUHFWO\UHVSRQVLEOHIRUWKHDSSRLQWPHQWFRPSHQVDWLRQDQGRYHUVLJKWRIWKHZRUNRILWV FRPSHQVDWLRQFRQVXOWDQWV2XU&amp;RPSHQVDWLRQ&amp;RPPLWWHHFKDUWHUDOVRSURYLGHVWKDWRXU&amp;RPSHQVDWLRQ&amp;RPPLWWHHPD\ GHOHJDWHDQ\UHVSRQVLELOLW\RUDXWKRULW\RIRXU&amp;RPSHQVDWLRQ&amp;RPPLWWHHXQGHULWVFKDUWHUWRWKHFKDLURIRXU&amp;RPSHQVDWLRQ &amp;RPPLWWHHRUWRRQHRUPRUHFRPPLWWHHPHPEHUVLQFOXGLQJVXEFRPPLWWHHVH[FHSWWRWKHH[WHQWLQFRQVLVWHQWZLWKDQ\ DSSOLFDEOHODZVDQGUXOHVLQFOXGLQJWKH1DVGDTOLVWLQJVWDQGDUGV2XU&amp;RPSHQVDWLRQ&amp;RPPLWWHHGRHVQRWKRZHYHUGHOHJDWH DQ\RILWVIXQFWLRQVWRRWKHUVLQGHWHUPLQLQJRUUHFRPPHQGLQJH[HFXWLYHRUGLUHFWRUFRPSHQVDWLRQ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1857375</wp:posOffset>
            </wp:positionV>
            <wp:extent cx="1386840" cy="2336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3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43" w:name="page44"/>
    <w:bookmarkEnd w:id="43"/>
    <w:p>
      <w:pPr>
        <w:ind w:left="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90" o:spid="_x0000_s1315"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325755</wp:posOffset>
            </wp:positionV>
            <wp:extent cx="2162175" cy="6524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31">
                      <a:extLst>
                        <a:ext uri="{28A0092B-C50C-407E-A947-70E740481C1C}"/>
                      </a:extLst>
                    </a:blip>
                    <a:srcRect/>
                    <a:stretch>
                      <a:fillRect/>
                    </a:stretch>
                  </pic:blipFill>
                  <pic:spPr bwMode="auto">
                    <a:xfrm>
                      <a:off x="0" y="0"/>
                      <a:ext cx="2162175" cy="652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line="310" w:lineRule="auto"/>
        <w:rPr>
          <w:sz w:val="20"/>
          <w:szCs w:val="20"/>
          <w:color w:val="auto"/>
        </w:rPr>
      </w:pPr>
      <w:r>
        <w:rPr>
          <w:rFonts w:ascii="PMingLiU" w:cs="PMingLiU" w:eastAsia="PMingLiU" w:hAnsi="PMingLiU"/>
          <w:sz w:val="34"/>
          <w:szCs w:val="34"/>
          <w:b w:val="1"/>
          <w:bCs w:val="1"/>
          <w:color w:val="000046"/>
        </w:rPr>
        <w:t>1RPLQDWLQJ DQG&amp;RUSRUDWH *RYHUQDQFH &amp;RPPLWWHH</w:t>
      </w:r>
    </w:p>
    <w:p>
      <w:pPr>
        <w:spacing w:after="0" w:line="60"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&amp;+$,5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+HDWKHU$QQ0F6KDUU\</w:t>
      </w:r>
    </w:p>
    <w:p>
      <w:pPr>
        <w:spacing w:after="0" w:line="181"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0(0%(56</w:t>
      </w:r>
    </w:p>
    <w:p>
      <w:pPr>
        <w:spacing w:after="0" w:line="81"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1RUEHUW*5LHGHO3K'</w:t>
      </w:r>
    </w:p>
    <w:p>
      <w:pPr>
        <w:spacing w:after="0" w:line="81"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0DUN'6PLWK0'</w:t>
      </w:r>
    </w:p>
    <w:p>
      <w:pPr>
        <w:spacing w:after="0" w:line="81"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5LFN(:LQQLQJKDP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$OO0HPEHUVDUH,QGHSHQGHQW</w:t>
      </w:r>
    </w:p>
    <w:p>
      <w:pPr>
        <w:spacing w:after="0" w:line="106" w:lineRule="exact"/>
        <w:rPr>
          <w:sz w:val="20"/>
          <w:szCs w:val="20"/>
          <w:color w:val="auto"/>
        </w:rPr>
      </w:pPr>
    </w:p>
    <w:p>
      <w:pPr>
        <w:ind w:left="240"/>
        <w:spacing w:after="0"/>
        <w:rPr>
          <w:sz w:val="20"/>
          <w:szCs w:val="20"/>
          <w:color w:val="auto"/>
        </w:rPr>
      </w:pPr>
      <w:r>
        <w:rPr>
          <w:rFonts w:ascii="PMingLiU" w:cs="PMingLiU" w:eastAsia="PMingLiU" w:hAnsi="PMingLiU"/>
          <w:sz w:val="60"/>
          <w:szCs w:val="60"/>
          <w:color w:val="000046"/>
        </w:rPr>
        <w:t/>
      </w:r>
    </w:p>
    <w:p>
      <w:pPr>
        <w:spacing w:after="0" w:line="122" w:lineRule="exact"/>
        <w:rPr>
          <w:sz w:val="20"/>
          <w:szCs w:val="20"/>
          <w:color w:val="auto"/>
        </w:rPr>
      </w:pPr>
    </w:p>
    <w:p>
      <w:pPr>
        <w:ind w:left="240"/>
        <w:spacing w:after="0"/>
        <w:rPr>
          <w:sz w:val="20"/>
          <w:szCs w:val="20"/>
          <w:color w:val="auto"/>
        </w:rPr>
      </w:pPr>
      <w:r>
        <w:rPr>
          <w:rFonts w:ascii="PMingLiU" w:cs="PMingLiU" w:eastAsia="PMingLiU" w:hAnsi="PMingLiU"/>
          <w:sz w:val="16"/>
          <w:szCs w:val="16"/>
          <w:color w:val="2D2C36"/>
        </w:rPr>
        <w:t>0((7,1*6+(/''85,1*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54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60"/>
        <w:spacing w:after="0" w:line="375" w:lineRule="auto"/>
        <w:rPr>
          <w:sz w:val="20"/>
          <w:szCs w:val="20"/>
          <w:color w:val="auto"/>
        </w:rPr>
      </w:pPr>
      <w:r>
        <w:rPr>
          <w:rFonts w:ascii="PMingLiU" w:cs="PMingLiU" w:eastAsia="PMingLiU" w:hAnsi="PMingLiU"/>
          <w:sz w:val="15"/>
          <w:szCs w:val="15"/>
          <w:color w:val="auto"/>
        </w:rPr>
        <w:t>2XU1RPLQDWLQJ&amp;RPPLWWHHLVJRYHUQHGE\DUHJXODUO\UHYLHZHG%RDUG DSSURYHGFKDUWHUZKLFKLVDYDLODEOHRQRXU:HEVLWH7KHSULPDU\ UHVSRQVLELOLWLHVRIRXU1RPLQDWLQJ&amp;RPPLWWHHLQFOXGH</w:t>
      </w:r>
    </w:p>
    <w:p>
      <w:pPr>
        <w:spacing w:after="0" w:line="33" w:lineRule="exact"/>
        <w:rPr>
          <w:sz w:val="20"/>
          <w:szCs w:val="20"/>
          <w:color w:val="auto"/>
        </w:rPr>
      </w:pPr>
    </w:p>
    <w:p>
      <w:pPr>
        <w:ind w:left="360" w:right="120" w:hanging="279"/>
        <w:spacing w:after="0" w:line="417"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RYHUVHHLQJDOODVSHFWVRIRXUFRUSRUDWHJRYHUQDQFHIXQFWLRQVRQEHKDOIRI RXU%RDUG</w:t>
      </w:r>
    </w:p>
    <w:p>
      <w:pPr>
        <w:spacing w:after="0" w:line="1" w:lineRule="exact"/>
        <w:rPr>
          <w:sz w:val="20"/>
          <w:szCs w:val="20"/>
          <w:color w:val="auto"/>
        </w:rPr>
      </w:pPr>
    </w:p>
    <w:p>
      <w:pPr>
        <w:ind w:left="360" w:right="260" w:hanging="279"/>
        <w:spacing w:after="0" w:line="38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PDNLQJUHFRPPHQGDWLRQVWRRXU%RDUGUHJDUGLQJFRUSRUDWHJRYHUQDQFH LVVXHV</w:t>
      </w:r>
    </w:p>
    <w:p>
      <w:pPr>
        <w:spacing w:after="0" w:line="3" w:lineRule="exact"/>
        <w:rPr>
          <w:sz w:val="20"/>
          <w:szCs w:val="20"/>
          <w:color w:val="auto"/>
        </w:rPr>
      </w:pPr>
    </w:p>
    <w:p>
      <w:pPr>
        <w:ind w:left="360" w:right="340" w:hanging="279"/>
        <w:spacing w:after="0" w:line="417"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LGHQWLI\LQJUHYLHZLQJDQGHYDOXDWLQJFDQGLGDWHVWRVHUYHRQRXU%RDUG DQGUHYLHZLQJDQGHYDOXDWLQJLQFXPEHQWGLUHFWRUV</w:t>
      </w:r>
    </w:p>
    <w:p>
      <w:pPr>
        <w:spacing w:after="0" w:line="1" w:lineRule="exact"/>
        <w:rPr>
          <w:sz w:val="20"/>
          <w:szCs w:val="20"/>
          <w:color w:val="auto"/>
        </w:rPr>
      </w:pPr>
    </w:p>
    <w:p>
      <w:pPr>
        <w:jc w:val="both"/>
        <w:ind w:left="360" w:right="100" w:hanging="279"/>
        <w:spacing w:after="0" w:line="38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UHYLHZLQJHYDOXDWLQJDQGFRQVLGHULQJWKHUHFRPPHQGDWLRQIRUQRPLQDWLRQ RILQFXPEHQWGLUHFWRUVIRUUHHOHFWLRQWRRXU%RDUGDQGPRQLWRULQJWKHVL]H RIRXU%RDUG</w:t>
      </w:r>
    </w:p>
    <w:p>
      <w:pPr>
        <w:spacing w:after="0" w:line="15"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UHFRPPHQGLQJGLUHFWRUFDQGLGDWHVWRRXU%RDUG</w:t>
      </w:r>
    </w:p>
    <w:p>
      <w:pPr>
        <w:spacing w:after="0" w:line="136" w:lineRule="exact"/>
        <w:rPr>
          <w:sz w:val="20"/>
          <w:szCs w:val="20"/>
          <w:color w:val="auto"/>
        </w:rPr>
      </w:pPr>
    </w:p>
    <w:p>
      <w:pPr>
        <w:ind w:left="360" w:hanging="279"/>
        <w:spacing w:after="0" w:line="34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RYHUVHHLQJRQEHKDOIRIRXU%RDUGRXUFRPSOLDQFHZLWKDSSOLFDEOHODZVDQG UHJXODWLRQVRWKHUWKDQWKHILQDQFLDOFRPSOLDQFHLVVXHVRYHUVHHQE\RXU $XGLW&amp;RPPLWWHH</w:t>
      </w:r>
    </w:p>
    <w:p>
      <w:pPr>
        <w:spacing w:after="0" w:line="32" w:lineRule="exact"/>
        <w:rPr>
          <w:sz w:val="20"/>
          <w:szCs w:val="20"/>
          <w:color w:val="auto"/>
        </w:rPr>
      </w:pPr>
    </w:p>
    <w:p>
      <w:pPr>
        <w:ind w:left="360" w:right="80" w:hanging="279"/>
        <w:spacing w:after="0" w:line="360"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RYHUVHHLQJRQEHKDOIRIRXU%RDUGRXUULVNPDQDJHPHQWPDWWHUVRWKHU WKDQZLWKUHVSHFWWRULVNVWKDWDUHILQDQFLDORULQIRUPDWLRQVHFXULW\ULVNVDV WRZKLFKRXU$XGLW&amp;RPPLWWHHKDVRYHUVLJKWUHVSRQVLELOLW\RQEHKDOIRIRXU %RDUGRUULVNVUHODWHGWRFRPSHQVDWLRQSROLFLHVDVWRZKLFKRXU</w:t>
      </w:r>
    </w:p>
    <w:p>
      <w:pPr>
        <w:ind w:left="360" w:right="380"/>
        <w:spacing w:after="0" w:line="412" w:lineRule="auto"/>
        <w:rPr>
          <w:sz w:val="20"/>
          <w:szCs w:val="20"/>
          <w:color w:val="auto"/>
        </w:rPr>
      </w:pPr>
      <w:r>
        <w:rPr>
          <w:rFonts w:ascii="PMingLiU" w:cs="PMingLiU" w:eastAsia="PMingLiU" w:hAnsi="PMingLiU"/>
          <w:sz w:val="14"/>
          <w:szCs w:val="14"/>
          <w:color w:val="auto"/>
        </w:rPr>
        <w:t>&amp;RPSHQVDWLRQ&amp;RPPLWWHHKDVRYHUVLJKWUHVSRQVLELOLW\RQEHKDOIRIRXU %RDUG</w:t>
      </w:r>
    </w:p>
    <w:p>
      <w:pPr>
        <w:spacing w:after="0" w:line="1" w:lineRule="exact"/>
        <w:rPr>
          <w:sz w:val="20"/>
          <w:szCs w:val="20"/>
          <w:color w:val="auto"/>
        </w:rPr>
      </w:pPr>
    </w:p>
    <w:p>
      <w:pPr>
        <w:ind w:left="360" w:right="140" w:hanging="279"/>
        <w:spacing w:after="0" w:line="360"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HYDOXDWLQJGLUHFWRUQRPLQDWLRQVDQGSURSRVDOVE\RXUVKDUHKROGHUVDQG HVWDEOLVKLQJSROLFLHVUHTXLUHPHQWVFULWHULDDQGSURFHGXUHVLQIXUWKHUDQFH RIWKHIRUHJRLQJ)RUPRUHLQIRUPDWLRQRQWKHSROLF\DQGSURFHGXUHIRU</w:t>
      </w:r>
    </w:p>
    <w:p>
      <w:pPr>
        <w:spacing w:after="0" w:line="2" w:lineRule="exact"/>
        <w:rPr>
          <w:sz w:val="20"/>
          <w:szCs w:val="20"/>
          <w:color w:val="auto"/>
        </w:rPr>
      </w:pPr>
    </w:p>
    <w:p>
      <w:pPr>
        <w:ind w:left="360" w:right="940"/>
        <w:spacing w:after="0" w:line="412" w:lineRule="auto"/>
        <w:rPr>
          <w:sz w:val="20"/>
          <w:szCs w:val="20"/>
          <w:color w:val="auto"/>
        </w:rPr>
      </w:pPr>
      <w:r>
        <w:rPr>
          <w:rFonts w:ascii="PMingLiU" w:cs="PMingLiU" w:eastAsia="PMingLiU" w:hAnsi="PMingLiU"/>
          <w:sz w:val="14"/>
          <w:szCs w:val="14"/>
          <w:color w:val="auto"/>
        </w:rPr>
        <w:t>FRQVLGHULQJVWRFNKROGHUUHFRPPHQGDWLRQVQRPLQDWLRQVVHHWKH ³</w:t>
      </w:r>
      <w:r>
        <w:rPr>
          <w:rFonts w:ascii="PMingLiU" w:cs="PMingLiU" w:eastAsia="PMingLiU" w:hAnsi="PMingLiU"/>
          <w:sz w:val="14"/>
          <w:szCs w:val="14"/>
          <w:i w:val="1"/>
          <w:iCs w:val="1"/>
          <w:color w:val="auto"/>
        </w:rPr>
        <w:t>#/(8,/52+,84.(.,3,4:</w:t>
      </w:r>
      <w:r>
        <w:rPr>
          <w:rFonts w:ascii="PMingLiU" w:cs="PMingLiU" w:eastAsia="PMingLiU" w:hAnsi="PMingLiU"/>
          <w:sz w:val="14"/>
          <w:szCs w:val="14"/>
          <w:color w:val="auto"/>
        </w:rPr>
        <w:t>´VHFWLRQRIWKLVSUR[\</w:t>
      </w:r>
    </w:p>
    <w:p>
      <w:pPr>
        <w:spacing w:after="0" w:line="1" w:lineRule="exact"/>
        <w:rPr>
          <w:sz w:val="20"/>
          <w:szCs w:val="20"/>
          <w:color w:val="auto"/>
        </w:rPr>
      </w:pPr>
    </w:p>
    <w:p>
      <w:pPr>
        <w:ind w:left="360" w:right="600" w:hanging="279"/>
        <w:spacing w:after="0" w:line="34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DVVHVVLQJWKHHIIHFWLYHQHVVDQGSHUIRUPDQFHRIRXU%RDUGDQGLWV FRPPLWWHHVDQGUHFRPPHQGLQJDQGLPSOHPHQWLQJRXU%RDUG¶VVHOI HYDOXDWLRQSURFHVV</w:t>
      </w:r>
    </w:p>
    <w:p>
      <w:pPr>
        <w:spacing w:after="0" w:line="3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RYHUVHHLQJRXU(6*VWUDWHJ\DQGSUDFWLFHVDQGSHULRGLFDOO\UHYLHZLQJDQG</w:t>
      </w:r>
    </w:p>
    <w:p>
      <w:pPr>
        <w:spacing w:after="0" w:line="67"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GLVFXVVLQJZLWKPDQDJHPHQWRXUSUDFWLFHVZLWKUHVSHFWWR(6*PDWWHUV</w:t>
      </w:r>
    </w:p>
    <w:p>
      <w:pPr>
        <w:spacing w:after="0" w:line="44" w:lineRule="exact"/>
        <w:rPr>
          <w:sz w:val="20"/>
          <w:szCs w:val="20"/>
          <w:color w:val="auto"/>
        </w:rPr>
      </w:pPr>
    </w:p>
    <w:p>
      <w:pPr>
        <w:ind w:left="360"/>
        <w:spacing w:after="0"/>
        <w:rPr>
          <w:sz w:val="20"/>
          <w:szCs w:val="20"/>
          <w:color w:val="auto"/>
        </w:rPr>
      </w:pPr>
      <w:r>
        <w:rPr>
          <w:rFonts w:ascii="PMingLiU" w:cs="PMingLiU" w:eastAsia="PMingLiU" w:hAnsi="PMingLiU"/>
          <w:sz w:val="17"/>
          <w:szCs w:val="17"/>
          <w:color w:val="auto"/>
        </w:rPr>
        <w:t>WKDWDUHH[SHFWHGWRKDYHDVLJQLILFDQWLPSDFWRQRXUSHUIRUPDQFH</w:t>
      </w:r>
    </w:p>
    <w:p>
      <w:pPr>
        <w:spacing w:after="0" w:line="28"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EXVLQHVVDFWLYLWLHVRUUHSXWDWLRQDQG</w:t>
      </w:r>
    </w:p>
    <w:p>
      <w:pPr>
        <w:spacing w:after="0" w:line="130" w:lineRule="exact"/>
        <w:rPr>
          <w:sz w:val="20"/>
          <w:szCs w:val="20"/>
          <w:color w:val="auto"/>
        </w:rPr>
      </w:pPr>
    </w:p>
    <w:p>
      <w:pPr>
        <w:ind w:left="360" w:right="140" w:hanging="279"/>
        <w:spacing w:after="0" w:line="38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UHYLHZLQJGLVFXVVLQJDQGDVVHVVLQJWKHSHUIRUPDQFHRIRXU%RDUG LQFOXGLQJFRPPLWWHHVRIRXUERDUGVHHNLQJLQSXWIURPDOOGLUHFWRUVVHQLRU PDQDJHPHQWDQGRWKHUV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2159000</wp:posOffset>
            </wp:positionV>
            <wp:extent cx="1386840" cy="2336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3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ectPr>
          <w:pgSz w:w="11880" w:h="15479" w:orient="portrait"/>
          <w:cols w:equalWidth="0" w:num="2">
            <w:col w:w="3080" w:space="560"/>
            <w:col w:w="6340"/>
          </w:cols>
          <w:pgMar w:left="940" w:top="377" w:right="959" w:bottom="0" w:gutter="0" w:footer="0" w:header="0"/>
        </w:sectPr>
      </w:pPr>
    </w:p>
    <w:bookmarkStart w:id="44" w:name="page45"/>
    <w:bookmarkEnd w:id="44"/>
    <w:p>
      <w:pPr>
        <w:ind w:left="74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93" o:spid="_x0000_s1318"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325755</wp:posOffset>
            </wp:positionV>
            <wp:extent cx="2162175" cy="4343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33">
                      <a:extLst>
                        <a:ext uri="{28A0092B-C50C-407E-A947-70E740481C1C}"/>
                      </a:extLst>
                    </a:blip>
                    <a:srcRect/>
                    <a:stretch>
                      <a:fillRect/>
                    </a:stretch>
                  </pic:blipFill>
                  <pic:spPr bwMode="auto">
                    <a:xfrm>
                      <a:off x="0" y="0"/>
                      <a:ext cx="2162175" cy="4343400"/>
                    </a:xfrm>
                    <a:prstGeom prst="rect">
                      <a:avLst/>
                    </a:prstGeom>
                    <a:noFill/>
                  </pic:spPr>
                </pic:pic>
              </a:graphicData>
            </a:graphic>
          </wp:anchor>
        </w:drawing>
      </w:r>
    </w:p>
    <w:p>
      <w:pPr>
        <w:sectPr>
          <w:pgSz w:w="11880" w:h="15479" w:orient="portrait"/>
          <w:cols w:equalWidth="0" w:num="1">
            <w:col w:w="9740"/>
          </w:cols>
          <w:pgMar w:left="1180" w:top="377" w:right="9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40"/>
        <w:spacing w:after="0" w:line="267" w:lineRule="auto"/>
        <w:rPr>
          <w:sz w:val="20"/>
          <w:szCs w:val="20"/>
          <w:color w:val="auto"/>
        </w:rPr>
      </w:pPr>
      <w:r>
        <w:rPr>
          <w:rFonts w:ascii="PMingLiU" w:cs="PMingLiU" w:eastAsia="PMingLiU" w:hAnsi="PMingLiU"/>
          <w:sz w:val="39"/>
          <w:szCs w:val="39"/>
          <w:b w:val="1"/>
          <w:bCs w:val="1"/>
          <w:color w:val="000046"/>
        </w:rPr>
        <w:t>6FLHQFHDQG 0HGLFLQH &amp;RPPLWWHH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00"/>
        <w:spacing w:after="0" w:line="358" w:lineRule="auto"/>
        <w:rPr>
          <w:sz w:val="20"/>
          <w:szCs w:val="20"/>
          <w:color w:val="auto"/>
        </w:rPr>
      </w:pPr>
      <w:r>
        <w:rPr>
          <w:rFonts w:ascii="PMingLiU" w:cs="PMingLiU" w:eastAsia="PMingLiU" w:hAnsi="PMingLiU"/>
          <w:sz w:val="15"/>
          <w:szCs w:val="15"/>
          <w:color w:val="auto"/>
        </w:rPr>
        <w:t>2XU60&amp;LVJRYHUQHGE\DUHJXODUO\UHYLHZHG%RDUGDSSURYHGFKDUWHUZKLFK LVDYDLODEOHRQRXU:HEVLWH2XU60&amp;LVDQDGYLVRU\FRPPLWWHHZKLFKUHYLHZV 5 'DQGWHFKQRORJ\LQLWLDWLYHV6SHFLILFUHVSRQVLELOLWLHVRIRXU60&amp;LQFOXGH</w:t>
      </w:r>
    </w:p>
    <w:p>
      <w:pPr>
        <w:spacing w:after="0" w:line="33" w:lineRule="exact"/>
        <w:rPr>
          <w:sz w:val="20"/>
          <w:szCs w:val="20"/>
          <w:color w:val="auto"/>
        </w:rPr>
      </w:pPr>
    </w:p>
    <w:p>
      <w:pPr>
        <w:ind w:left="360" w:right="420" w:hanging="279"/>
        <w:spacing w:after="0" w:line="314"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UHYLHZDQGDGYLVHPDQDJHPHQWDQGRXU%RDUGUHJDUGLQJWKHVWUDWHJ\ GLUHFWLRQYDOXHDQGSURJUHVVRIRXU5 'SURJUDPSLSHOLQHDQG</w:t>
      </w:r>
    </w:p>
    <w:p>
      <w:pPr>
        <w:ind w:left="360"/>
        <w:spacing w:after="0"/>
        <w:rPr>
          <w:sz w:val="20"/>
          <w:szCs w:val="20"/>
          <w:color w:val="auto"/>
        </w:rPr>
      </w:pPr>
      <w:r>
        <w:rPr>
          <w:rFonts w:ascii="PMingLiU" w:cs="PMingLiU" w:eastAsia="PMingLiU" w:hAnsi="PMingLiU"/>
          <w:sz w:val="18"/>
          <w:szCs w:val="18"/>
          <w:color w:val="auto"/>
        </w:rPr>
        <w:t>WHFKQRORJ\SODWIRUPV</w:t>
      </w:r>
    </w:p>
    <w:p>
      <w:pPr>
        <w:spacing w:after="0" w:line="100" w:lineRule="exact"/>
        <w:rPr>
          <w:sz w:val="20"/>
          <w:szCs w:val="20"/>
          <w:color w:val="auto"/>
        </w:rPr>
      </w:pPr>
    </w:p>
    <w:p>
      <w:pPr>
        <w:sectPr>
          <w:pgSz w:w="11880" w:h="15479" w:orient="portrait"/>
          <w:cols w:equalWidth="0" w:num="2">
            <w:col w:w="2680" w:space="720"/>
            <w:col w:w="6340"/>
          </w:cols>
          <w:pgMar w:left="1180" w:top="377" w:right="959" w:bottom="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2600" w:type="dxa"/>
            <w:vAlign w:val="bottom"/>
          </w:tcPr>
          <w:p>
            <w:pPr>
              <w:spacing w:after="0"/>
              <w:rPr>
                <w:sz w:val="20"/>
                <w:szCs w:val="20"/>
                <w:color w:val="auto"/>
              </w:rPr>
            </w:pPr>
            <w:r>
              <w:rPr>
                <w:rFonts w:ascii="PMingLiU" w:cs="PMingLiU" w:eastAsia="PMingLiU" w:hAnsi="PMingLiU"/>
                <w:sz w:val="16"/>
                <w:szCs w:val="16"/>
                <w:b w:val="1"/>
                <w:bCs w:val="1"/>
                <w:color w:val="2D2C36"/>
              </w:rPr>
              <w:t>&amp;+$,5</w:t>
            </w:r>
          </w:p>
        </w:tc>
        <w:tc>
          <w:tcPr>
            <w:tcW w:w="106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87"/>
              </w:rPr>
              <w:t>UHYLHZDQGDGYLVHPDQDJHPHQWDQGRXU%RDUGRQSHUWLQHQWVFLHQWLILF</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90"/>
              </w:rPr>
              <w:t>WHFKQRORJLFDODQGPHGLFDOHOHPHQWVRIRXUFRUSRUDWHGHYHORSPHQW</w:t>
            </w: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rPr>
              <w:t>RSSRUWXQLWLHVDQGWUDQVDFWLRQV</w:t>
            </w: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98"/>
              </w:rPr>
              <w:t>UHYLHZDQGDGYLVHPDQDJHPHQWDQGRXU%RDUGRQRXU5 'UHVRXUFH</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73"/>
              </w:rPr>
              <w:t>DOORFDWLRQVWUDWHJ\LQFOXGLQJLQWHUQDODQGH[WHUQDOLQYHVWPHQWVLQYHVWPHQW</w:t>
            </w: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r>
              <w:rPr>
                <w:rFonts w:ascii="PMingLiU" w:cs="PMingLiU" w:eastAsia="PMingLiU" w:hAnsi="PMingLiU"/>
                <w:sz w:val="16"/>
                <w:szCs w:val="16"/>
                <w:color w:val="2D2C36"/>
              </w:rPr>
              <w:t>1RUEHUW*5LHGHO3K'</w:t>
            </w: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85"/>
              </w:rPr>
              <w:t>DOORFDWLRQDFURVV5 'VWDJHVDFURVVIUDQFKLVHVWKHUDSHXWLFDUHDVDQG</w:t>
            </w:r>
          </w:p>
        </w:tc>
        <w:tc>
          <w:tcPr>
            <w:tcW w:w="0" w:type="dxa"/>
            <w:vAlign w:val="bottom"/>
          </w:tcPr>
          <w:p>
            <w:pPr>
              <w:spacing w:after="0"/>
              <w:rPr>
                <w:sz w:val="1"/>
                <w:szCs w:val="1"/>
                <w:color w:val="auto"/>
              </w:rPr>
            </w:pPr>
          </w:p>
        </w:tc>
      </w:tr>
      <w:tr>
        <w:trPr>
          <w:trHeight w:val="239"/>
        </w:trPr>
        <w:tc>
          <w:tcPr>
            <w:tcW w:w="2600" w:type="dxa"/>
            <w:vAlign w:val="bottom"/>
            <w:vMerge w:val="restart"/>
          </w:tcPr>
          <w:p>
            <w:pPr>
              <w:spacing w:after="0"/>
              <w:rPr>
                <w:sz w:val="20"/>
                <w:szCs w:val="20"/>
                <w:color w:val="auto"/>
              </w:rPr>
            </w:pPr>
            <w:r>
              <w:rPr>
                <w:rFonts w:ascii="PMingLiU" w:cs="PMingLiU" w:eastAsia="PMingLiU" w:hAnsi="PMingLiU"/>
                <w:sz w:val="16"/>
                <w:szCs w:val="16"/>
                <w:b w:val="1"/>
                <w:bCs w:val="1"/>
                <w:color w:val="2D2C36"/>
              </w:rPr>
              <w:t>0(0%(56</w:t>
            </w: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rPr>
              <w:t>WHFKQRORJ\SODWIRUPV</w:t>
            </w:r>
          </w:p>
        </w:tc>
        <w:tc>
          <w:tcPr>
            <w:tcW w:w="0" w:type="dxa"/>
            <w:vAlign w:val="bottom"/>
          </w:tcPr>
          <w:p>
            <w:pPr>
              <w:spacing w:after="0"/>
              <w:rPr>
                <w:sz w:val="1"/>
                <w:szCs w:val="1"/>
                <w:color w:val="auto"/>
              </w:rPr>
            </w:pPr>
          </w:p>
        </w:tc>
      </w:tr>
      <w:tr>
        <w:trPr>
          <w:trHeight w:val="167"/>
        </w:trPr>
        <w:tc>
          <w:tcPr>
            <w:tcW w:w="2600" w:type="dxa"/>
            <w:vAlign w:val="bottom"/>
            <w:vMerge w:val="continue"/>
          </w:tcPr>
          <w:p>
            <w:pPr>
              <w:spacing w:after="0"/>
              <w:rPr>
                <w:sz w:val="14"/>
                <w:szCs w:val="14"/>
                <w:color w:val="auto"/>
              </w:rPr>
            </w:pPr>
          </w:p>
        </w:tc>
        <w:tc>
          <w:tcPr>
            <w:tcW w:w="1060" w:type="dxa"/>
            <w:vAlign w:val="bottom"/>
            <w:vMerge w:val="restart"/>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000" w:type="dxa"/>
            <w:vAlign w:val="bottom"/>
            <w:vMerge w:val="restart"/>
          </w:tcPr>
          <w:p>
            <w:pPr>
              <w:ind w:left="100"/>
              <w:spacing w:after="0"/>
              <w:rPr>
                <w:sz w:val="20"/>
                <w:szCs w:val="20"/>
                <w:color w:val="auto"/>
              </w:rPr>
            </w:pPr>
            <w:r>
              <w:rPr>
                <w:rFonts w:ascii="PMingLiU" w:cs="PMingLiU" w:eastAsia="PMingLiU" w:hAnsi="PMingLiU"/>
                <w:sz w:val="18"/>
                <w:szCs w:val="18"/>
                <w:color w:val="auto"/>
                <w:w w:val="90"/>
              </w:rPr>
              <w:t>LGHQWLI\DQGGLVFXVVQHZDQGHPHUJLQJWUHQGVLQSKDUPDFHXWLFDODQG</w:t>
            </w:r>
          </w:p>
        </w:tc>
        <w:tc>
          <w:tcPr>
            <w:tcW w:w="0" w:type="dxa"/>
            <w:vAlign w:val="bottom"/>
          </w:tcPr>
          <w:p>
            <w:pPr>
              <w:spacing w:after="0"/>
              <w:rPr>
                <w:sz w:val="1"/>
                <w:szCs w:val="1"/>
                <w:color w:val="auto"/>
              </w:rPr>
            </w:pPr>
          </w:p>
        </w:tc>
      </w:tr>
      <w:tr>
        <w:trPr>
          <w:trHeight w:val="179"/>
        </w:trPr>
        <w:tc>
          <w:tcPr>
            <w:tcW w:w="2600" w:type="dxa"/>
            <w:vAlign w:val="bottom"/>
            <w:vMerge w:val="restart"/>
          </w:tcPr>
          <w:p>
            <w:pPr>
              <w:spacing w:after="0"/>
              <w:rPr>
                <w:sz w:val="20"/>
                <w:szCs w:val="20"/>
                <w:color w:val="auto"/>
              </w:rPr>
            </w:pPr>
            <w:r>
              <w:rPr>
                <w:rFonts w:ascii="PMingLiU" w:cs="PMingLiU" w:eastAsia="PMingLiU" w:hAnsi="PMingLiU"/>
                <w:sz w:val="16"/>
                <w:szCs w:val="16"/>
                <w:color w:val="2D2C36"/>
              </w:rPr>
              <w:t>-HQQLIHU(&amp;RRN</w:t>
            </w:r>
          </w:p>
        </w:tc>
        <w:tc>
          <w:tcPr>
            <w:tcW w:w="1060" w:type="dxa"/>
            <w:vAlign w:val="bottom"/>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6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6000" w:type="dxa"/>
            <w:vAlign w:val="bottom"/>
            <w:vMerge w:val="restart"/>
          </w:tcPr>
          <w:p>
            <w:pPr>
              <w:ind w:left="100"/>
              <w:spacing w:after="0"/>
              <w:rPr>
                <w:sz w:val="20"/>
                <w:szCs w:val="20"/>
                <w:color w:val="auto"/>
              </w:rPr>
            </w:pPr>
            <w:r>
              <w:rPr>
                <w:rFonts w:ascii="PMingLiU" w:cs="PMingLiU" w:eastAsia="PMingLiU" w:hAnsi="PMingLiU"/>
                <w:sz w:val="18"/>
                <w:szCs w:val="18"/>
                <w:color w:val="auto"/>
              </w:rPr>
              <w:t>ELRWHFKQRORJLFDOVFLHQFHWHFKQRORJ\DQGUHJXODWLRQDQG</w:t>
            </w:r>
          </w:p>
        </w:tc>
        <w:tc>
          <w:tcPr>
            <w:tcW w:w="0" w:type="dxa"/>
            <w:vAlign w:val="bottom"/>
          </w:tcPr>
          <w:p>
            <w:pPr>
              <w:spacing w:after="0"/>
              <w:rPr>
                <w:sz w:val="1"/>
                <w:szCs w:val="1"/>
                <w:color w:val="auto"/>
              </w:rPr>
            </w:pPr>
          </w:p>
        </w:tc>
      </w:tr>
      <w:tr>
        <w:trPr>
          <w:trHeight w:val="153"/>
        </w:trPr>
        <w:tc>
          <w:tcPr>
            <w:tcW w:w="2600" w:type="dxa"/>
            <w:vAlign w:val="bottom"/>
            <w:vMerge w:val="restart"/>
          </w:tcPr>
          <w:p>
            <w:pPr>
              <w:spacing w:after="0"/>
              <w:rPr>
                <w:sz w:val="20"/>
                <w:szCs w:val="20"/>
                <w:color w:val="auto"/>
              </w:rPr>
            </w:pPr>
            <w:r>
              <w:rPr>
                <w:rFonts w:ascii="PMingLiU" w:cs="PMingLiU" w:eastAsia="PMingLiU" w:hAnsi="PMingLiU"/>
                <w:sz w:val="16"/>
                <w:szCs w:val="16"/>
                <w:color w:val="2D2C36"/>
              </w:rPr>
              <w:t>7HG:/RYH0'</w:t>
            </w:r>
          </w:p>
        </w:tc>
        <w:tc>
          <w:tcPr>
            <w:tcW w:w="106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600" w:type="dxa"/>
            <w:vAlign w:val="bottom"/>
            <w:vMerge w:val="continue"/>
          </w:tcPr>
          <w:p>
            <w:pPr>
              <w:spacing w:after="0"/>
              <w:rPr>
                <w:sz w:val="10"/>
                <w:szCs w:val="10"/>
                <w:color w:val="auto"/>
              </w:rPr>
            </w:pPr>
          </w:p>
        </w:tc>
        <w:tc>
          <w:tcPr>
            <w:tcW w:w="1060" w:type="dxa"/>
            <w:vAlign w:val="bottom"/>
            <w:vMerge w:val="restart"/>
          </w:tcPr>
          <w:p>
            <w:pPr>
              <w:jc w:val="right"/>
              <w:ind w:right="10"/>
              <w:spacing w:after="0"/>
              <w:rPr>
                <w:sz w:val="20"/>
                <w:szCs w:val="20"/>
                <w:color w:val="auto"/>
              </w:rPr>
            </w:pPr>
            <w:r>
              <w:rPr>
                <w:rFonts w:ascii="PMingLiU" w:cs="PMingLiU" w:eastAsia="PMingLiU" w:hAnsi="PMingLiU"/>
                <w:sz w:val="18"/>
                <w:szCs w:val="18"/>
                <w:b w:val="1"/>
                <w:bCs w:val="1"/>
                <w:color w:val="000046"/>
              </w:rPr>
              <w:t></w:t>
            </w:r>
          </w:p>
        </w:tc>
        <w:tc>
          <w:tcPr>
            <w:tcW w:w="6000" w:type="dxa"/>
            <w:vAlign w:val="bottom"/>
            <w:vMerge w:val="restart"/>
          </w:tcPr>
          <w:p>
            <w:pPr>
              <w:ind w:left="100"/>
              <w:spacing w:after="0"/>
              <w:rPr>
                <w:sz w:val="20"/>
                <w:szCs w:val="20"/>
                <w:color w:val="auto"/>
              </w:rPr>
            </w:pPr>
            <w:r>
              <w:rPr>
                <w:rFonts w:ascii="PMingLiU" w:cs="PMingLiU" w:eastAsia="PMingLiU" w:hAnsi="PMingLiU"/>
                <w:sz w:val="18"/>
                <w:szCs w:val="18"/>
                <w:color w:val="auto"/>
                <w:w w:val="94"/>
              </w:rPr>
              <w:t>UHYLHZLQJGLVFXVVLQJDQGDVVHVVLQJWKHSHUIRUPDQFHRIRXU%RDUG</w:t>
            </w:r>
          </w:p>
        </w:tc>
        <w:tc>
          <w:tcPr>
            <w:tcW w:w="0" w:type="dxa"/>
            <w:vAlign w:val="bottom"/>
          </w:tcPr>
          <w:p>
            <w:pPr>
              <w:spacing w:after="0"/>
              <w:rPr>
                <w:sz w:val="1"/>
                <w:szCs w:val="1"/>
                <w:color w:val="auto"/>
              </w:rPr>
            </w:pPr>
          </w:p>
        </w:tc>
      </w:tr>
      <w:tr>
        <w:trPr>
          <w:trHeight w:val="226"/>
        </w:trPr>
        <w:tc>
          <w:tcPr>
            <w:tcW w:w="2600" w:type="dxa"/>
            <w:vAlign w:val="bottom"/>
          </w:tcPr>
          <w:p>
            <w:pPr>
              <w:spacing w:after="0"/>
              <w:rPr>
                <w:sz w:val="20"/>
                <w:szCs w:val="20"/>
                <w:color w:val="auto"/>
              </w:rPr>
            </w:pPr>
            <w:r>
              <w:rPr>
                <w:rFonts w:ascii="PMingLiU" w:cs="PMingLiU" w:eastAsia="PMingLiU" w:hAnsi="PMingLiU"/>
                <w:sz w:val="16"/>
                <w:szCs w:val="16"/>
                <w:color w:val="2D2C36"/>
              </w:rPr>
              <w:t>6HDPXV&amp;0XOOLJDQ</w:t>
            </w:r>
          </w:p>
        </w:tc>
        <w:tc>
          <w:tcPr>
            <w:tcW w:w="1060" w:type="dxa"/>
            <w:vAlign w:val="bottom"/>
            <w:vMerge w:val="continue"/>
          </w:tcPr>
          <w:p>
            <w:pPr>
              <w:spacing w:after="0"/>
              <w:rPr>
                <w:sz w:val="19"/>
                <w:szCs w:val="19"/>
                <w:color w:val="auto"/>
              </w:rPr>
            </w:pPr>
          </w:p>
        </w:tc>
        <w:tc>
          <w:tcPr>
            <w:tcW w:w="6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00" w:type="dxa"/>
            <w:vAlign w:val="bottom"/>
            <w:vMerge w:val="restart"/>
          </w:tcPr>
          <w:p>
            <w:pPr>
              <w:spacing w:after="0"/>
              <w:rPr>
                <w:sz w:val="20"/>
                <w:szCs w:val="20"/>
                <w:color w:val="auto"/>
              </w:rPr>
            </w:pPr>
            <w:r>
              <w:rPr>
                <w:rFonts w:ascii="PMingLiU" w:cs="PMingLiU" w:eastAsia="PMingLiU" w:hAnsi="PMingLiU"/>
                <w:sz w:val="16"/>
                <w:szCs w:val="16"/>
                <w:color w:val="2D2C36"/>
              </w:rPr>
              <w:t>0DUN'6PLWK0'</w:t>
            </w:r>
          </w:p>
        </w:tc>
        <w:tc>
          <w:tcPr>
            <w:tcW w:w="106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PMingLiU" w:cs="PMingLiU" w:eastAsia="PMingLiU" w:hAnsi="PMingLiU"/>
                <w:sz w:val="18"/>
                <w:szCs w:val="18"/>
                <w:color w:val="auto"/>
                <w:w w:val="85"/>
              </w:rPr>
              <w:t>LQFOXGLQJFRPPLWWHHVRIRXU%RDUGVHHNLQJLQSXWIURPGLUHFWRUVVHQLRU</w:t>
            </w:r>
          </w:p>
        </w:tc>
        <w:tc>
          <w:tcPr>
            <w:tcW w:w="0" w:type="dxa"/>
            <w:vAlign w:val="bottom"/>
          </w:tcPr>
          <w:p>
            <w:pPr>
              <w:spacing w:after="0"/>
              <w:rPr>
                <w:sz w:val="1"/>
                <w:szCs w:val="1"/>
                <w:color w:val="auto"/>
              </w:rPr>
            </w:pPr>
          </w:p>
        </w:tc>
      </w:tr>
      <w:tr>
        <w:trPr>
          <w:trHeight w:val="88"/>
        </w:trPr>
        <w:tc>
          <w:tcPr>
            <w:tcW w:w="26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6000" w:type="dxa"/>
            <w:vAlign w:val="bottom"/>
            <w:vMerge w:val="restart"/>
          </w:tcPr>
          <w:p>
            <w:pPr>
              <w:ind w:left="100"/>
              <w:spacing w:after="0"/>
              <w:rPr>
                <w:sz w:val="20"/>
                <w:szCs w:val="20"/>
                <w:color w:val="auto"/>
              </w:rPr>
            </w:pPr>
            <w:r>
              <w:rPr>
                <w:rFonts w:ascii="PMingLiU" w:cs="PMingLiU" w:eastAsia="PMingLiU" w:hAnsi="PMingLiU"/>
                <w:sz w:val="18"/>
                <w:szCs w:val="18"/>
                <w:color w:val="auto"/>
              </w:rPr>
              <w:t>PDQDJHPHQWDQGRWKHUV</w:t>
            </w:r>
          </w:p>
        </w:tc>
        <w:tc>
          <w:tcPr>
            <w:tcW w:w="0" w:type="dxa"/>
            <w:vAlign w:val="bottom"/>
          </w:tcPr>
          <w:p>
            <w:pPr>
              <w:spacing w:after="0"/>
              <w:rPr>
                <w:sz w:val="1"/>
                <w:szCs w:val="1"/>
                <w:color w:val="auto"/>
              </w:rPr>
            </w:pPr>
          </w:p>
        </w:tc>
      </w:tr>
      <w:tr>
        <w:trPr>
          <w:trHeight w:val="151"/>
        </w:trPr>
        <w:tc>
          <w:tcPr>
            <w:tcW w:w="2600" w:type="dxa"/>
            <w:vAlign w:val="bottom"/>
            <w:vMerge w:val="restart"/>
          </w:tcPr>
          <w:p>
            <w:pPr>
              <w:spacing w:after="0"/>
              <w:rPr>
                <w:sz w:val="20"/>
                <w:szCs w:val="20"/>
                <w:color w:val="auto"/>
              </w:rPr>
            </w:pPr>
            <w:r>
              <w:rPr>
                <w:rFonts w:ascii="PMingLiU" w:cs="PMingLiU" w:eastAsia="PMingLiU" w:hAnsi="PMingLiU"/>
                <w:sz w:val="16"/>
                <w:szCs w:val="16"/>
                <w:color w:val="2D2C36"/>
              </w:rPr>
              <w:t>5LFN(:LQQLQJKDP</w:t>
            </w:r>
          </w:p>
        </w:tc>
        <w:tc>
          <w:tcPr>
            <w:tcW w:w="106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6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PMingLiU" w:cs="PMingLiU" w:eastAsia="PMingLiU" w:hAnsi="PMingLiU"/>
          <w:sz w:val="60"/>
          <w:szCs w:val="60"/>
          <w:color w:val="000046"/>
        </w:rPr>
        <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16"/>
          <w:szCs w:val="16"/>
          <w:color w:val="2D2C36"/>
        </w:rPr>
        <w:t>0((7,1*6+(/''85,1*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4703445</wp:posOffset>
            </wp:positionV>
            <wp:extent cx="1386840" cy="2336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3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9740"/>
          </w:cols>
          <w:pgMar w:left="1180" w:top="377" w:right="959" w:bottom="0" w:gutter="0" w:footer="0" w:header="0"/>
          <w:type w:val="continuous"/>
        </w:sectPr>
      </w:pPr>
    </w:p>
    <w:bookmarkStart w:id="45" w:name="page46"/>
    <w:bookmarkEnd w:id="4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96" o:spid="_x0000_s1321"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6KDUHKROGHU(QJDJHPHQW</w:t>
      </w:r>
    </w:p>
    <w:p>
      <w:pPr>
        <w:spacing w:after="0" w:line="219" w:lineRule="exact"/>
        <w:rPr>
          <w:sz w:val="20"/>
          <w:szCs w:val="20"/>
          <w:color w:val="auto"/>
        </w:rPr>
      </w:pPr>
    </w:p>
    <w:p>
      <w:pPr>
        <w:ind w:right="100"/>
        <w:spacing w:after="0" w:line="362" w:lineRule="auto"/>
        <w:rPr>
          <w:sz w:val="20"/>
          <w:szCs w:val="20"/>
          <w:color w:val="auto"/>
        </w:rPr>
      </w:pPr>
      <w:r>
        <w:rPr>
          <w:rFonts w:ascii="PMingLiU" w:cs="PMingLiU" w:eastAsia="PMingLiU" w:hAnsi="PMingLiU"/>
          <w:sz w:val="14"/>
          <w:szCs w:val="14"/>
          <w:color w:val="auto"/>
        </w:rPr>
        <w:t>:HSURDFWLYHO\HQJDJHZLWKRXUVKDUHKROGHUVWKURXJKRXWWKH\HDUWREHWWHUXQGHUVWDQGWKHLUSULRULWLHVDQGSHUVSHFWLYHVRQ VLJQLILFDQWLVVXHVLQPDQ\IRUPVDQGIRUXPVIURPLQGXVWU\FRQIHUHQFHVQRQGHDOURDGVKRZVWRGLUHFWRQHRQRQHPHHWLQJV 7KURXJKWKHVHHQJDJHPHQWVZHKDYHREWDLQHGYDOXDEOHLQVLJKWVRQWKHLUWKRXJKWVUHJDUGLQJDYDULHW\RIWRSLFVLQFOXGLQJRXU &amp;RPSDQ\¶VSHUIRUPDQFHDQGVWUDWHJ\H[HFXWLYHFRPSHQVDWLRQPDWWHUVFRUSRUDWHJRYHUQDQFHSUDFWLFHVDQGHQYLURQPHQWDO DQGVRFLDOPDWWHUV(QJDJHPHQWSDUWLFLSDQWVLQFOXGHPHPEHUVRIVHQLRUPDQDJHPHQWDQGRXU%RDUG:HFRQVLGHUIHHGEDFN DQGLQVLJKWVIURPVKDUHKROGHUVDVZHUHYLHZRXUSUDFWLFHVDQGGLVFORVXUHVWKURXJKRXWWKH\HDU</w:t>
      </w:r>
    </w:p>
    <w:p>
      <w:pPr>
        <w:spacing w:after="0" w:line="97"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7KHIROORZLQJJUDSKLFGHVFULEHVRXUW\SLFDOVKDUHKROGHURXWUHDFKDQGHQJDJHPHQWF\FOH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160655</wp:posOffset>
            </wp:positionV>
            <wp:extent cx="6334125" cy="31623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35">
                      <a:extLst>
                        <a:ext uri="{28A0092B-C50C-407E-A947-70E740481C1C}"/>
                      </a:extLst>
                    </a:blip>
                    <a:srcRect/>
                    <a:stretch>
                      <a:fillRect/>
                    </a:stretch>
                  </pic:blipFill>
                  <pic:spPr bwMode="auto">
                    <a:xfrm>
                      <a:off x="0" y="0"/>
                      <a:ext cx="6334125"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40" w:type="dxa"/>
        <w:tblCellMar>
          <w:top w:w="0" w:type="dxa"/>
          <w:left w:w="0" w:type="dxa"/>
          <w:bottom w:w="0" w:type="dxa"/>
          <w:right w:w="0" w:type="dxa"/>
        </w:tblCellMar>
      </w:tblPr>
      <w:tr>
        <w:trPr>
          <w:trHeight w:val="380"/>
        </w:trPr>
        <w:tc>
          <w:tcPr>
            <w:tcW w:w="300" w:type="dxa"/>
            <w:vAlign w:val="bottom"/>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8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'LVFXVVEXVLQHVV</w:t>
            </w:r>
          </w:p>
        </w:tc>
        <w:tc>
          <w:tcPr>
            <w:tcW w:w="380" w:type="dxa"/>
            <w:vAlign w:val="bottom"/>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4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6KDUHKROGHUVFDQ</w:t>
            </w:r>
          </w:p>
        </w:tc>
        <w:tc>
          <w:tcPr>
            <w:tcW w:w="360" w:type="dxa"/>
            <w:vAlign w:val="bottom"/>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:KHUHDSSURSULDWH</w:t>
            </w:r>
          </w:p>
        </w:tc>
        <w:tc>
          <w:tcPr>
            <w:tcW w:w="380" w:type="dxa"/>
            <w:vAlign w:val="bottom"/>
            <w:shd w:val="clear" w:color="auto" w:fill="F3F3F1"/>
          </w:tcPr>
          <w:p>
            <w:pPr>
              <w:jc w:val="right"/>
              <w:ind w:right="40"/>
              <w:spacing w:after="0"/>
              <w:rPr>
                <w:sz w:val="20"/>
                <w:szCs w:val="20"/>
                <w:color w:val="auto"/>
              </w:rPr>
            </w:pPr>
            <w:r>
              <w:rPr>
                <w:rFonts w:ascii="PMingLiU" w:cs="PMingLiU" w:eastAsia="PMingLiU" w:hAnsi="PMingLiU"/>
                <w:sz w:val="16"/>
                <w:szCs w:val="16"/>
                <w:b w:val="1"/>
                <w:bCs w:val="1"/>
                <w:color w:val="2D2C36"/>
              </w:rPr>
              <w:t></w:t>
            </w: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:KHUHDSSURSULDWH</w:t>
            </w:r>
          </w:p>
        </w:tc>
        <w:tc>
          <w:tcPr>
            <w:tcW w:w="0" w:type="dxa"/>
            <w:vAlign w:val="bottom"/>
          </w:tcPr>
          <w:p>
            <w:pPr>
              <w:spacing w:after="0"/>
              <w:rPr>
                <w:sz w:val="1"/>
                <w:szCs w:val="1"/>
                <w:color w:val="auto"/>
              </w:rPr>
            </w:pPr>
          </w:p>
        </w:tc>
      </w:tr>
      <w:tr>
        <w:trPr>
          <w:trHeight w:val="192"/>
        </w:trPr>
        <w:tc>
          <w:tcPr>
            <w:tcW w:w="300" w:type="dxa"/>
            <w:vAlign w:val="bottom"/>
            <w:shd w:val="clear" w:color="auto" w:fill="F3F3F1"/>
          </w:tcPr>
          <w:p>
            <w:pPr>
              <w:spacing w:after="0"/>
              <w:rPr>
                <w:sz w:val="16"/>
                <w:szCs w:val="16"/>
                <w:color w:val="auto"/>
              </w:rPr>
            </w:pPr>
          </w:p>
        </w:tc>
        <w:tc>
          <w:tcPr>
            <w:tcW w:w="18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VWUDWHJ\DQG</w:t>
            </w:r>
          </w:p>
        </w:tc>
        <w:tc>
          <w:tcPr>
            <w:tcW w:w="380" w:type="dxa"/>
            <w:vAlign w:val="bottom"/>
            <w:shd w:val="clear" w:color="auto" w:fill="F3F3F1"/>
          </w:tcPr>
          <w:p>
            <w:pPr>
              <w:spacing w:after="0"/>
              <w:rPr>
                <w:sz w:val="16"/>
                <w:szCs w:val="16"/>
                <w:color w:val="auto"/>
              </w:rPr>
            </w:pPr>
          </w:p>
        </w:tc>
        <w:tc>
          <w:tcPr>
            <w:tcW w:w="194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HQJDJHZLWKXVE\</w:t>
            </w:r>
          </w:p>
        </w:tc>
        <w:tc>
          <w:tcPr>
            <w:tcW w:w="360" w:type="dxa"/>
            <w:vAlign w:val="bottom"/>
            <w:shd w:val="clear" w:color="auto" w:fill="F3F3F1"/>
          </w:tcPr>
          <w:p>
            <w:pPr>
              <w:spacing w:after="0"/>
              <w:rPr>
                <w:sz w:val="16"/>
                <w:szCs w:val="16"/>
                <w:color w:val="auto"/>
              </w:rPr>
            </w:pP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w w:val="89"/>
              </w:rPr>
              <w:t>GLVFXVVYRWHRXWFRPHV</w:t>
            </w:r>
          </w:p>
        </w:tc>
        <w:tc>
          <w:tcPr>
            <w:tcW w:w="380" w:type="dxa"/>
            <w:vAlign w:val="bottom"/>
            <w:shd w:val="clear" w:color="auto" w:fill="F3F3F1"/>
          </w:tcPr>
          <w:p>
            <w:pPr>
              <w:spacing w:after="0"/>
              <w:rPr>
                <w:sz w:val="16"/>
                <w:szCs w:val="16"/>
                <w:color w:val="auto"/>
              </w:rPr>
            </w:pP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VROLFLWDQGFRQVLGHU</w:t>
            </w:r>
          </w:p>
        </w:tc>
        <w:tc>
          <w:tcPr>
            <w:tcW w:w="0" w:type="dxa"/>
            <w:vAlign w:val="bottom"/>
          </w:tcPr>
          <w:p>
            <w:pPr>
              <w:spacing w:after="0"/>
              <w:rPr>
                <w:sz w:val="1"/>
                <w:szCs w:val="1"/>
                <w:color w:val="auto"/>
              </w:rPr>
            </w:pPr>
          </w:p>
        </w:tc>
      </w:tr>
      <w:tr>
        <w:trPr>
          <w:trHeight w:val="192"/>
        </w:trPr>
        <w:tc>
          <w:tcPr>
            <w:tcW w:w="300" w:type="dxa"/>
            <w:vAlign w:val="bottom"/>
            <w:shd w:val="clear" w:color="auto" w:fill="F3F3F1"/>
          </w:tcPr>
          <w:p>
            <w:pPr>
              <w:spacing w:after="0"/>
              <w:rPr>
                <w:sz w:val="16"/>
                <w:szCs w:val="16"/>
                <w:color w:val="auto"/>
              </w:rPr>
            </w:pPr>
          </w:p>
        </w:tc>
        <w:tc>
          <w:tcPr>
            <w:tcW w:w="18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SHUIRUPDQFH</w:t>
            </w:r>
          </w:p>
        </w:tc>
        <w:tc>
          <w:tcPr>
            <w:tcW w:w="380" w:type="dxa"/>
            <w:vAlign w:val="bottom"/>
            <w:shd w:val="clear" w:color="auto" w:fill="F3F3F1"/>
          </w:tcPr>
          <w:p>
            <w:pPr>
              <w:spacing w:after="0"/>
              <w:rPr>
                <w:sz w:val="16"/>
                <w:szCs w:val="16"/>
                <w:color w:val="auto"/>
              </w:rPr>
            </w:pPr>
          </w:p>
        </w:tc>
        <w:tc>
          <w:tcPr>
            <w:tcW w:w="194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w w:val="95"/>
              </w:rPr>
              <w:t>YRWLQJRQWKHYDULRXV</w:t>
            </w:r>
          </w:p>
        </w:tc>
        <w:tc>
          <w:tcPr>
            <w:tcW w:w="360" w:type="dxa"/>
            <w:vAlign w:val="bottom"/>
            <w:shd w:val="clear" w:color="auto" w:fill="F3F3F1"/>
          </w:tcPr>
          <w:p>
            <w:pPr>
              <w:spacing w:after="0"/>
              <w:rPr>
                <w:sz w:val="16"/>
                <w:szCs w:val="16"/>
                <w:color w:val="auto"/>
              </w:rPr>
            </w:pP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IURPRXU$*0LQOLJKW</w:t>
            </w:r>
          </w:p>
        </w:tc>
        <w:tc>
          <w:tcPr>
            <w:tcW w:w="380" w:type="dxa"/>
            <w:vAlign w:val="bottom"/>
            <w:shd w:val="clear" w:color="auto" w:fill="F3F3F1"/>
          </w:tcPr>
          <w:p>
            <w:pPr>
              <w:spacing w:after="0"/>
              <w:rPr>
                <w:sz w:val="16"/>
                <w:szCs w:val="16"/>
                <w:color w:val="auto"/>
              </w:rPr>
            </w:pP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w w:val="91"/>
              </w:rPr>
              <w:t>VKDUHKROGHUIHHGEDFNRQ</w:t>
            </w:r>
          </w:p>
        </w:tc>
        <w:tc>
          <w:tcPr>
            <w:tcW w:w="0" w:type="dxa"/>
            <w:vAlign w:val="bottom"/>
          </w:tcPr>
          <w:p>
            <w:pPr>
              <w:spacing w:after="0"/>
              <w:rPr>
                <w:sz w:val="1"/>
                <w:szCs w:val="1"/>
                <w:color w:val="auto"/>
              </w:rPr>
            </w:pPr>
          </w:p>
        </w:tc>
      </w:tr>
      <w:tr>
        <w:trPr>
          <w:trHeight w:val="192"/>
        </w:trPr>
        <w:tc>
          <w:tcPr>
            <w:tcW w:w="300" w:type="dxa"/>
            <w:vAlign w:val="bottom"/>
            <w:vMerge w:val="restart"/>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(GXFDWHDQGVHHN</w:t>
            </w:r>
          </w:p>
        </w:tc>
        <w:tc>
          <w:tcPr>
            <w:tcW w:w="380" w:type="dxa"/>
            <w:vAlign w:val="bottom"/>
            <w:shd w:val="clear" w:color="auto" w:fill="F3F3F1"/>
          </w:tcPr>
          <w:p>
            <w:pPr>
              <w:spacing w:after="0"/>
              <w:rPr>
                <w:sz w:val="16"/>
                <w:szCs w:val="16"/>
                <w:color w:val="auto"/>
              </w:rPr>
            </w:pPr>
          </w:p>
        </w:tc>
        <w:tc>
          <w:tcPr>
            <w:tcW w:w="194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SURSRVDOV</w:t>
            </w:r>
          </w:p>
        </w:tc>
        <w:tc>
          <w:tcPr>
            <w:tcW w:w="360" w:type="dxa"/>
            <w:vAlign w:val="bottom"/>
            <w:shd w:val="clear" w:color="auto" w:fill="F3F3F1"/>
          </w:tcPr>
          <w:p>
            <w:pPr>
              <w:spacing w:after="0"/>
              <w:rPr>
                <w:sz w:val="16"/>
                <w:szCs w:val="16"/>
                <w:color w:val="auto"/>
              </w:rPr>
            </w:pP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w w:val="94"/>
              </w:rPr>
              <w:t>RIH[LVWLQJJRYHUQDQFH</w:t>
            </w:r>
          </w:p>
        </w:tc>
        <w:tc>
          <w:tcPr>
            <w:tcW w:w="380" w:type="dxa"/>
            <w:vAlign w:val="bottom"/>
            <w:shd w:val="clear" w:color="auto" w:fill="F3F3F1"/>
          </w:tcPr>
          <w:p>
            <w:pPr>
              <w:spacing w:after="0"/>
              <w:rPr>
                <w:sz w:val="16"/>
                <w:szCs w:val="16"/>
                <w:color w:val="auto"/>
              </w:rPr>
            </w:pP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RXU%RDUGJRYHUQDQFH</w:t>
            </w:r>
          </w:p>
        </w:tc>
        <w:tc>
          <w:tcPr>
            <w:tcW w:w="0" w:type="dxa"/>
            <w:vAlign w:val="bottom"/>
          </w:tcPr>
          <w:p>
            <w:pPr>
              <w:spacing w:after="0"/>
              <w:rPr>
                <w:sz w:val="1"/>
                <w:szCs w:val="1"/>
                <w:color w:val="auto"/>
              </w:rPr>
            </w:pPr>
          </w:p>
        </w:tc>
      </w:tr>
      <w:tr>
        <w:trPr>
          <w:trHeight w:val="60"/>
        </w:trPr>
        <w:tc>
          <w:tcPr>
            <w:tcW w:w="300" w:type="dxa"/>
            <w:vAlign w:val="bottom"/>
            <w:vMerge w:val="continue"/>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DQGH[HFXWLYH</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DQGH[HFXWLYH</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IHHGEDFNRQDQ\</w:t>
            </w:r>
          </w:p>
        </w:tc>
        <w:tc>
          <w:tcPr>
            <w:tcW w:w="380" w:type="dxa"/>
            <w:vAlign w:val="bottom"/>
            <w:vMerge w:val="restart"/>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4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86"/>
              </w:rPr>
              <w:t>,IVKDUHKROGHUVDWWHQG</w:t>
            </w: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vMerge w:val="continue"/>
            <w:shd w:val="clear" w:color="auto" w:fill="F3F3F1"/>
          </w:tcPr>
          <w:p>
            <w:pPr>
              <w:spacing w:after="0"/>
              <w:rPr>
                <w:sz w:val="5"/>
                <w:szCs w:val="5"/>
                <w:color w:val="auto"/>
              </w:rPr>
            </w:pPr>
          </w:p>
        </w:tc>
        <w:tc>
          <w:tcPr>
            <w:tcW w:w="1940" w:type="dxa"/>
            <w:vAlign w:val="bottom"/>
            <w:vMerge w:val="continue"/>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FRPSHQVDWLRQ</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2"/>
              </w:rPr>
              <w:t>FRPSHQVDWLRQSUDFWLFHV</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PDWWHUVIRU</w:t>
            </w:r>
          </w:p>
        </w:tc>
        <w:tc>
          <w:tcPr>
            <w:tcW w:w="380" w:type="dxa"/>
            <w:vAlign w:val="bottom"/>
            <w:shd w:val="clear" w:color="auto" w:fill="F3F3F1"/>
          </w:tcPr>
          <w:p>
            <w:pPr>
              <w:spacing w:after="0"/>
              <w:rPr>
                <w:sz w:val="11"/>
                <w:szCs w:val="11"/>
                <w:color w:val="auto"/>
              </w:rPr>
            </w:pPr>
          </w:p>
        </w:tc>
        <w:tc>
          <w:tcPr>
            <w:tcW w:w="194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RXU$*0WKH\KDYHDQ</w:t>
            </w: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vMerge w:val="continue"/>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SUDFWLFHVDVZHOODV</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6"/>
              </w:rPr>
              <w:t>WREHWWHUXQGHUVWDQG</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VKDUHKROGHU</w:t>
            </w:r>
          </w:p>
        </w:tc>
        <w:tc>
          <w:tcPr>
            <w:tcW w:w="380" w:type="dxa"/>
            <w:vAlign w:val="bottom"/>
            <w:shd w:val="clear" w:color="auto" w:fill="F3F3F1"/>
          </w:tcPr>
          <w:p>
            <w:pPr>
              <w:spacing w:after="0"/>
              <w:rPr>
                <w:sz w:val="11"/>
                <w:szCs w:val="11"/>
                <w:color w:val="auto"/>
              </w:rPr>
            </w:pPr>
          </w:p>
        </w:tc>
        <w:tc>
          <w:tcPr>
            <w:tcW w:w="194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RSSRUWXQLW\WRDVN</w:t>
            </w: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vMerge w:val="continue"/>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7"/>
              </w:rPr>
              <w:t>DQ\IHHGEDFNUHFHLYHG</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88"/>
              </w:rPr>
              <w:t>LQYHVWRUYLHZSRLQWVDQG</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FRQVLGHUDWLRQ</w:t>
            </w:r>
          </w:p>
        </w:tc>
        <w:tc>
          <w:tcPr>
            <w:tcW w:w="380" w:type="dxa"/>
            <w:vAlign w:val="bottom"/>
            <w:shd w:val="clear" w:color="auto" w:fill="F3F3F1"/>
          </w:tcPr>
          <w:p>
            <w:pPr>
              <w:spacing w:after="0"/>
              <w:rPr>
                <w:sz w:val="11"/>
                <w:szCs w:val="11"/>
                <w:color w:val="auto"/>
              </w:rPr>
            </w:pPr>
          </w:p>
        </w:tc>
        <w:tc>
          <w:tcPr>
            <w:tcW w:w="194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87"/>
              </w:rPr>
              <w:t>TXHVWLRQVDQGUHTXHVW</w:t>
            </w: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vMerge w:val="continue"/>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IURPVKDUHKROGHUV</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4"/>
              </w:rPr>
              <w:t>LQIRUPGLVFXVVLRQVZLWK</w:t>
            </w:r>
          </w:p>
        </w:tc>
        <w:tc>
          <w:tcPr>
            <w:tcW w:w="0" w:type="dxa"/>
            <w:vAlign w:val="bottom"/>
          </w:tcPr>
          <w:p>
            <w:pPr>
              <w:spacing w:after="0"/>
              <w:rPr>
                <w:sz w:val="1"/>
                <w:szCs w:val="1"/>
                <w:color w:val="auto"/>
              </w:rPr>
            </w:pPr>
          </w:p>
        </w:tc>
      </w:tr>
      <w:tr>
        <w:trPr>
          <w:trHeight w:val="132"/>
        </w:trPr>
        <w:tc>
          <w:tcPr>
            <w:tcW w:w="300" w:type="dxa"/>
            <w:vAlign w:val="bottom"/>
            <w:vMerge w:val="restart"/>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3XEOLVK$QQXDO</w:t>
            </w:r>
          </w:p>
        </w:tc>
        <w:tc>
          <w:tcPr>
            <w:tcW w:w="380" w:type="dxa"/>
            <w:vAlign w:val="bottom"/>
            <w:shd w:val="clear" w:color="auto" w:fill="F3F3F1"/>
          </w:tcPr>
          <w:p>
            <w:pPr>
              <w:spacing w:after="0"/>
              <w:rPr>
                <w:sz w:val="11"/>
                <w:szCs w:val="11"/>
                <w:color w:val="auto"/>
              </w:rPr>
            </w:pPr>
          </w:p>
        </w:tc>
        <w:tc>
          <w:tcPr>
            <w:tcW w:w="194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83"/>
              </w:rPr>
              <w:t>DGGLWLRQDOLQIRUPDWLRQ</w:t>
            </w: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0" w:type="dxa"/>
            <w:vAlign w:val="bottom"/>
            <w:vMerge w:val="continue"/>
            <w:shd w:val="clear" w:color="auto" w:fill="F3F3F1"/>
          </w:tcPr>
          <w:p>
            <w:pPr>
              <w:spacing w:after="0"/>
              <w:rPr>
                <w:sz w:val="7"/>
                <w:szCs w:val="7"/>
                <w:color w:val="auto"/>
              </w:rPr>
            </w:pPr>
          </w:p>
        </w:tc>
        <w:tc>
          <w:tcPr>
            <w:tcW w:w="1820" w:type="dxa"/>
            <w:vAlign w:val="bottom"/>
            <w:vMerge w:val="continue"/>
            <w:shd w:val="clear" w:color="auto" w:fill="F3F3F1"/>
          </w:tcPr>
          <w:p>
            <w:pPr>
              <w:spacing w:after="0"/>
              <w:rPr>
                <w:sz w:val="7"/>
                <w:szCs w:val="7"/>
                <w:color w:val="auto"/>
              </w:rPr>
            </w:pPr>
          </w:p>
        </w:tc>
        <w:tc>
          <w:tcPr>
            <w:tcW w:w="380" w:type="dxa"/>
            <w:vAlign w:val="bottom"/>
            <w:shd w:val="clear" w:color="auto" w:fill="F3F3F1"/>
          </w:tcPr>
          <w:p>
            <w:pPr>
              <w:spacing w:after="0"/>
              <w:rPr>
                <w:sz w:val="7"/>
                <w:szCs w:val="7"/>
                <w:color w:val="auto"/>
              </w:rPr>
            </w:pPr>
          </w:p>
        </w:tc>
        <w:tc>
          <w:tcPr>
            <w:tcW w:w="1940" w:type="dxa"/>
            <w:vAlign w:val="bottom"/>
            <w:vMerge w:val="continue"/>
            <w:shd w:val="clear" w:color="auto" w:fill="F3F3F1"/>
          </w:tcPr>
          <w:p>
            <w:pPr>
              <w:spacing w:after="0"/>
              <w:rPr>
                <w:sz w:val="7"/>
                <w:szCs w:val="7"/>
                <w:color w:val="auto"/>
              </w:rPr>
            </w:pPr>
          </w:p>
        </w:tc>
        <w:tc>
          <w:tcPr>
            <w:tcW w:w="360" w:type="dxa"/>
            <w:vAlign w:val="bottom"/>
            <w:shd w:val="clear" w:color="auto" w:fill="F3F3F1"/>
          </w:tcPr>
          <w:p>
            <w:pPr>
              <w:spacing w:after="0"/>
              <w:rPr>
                <w:sz w:val="7"/>
                <w:szCs w:val="7"/>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GXULQJSUR[\VHDVRQ</w:t>
            </w:r>
          </w:p>
        </w:tc>
        <w:tc>
          <w:tcPr>
            <w:tcW w:w="380" w:type="dxa"/>
            <w:vAlign w:val="bottom"/>
            <w:shd w:val="clear" w:color="auto" w:fill="F3F3F1"/>
          </w:tcPr>
          <w:p>
            <w:pPr>
              <w:spacing w:after="0"/>
              <w:rPr>
                <w:sz w:val="7"/>
                <w:szCs w:val="7"/>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RXU%RDUG</w:t>
            </w:r>
          </w:p>
        </w:tc>
        <w:tc>
          <w:tcPr>
            <w:tcW w:w="0" w:type="dxa"/>
            <w:vAlign w:val="bottom"/>
          </w:tcPr>
          <w:p>
            <w:pPr>
              <w:spacing w:after="0"/>
              <w:rPr>
                <w:sz w:val="1"/>
                <w:szCs w:val="1"/>
                <w:color w:val="auto"/>
              </w:rPr>
            </w:pPr>
          </w:p>
        </w:tc>
      </w:tr>
      <w:tr>
        <w:trPr>
          <w:trHeight w:val="39"/>
        </w:trPr>
        <w:tc>
          <w:tcPr>
            <w:tcW w:w="300" w:type="dxa"/>
            <w:vAlign w:val="bottom"/>
            <w:vMerge w:val="continue"/>
            <w:shd w:val="clear" w:color="auto" w:fill="F3F3F1"/>
          </w:tcPr>
          <w:p>
            <w:pPr>
              <w:spacing w:after="0"/>
              <w:rPr>
                <w:sz w:val="3"/>
                <w:szCs w:val="3"/>
                <w:color w:val="auto"/>
              </w:rPr>
            </w:pPr>
          </w:p>
        </w:tc>
        <w:tc>
          <w:tcPr>
            <w:tcW w:w="1820" w:type="dxa"/>
            <w:vAlign w:val="bottom"/>
            <w:vMerge w:val="continue"/>
            <w:shd w:val="clear" w:color="auto" w:fill="F3F3F1"/>
          </w:tcPr>
          <w:p>
            <w:pPr>
              <w:spacing w:after="0"/>
              <w:rPr>
                <w:sz w:val="3"/>
                <w:szCs w:val="3"/>
                <w:color w:val="auto"/>
              </w:rPr>
            </w:pPr>
          </w:p>
        </w:tc>
        <w:tc>
          <w:tcPr>
            <w:tcW w:w="380" w:type="dxa"/>
            <w:vAlign w:val="bottom"/>
            <w:shd w:val="clear" w:color="auto" w:fill="F3F3F1"/>
          </w:tcPr>
          <w:p>
            <w:pPr>
              <w:spacing w:after="0"/>
              <w:rPr>
                <w:sz w:val="3"/>
                <w:szCs w:val="3"/>
                <w:color w:val="auto"/>
              </w:rPr>
            </w:pPr>
          </w:p>
        </w:tc>
        <w:tc>
          <w:tcPr>
            <w:tcW w:w="1940" w:type="dxa"/>
            <w:vAlign w:val="bottom"/>
            <w:shd w:val="clear" w:color="auto" w:fill="F3F3F1"/>
          </w:tcPr>
          <w:p>
            <w:pPr>
              <w:spacing w:after="0"/>
              <w:rPr>
                <w:sz w:val="3"/>
                <w:szCs w:val="3"/>
                <w:color w:val="auto"/>
              </w:rPr>
            </w:pPr>
          </w:p>
        </w:tc>
        <w:tc>
          <w:tcPr>
            <w:tcW w:w="360" w:type="dxa"/>
            <w:vAlign w:val="bottom"/>
            <w:shd w:val="clear" w:color="auto" w:fill="F3F3F1"/>
          </w:tcPr>
          <w:p>
            <w:pPr>
              <w:spacing w:after="0"/>
              <w:rPr>
                <w:sz w:val="3"/>
                <w:szCs w:val="3"/>
                <w:color w:val="auto"/>
              </w:rPr>
            </w:pPr>
          </w:p>
        </w:tc>
        <w:tc>
          <w:tcPr>
            <w:tcW w:w="1920" w:type="dxa"/>
            <w:vAlign w:val="bottom"/>
            <w:vMerge w:val="continue"/>
            <w:shd w:val="clear" w:color="auto" w:fill="F3F3F1"/>
          </w:tcPr>
          <w:p>
            <w:pPr>
              <w:spacing w:after="0"/>
              <w:rPr>
                <w:sz w:val="3"/>
                <w:szCs w:val="3"/>
                <w:color w:val="auto"/>
              </w:rPr>
            </w:pPr>
          </w:p>
        </w:tc>
        <w:tc>
          <w:tcPr>
            <w:tcW w:w="380" w:type="dxa"/>
            <w:vAlign w:val="bottom"/>
            <w:shd w:val="clear" w:color="auto" w:fill="F3F3F1"/>
          </w:tcPr>
          <w:p>
            <w:pPr>
              <w:spacing w:after="0"/>
              <w:rPr>
                <w:sz w:val="3"/>
                <w:szCs w:val="3"/>
                <w:color w:val="auto"/>
              </w:rPr>
            </w:pPr>
          </w:p>
        </w:tc>
        <w:tc>
          <w:tcPr>
            <w:tcW w:w="2100" w:type="dxa"/>
            <w:vAlign w:val="bottom"/>
            <w:vMerge w:val="continue"/>
            <w:shd w:val="clear" w:color="auto" w:fill="F3F3F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300" w:type="dxa"/>
            <w:vAlign w:val="bottom"/>
            <w:shd w:val="clear" w:color="auto" w:fill="F3F3F1"/>
          </w:tcPr>
          <w:p>
            <w:pPr>
              <w:spacing w:after="0"/>
              <w:rPr>
                <w:sz w:val="8"/>
                <w:szCs w:val="8"/>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5HSRUWRQ)RUP.</w:t>
            </w:r>
          </w:p>
        </w:tc>
        <w:tc>
          <w:tcPr>
            <w:tcW w:w="380" w:type="dxa"/>
            <w:vAlign w:val="bottom"/>
            <w:shd w:val="clear" w:color="auto" w:fill="F3F3F1"/>
          </w:tcPr>
          <w:p>
            <w:pPr>
              <w:spacing w:after="0"/>
              <w:rPr>
                <w:sz w:val="8"/>
                <w:szCs w:val="8"/>
                <w:color w:val="auto"/>
              </w:rPr>
            </w:pPr>
          </w:p>
        </w:tc>
        <w:tc>
          <w:tcPr>
            <w:tcW w:w="1940" w:type="dxa"/>
            <w:vAlign w:val="bottom"/>
            <w:shd w:val="clear" w:color="auto" w:fill="F3F3F1"/>
          </w:tcPr>
          <w:p>
            <w:pPr>
              <w:spacing w:after="0"/>
              <w:rPr>
                <w:sz w:val="8"/>
                <w:szCs w:val="8"/>
                <w:color w:val="auto"/>
              </w:rPr>
            </w:pPr>
          </w:p>
        </w:tc>
        <w:tc>
          <w:tcPr>
            <w:tcW w:w="360" w:type="dxa"/>
            <w:vAlign w:val="bottom"/>
            <w:shd w:val="clear" w:color="auto" w:fill="F3F3F1"/>
          </w:tcPr>
          <w:p>
            <w:pPr>
              <w:spacing w:after="0"/>
              <w:rPr>
                <w:sz w:val="8"/>
                <w:szCs w:val="8"/>
                <w:color w:val="auto"/>
              </w:rPr>
            </w:pPr>
          </w:p>
        </w:tc>
        <w:tc>
          <w:tcPr>
            <w:tcW w:w="1920" w:type="dxa"/>
            <w:vAlign w:val="bottom"/>
            <w:vMerge w:val="continue"/>
            <w:shd w:val="clear" w:color="auto" w:fill="F3F3F1"/>
          </w:tcPr>
          <w:p>
            <w:pPr>
              <w:spacing w:after="0"/>
              <w:rPr>
                <w:sz w:val="8"/>
                <w:szCs w:val="8"/>
                <w:color w:val="auto"/>
              </w:rPr>
            </w:pPr>
          </w:p>
        </w:tc>
        <w:tc>
          <w:tcPr>
            <w:tcW w:w="380" w:type="dxa"/>
            <w:vAlign w:val="bottom"/>
            <w:shd w:val="clear" w:color="auto" w:fill="F3F3F1"/>
          </w:tcPr>
          <w:p>
            <w:pPr>
              <w:spacing w:after="0"/>
              <w:rPr>
                <w:sz w:val="8"/>
                <w:szCs w:val="8"/>
                <w:color w:val="auto"/>
              </w:rPr>
            </w:pPr>
          </w:p>
        </w:tc>
        <w:tc>
          <w:tcPr>
            <w:tcW w:w="2100" w:type="dxa"/>
            <w:vAlign w:val="bottom"/>
            <w:vMerge w:val="continue"/>
            <w:shd w:val="clear" w:color="auto" w:fill="F3F3F1"/>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 w:type="dxa"/>
            <w:vAlign w:val="bottom"/>
            <w:shd w:val="clear" w:color="auto" w:fill="F3F3F1"/>
          </w:tcPr>
          <w:p>
            <w:pPr>
              <w:spacing w:after="0"/>
              <w:rPr>
                <w:sz w:val="8"/>
                <w:szCs w:val="8"/>
                <w:color w:val="auto"/>
              </w:rPr>
            </w:pPr>
          </w:p>
        </w:tc>
        <w:tc>
          <w:tcPr>
            <w:tcW w:w="1820" w:type="dxa"/>
            <w:vAlign w:val="bottom"/>
            <w:vMerge w:val="continue"/>
            <w:shd w:val="clear" w:color="auto" w:fill="F3F3F1"/>
          </w:tcPr>
          <w:p>
            <w:pPr>
              <w:spacing w:after="0"/>
              <w:rPr>
                <w:sz w:val="8"/>
                <w:szCs w:val="8"/>
                <w:color w:val="auto"/>
              </w:rPr>
            </w:pPr>
          </w:p>
        </w:tc>
        <w:tc>
          <w:tcPr>
            <w:tcW w:w="380" w:type="dxa"/>
            <w:vAlign w:val="bottom"/>
            <w:shd w:val="clear" w:color="auto" w:fill="F3F3F1"/>
          </w:tcPr>
          <w:p>
            <w:pPr>
              <w:spacing w:after="0"/>
              <w:rPr>
                <w:sz w:val="8"/>
                <w:szCs w:val="8"/>
                <w:color w:val="auto"/>
              </w:rPr>
            </w:pPr>
          </w:p>
        </w:tc>
        <w:tc>
          <w:tcPr>
            <w:tcW w:w="1940" w:type="dxa"/>
            <w:vAlign w:val="bottom"/>
            <w:shd w:val="clear" w:color="auto" w:fill="F3F3F1"/>
          </w:tcPr>
          <w:p>
            <w:pPr>
              <w:spacing w:after="0"/>
              <w:rPr>
                <w:sz w:val="8"/>
                <w:szCs w:val="8"/>
                <w:color w:val="auto"/>
              </w:rPr>
            </w:pPr>
          </w:p>
        </w:tc>
        <w:tc>
          <w:tcPr>
            <w:tcW w:w="360" w:type="dxa"/>
            <w:vAlign w:val="bottom"/>
            <w:vMerge w:val="restart"/>
            <w:shd w:val="clear" w:color="auto" w:fill="F3F3F1"/>
          </w:tcPr>
          <w:p>
            <w:pPr>
              <w:jc w:val="right"/>
              <w:ind w:right="20"/>
              <w:spacing w:after="0"/>
              <w:rPr>
                <w:sz w:val="20"/>
                <w:szCs w:val="20"/>
                <w:color w:val="auto"/>
              </w:rPr>
            </w:pPr>
            <w:r>
              <w:rPr>
                <w:rFonts w:ascii="PMingLiU" w:cs="PMingLiU" w:eastAsia="PMingLiU" w:hAnsi="PMingLiU"/>
                <w:sz w:val="16"/>
                <w:szCs w:val="16"/>
                <w:b w:val="1"/>
                <w:bCs w:val="1"/>
                <w:color w:val="2D2C36"/>
              </w:rPr>
              <w:t></w:t>
            </w: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,QWHUQDOO\UHYLHZ</w:t>
            </w:r>
          </w:p>
        </w:tc>
        <w:tc>
          <w:tcPr>
            <w:tcW w:w="380" w:type="dxa"/>
            <w:vAlign w:val="bottom"/>
            <w:vMerge w:val="restart"/>
            <w:shd w:val="clear" w:color="auto" w:fill="F3F3F1"/>
          </w:tcPr>
          <w:p>
            <w:pPr>
              <w:jc w:val="right"/>
              <w:ind w:right="40"/>
              <w:spacing w:after="0"/>
              <w:rPr>
                <w:sz w:val="20"/>
                <w:szCs w:val="20"/>
                <w:color w:val="auto"/>
              </w:rPr>
            </w:pPr>
            <w:r>
              <w:rPr>
                <w:rFonts w:ascii="PMingLiU" w:cs="PMingLiU" w:eastAsia="PMingLiU" w:hAnsi="PMingLiU"/>
                <w:sz w:val="16"/>
                <w:szCs w:val="16"/>
                <w:b w:val="1"/>
                <w:bCs w:val="1"/>
                <w:color w:val="2D2C36"/>
              </w:rPr>
              <w:t></w:t>
            </w: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0"/>
              </w:rPr>
              <w:t>,QWHUQDOO\HYDOXDWHRXU</w:t>
            </w:r>
          </w:p>
        </w:tc>
        <w:tc>
          <w:tcPr>
            <w:tcW w:w="0" w:type="dxa"/>
            <w:vAlign w:val="bottom"/>
          </w:tcPr>
          <w:p>
            <w:pPr>
              <w:spacing w:after="0"/>
              <w:rPr>
                <w:sz w:val="1"/>
                <w:szCs w:val="1"/>
                <w:color w:val="auto"/>
              </w:rPr>
            </w:pPr>
          </w:p>
        </w:tc>
      </w:tr>
      <w:tr>
        <w:trPr>
          <w:trHeight w:val="161"/>
        </w:trPr>
        <w:tc>
          <w:tcPr>
            <w:tcW w:w="300" w:type="dxa"/>
            <w:vAlign w:val="bottom"/>
            <w:shd w:val="clear" w:color="auto" w:fill="F3F3F1"/>
          </w:tcPr>
          <w:p>
            <w:pPr>
              <w:spacing w:after="0"/>
              <w:rPr>
                <w:sz w:val="13"/>
                <w:szCs w:val="13"/>
                <w:color w:val="auto"/>
              </w:rPr>
            </w:pPr>
          </w:p>
        </w:tc>
        <w:tc>
          <w:tcPr>
            <w:tcW w:w="1820" w:type="dxa"/>
            <w:vAlign w:val="bottom"/>
            <w:shd w:val="clear" w:color="auto" w:fill="F3F3F1"/>
          </w:tcPr>
          <w:p>
            <w:pPr>
              <w:ind w:left="100"/>
              <w:spacing w:after="0" w:line="161" w:lineRule="exact"/>
              <w:rPr>
                <w:sz w:val="20"/>
                <w:szCs w:val="20"/>
                <w:color w:val="auto"/>
              </w:rPr>
            </w:pPr>
            <w:r>
              <w:rPr>
                <w:rFonts w:ascii="PMingLiU" w:cs="PMingLiU" w:eastAsia="PMingLiU" w:hAnsi="PMingLiU"/>
                <w:sz w:val="16"/>
                <w:szCs w:val="16"/>
                <w:color w:val="2D2C36"/>
                <w:w w:val="96"/>
              </w:rPr>
              <w:t>DQGSUR[\VWDWHPHQW</w:t>
            </w:r>
          </w:p>
        </w:tc>
        <w:tc>
          <w:tcPr>
            <w:tcW w:w="380" w:type="dxa"/>
            <w:vAlign w:val="bottom"/>
            <w:shd w:val="clear" w:color="auto" w:fill="F3F3F1"/>
          </w:tcPr>
          <w:p>
            <w:pPr>
              <w:spacing w:after="0"/>
              <w:rPr>
                <w:sz w:val="13"/>
                <w:szCs w:val="13"/>
                <w:color w:val="auto"/>
              </w:rPr>
            </w:pPr>
          </w:p>
        </w:tc>
        <w:tc>
          <w:tcPr>
            <w:tcW w:w="1940" w:type="dxa"/>
            <w:vAlign w:val="bottom"/>
            <w:shd w:val="clear" w:color="auto" w:fill="F3F3F1"/>
          </w:tcPr>
          <w:p>
            <w:pPr>
              <w:spacing w:after="0"/>
              <w:rPr>
                <w:sz w:val="13"/>
                <w:szCs w:val="13"/>
                <w:color w:val="auto"/>
              </w:rPr>
            </w:pPr>
          </w:p>
        </w:tc>
        <w:tc>
          <w:tcPr>
            <w:tcW w:w="360" w:type="dxa"/>
            <w:vAlign w:val="bottom"/>
            <w:vMerge w:val="continue"/>
            <w:shd w:val="clear" w:color="auto" w:fill="F3F3F1"/>
          </w:tcPr>
          <w:p>
            <w:pPr>
              <w:spacing w:after="0"/>
              <w:rPr>
                <w:sz w:val="13"/>
                <w:szCs w:val="13"/>
                <w:color w:val="auto"/>
              </w:rPr>
            </w:pPr>
          </w:p>
        </w:tc>
        <w:tc>
          <w:tcPr>
            <w:tcW w:w="1920" w:type="dxa"/>
            <w:vAlign w:val="bottom"/>
            <w:vMerge w:val="continue"/>
            <w:shd w:val="clear" w:color="auto" w:fill="F3F3F1"/>
          </w:tcPr>
          <w:p>
            <w:pPr>
              <w:spacing w:after="0"/>
              <w:rPr>
                <w:sz w:val="13"/>
                <w:szCs w:val="13"/>
                <w:color w:val="auto"/>
              </w:rPr>
            </w:pPr>
          </w:p>
        </w:tc>
        <w:tc>
          <w:tcPr>
            <w:tcW w:w="380" w:type="dxa"/>
            <w:vAlign w:val="bottom"/>
            <w:vMerge w:val="continue"/>
            <w:shd w:val="clear" w:color="auto" w:fill="F3F3F1"/>
          </w:tcPr>
          <w:p>
            <w:pPr>
              <w:spacing w:after="0"/>
              <w:rPr>
                <w:sz w:val="13"/>
                <w:szCs w:val="13"/>
                <w:color w:val="auto"/>
              </w:rPr>
            </w:pPr>
          </w:p>
        </w:tc>
        <w:tc>
          <w:tcPr>
            <w:tcW w:w="2100" w:type="dxa"/>
            <w:vAlign w:val="bottom"/>
            <w:vMerge w:val="continue"/>
            <w:shd w:val="clear" w:color="auto" w:fill="F3F3F1"/>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00" w:type="dxa"/>
            <w:vAlign w:val="bottom"/>
            <w:shd w:val="clear" w:color="auto" w:fill="F3F3F1"/>
          </w:tcPr>
          <w:p>
            <w:pPr>
              <w:spacing w:after="0"/>
              <w:rPr>
                <w:sz w:val="14"/>
                <w:szCs w:val="14"/>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4"/>
              </w:rPr>
              <w:t>KLJKOLJKWLQJUHFHQW</w:t>
            </w:r>
          </w:p>
        </w:tc>
        <w:tc>
          <w:tcPr>
            <w:tcW w:w="380" w:type="dxa"/>
            <w:vAlign w:val="bottom"/>
            <w:shd w:val="clear" w:color="auto" w:fill="F3F3F1"/>
          </w:tcPr>
          <w:p>
            <w:pPr>
              <w:spacing w:after="0"/>
              <w:rPr>
                <w:sz w:val="14"/>
                <w:szCs w:val="14"/>
                <w:color w:val="auto"/>
              </w:rPr>
            </w:pPr>
          </w:p>
        </w:tc>
        <w:tc>
          <w:tcPr>
            <w:tcW w:w="1940" w:type="dxa"/>
            <w:vAlign w:val="bottom"/>
            <w:shd w:val="clear" w:color="auto" w:fill="F3F3F1"/>
          </w:tcPr>
          <w:p>
            <w:pPr>
              <w:spacing w:after="0"/>
              <w:rPr>
                <w:sz w:val="14"/>
                <w:szCs w:val="14"/>
                <w:color w:val="auto"/>
              </w:rPr>
            </w:pPr>
          </w:p>
        </w:tc>
        <w:tc>
          <w:tcPr>
            <w:tcW w:w="360" w:type="dxa"/>
            <w:vAlign w:val="bottom"/>
            <w:shd w:val="clear" w:color="auto" w:fill="F3F3F1"/>
          </w:tcPr>
          <w:p>
            <w:pPr>
              <w:spacing w:after="0"/>
              <w:rPr>
                <w:sz w:val="14"/>
                <w:szCs w:val="14"/>
                <w:color w:val="auto"/>
              </w:rPr>
            </w:pPr>
          </w:p>
        </w:tc>
        <w:tc>
          <w:tcPr>
            <w:tcW w:w="1920" w:type="dxa"/>
            <w:vAlign w:val="bottom"/>
            <w:shd w:val="clear" w:color="auto" w:fill="F3F3F1"/>
          </w:tcPr>
          <w:p>
            <w:pPr>
              <w:ind w:left="100"/>
              <w:spacing w:after="0" w:line="164" w:lineRule="exact"/>
              <w:rPr>
                <w:sz w:val="20"/>
                <w:szCs w:val="20"/>
                <w:color w:val="auto"/>
              </w:rPr>
            </w:pPr>
            <w:r>
              <w:rPr>
                <w:rFonts w:ascii="PMingLiU" w:cs="PMingLiU" w:eastAsia="PMingLiU" w:hAnsi="PMingLiU"/>
                <w:sz w:val="16"/>
                <w:szCs w:val="16"/>
                <w:color w:val="2D2C36"/>
                <w:w w:val="92"/>
              </w:rPr>
              <w:t>FRUSRUDWHJRYHUQDQFH</w:t>
            </w:r>
          </w:p>
        </w:tc>
        <w:tc>
          <w:tcPr>
            <w:tcW w:w="380" w:type="dxa"/>
            <w:vAlign w:val="bottom"/>
            <w:shd w:val="clear" w:color="auto" w:fill="F3F3F1"/>
          </w:tcPr>
          <w:p>
            <w:pPr>
              <w:spacing w:after="0"/>
              <w:rPr>
                <w:sz w:val="14"/>
                <w:szCs w:val="14"/>
                <w:color w:val="auto"/>
              </w:rPr>
            </w:pPr>
          </w:p>
        </w:tc>
        <w:tc>
          <w:tcPr>
            <w:tcW w:w="2100" w:type="dxa"/>
            <w:vAlign w:val="bottom"/>
            <w:shd w:val="clear" w:color="auto" w:fill="F3F3F1"/>
          </w:tcPr>
          <w:p>
            <w:pPr>
              <w:ind w:left="100"/>
              <w:spacing w:after="0" w:line="164" w:lineRule="exact"/>
              <w:rPr>
                <w:sz w:val="20"/>
                <w:szCs w:val="20"/>
                <w:color w:val="auto"/>
              </w:rPr>
            </w:pPr>
            <w:r>
              <w:rPr>
                <w:rFonts w:ascii="PMingLiU" w:cs="PMingLiU" w:eastAsia="PMingLiU" w:hAnsi="PMingLiU"/>
                <w:sz w:val="16"/>
                <w:szCs w:val="16"/>
                <w:color w:val="2D2C36"/>
              </w:rPr>
              <w:t>%RDUGFRPSRVLWLRQ</w:t>
            </w: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WUHQGVUHFHQW</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3"/>
              </w:rPr>
              <w:t>JRYHUQDQFHRUH[HFXWLYH</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%RDUGDQG&amp;RPSDQ\</w:t>
            </w:r>
          </w:p>
        </w:tc>
        <w:tc>
          <w:tcPr>
            <w:tcW w:w="380" w:type="dxa"/>
            <w:vAlign w:val="bottom"/>
            <w:shd w:val="clear" w:color="auto" w:fill="F3F3F1"/>
          </w:tcPr>
          <w:p>
            <w:pPr>
              <w:spacing w:after="0"/>
              <w:rPr>
                <w:sz w:val="11"/>
                <w:szCs w:val="11"/>
                <w:color w:val="auto"/>
              </w:rPr>
            </w:pPr>
          </w:p>
        </w:tc>
        <w:tc>
          <w:tcPr>
            <w:tcW w:w="1940" w:type="dxa"/>
            <w:vAlign w:val="bottom"/>
            <w:shd w:val="clear" w:color="auto" w:fill="F3F3F1"/>
          </w:tcPr>
          <w:p>
            <w:pPr>
              <w:spacing w:after="0"/>
              <w:rPr>
                <w:sz w:val="11"/>
                <w:szCs w:val="11"/>
                <w:color w:val="auto"/>
              </w:rPr>
            </w:pP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F3F3F1"/>
          </w:tcPr>
          <w:p>
            <w:pPr>
              <w:spacing w:after="0"/>
              <w:rPr>
                <w:sz w:val="5"/>
                <w:szCs w:val="5"/>
                <w:color w:val="auto"/>
              </w:rPr>
            </w:pPr>
          </w:p>
        </w:tc>
        <w:tc>
          <w:tcPr>
            <w:tcW w:w="1820" w:type="dxa"/>
            <w:vAlign w:val="bottom"/>
            <w:vMerge w:val="continue"/>
            <w:shd w:val="clear" w:color="auto" w:fill="F3F3F1"/>
          </w:tcPr>
          <w:p>
            <w:pPr>
              <w:spacing w:after="0"/>
              <w:rPr>
                <w:sz w:val="5"/>
                <w:szCs w:val="5"/>
                <w:color w:val="auto"/>
              </w:rPr>
            </w:pPr>
          </w:p>
        </w:tc>
        <w:tc>
          <w:tcPr>
            <w:tcW w:w="380" w:type="dxa"/>
            <w:vAlign w:val="bottom"/>
            <w:shd w:val="clear" w:color="auto" w:fill="F3F3F1"/>
          </w:tcPr>
          <w:p>
            <w:pPr>
              <w:spacing w:after="0"/>
              <w:rPr>
                <w:sz w:val="5"/>
                <w:szCs w:val="5"/>
                <w:color w:val="auto"/>
              </w:rPr>
            </w:pPr>
          </w:p>
        </w:tc>
        <w:tc>
          <w:tcPr>
            <w:tcW w:w="1940" w:type="dxa"/>
            <w:vAlign w:val="bottom"/>
            <w:shd w:val="clear" w:color="auto" w:fill="F3F3F1"/>
          </w:tcPr>
          <w:p>
            <w:pPr>
              <w:spacing w:after="0"/>
              <w:rPr>
                <w:sz w:val="5"/>
                <w:szCs w:val="5"/>
                <w:color w:val="auto"/>
              </w:rPr>
            </w:pPr>
          </w:p>
        </w:tc>
        <w:tc>
          <w:tcPr>
            <w:tcW w:w="360" w:type="dxa"/>
            <w:vAlign w:val="bottom"/>
            <w:shd w:val="clear" w:color="auto" w:fill="F3F3F1"/>
          </w:tcPr>
          <w:p>
            <w:pPr>
              <w:spacing w:after="0"/>
              <w:rPr>
                <w:sz w:val="5"/>
                <w:szCs w:val="5"/>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UHJXODWRU\</w:t>
            </w:r>
          </w:p>
        </w:tc>
        <w:tc>
          <w:tcPr>
            <w:tcW w:w="380" w:type="dxa"/>
            <w:vAlign w:val="bottom"/>
            <w:shd w:val="clear" w:color="auto" w:fill="F3F3F1"/>
          </w:tcPr>
          <w:p>
            <w:pPr>
              <w:spacing w:after="0"/>
              <w:rPr>
                <w:sz w:val="5"/>
                <w:szCs w:val="5"/>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2"/>
              </w:rPr>
              <w:t>FRPSHQVDWLRQSUDFWLFHV</w:t>
            </w:r>
          </w:p>
        </w:tc>
        <w:tc>
          <w:tcPr>
            <w:tcW w:w="0" w:type="dxa"/>
            <w:vAlign w:val="bottom"/>
          </w:tcPr>
          <w:p>
            <w:pPr>
              <w:spacing w:after="0"/>
              <w:rPr>
                <w:sz w:val="1"/>
                <w:szCs w:val="1"/>
                <w:color w:val="auto"/>
              </w:rPr>
            </w:pPr>
          </w:p>
        </w:tc>
      </w:tr>
      <w:tr>
        <w:trPr>
          <w:trHeight w:val="132"/>
        </w:trPr>
        <w:tc>
          <w:tcPr>
            <w:tcW w:w="300" w:type="dxa"/>
            <w:vAlign w:val="bottom"/>
            <w:shd w:val="clear" w:color="auto" w:fill="F3F3F1"/>
          </w:tcPr>
          <w:p>
            <w:pPr>
              <w:spacing w:after="0"/>
              <w:rPr>
                <w:sz w:val="11"/>
                <w:szCs w:val="11"/>
                <w:color w:val="auto"/>
              </w:rPr>
            </w:pPr>
          </w:p>
        </w:tc>
        <w:tc>
          <w:tcPr>
            <w:tcW w:w="18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rPr>
              <w:t>DFWLYLWLHV</w:t>
            </w:r>
          </w:p>
        </w:tc>
        <w:tc>
          <w:tcPr>
            <w:tcW w:w="380" w:type="dxa"/>
            <w:vAlign w:val="bottom"/>
            <w:shd w:val="clear" w:color="auto" w:fill="F3F3F1"/>
          </w:tcPr>
          <w:p>
            <w:pPr>
              <w:spacing w:after="0"/>
              <w:rPr>
                <w:sz w:val="11"/>
                <w:szCs w:val="11"/>
                <w:color w:val="auto"/>
              </w:rPr>
            </w:pPr>
          </w:p>
        </w:tc>
        <w:tc>
          <w:tcPr>
            <w:tcW w:w="1940" w:type="dxa"/>
            <w:vAlign w:val="bottom"/>
            <w:shd w:val="clear" w:color="auto" w:fill="F3F3F1"/>
          </w:tcPr>
          <w:p>
            <w:pPr>
              <w:spacing w:after="0"/>
              <w:rPr>
                <w:sz w:val="11"/>
                <w:szCs w:val="11"/>
                <w:color w:val="auto"/>
              </w:rPr>
            </w:pPr>
          </w:p>
        </w:tc>
        <w:tc>
          <w:tcPr>
            <w:tcW w:w="360" w:type="dxa"/>
            <w:vAlign w:val="bottom"/>
            <w:shd w:val="clear" w:color="auto" w:fill="F3F3F1"/>
          </w:tcPr>
          <w:p>
            <w:pPr>
              <w:spacing w:after="0"/>
              <w:rPr>
                <w:sz w:val="11"/>
                <w:szCs w:val="11"/>
                <w:color w:val="auto"/>
              </w:rPr>
            </w:pPr>
          </w:p>
        </w:tc>
        <w:tc>
          <w:tcPr>
            <w:tcW w:w="1920" w:type="dxa"/>
            <w:vAlign w:val="bottom"/>
            <w:vMerge w:val="continue"/>
            <w:shd w:val="clear" w:color="auto" w:fill="F3F3F1"/>
          </w:tcPr>
          <w:p>
            <w:pPr>
              <w:spacing w:after="0"/>
              <w:rPr>
                <w:sz w:val="11"/>
                <w:szCs w:val="11"/>
                <w:color w:val="auto"/>
              </w:rPr>
            </w:pPr>
          </w:p>
        </w:tc>
        <w:tc>
          <w:tcPr>
            <w:tcW w:w="380" w:type="dxa"/>
            <w:vAlign w:val="bottom"/>
            <w:shd w:val="clear" w:color="auto" w:fill="F3F3F1"/>
          </w:tcPr>
          <w:p>
            <w:pPr>
              <w:spacing w:after="0"/>
              <w:rPr>
                <w:sz w:val="11"/>
                <w:szCs w:val="11"/>
                <w:color w:val="auto"/>
              </w:rPr>
            </w:pPr>
          </w:p>
        </w:tc>
        <w:tc>
          <w:tcPr>
            <w:tcW w:w="2100" w:type="dxa"/>
            <w:vAlign w:val="bottom"/>
            <w:vMerge w:val="continue"/>
            <w:shd w:val="clear" w:color="auto" w:fill="F3F3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0" w:type="dxa"/>
            <w:vAlign w:val="bottom"/>
            <w:shd w:val="clear" w:color="auto" w:fill="F3F3F1"/>
          </w:tcPr>
          <w:p>
            <w:pPr>
              <w:spacing w:after="0"/>
              <w:rPr>
                <w:sz w:val="7"/>
                <w:szCs w:val="7"/>
                <w:color w:val="auto"/>
              </w:rPr>
            </w:pPr>
          </w:p>
        </w:tc>
        <w:tc>
          <w:tcPr>
            <w:tcW w:w="1820" w:type="dxa"/>
            <w:vAlign w:val="bottom"/>
            <w:vMerge w:val="continue"/>
            <w:shd w:val="clear" w:color="auto" w:fill="F3F3F1"/>
          </w:tcPr>
          <w:p>
            <w:pPr>
              <w:spacing w:after="0"/>
              <w:rPr>
                <w:sz w:val="7"/>
                <w:szCs w:val="7"/>
                <w:color w:val="auto"/>
              </w:rPr>
            </w:pPr>
          </w:p>
        </w:tc>
        <w:tc>
          <w:tcPr>
            <w:tcW w:w="380" w:type="dxa"/>
            <w:vAlign w:val="bottom"/>
            <w:shd w:val="clear" w:color="auto" w:fill="F3F3F1"/>
          </w:tcPr>
          <w:p>
            <w:pPr>
              <w:spacing w:after="0"/>
              <w:rPr>
                <w:sz w:val="7"/>
                <w:szCs w:val="7"/>
                <w:color w:val="auto"/>
              </w:rPr>
            </w:pPr>
          </w:p>
        </w:tc>
        <w:tc>
          <w:tcPr>
            <w:tcW w:w="1940" w:type="dxa"/>
            <w:vAlign w:val="bottom"/>
            <w:shd w:val="clear" w:color="auto" w:fill="F3F3F1"/>
          </w:tcPr>
          <w:p>
            <w:pPr>
              <w:spacing w:after="0"/>
              <w:rPr>
                <w:sz w:val="7"/>
                <w:szCs w:val="7"/>
                <w:color w:val="auto"/>
              </w:rPr>
            </w:pPr>
          </w:p>
        </w:tc>
        <w:tc>
          <w:tcPr>
            <w:tcW w:w="360" w:type="dxa"/>
            <w:vAlign w:val="bottom"/>
            <w:shd w:val="clear" w:color="auto" w:fill="F3F3F1"/>
          </w:tcPr>
          <w:p>
            <w:pPr>
              <w:spacing w:after="0"/>
              <w:rPr>
                <w:sz w:val="7"/>
                <w:szCs w:val="7"/>
                <w:color w:val="auto"/>
              </w:rPr>
            </w:pPr>
          </w:p>
        </w:tc>
        <w:tc>
          <w:tcPr>
            <w:tcW w:w="192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3"/>
              </w:rPr>
              <w:t>GHYHORSPHQWVDQGRXU</w:t>
            </w:r>
          </w:p>
        </w:tc>
        <w:tc>
          <w:tcPr>
            <w:tcW w:w="380" w:type="dxa"/>
            <w:vAlign w:val="bottom"/>
            <w:shd w:val="clear" w:color="auto" w:fill="F3F3F1"/>
          </w:tcPr>
          <w:p>
            <w:pPr>
              <w:spacing w:after="0"/>
              <w:rPr>
                <w:sz w:val="7"/>
                <w:szCs w:val="7"/>
                <w:color w:val="auto"/>
              </w:rPr>
            </w:pPr>
          </w:p>
        </w:tc>
        <w:tc>
          <w:tcPr>
            <w:tcW w:w="2100" w:type="dxa"/>
            <w:vAlign w:val="bottom"/>
            <w:vMerge w:val="restart"/>
            <w:shd w:val="clear" w:color="auto" w:fill="F3F3F1"/>
          </w:tcPr>
          <w:p>
            <w:pPr>
              <w:ind w:left="100"/>
              <w:spacing w:after="0"/>
              <w:rPr>
                <w:sz w:val="20"/>
                <w:szCs w:val="20"/>
                <w:color w:val="auto"/>
              </w:rPr>
            </w:pPr>
            <w:r>
              <w:rPr>
                <w:rFonts w:ascii="PMingLiU" w:cs="PMingLiU" w:eastAsia="PMingLiU" w:hAnsi="PMingLiU"/>
                <w:sz w:val="16"/>
                <w:szCs w:val="16"/>
                <w:color w:val="2D2C36"/>
                <w:w w:val="96"/>
              </w:rPr>
              <w:t>LQOLJKWRIVKDUHKROGHU</w:t>
            </w:r>
          </w:p>
        </w:tc>
        <w:tc>
          <w:tcPr>
            <w:tcW w:w="0" w:type="dxa"/>
            <w:vAlign w:val="bottom"/>
          </w:tcPr>
          <w:p>
            <w:pPr>
              <w:spacing w:after="0"/>
              <w:rPr>
                <w:sz w:val="1"/>
                <w:szCs w:val="1"/>
                <w:color w:val="auto"/>
              </w:rPr>
            </w:pPr>
          </w:p>
        </w:tc>
      </w:tr>
      <w:tr>
        <w:trPr>
          <w:trHeight w:val="111"/>
        </w:trPr>
        <w:tc>
          <w:tcPr>
            <w:tcW w:w="300" w:type="dxa"/>
            <w:vAlign w:val="bottom"/>
            <w:shd w:val="clear" w:color="auto" w:fill="F3F3F1"/>
          </w:tcPr>
          <w:p>
            <w:pPr>
              <w:spacing w:after="0"/>
              <w:rPr>
                <w:sz w:val="9"/>
                <w:szCs w:val="9"/>
                <w:color w:val="auto"/>
              </w:rPr>
            </w:pPr>
          </w:p>
        </w:tc>
        <w:tc>
          <w:tcPr>
            <w:tcW w:w="1820" w:type="dxa"/>
            <w:vAlign w:val="bottom"/>
            <w:shd w:val="clear" w:color="auto" w:fill="F3F3F1"/>
          </w:tcPr>
          <w:p>
            <w:pPr>
              <w:spacing w:after="0"/>
              <w:rPr>
                <w:sz w:val="9"/>
                <w:szCs w:val="9"/>
                <w:color w:val="auto"/>
              </w:rPr>
            </w:pPr>
          </w:p>
        </w:tc>
        <w:tc>
          <w:tcPr>
            <w:tcW w:w="380" w:type="dxa"/>
            <w:vAlign w:val="bottom"/>
            <w:shd w:val="clear" w:color="auto" w:fill="F3F3F1"/>
          </w:tcPr>
          <w:p>
            <w:pPr>
              <w:spacing w:after="0"/>
              <w:rPr>
                <w:sz w:val="9"/>
                <w:szCs w:val="9"/>
                <w:color w:val="auto"/>
              </w:rPr>
            </w:pPr>
          </w:p>
        </w:tc>
        <w:tc>
          <w:tcPr>
            <w:tcW w:w="1940" w:type="dxa"/>
            <w:vAlign w:val="bottom"/>
            <w:shd w:val="clear" w:color="auto" w:fill="F3F3F1"/>
          </w:tcPr>
          <w:p>
            <w:pPr>
              <w:spacing w:after="0"/>
              <w:rPr>
                <w:sz w:val="9"/>
                <w:szCs w:val="9"/>
                <w:color w:val="auto"/>
              </w:rPr>
            </w:pPr>
          </w:p>
        </w:tc>
        <w:tc>
          <w:tcPr>
            <w:tcW w:w="360" w:type="dxa"/>
            <w:vAlign w:val="bottom"/>
            <w:shd w:val="clear" w:color="auto" w:fill="F3F3F1"/>
          </w:tcPr>
          <w:p>
            <w:pPr>
              <w:spacing w:after="0"/>
              <w:rPr>
                <w:sz w:val="9"/>
                <w:szCs w:val="9"/>
                <w:color w:val="auto"/>
              </w:rPr>
            </w:pPr>
          </w:p>
        </w:tc>
        <w:tc>
          <w:tcPr>
            <w:tcW w:w="1920" w:type="dxa"/>
            <w:vAlign w:val="bottom"/>
            <w:vMerge w:val="continue"/>
            <w:shd w:val="clear" w:color="auto" w:fill="F3F3F1"/>
          </w:tcPr>
          <w:p>
            <w:pPr>
              <w:spacing w:after="0"/>
              <w:rPr>
                <w:sz w:val="9"/>
                <w:szCs w:val="9"/>
                <w:color w:val="auto"/>
              </w:rPr>
            </w:pPr>
          </w:p>
        </w:tc>
        <w:tc>
          <w:tcPr>
            <w:tcW w:w="380" w:type="dxa"/>
            <w:vAlign w:val="bottom"/>
            <w:shd w:val="clear" w:color="auto" w:fill="F3F3F1"/>
          </w:tcPr>
          <w:p>
            <w:pPr>
              <w:spacing w:after="0"/>
              <w:rPr>
                <w:sz w:val="9"/>
                <w:szCs w:val="9"/>
                <w:color w:val="auto"/>
              </w:rPr>
            </w:pPr>
          </w:p>
        </w:tc>
        <w:tc>
          <w:tcPr>
            <w:tcW w:w="2100" w:type="dxa"/>
            <w:vAlign w:val="bottom"/>
            <w:vMerge w:val="continue"/>
            <w:shd w:val="clear" w:color="auto" w:fill="F3F3F1"/>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00" w:type="dxa"/>
            <w:vAlign w:val="bottom"/>
            <w:shd w:val="clear" w:color="auto" w:fill="F3F3F1"/>
          </w:tcPr>
          <w:p>
            <w:pPr>
              <w:spacing w:after="0"/>
              <w:rPr>
                <w:sz w:val="16"/>
                <w:szCs w:val="16"/>
                <w:color w:val="auto"/>
              </w:rPr>
            </w:pPr>
          </w:p>
        </w:tc>
        <w:tc>
          <w:tcPr>
            <w:tcW w:w="1820" w:type="dxa"/>
            <w:vAlign w:val="bottom"/>
            <w:shd w:val="clear" w:color="auto" w:fill="F3F3F1"/>
          </w:tcPr>
          <w:p>
            <w:pPr>
              <w:spacing w:after="0"/>
              <w:rPr>
                <w:sz w:val="16"/>
                <w:szCs w:val="16"/>
                <w:color w:val="auto"/>
              </w:rPr>
            </w:pPr>
          </w:p>
        </w:tc>
        <w:tc>
          <w:tcPr>
            <w:tcW w:w="380" w:type="dxa"/>
            <w:vAlign w:val="bottom"/>
            <w:shd w:val="clear" w:color="auto" w:fill="F3F3F1"/>
          </w:tcPr>
          <w:p>
            <w:pPr>
              <w:spacing w:after="0"/>
              <w:rPr>
                <w:sz w:val="16"/>
                <w:szCs w:val="16"/>
                <w:color w:val="auto"/>
              </w:rPr>
            </w:pPr>
          </w:p>
        </w:tc>
        <w:tc>
          <w:tcPr>
            <w:tcW w:w="1940" w:type="dxa"/>
            <w:vAlign w:val="bottom"/>
            <w:shd w:val="clear" w:color="auto" w:fill="F3F3F1"/>
          </w:tcPr>
          <w:p>
            <w:pPr>
              <w:spacing w:after="0"/>
              <w:rPr>
                <w:sz w:val="16"/>
                <w:szCs w:val="16"/>
                <w:color w:val="auto"/>
              </w:rPr>
            </w:pPr>
          </w:p>
        </w:tc>
        <w:tc>
          <w:tcPr>
            <w:tcW w:w="360" w:type="dxa"/>
            <w:vAlign w:val="bottom"/>
            <w:shd w:val="clear" w:color="auto" w:fill="F3F3F1"/>
          </w:tcPr>
          <w:p>
            <w:pPr>
              <w:spacing w:after="0"/>
              <w:rPr>
                <w:sz w:val="16"/>
                <w:szCs w:val="16"/>
                <w:color w:val="auto"/>
              </w:rPr>
            </w:pP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RZQSROLFLHVDQG</w:t>
            </w:r>
          </w:p>
        </w:tc>
        <w:tc>
          <w:tcPr>
            <w:tcW w:w="380" w:type="dxa"/>
            <w:vAlign w:val="bottom"/>
            <w:shd w:val="clear" w:color="auto" w:fill="F3F3F1"/>
          </w:tcPr>
          <w:p>
            <w:pPr>
              <w:spacing w:after="0"/>
              <w:rPr>
                <w:sz w:val="16"/>
                <w:szCs w:val="16"/>
                <w:color w:val="auto"/>
              </w:rPr>
            </w:pP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IHHGEDFNDQGUHYLHZRI</w:t>
            </w:r>
          </w:p>
        </w:tc>
        <w:tc>
          <w:tcPr>
            <w:tcW w:w="0" w:type="dxa"/>
            <w:vAlign w:val="bottom"/>
          </w:tcPr>
          <w:p>
            <w:pPr>
              <w:spacing w:after="0"/>
              <w:rPr>
                <w:sz w:val="1"/>
                <w:szCs w:val="1"/>
                <w:color w:val="auto"/>
              </w:rPr>
            </w:pPr>
          </w:p>
        </w:tc>
      </w:tr>
      <w:tr>
        <w:trPr>
          <w:trHeight w:val="213"/>
        </w:trPr>
        <w:tc>
          <w:tcPr>
            <w:tcW w:w="300" w:type="dxa"/>
            <w:vAlign w:val="bottom"/>
            <w:shd w:val="clear" w:color="auto" w:fill="F3F3F1"/>
          </w:tcPr>
          <w:p>
            <w:pPr>
              <w:spacing w:after="0"/>
              <w:rPr>
                <w:sz w:val="18"/>
                <w:szCs w:val="18"/>
                <w:color w:val="auto"/>
              </w:rPr>
            </w:pPr>
          </w:p>
        </w:tc>
        <w:tc>
          <w:tcPr>
            <w:tcW w:w="1820" w:type="dxa"/>
            <w:vAlign w:val="bottom"/>
            <w:shd w:val="clear" w:color="auto" w:fill="F3F3F1"/>
          </w:tcPr>
          <w:p>
            <w:pPr>
              <w:spacing w:after="0"/>
              <w:rPr>
                <w:sz w:val="18"/>
                <w:szCs w:val="18"/>
                <w:color w:val="auto"/>
              </w:rPr>
            </w:pPr>
          </w:p>
        </w:tc>
        <w:tc>
          <w:tcPr>
            <w:tcW w:w="380" w:type="dxa"/>
            <w:vAlign w:val="bottom"/>
            <w:shd w:val="clear" w:color="auto" w:fill="F3F3F1"/>
          </w:tcPr>
          <w:p>
            <w:pPr>
              <w:spacing w:after="0"/>
              <w:rPr>
                <w:sz w:val="18"/>
                <w:szCs w:val="18"/>
                <w:color w:val="auto"/>
              </w:rPr>
            </w:pPr>
          </w:p>
        </w:tc>
        <w:tc>
          <w:tcPr>
            <w:tcW w:w="1940" w:type="dxa"/>
            <w:vAlign w:val="bottom"/>
            <w:shd w:val="clear" w:color="auto" w:fill="F3F3F1"/>
          </w:tcPr>
          <w:p>
            <w:pPr>
              <w:spacing w:after="0"/>
              <w:rPr>
                <w:sz w:val="18"/>
                <w:szCs w:val="18"/>
                <w:color w:val="auto"/>
              </w:rPr>
            </w:pPr>
          </w:p>
        </w:tc>
        <w:tc>
          <w:tcPr>
            <w:tcW w:w="360" w:type="dxa"/>
            <w:vAlign w:val="bottom"/>
            <w:shd w:val="clear" w:color="auto" w:fill="F3F3F1"/>
          </w:tcPr>
          <w:p>
            <w:pPr>
              <w:spacing w:after="0"/>
              <w:rPr>
                <w:sz w:val="18"/>
                <w:szCs w:val="18"/>
                <w:color w:val="auto"/>
              </w:rPr>
            </w:pPr>
          </w:p>
        </w:tc>
        <w:tc>
          <w:tcPr>
            <w:tcW w:w="192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SURFHGXUHV</w:t>
            </w:r>
          </w:p>
        </w:tc>
        <w:tc>
          <w:tcPr>
            <w:tcW w:w="380" w:type="dxa"/>
            <w:vAlign w:val="bottom"/>
            <w:shd w:val="clear" w:color="auto" w:fill="F3F3F1"/>
          </w:tcPr>
          <w:p>
            <w:pPr>
              <w:spacing w:after="0"/>
              <w:rPr>
                <w:sz w:val="18"/>
                <w:szCs w:val="18"/>
                <w:color w:val="auto"/>
              </w:rPr>
            </w:pPr>
          </w:p>
        </w:tc>
        <w:tc>
          <w:tcPr>
            <w:tcW w:w="2100" w:type="dxa"/>
            <w:vAlign w:val="bottom"/>
            <w:shd w:val="clear" w:color="auto" w:fill="F3F3F1"/>
          </w:tcPr>
          <w:p>
            <w:pPr>
              <w:ind w:left="100"/>
              <w:spacing w:after="0"/>
              <w:rPr>
                <w:sz w:val="20"/>
                <w:szCs w:val="20"/>
                <w:color w:val="auto"/>
              </w:rPr>
            </w:pPr>
            <w:r>
              <w:rPr>
                <w:rFonts w:ascii="PMingLiU" w:cs="PMingLiU" w:eastAsia="PMingLiU" w:hAnsi="PMingLiU"/>
                <w:sz w:val="16"/>
                <w:szCs w:val="16"/>
                <w:color w:val="2D2C36"/>
              </w:rPr>
              <w:t>SUDFWLFHV</w:t>
            </w:r>
          </w:p>
        </w:tc>
        <w:tc>
          <w:tcPr>
            <w:tcW w:w="0" w:type="dxa"/>
            <w:vAlign w:val="bottom"/>
          </w:tcPr>
          <w:p>
            <w:pPr>
              <w:spacing w:after="0"/>
              <w:rPr>
                <w:sz w:val="1"/>
                <w:szCs w:val="1"/>
                <w:color w:val="auto"/>
              </w:rPr>
            </w:pPr>
          </w:p>
        </w:tc>
      </w:tr>
      <w:tr>
        <w:trPr>
          <w:trHeight w:val="262"/>
        </w:trPr>
        <w:tc>
          <w:tcPr>
            <w:tcW w:w="300" w:type="dxa"/>
            <w:vAlign w:val="bottom"/>
            <w:shd w:val="clear" w:color="auto" w:fill="F3F3F1"/>
          </w:tcPr>
          <w:p>
            <w:pPr>
              <w:spacing w:after="0"/>
              <w:rPr>
                <w:sz w:val="22"/>
                <w:szCs w:val="22"/>
                <w:color w:val="auto"/>
              </w:rPr>
            </w:pPr>
          </w:p>
        </w:tc>
        <w:tc>
          <w:tcPr>
            <w:tcW w:w="1820" w:type="dxa"/>
            <w:vAlign w:val="bottom"/>
            <w:shd w:val="clear" w:color="auto" w:fill="F3F3F1"/>
          </w:tcPr>
          <w:p>
            <w:pPr>
              <w:spacing w:after="0"/>
              <w:rPr>
                <w:sz w:val="22"/>
                <w:szCs w:val="22"/>
                <w:color w:val="auto"/>
              </w:rPr>
            </w:pPr>
          </w:p>
        </w:tc>
        <w:tc>
          <w:tcPr>
            <w:tcW w:w="380" w:type="dxa"/>
            <w:vAlign w:val="bottom"/>
            <w:shd w:val="clear" w:color="auto" w:fill="F3F3F1"/>
          </w:tcPr>
          <w:p>
            <w:pPr>
              <w:spacing w:after="0"/>
              <w:rPr>
                <w:sz w:val="22"/>
                <w:szCs w:val="22"/>
                <w:color w:val="auto"/>
              </w:rPr>
            </w:pPr>
          </w:p>
        </w:tc>
        <w:tc>
          <w:tcPr>
            <w:tcW w:w="1940" w:type="dxa"/>
            <w:vAlign w:val="bottom"/>
            <w:shd w:val="clear" w:color="auto" w:fill="F3F3F1"/>
          </w:tcPr>
          <w:p>
            <w:pPr>
              <w:spacing w:after="0"/>
              <w:rPr>
                <w:sz w:val="22"/>
                <w:szCs w:val="22"/>
                <w:color w:val="auto"/>
              </w:rPr>
            </w:pPr>
          </w:p>
        </w:tc>
        <w:tc>
          <w:tcPr>
            <w:tcW w:w="360" w:type="dxa"/>
            <w:vAlign w:val="bottom"/>
            <w:shd w:val="clear" w:color="auto" w:fill="F3F3F1"/>
          </w:tcPr>
          <w:p>
            <w:pPr>
              <w:spacing w:after="0"/>
              <w:rPr>
                <w:sz w:val="22"/>
                <w:szCs w:val="22"/>
                <w:color w:val="auto"/>
              </w:rPr>
            </w:pPr>
          </w:p>
        </w:tc>
        <w:tc>
          <w:tcPr>
            <w:tcW w:w="1920" w:type="dxa"/>
            <w:vAlign w:val="bottom"/>
            <w:shd w:val="clear" w:color="auto" w:fill="F3F3F1"/>
          </w:tcPr>
          <w:p>
            <w:pPr>
              <w:spacing w:after="0"/>
              <w:rPr>
                <w:sz w:val="22"/>
                <w:szCs w:val="22"/>
                <w:color w:val="auto"/>
              </w:rPr>
            </w:pPr>
          </w:p>
        </w:tc>
        <w:tc>
          <w:tcPr>
            <w:tcW w:w="380" w:type="dxa"/>
            <w:vAlign w:val="bottom"/>
            <w:shd w:val="clear" w:color="auto" w:fill="F3F3F1"/>
          </w:tcPr>
          <w:p>
            <w:pPr>
              <w:spacing w:after="0"/>
              <w:rPr>
                <w:sz w:val="22"/>
                <w:szCs w:val="22"/>
                <w:color w:val="auto"/>
              </w:rPr>
            </w:pPr>
          </w:p>
        </w:tc>
        <w:tc>
          <w:tcPr>
            <w:tcW w:w="2100" w:type="dxa"/>
            <w:vAlign w:val="bottom"/>
            <w:shd w:val="clear" w:color="auto" w:fill="F3F3F1"/>
          </w:tcPr>
          <w:p>
            <w:pPr>
              <w:spacing w:after="0"/>
              <w:rPr>
                <w:sz w:val="22"/>
                <w:szCs w:val="2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0"/>
        <w:spacing w:after="0" w:line="339" w:lineRule="auto"/>
        <w:rPr>
          <w:sz w:val="20"/>
          <w:szCs w:val="20"/>
          <w:color w:val="auto"/>
        </w:rPr>
      </w:pPr>
      <w:r>
        <w:rPr>
          <w:rFonts w:ascii="PMingLiU" w:cs="PMingLiU" w:eastAsia="PMingLiU" w:hAnsi="PMingLiU"/>
          <w:sz w:val="15"/>
          <w:szCs w:val="15"/>
          <w:color w:val="auto"/>
        </w:rPr>
        <w:t>0HPEHUVRIRXUPDQDJHPHQWDQGLQPDQ\FDVHVPHPEHUVRIRXU%RDUGDFWLYHO\HQJDJHLQGLDORJXHZLWKRXUVKDUHKROGHUV DQGYLHZGLUHFWVKDUHKROGHUHQJDJHPHQWDVDFULWLFDOSURFHVVIRUUHFHLYLQJDQGXQGHUVWDQGLQJIHHGEDFNRQVXEMHFWVWKDW PDWWHUPRVWWRRXUVKDUHKROGHUV'XULQJVXFKHQJDJHPHQWLQRXUVKDUHKROGHUVH[SUHVVHGJHQHUDOVDWLVIDFWLRQZLWKDQG GLGQRWUDLVHDQ\PDWHULDOFRQFHUQVUHJDUGLQJRXUH[HFXWLYHFRPSHQVDWLRQSURJUDP:HZLOOFRQWLQXHRXWUHDFKDQGGLDORJXH ZLWKRXUVKDUHKROGHUVLQWKHIXWXUH</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6KDUHKROGHU&amp;RPPXQLFDWLRQVZLWK2XU%RDUG</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15"/>
          <w:szCs w:val="15"/>
          <w:color w:val="auto"/>
        </w:rPr>
        <w:t>2XU%RDUGEHOLHYHVWKDWVKDUHKROGHUVVKRXOGKDYHDQRSSRUWXQLW\WRFRPPXQLFDWHZLWKRXU%RDUGDQGHIIRUWVKDYHEHHQPDGH</w:t>
      </w:r>
    </w:p>
    <w:p>
      <w:pPr>
        <w:spacing w:after="0" w:line="60"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WRHQVXUHWKDWWKHYLHZVRIRXUVKDUHKROGHUVDUHKHDUGE\RXU%RDUGRULQGLYLGXDOGLUHFWRUVDVDSSOLFDEOHDQGWKDWDSSURSULDWH UHVSRQVHVDUHSURYLGHGWRRXUVKDUHKROGHUVLQDWLPHO\PDQQHU6KDUHKROGHUVLQWHUHVWHGLQFRPPXQLFDWLQJZLWKRXU%RDUGRUD SDUWLFXODUGLUHFWRULQFOXGLQJRXU&amp;KDLUSHUVRQRURXU/,'PD\GRVRE\VHQGLQJZULWWHQFRPPXQLFDWLRQWR-D]] 3KDUPDFHXWLFDOVSOF$WWHQWLRQ&amp;RPSDQ\6HFUHWDU\)LIWK)ORRU:DWHUORR([FKDQJH:DWHUORR5RDG'XEOLQ,UHODQG(DFK FRPPXQLFDWLRQVKRXOGVHWIRUWKWKHQDPHDQGDGGUHVVRIWKHVKDUHKROGHUDVLWDSSHDUVRQRXUUHFRUGVDQGLIWKHVKDUHVDUH KHOGE\DQRPLQHHWKHQDPHDQGDGGUHVVRIWKHEHQHILFLDORZQHURIWKHVKDUHVDQGWKHQXPEHURIRXURUGLQDU\VKDUHVWKDW DUHRZQHGRIUHFRUGE\WKHUHFRUGKROGHURUEHQHILFLDOO\E\WKHEHQHILFLDORZQHUDVDSSOLFDEOH2XU&amp;RPSDQ\6HFUHWDU\ZLOOLQ</w:t>
      </w:r>
    </w:p>
    <w:p>
      <w:pPr>
        <w:spacing w:after="0" w:line="1" w:lineRule="exact"/>
        <w:rPr>
          <w:sz w:val="20"/>
          <w:szCs w:val="20"/>
          <w:color w:val="auto"/>
        </w:rPr>
      </w:pPr>
    </w:p>
    <w:p>
      <w:pPr>
        <w:ind w:right="20"/>
        <w:spacing w:after="0" w:line="400" w:lineRule="auto"/>
        <w:rPr>
          <w:sz w:val="20"/>
          <w:szCs w:val="20"/>
          <w:color w:val="auto"/>
        </w:rPr>
      </w:pPr>
      <w:r>
        <w:rPr>
          <w:rFonts w:ascii="PMingLiU" w:cs="PMingLiU" w:eastAsia="PMingLiU" w:hAnsi="PMingLiU"/>
          <w:sz w:val="13"/>
          <w:szCs w:val="13"/>
          <w:color w:val="auto"/>
        </w:rPr>
        <w:t>KLVRUKHUGLVFUHWLRQVFUHHQRXWFRPPXQLFDWLRQVIURPVKDUHKROGHUVWKDWDUHQRWUHODWHGWRWKHGXWLHVDQGUHVSRQVLELOLWLHVRIRXU %RDUG7KHSXUSRVHRIWKLVVFUHHQLQJLVWRDOORZRXU%RDUGWRDYRLGKDYLQJWRFRQVLGHULUUHOHYDQWRULQDSSURSULDWH FRPPXQLFDWLRQVVXFKDVDGYHUWLVHPHQWVVROLFLWDWLRQVDQGKRVWLOHFRPPXQLFDWLRQV,IGHHPHGDQDSSURSULDWH FRPPXQLFDWLRQRXU&amp;RPSDQ\6HFUHWDU\ZLOOIRUZDUGWKHFRPPXQLFDWLRQGHSHQGLQJRQWKHVXEMHFWPDWWHUWRRXU&amp;KDLUSHUVRQ RXU/,'RUWKHFKDLURIWKHDSSURSULDWHFRPPLWWHHRIRXU%RDUG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469265</wp:posOffset>
            </wp:positionV>
            <wp:extent cx="1386840" cy="2336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6">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46" w:name="page47"/>
    <w:bookmarkEnd w:id="46"/>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299" o:spid="_x0000_s1324"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6KDUHKROGHU$ELOLW\WR&amp;DOODQ(*0</w:t>
      </w:r>
    </w:p>
    <w:p>
      <w:pPr>
        <w:spacing w:after="0" w:line="191" w:lineRule="exact"/>
        <w:rPr>
          <w:sz w:val="20"/>
          <w:szCs w:val="20"/>
          <w:color w:val="auto"/>
        </w:rPr>
      </w:pPr>
    </w:p>
    <w:p>
      <w:pPr>
        <w:spacing w:after="0" w:line="359" w:lineRule="auto"/>
        <w:rPr>
          <w:sz w:val="20"/>
          <w:szCs w:val="20"/>
          <w:color w:val="auto"/>
        </w:rPr>
      </w:pPr>
      <w:r>
        <w:rPr>
          <w:rFonts w:ascii="PMingLiU" w:cs="PMingLiU" w:eastAsia="PMingLiU" w:hAnsi="PMingLiU"/>
          <w:sz w:val="14"/>
          <w:szCs w:val="14"/>
          <w:color w:val="auto"/>
        </w:rPr>
        <w:t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6KDUHKROGHU3URSRVDOVDQG'LUHFWRU1RPLQDWLRQVIRUWKH$*0</w:t>
      </w:r>
    </w:p>
    <w:p>
      <w:pPr>
        <w:spacing w:after="0" w:line="191" w:lineRule="exact"/>
        <w:rPr>
          <w:sz w:val="20"/>
          <w:szCs w:val="20"/>
          <w:color w:val="auto"/>
        </w:rPr>
      </w:pPr>
    </w:p>
    <w:p>
      <w:pPr>
        <w:ind w:right="40"/>
        <w:spacing w:after="0" w:line="359" w:lineRule="auto"/>
        <w:rPr>
          <w:sz w:val="20"/>
          <w:szCs w:val="20"/>
          <w:color w:val="auto"/>
        </w:rPr>
      </w:pPr>
      <w:r>
        <w:rPr>
          <w:rFonts w:ascii="PMingLiU" w:cs="PMingLiU" w:eastAsia="PMingLiU" w:hAnsi="PMingLiU"/>
          <w:sz w:val="14"/>
          <w:szCs w:val="14"/>
          <w:color w:val="auto"/>
        </w:rPr>
        <w:t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amp;RPSDQ\6HFUHWDU\)LIWK)ORRU:DWHUORR([FKDQJH :DWHUORR5RDG'XEOLQ,UHODQG</w:t>
      </w:r>
    </w:p>
    <w:p>
      <w:pPr>
        <w:spacing w:after="0" w:line="98" w:lineRule="exact"/>
        <w:rPr>
          <w:sz w:val="20"/>
          <w:szCs w:val="20"/>
          <w:color w:val="auto"/>
        </w:rPr>
      </w:pPr>
    </w:p>
    <w:p>
      <w:pPr>
        <w:ind w:right="500"/>
        <w:spacing w:after="0" w:line="342" w:lineRule="auto"/>
        <w:rPr>
          <w:sz w:val="20"/>
          <w:szCs w:val="20"/>
          <w:color w:val="auto"/>
        </w:rPr>
      </w:pPr>
      <w:r>
        <w:rPr>
          <w:rFonts w:ascii="PMingLiU" w:cs="PMingLiU" w:eastAsia="PMingLiU" w:hAnsi="PMingLiU"/>
          <w:sz w:val="14"/>
          <w:szCs w:val="14"/>
          <w:color w:val="auto"/>
        </w:rPr>
        <w:t>2XU&amp;RQVWLWXWLRQSURYLGHVWKDWVKDUHKROGHUQRPLQDWLRQVRISHUVRQVWREHHOHFWHGWRRXU%RDUGDWRXU$*0PXVWEHPDGH IROORZLQJZULWWHQQRWLFHWRRXU&amp;RPSDQ\6HFUHWDU\ZKLFKLVH[HFXWHGE\DVKDUHKROGHUDQGDFFRPSDQLHGE\FHUWDLQ</w:t>
      </w:r>
    </w:p>
    <w:p>
      <w:pPr>
        <w:ind w:right="20"/>
        <w:spacing w:after="0" w:line="342" w:lineRule="auto"/>
        <w:rPr>
          <w:sz w:val="20"/>
          <w:szCs w:val="20"/>
          <w:color w:val="auto"/>
        </w:rPr>
      </w:pPr>
      <w:r>
        <w:rPr>
          <w:rFonts w:ascii="PMingLiU" w:cs="PMingLiU" w:eastAsia="PMingLiU" w:hAnsi="PMingLiU"/>
          <w:sz w:val="14"/>
          <w:szCs w:val="14"/>
          <w:color w:val="auto"/>
        </w:rPr>
        <w:t>EDFNJURXQGDQGRWKHULQIRUPDWLRQVSHFLILHGLQRXU&amp;RQVWLWXWLRQ6XFKZULWWHQQRWLFHDQGLQIRUPDWLRQPXVWEHUHFHLYHGE\RXU &amp;RPSDQ\6HFUHWDU\QRWODWHUWKDQWKHFORVHRIEXVLQHVVRQ0DUFKQRUHDUOLHUWKDQ-DQXDU\SURYLGHG KRZHYHUWKDWLQWKHHYHQWRXU$*0LVQRWKHOGEHWZHHQ-XQHDQG$XJXVWQRWLFHPXVWEHGHOLYHUHGQR HDUOLHUWKDQGD\VSULRUWRQRUODWHUWKDQWKHODWHURIGD\VSULRUWRWKHGDWHRIWKH$*0RUWKHWKGD\IROORZLQJWKH GD\RQZKLFKSXEOLFDQQRXQFHPHQWRIWKHGDWHRIVXFKPHHWLQJLVILUVWPDGH,QDGGLWLRQWRVDWLVI\LQJWKHLQIRUPDWLRQDO UHTXLUHPHQWVLQRXU&amp;RQVWLWXWLRQVKDUHKROGHUVLQWHQGLQJWRVROLFLWSUR[LHVLQVXSSRUWRIGLUHFWRUQRPLQHHVRWKHUWKDQRXU</w:t>
      </w:r>
    </w:p>
    <w:p>
      <w:pPr>
        <w:spacing w:after="0" w:line="1" w:lineRule="exact"/>
        <w:rPr>
          <w:sz w:val="20"/>
          <w:szCs w:val="20"/>
          <w:color w:val="auto"/>
        </w:rPr>
      </w:pPr>
    </w:p>
    <w:p>
      <w:pPr>
        <w:ind w:right="20"/>
        <w:spacing w:after="0" w:line="351" w:lineRule="auto"/>
        <w:rPr>
          <w:sz w:val="20"/>
          <w:szCs w:val="20"/>
          <w:color w:val="auto"/>
        </w:rPr>
      </w:pPr>
      <w:r>
        <w:rPr>
          <w:rFonts w:ascii="PMingLiU" w:cs="PMingLiU" w:eastAsia="PMingLiU" w:hAnsi="PMingLiU"/>
          <w:sz w:val="14"/>
          <w:szCs w:val="14"/>
          <w:color w:val="auto"/>
        </w:rPr>
        <w:t>QRPLQHHVPXVWSURYLGHLQWKHLUQRWLFHDQ\DGGLWLRQDOLQIRUPDWLRQUHTXLUHGE\5XOHDESURPXOJDWHGXQGHUWKH([FKDQJH $FW2XU&amp;RQVWLWXWLRQSURYLGHVWKDWRWKHUSURSRVDOVPD\RQO\EHSURSRVHGDWRXU$*0LIHLWKHULLWLVSURSRVHGE\RUDWWKH GLUHFWLRQRIRXU%RDUGLLLWLVSURSRVHGDWWKHGLUHFWLRQRIWKH,ULVK+LJK&amp;RXUWRULLLRXU&amp;KDLUSHUVRQRIWKHPHHWLQJGHFLGHV LQKLVRUKHUDEVROXWHGLVFUHWLRQWKDWWKHSURSRVDOPD\SURSHUO\EHUHJDUGHGDVZLWKLQWKHVFRSHRIWKHUHOHYDQWPHHWLQJ,Q DGGLWLRQRXUSUR[\VROLFLWHGE\RXU%RDUGRUWKH$*0ZLOOFRQIHUGLVFUHWLRQDU\YRWLQJDXWKRULW\ZLWKUHVSHFWWRLDQ\ SURSRVDOSUHVHQWHGE\DVKDUHKROGHUDWWKDWPHHWLQJIRUZKLFKZHKDYHQRWEHHQSURYLGHGZLWKQRWLFHE\$SULODQG LLLIZHKDYHUHFHLYHGQRWLFHRIVXFKSURSRVDOE\$SULODQ\PDWWHUSURYLGHGWKDWLRXUSUR[\VWDWHPHQWEULHIO\ GHVFULEHVVXFKPDWWHUDQGKRZPDQDJHPHQW¶VSUR[\KROGHUVLQWHQGWRYRWHRQLWDQGLLWKHVKDUHKROGHUGRHVQRWFRPSO\ZLWK WKHUHTXLUHPHQWVRI5XOHDFSURPXOJDWHGXQGHUWKH([FKDQJH$FW2QDQ\RWKHUEXVLQHVVZKLFKPD\SURSHUO\FRPH EHIRUHRXU$*0RUDQ\DGMRXUQPHQWWKHUHRIDQGZKHWKHUSURFHGXUDORUVXEVWDQWLYHLQQDWXUHLQFOXGLQJZLWKRXW OLPLWDWLRQDQ\PRWLRQWRDPHQGDUHVROXWLRQRUDGMRXUQWKHPHHWLQJQRWVSHFLILHGLQRXUSUR[\VWDWHPHQWWKHSUR[\KROGHUZLOO DFWDWKLVRUKHUGLVFUHWLRQ</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&amp;HUWDLQ5HODWLRQVKLSVDQG5HODWHG3DUW\7UDQVDFWLRQV</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3ROLF\DQG3URFHGXUHVIRU5HYLHZRI5HODWHG3DUW\7UDQVDFWLRQV</w:t>
      </w:r>
    </w:p>
    <w:p>
      <w:pPr>
        <w:spacing w:after="0" w:line="191"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:HKDYHDGRSWHGD5HODWHG3DUW\7UDQVDFWLRQ3ROLF\WKDWVHWVIRUWKRXUSURFHGXUHVIRUWKHLGHQWLILFDWLRQUHYLHZFRQVLGHUDWLRQ DQGDSSURYDORUUDWLILFDWLRQRI³UHODWHGSHUVRQWUDQVDFWLRQV´)RUSXUSRVHVRIRXUSROLF\D³UHODWHGSHUVRQWUDQVDFWLRQ´LVD WUDQVDFWLRQDUUDQJHPHQWRUUHODWLRQVKLSRUDQ\VHULHVRIVLPLODUWUDQVDFWLRQVDUUDQJHPHQWVRUUHODWLRQVKLSVLQZKLFKZHDUH ZHUHRUZLOOEHDSDUWLFLSDQWDQGWKHDPRXQWLQYROYHGH[FHHGVDQGDQ\³UHODWHGSHUVRQ´KDGKDVRUZLOOKDYHD</w:t>
      </w:r>
    </w:p>
    <w:p>
      <w:pPr>
        <w:spacing w:after="0" w:line="1" w:lineRule="exact"/>
        <w:rPr>
          <w:sz w:val="20"/>
          <w:szCs w:val="20"/>
          <w:color w:val="auto"/>
        </w:rPr>
      </w:pPr>
    </w:p>
    <w:p>
      <w:pPr>
        <w:ind w:right="200"/>
        <w:spacing w:after="0" w:line="432" w:lineRule="auto"/>
        <w:rPr>
          <w:sz w:val="20"/>
          <w:szCs w:val="20"/>
          <w:color w:val="auto"/>
        </w:rPr>
      </w:pPr>
      <w:r>
        <w:rPr>
          <w:rFonts w:ascii="PMingLiU" w:cs="PMingLiU" w:eastAsia="PMingLiU" w:hAnsi="PMingLiU"/>
          <w:sz w:val="13"/>
          <w:szCs w:val="13"/>
          <w:color w:val="auto"/>
        </w:rPr>
        <w:t>GLUHFWRULQGLUHFWPDWHULDOLQWHUHVWRWKHUWKDQFHUWDLQWUDQVDFWLRQVWKDWZRXOGQRWEHUHTXLUHGWREHGLVFORVHGSXUVXDQWWR,WHP DRI5HJXODWLRQ6.$³UHODWHGSHUVRQ´LVDQ\H[HFXWLYHRIILFHUGLUHFWRUGLUHFWRUQRPLQHHRUEHQHILFLDORZQHURIPRUH WKDQRIDQ\FODVVRIRXUYRWLQJVHFXULWLHVLQFOXGLQJDQ\RIWKHLULPPHGLDWHIDPLO\PHPEHUV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761365</wp:posOffset>
            </wp:positionV>
            <wp:extent cx="1386840" cy="2336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47" w:name="page48"/>
    <w:bookmarkEnd w:id="4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301" o:spid="_x0000_s1326"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PMingLiU" w:cs="PMingLiU" w:eastAsia="PMingLiU" w:hAnsi="PMingLiU"/>
          <w:sz w:val="14"/>
          <w:szCs w:val="14"/>
          <w:color w:val="auto"/>
        </w:rPr>
        <w:t>8QGHUWKHSROLF\LIDWUDQVDFWLRQKDVEHHQLGHQWLILHGDVDUHODWHGSHUVRQWUDQVDFWLRQLQFOXGLQJDQ\WUDQVDFWLRQWKDWZDVQRWD</w:t>
      </w:r>
    </w:p>
    <w:p>
      <w:pPr>
        <w:spacing w:after="0" w:line="72" w:lineRule="exact"/>
        <w:rPr>
          <w:sz w:val="20"/>
          <w:szCs w:val="20"/>
          <w:color w:val="auto"/>
        </w:rPr>
      </w:pPr>
    </w:p>
    <w:p>
      <w:pPr>
        <w:jc w:val="both"/>
        <w:ind w:right="60"/>
        <w:spacing w:after="0" w:line="368" w:lineRule="auto"/>
        <w:rPr>
          <w:sz w:val="20"/>
          <w:szCs w:val="20"/>
          <w:color w:val="auto"/>
        </w:rPr>
      </w:pPr>
      <w:r>
        <w:rPr>
          <w:rFonts w:ascii="PMingLiU" w:cs="PMingLiU" w:eastAsia="PMingLiU" w:hAnsi="PMingLiU"/>
          <w:sz w:val="13"/>
          <w:szCs w:val="13"/>
          <w:color w:val="auto"/>
        </w:rPr>
        <w:t>UHODWHGSHUVRQWUDQVDFWLRQZKHQRULJLQDOO\FRQVXPPDWHGRUDQ\WUDQVDFWLRQWKDWZDVQRWLQLWLDOO\LGHQWLILHGDVDUHODWHGSHUVRQ WUDQVDFWLRQSULRUWRFRQVXPPDWLRQRXUPDQDJHPHQWWHDPPXVWSUHVHQWLQIRUPDWLRQUHJDUGLQJWKHUHODWHGSHUVRQWUDQVDFWLRQ WRRXU$XGLW&amp;RPPLWWHHRULI$XGLW&amp;RPPLWWHHDSSURYDOZRXOGEHLQDSSURSULDWHWRDQRWKHULQGHSHQGHQWERG\RIRXU%RDUGIRU</w:t>
      </w:r>
    </w:p>
    <w:p>
      <w:pPr>
        <w:spacing w:after="0" w:line="1" w:lineRule="exact"/>
        <w:rPr>
          <w:sz w:val="20"/>
          <w:szCs w:val="20"/>
          <w:color w:val="auto"/>
        </w:rPr>
      </w:pPr>
    </w:p>
    <w:p>
      <w:pPr>
        <w:ind w:right="40"/>
        <w:spacing w:after="0" w:line="368" w:lineRule="auto"/>
        <w:rPr>
          <w:sz w:val="20"/>
          <w:szCs w:val="20"/>
          <w:color w:val="auto"/>
        </w:rPr>
      </w:pPr>
      <w:r>
        <w:rPr>
          <w:rFonts w:ascii="PMingLiU" w:cs="PMingLiU" w:eastAsia="PMingLiU" w:hAnsi="PMingLiU"/>
          <w:sz w:val="13"/>
          <w:szCs w:val="13"/>
          <w:color w:val="auto"/>
        </w:rPr>
        <w:t>UHYLHZFRQVLGHUDWLRQDQGDSSURYDORUUDWLILFDWLRQ7KHSUHVHQWDWLRQPXVWLQFOXGHDGHVFULSWLRQRIDPRQJRWKHUWKLQJVWKH PDWHULDOIDFWVRIWKHWUDQVDFWLRQLQFOXGLQJWKHEXVLQHVVSXUSRVHRIWKHWUDQVDFWLRQWKHSDUWLHVWKHUHWRWKHLQWHUHVWVGLUHFWDQG LQGLUHFWRIWKHUHODWHGSHUVRQVWKHEHQHILWVWRXVRIWKHWUDQVDFWLRQDQGZKHWKHUWKHWUDQVDFWLRQLVRQWHUPVWKDWDUH FRPSDUDEOHWRWKHWHUPVDYDLODEOHWRRUIURPDVWKHFDVHPD\EHDQXQUHODWHGWKLUGSDUW\RUWRRUIURPHPSOR\HHVJHQHUDOO\ DQGPDQDJHPHQW¶VUHFRPPHQGDWLRQZLWKUHVSHFWWRWKHWUDQVDFWLRQ8QGHUWKHSROLF\ZHZLOORQDQDQQXDOEDVLVFROOHFW LQIRUPDWLRQWKDWRXU&amp;KLHI/HJDO2IILFHUGHHPVUHDVRQDEO\QHFHVVDU\IURPHDFKGLUHFWRUGLUHFWRUQRPLQHHH[HFXWLYHRIILFHU DQGWRWKHH[WHQWIHDVLEOHVLJQLILFDQWVKDUHKROGHUWRHQDEOHXVWRLGHQWLI\DQ\H[LVWLQJRUSRWHQWLDOUHODWHGSHUVRQWUDQVDFWLRQV DQGWRHIIHFWXDWHWKHWHUPVRIWKHSROLF\,QDGGLWLRQXQGHURXU&amp;RGHRI&amp;RQGXFWDQG(WKLFVRXUHPSOR\HHVDQGGLUHFWRUV KDYHDQDIILUPDWLYHUHVSRQVLELOLW\WRGLVFORVHDQ\WUDQVDFWLRQRUUHODWLRQVKLSWKDWUHDVRQDEO\FRXOGEHH[SHFWHGWRJLYHULVHWRD</w:t>
      </w:r>
    </w:p>
    <w:p>
      <w:pPr>
        <w:spacing w:after="0" w:line="3"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FRQIOLFWRILQWHUHVWWRRXU&amp;KLHI/HJDO2IILFHURULIWKHHPSOR\HHLVDQH[HFXWLYHRIILFHUWRRXU%RDUG,QFRQVLGHULQJUHODWHG SHUVRQWUDQVDFWLRQVRXU$XGLW&amp;RPPLWWHHRURWKHULQGHSHQGHQWERG\RIRXU%RDUGZLOOWDNHLQWRDFFRXQWWKHUHOHYDQWDYDLODEOH IDFWVDQGFLUFXPVWDQFHVLQFOXGLQJEXWQRWOLPLWHGWRWKHULVNVFRVWVDQGEHQHILWVWRXVWKHWHUPVRIWKHWUDQVDFWLRQWKH</w:t>
      </w:r>
    </w:p>
    <w:p>
      <w:pPr>
        <w:spacing w:after="0" w:line="368" w:lineRule="auto"/>
        <w:rPr>
          <w:sz w:val="20"/>
          <w:szCs w:val="20"/>
          <w:color w:val="auto"/>
        </w:rPr>
      </w:pPr>
      <w:r>
        <w:rPr>
          <w:rFonts w:ascii="PMingLiU" w:cs="PMingLiU" w:eastAsia="PMingLiU" w:hAnsi="PMingLiU"/>
          <w:sz w:val="13"/>
          <w:szCs w:val="13"/>
          <w:color w:val="auto"/>
        </w:rPr>
        <w:t>EXVLQHVVUDWLRQDOHIRUHQJDJLQJLQWKHWUDQVDFWLRQWKHDYDLODELOLW\RIRWKHUVRXUFHVIRUFRPSDUDEOHVHUYLFHVRUSURGXFWVLI DSSOLFDEOHWKHLPSDFWRQDGLUHFWRURUGLUHFWRUQRPLQHH¶VLQGHSHQGHQFHLQWKHHYHQWWKDWWKHUHODWHGSHUVRQLVDGLUHFWRURU GLUHFWRUQRPLQHHLPPHGLDWHIDPLO\PHPEHURIDGLUHFWRURUGLUHFWRUQRPLQHHRUDQHQWLW\ZLWKZKLFKDGLUHFWRURUGLUHFWRU QRPLQHHLVDIILOLDWHGDQGZKHWKHUWKHWUDQVDFWLRQZRXOGSUHVHQWDQLPSURSHUFRQIOLFWRILQWHUHVWIRUDQ\GLUHFWRUGLUHFWRU QRPLQHHRUH[HFXWLYHRIILFHURIRXU&amp;RPSDQ\WDNLQJLQWRDFFRXQWWKHVL]HRIWKHWUDQVDFWLRQWKHRYHUDOOILQDQFLDOSRVLWLRQRIWKH GLUHFWRUGLUHFWRUQRPLQHHH[HFXWLYHRIILFHURUUHODWHGSHUVRQWKHGLUHFWRULQGLUHFWQDWXUHRIWKHGLUHFWRU¶VGLUHFWRUQRPLQHH¶V</w:t>
      </w:r>
    </w:p>
    <w:p>
      <w:pPr>
        <w:spacing w:after="0" w:line="2" w:lineRule="exact"/>
        <w:rPr>
          <w:sz w:val="20"/>
          <w:szCs w:val="20"/>
          <w:color w:val="auto"/>
        </w:rPr>
      </w:pPr>
    </w:p>
    <w:p>
      <w:pPr>
        <w:ind w:right="100"/>
        <w:spacing w:after="0" w:line="443" w:lineRule="auto"/>
        <w:rPr>
          <w:sz w:val="20"/>
          <w:szCs w:val="20"/>
          <w:color w:val="auto"/>
        </w:rPr>
      </w:pPr>
      <w:r>
        <w:rPr>
          <w:rFonts w:ascii="PMingLiU" w:cs="PMingLiU" w:eastAsia="PMingLiU" w:hAnsi="PMingLiU"/>
          <w:sz w:val="14"/>
          <w:szCs w:val="14"/>
          <w:color w:val="auto"/>
        </w:rPr>
        <w:t>H[HFXWLYHRIILFHU¶VRUUHODWHGSHUVRQ¶VLQWHUHVWLQWKHWUDQVDFWLRQDQGWKHRQJRLQJQDWXUHRIDQ\SURSRVHGUHODWLRQVKLSDQGDQ\ RWKHUIDFWRUVRXU$XGLW&amp;RPPLWWHHRURWKHULQGHSHQGHQWERG\RIRXU%RDUGGHHPVUHOHYDQW</w:t>
      </w:r>
    </w:p>
    <w:p>
      <w:pPr>
        <w:spacing w:after="0" w:line="39"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7KHSROLF\UHTXLUHVWKDWRXU$XGLW&amp;RPPLWWHHRURWKHULQGHSHQGHQWERG\RIRXU%RDUGRQO\DSSURYHDQGUDWLI\WKRVHUHODWHG SHUVRQWUDQVDFWLRQVWKDWLQOLJKWRINQRZQFLUFXPVWDQFHVDUHLQRUDUHQRWLQFRQVLVWHQWZLWKRXUEHVWLQWHUHVWVDQGWKRVHRI RXUVKDUHKROGHUVDVRXU$XGLW&amp;RPPLWWHHRURWKHULQGHSHQGHQWERG\RIRXU%RDUGGHWHUPLQHVLQWKHJRRGIDLWKH[HUFLVHRILWV</w:t>
      </w:r>
    </w:p>
    <w:p>
      <w:pPr>
        <w:ind w:right="540"/>
        <w:spacing w:after="0" w:line="496" w:lineRule="auto"/>
        <w:rPr>
          <w:sz w:val="20"/>
          <w:szCs w:val="20"/>
          <w:color w:val="auto"/>
        </w:rPr>
      </w:pPr>
      <w:r>
        <w:rPr>
          <w:rFonts w:ascii="PMingLiU" w:cs="PMingLiU" w:eastAsia="PMingLiU" w:hAnsi="PMingLiU"/>
          <w:sz w:val="13"/>
          <w:szCs w:val="13"/>
          <w:color w:val="auto"/>
        </w:rPr>
        <w:t>GLVFUHWLRQ7KHSROLF\DOVRUHTXLUHVWKDWGLUHFWRUVLQWHUHVWHGLQDUHODWHGSHUVRQWUDQVDFWLRQUHFXVHWKHPVHOYHVIURPDQ\ GLVFXVVLRQRUYRWHRQDUHODWHGSHUVRQWUDQVDFWLRQLQZKLFKWKH\KDYHDQLQWHUHVW</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7UDQVDFWLRQVZLWK5HODWHG3HUVRQV</w:t>
      </w:r>
    </w:p>
    <w:p>
      <w:pPr>
        <w:spacing w:after="0" w:line="191"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$IDPLO\PHPEHURI&amp;ODVV,GLUHFWRU/DXUD-+DPLOOLVHPSOR\HGE\RXU&amp;RPSDQ\7KHHPSOR\HHLVQRWRQHRIRXUH[HFXWLYH RIILFHUV7KHFRPSHQVDWLRQRIWKLVHPSOR\HHZDVGHWHUPLQHGLQDFFRUGDQFHZLWKRXU&amp;RPSDQ\¶VFRPSHQVDWLRQSROLFLHV DSSOLFDEOHWRRWKHUHPSOR\HHVRIDVLPLODUWLWOHDQGFRPSHQVDWLRQJUDGHDQGWKLVHPSOR\HHLVDOVRHOLJLEOHWRSDUWLFLSDWHLQRXU</w:t>
      </w:r>
    </w:p>
    <w:p>
      <w:pPr>
        <w:spacing w:after="0"/>
        <w:rPr>
          <w:sz w:val="20"/>
          <w:szCs w:val="20"/>
          <w:color w:val="auto"/>
        </w:rPr>
      </w:pPr>
      <w:r>
        <w:rPr>
          <w:rFonts w:ascii="PMingLiU" w:cs="PMingLiU" w:eastAsia="PMingLiU" w:hAnsi="PMingLiU"/>
          <w:sz w:val="14"/>
          <w:szCs w:val="14"/>
          <w:color w:val="auto"/>
        </w:rPr>
        <w:t>&amp;RPSDQ\EHQHILWSODQVWKDWDUHDYDLODEOHWRRWKHUHPSOR\HHVLQVLPLODUSRVLWLRQVDQGORFDWLRQV7KHWRWDOFRPSHQVDWLRQRIWKLV</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8"/>
          <w:szCs w:val="18"/>
          <w:color w:val="auto"/>
        </w:rPr>
        <w:t>HPSOR\HHFRPSULVLQJERWKFDVKDQGHTXLW\FRPSHQVDWLRQZDVDSSUR[LPDWHO\IRUILVFDO\HDU</w:t>
      </w:r>
    </w:p>
    <w:p>
      <w:pPr>
        <w:spacing w:after="0" w:line="204" w:lineRule="exact"/>
        <w:rPr>
          <w:sz w:val="20"/>
          <w:szCs w:val="20"/>
          <w:color w:val="auto"/>
        </w:rPr>
      </w:pPr>
    </w:p>
    <w:p>
      <w:pPr>
        <w:ind w:right="380"/>
        <w:spacing w:after="0" w:line="319" w:lineRule="auto"/>
        <w:rPr>
          <w:sz w:val="20"/>
          <w:szCs w:val="20"/>
          <w:color w:val="auto"/>
        </w:rPr>
      </w:pPr>
      <w:r>
        <w:rPr>
          <w:rFonts w:ascii="PMingLiU" w:cs="PMingLiU" w:eastAsia="PMingLiU" w:hAnsi="PMingLiU"/>
          <w:sz w:val="15"/>
          <w:szCs w:val="15"/>
          <w:color w:val="auto"/>
        </w:rPr>
        <w:t>,QDGGLWLRQDIDPLO\PHPEHURI&amp;ODVV,,GLUHFWRU1RUEHUW*5LHGHOLVHPSOR\HGE\RXU&amp;RPSDQ\VLQFH$SULODQGZDV SUHYLRXVO\DFRQWLQJHQWZRUNHUHQJDJHGWKURXJKDQDJHQF\IURP-XQHWR$SULO7KHHPSOR\HHLVQRWRQHRIRXU H[HFXWLYHRIILFHUV7KHFRPSHQVDWLRQRIWKLVHPSOR\HHZDVGHWHUPLQHGLQDFFRUGDQFHZLWKRXU&amp;RPSDQ\¶VFRPSHQVDWLRQ SROLFLHVDSSOLFDEOHWRRWKHUHPSOR\HHVRIDVLPLODUWLWOHDQGFRPSHQVDWLRQJUDGHDQGWKLVHPSOR\HHLVDOVRHOLJLEOHWR</w:t>
      </w:r>
    </w:p>
    <w:p>
      <w:pPr>
        <w:spacing w:after="0" w:line="1" w:lineRule="exact"/>
        <w:rPr>
          <w:sz w:val="20"/>
          <w:szCs w:val="20"/>
          <w:color w:val="auto"/>
        </w:rPr>
      </w:pPr>
    </w:p>
    <w:p>
      <w:pPr>
        <w:ind w:right="20"/>
        <w:spacing w:after="0" w:line="376" w:lineRule="auto"/>
        <w:rPr>
          <w:sz w:val="20"/>
          <w:szCs w:val="20"/>
          <w:color w:val="auto"/>
        </w:rPr>
      </w:pPr>
      <w:r>
        <w:rPr>
          <w:rFonts w:ascii="PMingLiU" w:cs="PMingLiU" w:eastAsia="PMingLiU" w:hAnsi="PMingLiU"/>
          <w:sz w:val="14"/>
          <w:szCs w:val="14"/>
          <w:color w:val="auto"/>
        </w:rPr>
        <w:t>SDUWLFLSDWHLQRXU&amp;RPSDQ\EHQHILWSODQVWKDWDUHDYDLODEOHWRRWKHUHPSOR\HHVLQVLPLODUSRVLWLRQVDQGORFDWLRQV7KHWRWDO FRPSHQVDWLRQHDUQHGE\WKLVHPSOR\HHIRUVHUYLFHVDVDFRQWLQJHQWZRUNHUIURP-DQXDU\XQWLOKLUHGE\XVDVDQ HPSOR\HHLQ$SULOZDVDSSUR[LPDWHO\7KHWRWDOWDUJHWDQQXDOFRPSHQVDWLRQIRUWKLVHPSOR\HHIRUVHUYLFHVDVDQ HPSOR\HHLQILVFDO\HDUFRPSULVLQJERWKFDVKDQGHTXLW\FRPSHQVDWLRQLVDSSUR[LPDWHO\</w:t>
      </w:r>
    </w:p>
    <w:p>
      <w:pPr>
        <w:spacing w:after="0" w:line="85" w:lineRule="exact"/>
        <w:rPr>
          <w:sz w:val="20"/>
          <w:szCs w:val="20"/>
          <w:color w:val="auto"/>
        </w:rPr>
      </w:pPr>
    </w:p>
    <w:p>
      <w:pPr>
        <w:ind w:right="40"/>
        <w:spacing w:after="0" w:line="319" w:lineRule="auto"/>
        <w:rPr>
          <w:sz w:val="20"/>
          <w:szCs w:val="20"/>
          <w:color w:val="auto"/>
        </w:rPr>
      </w:pPr>
      <w:r>
        <w:rPr>
          <w:rFonts w:ascii="PMingLiU" w:cs="PMingLiU" w:eastAsia="PMingLiU" w:hAnsi="PMingLiU"/>
          <w:sz w:val="16"/>
          <w:szCs w:val="16"/>
          <w:color w:val="auto"/>
        </w:rPr>
        <w:t>([FHSWDVVHWIRUWKDERYHVLQFH-DQXDU\ZHKDYHQRWHQJDJHGLQDQ\WUDQVDFWLRQVUHTXLUHGWREHGLVFORVHGSXUVXDQW WR,WHPDRI5HJXODWLRQ6.QRUDUHDQ\VXFKWUDQVDFWLRQVFXUUHQWO\SURSRVHGLQZKLFKZHZHUHDUHRUDUHWREHD SDUWLFLSDQWDQGWKHDPRXQWLQYROYHGH[FHHGHGDQGLQZKLFKDQ\UHODWHGSHUVRQKDGRUZLOOKDYHDGLUHFWRULQGLUHFW PDWHULDOLQWHUHVW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923925</wp:posOffset>
            </wp:positionV>
            <wp:extent cx="1386840" cy="2336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48" w:name="page49"/>
    <w:bookmarkEnd w:id="48"/>
    <w:p>
      <w:pPr>
        <w:ind w:left="77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303" o:spid="_x0000_s1328"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,QGHPQLILFDWLRQ$JUHHPHQWV</w:t>
      </w:r>
    </w:p>
    <w:p>
      <w:pPr>
        <w:spacing w:after="0" w:line="191"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amp;RPSDQ\RUDQ\</w:t>
      </w:r>
    </w:p>
    <w:p>
      <w:pPr>
        <w:spacing w:after="0" w:line="1" w:lineRule="exact"/>
        <w:rPr>
          <w:sz w:val="20"/>
          <w:szCs w:val="20"/>
          <w:color w:val="auto"/>
        </w:rPr>
      </w:pPr>
    </w:p>
    <w:p>
      <w:pPr>
        <w:ind w:right="20"/>
        <w:spacing w:after="0" w:line="367" w:lineRule="auto"/>
        <w:rPr>
          <w:sz w:val="20"/>
          <w:szCs w:val="20"/>
          <w:color w:val="auto"/>
        </w:rPr>
      </w:pPr>
      <w:r>
        <w:rPr>
          <w:rFonts w:ascii="PMingLiU" w:cs="PMingLiU" w:eastAsia="PMingLiU" w:hAnsi="PMingLiU"/>
          <w:sz w:val="14"/>
          <w:szCs w:val="14"/>
          <w:color w:val="auto"/>
        </w:rPr>
        <w:t>RIRXUVXEVLGLDULHVRURWKHUDIILOLDWHGHQWHUSULVHV7KHULJKWVRIHDFKSHUVRQZKRLVDSDUW\WRDQLQGHPQLILFDWLRQDJUHHPHQWDUH LQDGGLWLRQWRDQ\RWKHUULJKWVVXFKSHUVRQPD\KDYHXQGHURXU&amp;RQVWLWXWLRQWKH$FWDQ\RWKHUDJUHHPHQWDYRWHRIWKH VKDUHKROGHUVRIRXU&amp;RPSDQ\DUHVROXWLRQRIGLUHFWRUVRIRXU&amp;RPSDQ\RURWKHUZLVH:HEHOLHYHWKDWWKHVHDJUHHPHQWVDUH QHFHVVDU\WRDWWUDFWDQGUHWDLQTXDOLILHGSHUVRQVDVRXURIILFHUVDQGGLUHFWRUV:HDOVRPDLQWDLQGLUHFWRUV¶DQGRIILFHUV¶OLDELOLW\ LQVXUDQFH</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$GGLWLRQDO&amp;RUSRUDWH*RYHUQDQFH,QIRUPDWLRQ</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(WKLFDO%XVLQHVV3UDFWLFHV</w:t>
      </w:r>
    </w:p>
    <w:p>
      <w:pPr>
        <w:spacing w:after="0" w:line="191" w:lineRule="exact"/>
        <w:rPr>
          <w:sz w:val="20"/>
          <w:szCs w:val="20"/>
          <w:color w:val="auto"/>
        </w:rPr>
      </w:pPr>
    </w:p>
    <w:p>
      <w:pPr>
        <w:ind w:right="20"/>
        <w:spacing w:after="0" w:line="339" w:lineRule="auto"/>
        <w:rPr>
          <w:sz w:val="20"/>
          <w:szCs w:val="20"/>
          <w:color w:val="auto"/>
        </w:rPr>
      </w:pPr>
      <w:r>
        <w:rPr>
          <w:rFonts w:ascii="PMingLiU" w:cs="PMingLiU" w:eastAsia="PMingLiU" w:hAnsi="PMingLiU"/>
          <w:sz w:val="15"/>
          <w:szCs w:val="15"/>
          <w:color w:val="auto"/>
        </w:rPr>
        <w:t>:HDUHFRPPLWWHGWRFRQGXFWLQJRXUEXVLQHVVZLWKLQWHJULW\DQGWKHSXUVXLWRIH[FHOOHQFHLQDOOWKDWZHGR2XU%RDUGDQGRXU PDQDJHPHQWWHDPDUHFRPPLWWHGWRDFWLQJKRQHVWO\DQGUHVSRQVLEO\DQGVWULYHWRFRPSO\ZLWKDOOODZVUXOHVUHJXODWLRQVDQG FRUSRUDWHSROLFLHVWKDWDSSO\WRRXUEXVLQHVVDQGZHH[SHFWWKHVDPHFRPPLWPHQWIURPRXUHPSOR\HHVFRQVXOWDQWVEXVLQHVV SDUWQHUVDQGVHUYLFHSURYLGHUV,QSDUWLFXODUZHDUHFRPPLWWHGWRDFWLQJUHVSRQVLEO\VDIHO\DQGZLWKWUDQVSDUHQF\LQRXU LQWHUDFWLRQVZLWKSDWLHQWVGRFWRUVDQGRWKHUVWDNHKROGHUVLQWKHKHDOWKFDUHV\VWHP</w:t>
      </w:r>
    </w:p>
    <w:p>
      <w:pPr>
        <w:spacing w:after="0" w:line="107" w:lineRule="exact"/>
        <w:rPr>
          <w:sz w:val="20"/>
          <w:szCs w:val="20"/>
          <w:color w:val="auto"/>
        </w:rPr>
      </w:pPr>
    </w:p>
    <w:p>
      <w:pPr>
        <w:ind w:right="100"/>
        <w:spacing w:after="0" w:line="362" w:lineRule="auto"/>
        <w:rPr>
          <w:sz w:val="20"/>
          <w:szCs w:val="20"/>
          <w:color w:val="auto"/>
        </w:rPr>
      </w:pPr>
      <w:r>
        <w:rPr>
          <w:rFonts w:ascii="PMingLiU" w:cs="PMingLiU" w:eastAsia="PMingLiU" w:hAnsi="PMingLiU"/>
          <w:sz w:val="14"/>
          <w:szCs w:val="14"/>
          <w:color w:val="auto"/>
        </w:rPr>
        <w:t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w:t>
      </w:r>
    </w:p>
    <w:p>
      <w:pPr>
        <w:spacing w:after="0" w:line="97" w:lineRule="exact"/>
        <w:rPr>
          <w:sz w:val="20"/>
          <w:szCs w:val="20"/>
          <w:color w:val="auto"/>
        </w:rPr>
      </w:pPr>
    </w:p>
    <w:p>
      <w:pPr>
        <w:ind w:right="40"/>
        <w:spacing w:after="0" w:line="345" w:lineRule="auto"/>
        <w:rPr>
          <w:sz w:val="20"/>
          <w:szCs w:val="20"/>
          <w:color w:val="auto"/>
        </w:rPr>
      </w:pPr>
      <w:r>
        <w:rPr>
          <w:rFonts w:ascii="PMingLiU" w:cs="PMingLiU" w:eastAsia="PMingLiU" w:hAnsi="PMingLiU"/>
          <w:sz w:val="15"/>
          <w:szCs w:val="15"/>
          <w:color w:val="auto"/>
        </w:rPr>
        <w:t>:HKDYHHVWDEOLVKHGYDULRXVPHWKRGVRIFRQILGHQWLDOFRPPXQLFDWLRQIRURXUHPSOR\HHVYHQGRUVDQGRWKHUVWRUHSRUW VXVSHFWHGYLRODWLRQVRIODZVUXOHVUHJXODWLRQVRURXU&amp;RPSDQ\SROLFLHV:KHUHSHUPLWWHGE\ORFDOODZVDQRQ\PRXVUHSRUWLQJ LVDYDLODEOH)RUPRUHLQIRUPDWLRQSOHDVHYLVLWRXU:HEVLWHXQGHUWKHVHFWLRQHQWLWOHG³(WKLFDO6WDQGDUGV´XQGHU³2XU 3XUSRVH´</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$QWL&amp;RUUXSWLRQ3ROLF\</w:t>
      </w:r>
    </w:p>
    <w:p>
      <w:pPr>
        <w:spacing w:after="0" w:line="191" w:lineRule="exact"/>
        <w:rPr>
          <w:sz w:val="20"/>
          <w:szCs w:val="20"/>
          <w:color w:val="auto"/>
        </w:rPr>
      </w:pPr>
    </w:p>
    <w:p>
      <w:pPr>
        <w:spacing w:after="0" w:line="879" w:lineRule="auto"/>
        <w:rPr>
          <w:sz w:val="20"/>
          <w:szCs w:val="20"/>
          <w:color w:val="auto"/>
        </w:rPr>
      </w:pPr>
      <w:r>
        <w:rPr>
          <w:rFonts w:ascii="PMingLiU" w:cs="PMingLiU" w:eastAsia="PMingLiU" w:hAnsi="PMingLiU"/>
          <w:sz w:val="9"/>
          <w:szCs w:val="9"/>
          <w:color w:val="auto"/>
        </w:rPr>
        <w:t>2XUJOREDO$QWL&amp;RUUXSWLRQ3ROLF\DSSOLHVWRDOORIRXUHPSOR\HHVGLUHFWRUVDQGRIILFHUVRXUVXEVLGLDULHVDQGDIILOLDWHVDQGWKLUG SDUW\YHQGRUVDQGRWKHUDJHQWVDFWLQJRQRXUEHKDOI:HDUHFRPPLWWHGWRFRPSO\LQJZLWKDSSOLFDEOHDQWLFRUUXSWLRQDQGDQWL EULEHU\ODZVLQFOXGLQJWKH)RUHLJQ&amp;RUUXSW3UDFWLFHV$FWDQGWKH8.%ULEHU\$FW7KH$QWL&amp;RUUXSWLRQ3ROLF\LVDYDLODEOHRQRXU :HEVLWHXQGHUWKHVHFWLRQHQWLWOHG³(WKLFDO6WDQGDUGV´XQGHU³2XU3XUSRVH´</w:t>
      </w:r>
    </w:p>
    <w:p>
      <w:pPr>
        <w:spacing w:after="0"/>
        <w:rPr>
          <w:sz w:val="20"/>
          <w:szCs w:val="20"/>
          <w:color w:val="auto"/>
        </w:rPr>
      </w:pPr>
      <w:r>
        <w:rPr>
          <w:rFonts w:ascii="PMingLiU" w:cs="PMingLiU" w:eastAsia="PMingLiU" w:hAnsi="PMingLiU"/>
          <w:sz w:val="22"/>
          <w:szCs w:val="22"/>
          <w:b w:val="1"/>
          <w:bCs w:val="1"/>
          <w:color w:val="000046"/>
        </w:rPr>
        <w:t>&amp;RGHRI&amp;RQGXFWDQG(WKLFV</w:t>
      </w:r>
    </w:p>
    <w:p>
      <w:pPr>
        <w:spacing w:after="0" w:line="191" w:lineRule="exact"/>
        <w:rPr>
          <w:sz w:val="20"/>
          <w:szCs w:val="20"/>
          <w:color w:val="auto"/>
        </w:rPr>
      </w:pPr>
    </w:p>
    <w:p>
      <w:pPr>
        <w:spacing w:after="0" w:line="1024" w:lineRule="auto"/>
        <w:rPr>
          <w:sz w:val="20"/>
          <w:szCs w:val="20"/>
          <w:color w:val="auto"/>
        </w:rPr>
      </w:pPr>
      <w:r>
        <w:rPr>
          <w:rFonts w:ascii="PMingLiU" w:cs="PMingLiU" w:eastAsia="PMingLiU" w:hAnsi="PMingLiU"/>
          <w:sz w:val="7"/>
          <w:szCs w:val="7"/>
          <w:color w:val="auto"/>
        </w:rPr>
        <w:t>2XU&amp;RPSDQ\KDVPDGHDILUPFRPPLWPHQWWRFRQGXFWEXVLQHVVLQDFFRUGDQFHZLWKRXUYDOXHVDQGRXU,&amp;$5(SULQFLSOHV :HZRUNWREXLOGVWURQJWUXVWHGSDUWQHUVKLSVZLWKSDWLHQWVFDUHJLYHUVRXUEXVLQHVVSDUWQHUVWKHKHDOWKFDUHFRPPXQLW\ VKDUHKROGHUVDQGRWKHUVWDNHKROGHUV(DFKHPSOR\HHRIRXU&amp;RPSDQ\KDVDUHVSRQVLELOLW\WRVDIHJXDUGWKLVWUXVWE\DSSO\LQJ WKHSULQFLSOHVLQRXU&amp;RGHRI&amp;RQGXFWDQG(WKLFV7KH&amp;RGHRI&amp;RQGXFWDQG(WKLFVSURYLGHVLPSRUWDQWJXLGDQFHDQGGLUHFWLRQ DQGKHOSVXVVWULYHWRGHOLYHUZLWKH[FHOOHQFHDQGLQWHJULW\,WDOVRSURYLGHVFOHDUH[SHFWDWLRQVDERXWZKDWRXUHPSOR\HHVFDQ H[SHFWIURPWKHLUFROOHDJXHVDQGIURPRXU&amp;RPSDQ\DVZHOODVJXLGDQFHIRUKRZWRFRQGXFWWKHPVHOYHVLQWKHLUGDLO\ZRUN :HDOVRH[SHFWWKDWWKRVHZLWKZKRPZHGREXVLQHVVZLOODGKHUHWRRXU&amp;RGHRI&amp;RQGXFWDQG(WKLFV2XU&amp;RGHRI&amp;RQGXFW DQG(WKLFVDSSOLHVWRDOORIRXUHPSOR\HHVGLUHFWRUVDQGRIILFHUVLQFOXGLQJRXU3(2SULQFLSDOILQDQFLDORIILFHUSULQFLSDO DFFRXQWLQJRIILFHURUFRQWUROOHURUSHUVRQVSHUIRUPLQJVLPLODUIXQFWLRQVDQGWKRVHRIRXUVXEVLGLDULHV2XU&amp;RGHRI&amp;RQGXFW DQG(WKLFVLVDYDLODEOHRQRXU:HEVLWHXQGHUWKHVHFWLRQHQWLWOHG³(WKLFDO6WDQGDUGV´XQGHU³2XU3XUSRVH´:HLQWHQGWR VDWLVI\WKHGLVFORVXUHUHTXLUHPHQWVXQGHU,WHPRI6(&amp;)RUP.UHJDUGLQJDQ\DPHQGPHQWWRRUZDLYHUIURPDSURYLVLRQ RIRXU&amp;RGHRI&amp;RQGXFWDQG(WKLFVE\SRVWLQJVXFKLQIRUPDWLRQRQRXU:HEVLWHDWORFDWLRQVSHFLILHGDERYH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523240</wp:posOffset>
            </wp:positionV>
            <wp:extent cx="1386840" cy="2336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49" w:name="page50"/>
    <w:bookmarkEnd w:id="4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305" o:spid="_x0000_s1330"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&amp;25325$7(*29(51$1&amp;(</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,QVLGHU7UDGLQJ3ROLF\</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15"/>
          <w:szCs w:val="15"/>
          <w:color w:val="auto"/>
        </w:rPr>
        <w:t>:HKDYHDQLQVLGHUWUDGLQJSROLF\JRYHUQLQJWKHSXUFKDVHVDOHDQGRURWKHUGLVSRVLWLRQVRIRXUVHFXULWLHVE\DOO&amp;RPSDQ\</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SHUVRQQHOLQFOXGLQJGLUHFWRUVRIILFHUVHPSOR\HHVDQGRWKHUFRYHUHGSHUVRQVWKDWLVGHVLJQHGWRSURPRWHFRPSOLDQFHZLWK</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LQVLGHUWUDGLQJODZVUXOHVDQGUHJXODWLRQVDVZHOODVSURFHGXUHVGHVLJQHGWRIXUWKHUWKHIRUHJRLQJSXUSRVHV$FRS\RIRXU</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LQVLGHUWUDGLQJSROLF\ZDVILOHGDV([KLELWWRWKH$QQXDO5HSRUWRQ)RUP.,QDGGLWLRQLWLVRXULQWHQWWRFRPSO\</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color w:val="auto"/>
        </w:rPr>
        <w:t>ZLWKDSSOLFDEOHODZVDQGUHJXODWLRQVUHODWLQJWRLQVLGHUWUDGLQJ</w:t>
      </w:r>
    </w:p>
    <w:p>
      <w:pPr>
        <w:spacing w:after="0" w:line="25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$QWL+HGJLQJ3OHGJLQJ</w:t>
      </w:r>
    </w:p>
    <w:p>
      <w:pPr>
        <w:spacing w:after="0" w:line="191" w:lineRule="exact"/>
        <w:rPr>
          <w:sz w:val="20"/>
          <w:szCs w:val="20"/>
          <w:color w:val="auto"/>
        </w:rPr>
      </w:pPr>
    </w:p>
    <w:p>
      <w:pPr>
        <w:ind w:right="20"/>
        <w:spacing w:after="0" w:line="432" w:lineRule="auto"/>
        <w:rPr>
          <w:sz w:val="20"/>
          <w:szCs w:val="20"/>
          <w:color w:val="auto"/>
        </w:rPr>
      </w:pPr>
      <w:r>
        <w:rPr>
          <w:rFonts w:ascii="PMingLiU" w:cs="PMingLiU" w:eastAsia="PMingLiU" w:hAnsi="PMingLiU"/>
          <w:sz w:val="13"/>
          <w:szCs w:val="13"/>
          <w:color w:val="auto"/>
        </w:rPr>
        <w:t>2XULQVLGHUWUDGLQJSROLF\SURKLELWVGLUHFWRUVH[HFXWLYHRIILFHUVDQGRWKHUHPSOR\HHVIURPHQJDJLQJLQVSHFXODWLYHWUDGLQJ DFWLYLWLHVLQFOXGLQJKHGJLQJWUDQVDFWLRQVRURWKHULQKHUHQWO\VSHFXODWLYHWUDQVDFWLRQVZLWKUHVSHFWWRRXUVHFXULWLHV2XULQVLGHU WUDGLQJSROLF\DOVRSURKLELWVGLUHFWRUVH[HFXWLYHRIILFHUVDQGRWKHUHPSOR\HHVIURPSOHGJLQJRXUVHFXULWLHVDVFROODWHUDOIRU DQ\ORDQV</w:t>
      </w:r>
    </w:p>
    <w:p>
      <w:pPr>
        <w:spacing w:after="0" w:line="345"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&amp;ODZEDFN3ROLF\</w:t>
      </w:r>
    </w:p>
    <w:p>
      <w:pPr>
        <w:spacing w:after="0" w:line="191" w:lineRule="exact"/>
        <w:rPr>
          <w:sz w:val="20"/>
          <w:szCs w:val="20"/>
          <w:color w:val="auto"/>
        </w:rPr>
      </w:pPr>
    </w:p>
    <w:p>
      <w:pPr>
        <w:spacing w:after="0" w:line="328" w:lineRule="auto"/>
        <w:rPr>
          <w:sz w:val="20"/>
          <w:szCs w:val="20"/>
          <w:color w:val="auto"/>
        </w:rPr>
      </w:pPr>
      <w:r>
        <w:rPr>
          <w:rFonts w:ascii="PMingLiU" w:cs="PMingLiU" w:eastAsia="PMingLiU" w:hAnsi="PMingLiU"/>
          <w:sz w:val="16"/>
          <w:szCs w:val="16"/>
          <w:color w:val="auto"/>
        </w:rPr>
        <w:t>,Q1RYHPEHURXU&amp;RPSHQVDWLRQ&amp;RPPLWWHHDGRSWHGWKH&amp;ODZEDFN3ROLF\0RUHLQIRUPDWLRQRQWKH&amp;ODZEDFN3ROLF\FDQ EHIRXQGXQGHUWKHVHFWLRQRIRXUSUR[\VWDWHPHQWHQWLWOHG³</w:t>
      </w:r>
      <w:r>
        <w:rPr>
          <w:rFonts w:ascii="PMingLiU" w:cs="PMingLiU" w:eastAsia="PMingLiU" w:hAnsi="PMingLiU"/>
          <w:sz w:val="16"/>
          <w:szCs w:val="16"/>
          <w:i w:val="1"/>
          <w:iCs w:val="1"/>
          <w:color w:val="auto"/>
        </w:rPr>
        <w:t>&gt;,*;:0&lt;,536,49(:054++0:054(2536,49(:0544-583(:054A</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2(=)(*1!520*?</w:t>
      </w:r>
      <w:r>
        <w:rPr>
          <w:rFonts w:ascii="PMingLiU" w:cs="PMingLiU" w:eastAsia="PMingLiU" w:hAnsi="PMingLiU"/>
          <w:sz w:val="16"/>
          <w:szCs w:val="16"/>
          <w:color w:val="auto"/>
        </w:rPr>
        <w:t>´</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6KDUH2ZQHUVKLS*XLGHOLQHV</w:t>
      </w:r>
    </w:p>
    <w:p>
      <w:pPr>
        <w:spacing w:after="0" w:line="191" w:lineRule="exact"/>
        <w:rPr>
          <w:sz w:val="20"/>
          <w:szCs w:val="20"/>
          <w:color w:val="auto"/>
        </w:rPr>
      </w:pPr>
    </w:p>
    <w:p>
      <w:pPr>
        <w:ind w:right="160"/>
        <w:spacing w:after="0" w:line="319" w:lineRule="auto"/>
        <w:rPr>
          <w:sz w:val="20"/>
          <w:szCs w:val="20"/>
          <w:color w:val="auto"/>
        </w:rPr>
      </w:pPr>
      <w:r>
        <w:rPr>
          <w:rFonts w:ascii="PMingLiU" w:cs="PMingLiU" w:eastAsia="PMingLiU" w:hAnsi="PMingLiU"/>
          <w:sz w:val="15"/>
          <w:szCs w:val="15"/>
          <w:color w:val="auto"/>
        </w:rPr>
        <w:t>2XU%RDUGKDVDGRSWHGVKDUHRZQHUVKLSJXLGHOLQHVDSSOLFDEOHWRRXUGLUHFWRUVRXU&amp;(2DQGFHUWDLQRWKHUHPSOR\HHVZKR VHUYHRQRXU(&amp;LQFOXGLQJFHUWDLQRIRXU1(2VDQGZLOOPRQLWRUFRPSOLDQFHZLWKDQGUHYLHZDQGUHYLVHVXFKJXLGHOLQHVIURP</w:t>
      </w:r>
    </w:p>
    <w:p>
      <w:pPr>
        <w:spacing w:after="0" w:line="1" w:lineRule="exact"/>
        <w:rPr>
          <w:sz w:val="20"/>
          <w:szCs w:val="20"/>
          <w:color w:val="auto"/>
        </w:rPr>
      </w:pPr>
    </w:p>
    <w:p>
      <w:pPr>
        <w:ind w:right="60"/>
        <w:spacing w:after="0" w:line="358" w:lineRule="auto"/>
        <w:rPr>
          <w:sz w:val="20"/>
          <w:szCs w:val="20"/>
          <w:color w:val="auto"/>
        </w:rPr>
      </w:pPr>
      <w:r>
        <w:rPr>
          <w:rFonts w:ascii="PMingLiU" w:cs="PMingLiU" w:eastAsia="PMingLiU" w:hAnsi="PMingLiU"/>
          <w:sz w:val="15"/>
          <w:szCs w:val="15"/>
          <w:color w:val="auto"/>
        </w:rPr>
        <w:t>WLPHWRWLPHDVLWGHHPVDSSURSULDWH0RUHLQIRUPDWLRQDERXWRXUVKDUHRZQHUVKLSJXLGHOLQHVFDQEHIRXQGXQGHUWKHVHFWLRQV RIRXUSUR[\VWDWHPHQWHQWLWOHG</w:t>
      </w:r>
      <w:r>
        <w:rPr>
          <w:rFonts w:ascii="PMingLiU" w:cs="PMingLiU" w:eastAsia="PMingLiU" w:hAnsi="PMingLiU"/>
          <w:sz w:val="15"/>
          <w:szCs w:val="15"/>
          <w:i w:val="1"/>
          <w:iCs w:val="1"/>
          <w:color w:val="auto"/>
        </w:rPr>
        <w:t>E&gt;,*;:0&lt;,536,49(:054 ++0:054(2536,49(:0544-583(:054 =4,89/06;0+,204,9-58</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&gt;,*;:0&lt;, --0*,89F</w:t>
      </w:r>
      <w:r>
        <w:rPr>
          <w:rFonts w:ascii="PMingLiU" w:cs="PMingLiU" w:eastAsia="PMingLiU" w:hAnsi="PMingLiU"/>
          <w:sz w:val="15"/>
          <w:szCs w:val="15"/>
          <w:color w:val="auto"/>
        </w:rPr>
        <w:t>DQG</w:t>
      </w:r>
      <w:r>
        <w:rPr>
          <w:rFonts w:ascii="PMingLiU" w:cs="PMingLiU" w:eastAsia="PMingLiU" w:hAnsi="PMingLiU"/>
          <w:sz w:val="15"/>
          <w:szCs w:val="15"/>
          <w:i w:val="1"/>
          <w:iCs w:val="1"/>
          <w:color w:val="auto"/>
        </w:rPr>
        <w:t>E08,*:58536,49(:054 =4,89/06;0+,204,9-5808,*:589F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4509135</wp:posOffset>
            </wp:positionV>
            <wp:extent cx="1386840" cy="2336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4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50" w:name="page51"/>
    <w:bookmarkEnd w:id="50"/>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120396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41">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PMingLiU" w:cs="PMingLiU" w:eastAsia="PMingLiU" w:hAnsi="PMingLiU"/>
          <w:sz w:val="60"/>
          <w:szCs w:val="60"/>
          <w:b w:val="1"/>
          <w:bCs w:val="1"/>
          <w:color w:val="000046"/>
        </w:rPr>
        <w:t>5DWLI\RQD1RQ%LQGLQJ</w:t>
      </w:r>
    </w:p>
    <w:p>
      <w:pPr>
        <w:spacing w:after="0" w:line="62" w:lineRule="exact"/>
        <w:rPr>
          <w:sz w:val="20"/>
          <w:szCs w:val="20"/>
          <w:color w:val="auto"/>
        </w:rPr>
      </w:pPr>
    </w:p>
    <w:p>
      <w:pPr>
        <w:ind w:right="280"/>
        <w:spacing w:after="0" w:line="262" w:lineRule="auto"/>
        <w:rPr>
          <w:sz w:val="20"/>
          <w:szCs w:val="20"/>
          <w:color w:val="auto"/>
        </w:rPr>
      </w:pPr>
      <w:r>
        <w:rPr>
          <w:rFonts w:ascii="PMingLiU" w:cs="PMingLiU" w:eastAsia="PMingLiU" w:hAnsi="PMingLiU"/>
          <w:sz w:val="56"/>
          <w:szCs w:val="56"/>
          <w:b w:val="1"/>
          <w:bCs w:val="1"/>
          <w:color w:val="000046"/>
        </w:rPr>
        <w:t>$GYLVRU\%DVLVWKH$SSRLQWPHQW RI.30*DVWKH,QGHSHQGHQW $XGLWRUVIRUWKH)LQDQFLDO&lt;HDU (QGLQJ'HFHPEHUDQG $XWKRUL]HLQD%LQGLQJ9RWHRXU %RDUG$FWLQJ7KURXJKRXU$XGLW &amp;RPPLWWHHWR'HWHUPLQH.30*¶V 5HPXQHUDWLRQ</w:t>
      </w:r>
    </w:p>
    <w:p>
      <w:pPr>
        <w:spacing w:after="0" w:line="200" w:lineRule="exact"/>
        <w:rPr>
          <w:sz w:val="20"/>
          <w:szCs w:val="20"/>
          <w:color w:val="auto"/>
        </w:rPr>
      </w:pPr>
    </w:p>
    <w:p>
      <w:pPr>
        <w:spacing w:after="0" w:line="231" w:lineRule="exact"/>
        <w:rPr>
          <w:sz w:val="20"/>
          <w:szCs w:val="20"/>
          <w:color w:val="auto"/>
        </w:rPr>
      </w:pPr>
    </w:p>
    <w:p>
      <w:pPr>
        <w:ind w:right="3640"/>
        <w:spacing w:after="0" w:line="360" w:lineRule="auto"/>
        <w:rPr>
          <w:sz w:val="20"/>
          <w:szCs w:val="20"/>
          <w:color w:val="auto"/>
        </w:rPr>
      </w:pPr>
      <w:r>
        <w:rPr>
          <w:rFonts w:ascii="PMingLiU" w:cs="PMingLiU" w:eastAsia="PMingLiU" w:hAnsi="PMingLiU"/>
          <w:sz w:val="13"/>
          <w:szCs w:val="13"/>
          <w:color w:val="auto"/>
        </w:rPr>
        <w:t>3XUVXDQWWRWKHDXWKRULW\GHOHJDWHGE\RXU%RDUGRXU$XGLW&amp;RPPLWWHHLV UHVSRQVLEOHIRUWKHDSSRLQWPHQWUHPXQHUDWLRQDQGUHWHQWLRQRIRXULQGHSHQGHQW DXGLWRUV2XU$XGLW&amp;RPPLWWHHKDVVHOHFWHGDQGDSSRLQWHG.30*DVRXU LQGHSHQGHQWDXGLWRUVWRDXGLWRXUFRQVROLGDWHGILQDQFLDOVWDWHPHQWVIRUWKH\HDU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-561340</wp:posOffset>
            </wp:positionV>
            <wp:extent cx="2019300" cy="14001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42">
                      <a:extLst>
                        <a:ext uri="{28A0092B-C50C-407E-A947-70E740481C1C}"/>
                      </a:extLst>
                    </a:blip>
                    <a:srcRect/>
                    <a:stretch>
                      <a:fillRect/>
                    </a:stretch>
                  </pic:blipFill>
                  <pic:spPr bwMode="auto">
                    <a:xfrm>
                      <a:off x="0" y="0"/>
                      <a:ext cx="2019300" cy="1400175"/>
                    </a:xfrm>
                    <a:prstGeom prst="rect">
                      <a:avLst/>
                    </a:prstGeom>
                    <a:noFill/>
                  </pic:spPr>
                </pic:pic>
              </a:graphicData>
            </a:graphic>
          </wp:anchor>
        </w:drawing>
      </w:r>
    </w:p>
    <w:p>
      <w:pPr>
        <w:spacing w:after="0"/>
        <w:tabs>
          <w:tab w:leader="none" w:pos="7160" w:val="left"/>
        </w:tabs>
        <w:rPr>
          <w:sz w:val="20"/>
          <w:szCs w:val="20"/>
          <w:color w:val="auto"/>
        </w:rPr>
      </w:pPr>
      <w:r>
        <w:rPr>
          <w:rFonts w:ascii="PMingLiU" w:cs="PMingLiU" w:eastAsia="PMingLiU" w:hAnsi="PMingLiU"/>
          <w:sz w:val="18"/>
          <w:szCs w:val="18"/>
          <w:color w:val="auto"/>
        </w:rPr>
        <w:t>HQGLQJ'HFHPEHU8QGHU,ULVKODZ.30*ZLOOEHGHHPHGWREH</w:t>
      </w:r>
      <w:r>
        <w:rPr>
          <w:sz w:val="20"/>
          <w:szCs w:val="20"/>
          <w:color w:val="auto"/>
        </w:rPr>
        <w:tab/>
      </w:r>
      <w:r>
        <w:rPr>
          <w:rFonts w:ascii="PMingLiU" w:cs="PMingLiU" w:eastAsia="PMingLiU" w:hAnsi="PMingLiU"/>
          <w:sz w:val="20"/>
          <w:szCs w:val="20"/>
          <w:b w:val="1"/>
          <w:bCs w:val="1"/>
          <w:color w:val="2D2C36"/>
        </w:rPr>
        <w:t>285%2$5'</w:t>
      </w:r>
    </w:p>
    <w:p>
      <w:pPr>
        <w:spacing w:after="0" w:line="20" w:lineRule="exact"/>
        <w:rPr>
          <w:sz w:val="20"/>
          <w:szCs w:val="20"/>
          <w:color w:val="auto"/>
        </w:rPr>
      </w:pPr>
    </w:p>
    <w:p>
      <w:pPr>
        <w:spacing w:after="0"/>
        <w:tabs>
          <w:tab w:leader="none" w:pos="7160" w:val="left"/>
        </w:tabs>
        <w:rPr>
          <w:sz w:val="20"/>
          <w:szCs w:val="20"/>
          <w:color w:val="auto"/>
        </w:rPr>
      </w:pPr>
      <w:r>
        <w:rPr>
          <w:rFonts w:ascii="PMingLiU" w:cs="PMingLiU" w:eastAsia="PMingLiU" w:hAnsi="PMingLiU"/>
          <w:sz w:val="18"/>
          <w:szCs w:val="18"/>
          <w:color w:val="auto"/>
        </w:rPr>
        <w:t>UHDSSRLQWHGDVRXULQGHSHQGHQWDXGLWRUVDWRXU$*0ZLWKRXWWKHQHFHVVLW\RI</w:t>
      </w:r>
      <w:r>
        <w:rPr>
          <w:sz w:val="20"/>
          <w:szCs w:val="20"/>
          <w:color w:val="auto"/>
        </w:rPr>
        <w:tab/>
      </w:r>
      <w:r>
        <w:rPr>
          <w:rFonts w:ascii="PMingLiU" w:cs="PMingLiU" w:eastAsia="PMingLiU" w:hAnsi="PMingLiU"/>
          <w:sz w:val="20"/>
          <w:szCs w:val="20"/>
          <w:b w:val="1"/>
          <w:bCs w:val="1"/>
          <w:color w:val="2D2C36"/>
        </w:rPr>
        <w:t>5(&amp;200(1'6$927(</w:t>
      </w:r>
    </w:p>
    <w:p>
      <w:pPr>
        <w:spacing w:after="0" w:line="18" w:lineRule="exact"/>
        <w:rPr>
          <w:sz w:val="20"/>
          <w:szCs w:val="20"/>
          <w:color w:val="auto"/>
        </w:rPr>
      </w:pPr>
    </w:p>
    <w:p>
      <w:pPr>
        <w:ind w:right="820"/>
        <w:spacing w:after="0" w:line="210" w:lineRule="auto"/>
        <w:rPr>
          <w:sz w:val="20"/>
          <w:szCs w:val="20"/>
          <w:color w:val="auto"/>
        </w:rPr>
      </w:pPr>
      <w:r>
        <w:rPr>
          <w:rFonts w:ascii="PMingLiU" w:cs="PMingLiU" w:eastAsia="PMingLiU" w:hAnsi="PMingLiU"/>
          <w:sz w:val="18"/>
          <w:szCs w:val="18"/>
          <w:color w:val="auto"/>
        </w:rPr>
        <w:t xml:space="preserve">DVKDUHKROGHUYRWH+RZHYHURXUVKDUHKROGHUVDUHEHLQJDVNHGLQWKLVSURSRVDOWR </w:t>
      </w:r>
      <w:r>
        <w:rPr>
          <w:rFonts w:ascii="PMingLiU" w:cs="PMingLiU" w:eastAsia="PMingLiU" w:hAnsi="PMingLiU"/>
          <w:sz w:val="40"/>
          <w:szCs w:val="40"/>
          <w:b w:val="1"/>
          <w:bCs w:val="1"/>
          <w:color w:val="5C004D"/>
          <w:vertAlign w:val="subscript"/>
        </w:rPr>
        <w:t>³)25´</w:t>
      </w:r>
      <w:r>
        <w:rPr>
          <w:rFonts w:ascii="PMingLiU" w:cs="PMingLiU" w:eastAsia="PMingLiU" w:hAnsi="PMingLiU"/>
          <w:sz w:val="40"/>
          <w:szCs w:val="40"/>
          <w:b w:val="1"/>
          <w:bCs w:val="1"/>
          <w:color w:val="2D2C36"/>
          <w:vertAlign w:val="subscript"/>
        </w:rPr>
        <w:t>352326$/</w:t>
      </w:r>
      <w:r>
        <w:rPr>
          <w:rFonts w:ascii="PMingLiU" w:cs="PMingLiU" w:eastAsia="PMingLiU" w:hAnsi="PMingLiU"/>
          <w:sz w:val="18"/>
          <w:szCs w:val="18"/>
          <w:color w:val="auto"/>
        </w:rPr>
        <w:t xml:space="preserve"> UDWLI\VXFKDSSRLQWPHQWRQDQRQELQGLQJDGYLVRU\EDVLVEHFDXVHZHYDOXHRXU VKDUHKROGHUV¶YLHZVRQRXULQGHSHQGHQWDXGLWRUV,QDGGLWLRQDVUHTXLUHGE\,ULVK ODZRXUVKDUHKROGHUVDUHEHLQJDVNHGWRDXWKRUL]HRXU%RDUGDFWLQJWKURXJKRXU $XGLW&amp;RPPLWWHHWRGHWHUPLQH.30*¶VUHPXQHUDWLRQ</w:t>
      </w:r>
    </w:p>
    <w:p>
      <w:pPr>
        <w:spacing w:after="0" w:line="184" w:lineRule="exact"/>
        <w:rPr>
          <w:sz w:val="20"/>
          <w:szCs w:val="20"/>
          <w:color w:val="auto"/>
        </w:rPr>
      </w:pPr>
    </w:p>
    <w:p>
      <w:pPr>
        <w:ind w:right="20"/>
        <w:spacing w:after="0" w:line="376" w:lineRule="auto"/>
        <w:rPr>
          <w:sz w:val="20"/>
          <w:szCs w:val="20"/>
          <w:color w:val="auto"/>
        </w:rPr>
      </w:pPr>
      <w:r>
        <w:rPr>
          <w:rFonts w:ascii="PMingLiU" w:cs="PMingLiU" w:eastAsia="PMingLiU" w:hAnsi="PMingLiU"/>
          <w:sz w:val="14"/>
          <w:szCs w:val="14"/>
          <w:color w:val="auto"/>
        </w:rPr>
        <w:t>.30*KDVEHHQHQJDJHGWRDXGLWRXUILQDQFLDOVWDWHPHQWVEHJLQQLQJZLWKRXUFRQVROLGDWHGILQDQFLDOVWDWHPHQWVIRUWKHILVFDO \HDUHQGHG'HFHPEHUVLQFHWKHFRQVXPPDWLRQRIWKH$]XU0HUJHU5HSUHVHQWDWLYHVRI.30*DUHH[SHFWHGWR DWWHQGRXU$*0DQGZLOOKDYHDQRSSRUWXQLW\WRPDNHDVWDWHPHQWLIWKH\VRGHVLUH7KH\ZLOODOVREHDYDLODEOHWR UHVSRQGWRDSSURSULDWHTXHVWLRQV</w:t>
      </w:r>
    </w:p>
    <w:p>
      <w:pPr>
        <w:spacing w:after="0" w:line="85" w:lineRule="exact"/>
        <w:rPr>
          <w:sz w:val="20"/>
          <w:szCs w:val="20"/>
          <w:color w:val="auto"/>
        </w:rPr>
      </w:pPr>
    </w:p>
    <w:p>
      <w:pPr>
        <w:ind w:right="40"/>
        <w:spacing w:after="0" w:line="398" w:lineRule="auto"/>
        <w:rPr>
          <w:sz w:val="20"/>
          <w:szCs w:val="20"/>
          <w:color w:val="auto"/>
        </w:rPr>
      </w:pPr>
      <w:r>
        <w:rPr>
          <w:rFonts w:ascii="PMingLiU" w:cs="PMingLiU" w:eastAsia="PMingLiU" w:hAnsi="PMingLiU"/>
          <w:sz w:val="15"/>
          <w:szCs w:val="15"/>
          <w:color w:val="auto"/>
        </w:rPr>
        <w:t>3URSRVDOLVDQRUGLQDU\UHVROXWLRQDQGPXVWUHFHLYHWKHDIILUPDWLYHYRWHRIDPDMRULW\RIWKHYRWHVFDVWLQSHUVRQRUE\SUR[\ DWRXU$*0LQFOXGLQJDQ\DGMRXUQPHQWWKHUHRILQRUGHUWREHDSSURYHG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875030</wp:posOffset>
            </wp:positionV>
            <wp:extent cx="1386840" cy="2336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00" w:top="1015" w:right="959" w:bottom="0" w:gutter="0" w:footer="0" w:header="0"/>
        </w:sectPr>
      </w:pPr>
    </w:p>
    <w:bookmarkStart w:id="51" w:name="page52"/>
    <w:bookmarkEnd w:id="5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981075" cy="41910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19100"/>
                        </a:xfrm>
                        <a:prstGeom prst="rect">
                          <a:avLst/>
                        </a:prstGeom>
                        <a:solidFill>
                          <a:srgbClr val="5C004D"/>
                        </a:solidFill>
                      </wps:spPr>
                      <wps:bodyPr/>
                    </wps:wsp>
                  </a:graphicData>
                </a:graphic>
              </wp:anchor>
            </w:drawing>
          </mc:Choice>
          <mc:Fallback>
            <w:pict>
              <v:rect id="Shape 310" o:spid="_x0000_s1335" style="position:absolute;margin-left:44.85pt;margin-top:0.1pt;width:77.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$8',70$77(56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$QQXDO(YDOXDWLRQDQG6HOHFWLRQRI,QGHSHQGHQW$XGLWRU</w:t>
      </w:r>
    </w:p>
    <w:p>
      <w:pPr>
        <w:spacing w:after="0" w:line="219" w:lineRule="exact"/>
        <w:rPr>
          <w:sz w:val="20"/>
          <w:szCs w:val="20"/>
          <w:color w:val="auto"/>
        </w:rPr>
      </w:pPr>
    </w:p>
    <w:p>
      <w:pPr>
        <w:ind w:right="300"/>
        <w:spacing w:after="0" w:line="319" w:lineRule="auto"/>
        <w:rPr>
          <w:sz w:val="20"/>
          <w:szCs w:val="20"/>
          <w:color w:val="auto"/>
        </w:rPr>
      </w:pPr>
      <w:r>
        <w:rPr>
          <w:rFonts w:ascii="PMingLiU" w:cs="PMingLiU" w:eastAsia="PMingLiU" w:hAnsi="PMingLiU"/>
          <w:sz w:val="15"/>
          <w:szCs w:val="15"/>
          <w:color w:val="auto"/>
        </w:rPr>
        <w:t>2XU$XGLW&amp;RPPLWWHHDQQXDOO\UHYLHZV.30*¶VLQGHSHQGHQFHDQGSHUIRUPDQFH7KLVUHYLHZKHOSVRXU$XGLW&amp;RPPLWWHH GHFLGHZKHWKHUWRUHWDLQ.30*RUDSSRLQWDGLIIHUHQWILUPDVRXULQGHSHQGHQWDXGLWRU2XU%RDUGDQGRXU$XGLW&amp;RPPLWWHH</w:t>
      </w:r>
    </w:p>
    <w:p>
      <w:pPr>
        <w:spacing w:after="0" w:line="1" w:lineRule="exact"/>
        <w:rPr>
          <w:sz w:val="20"/>
          <w:szCs w:val="20"/>
          <w:color w:val="auto"/>
        </w:rPr>
      </w:pPr>
    </w:p>
    <w:p>
      <w:pPr>
        <w:ind w:right="460"/>
        <w:spacing w:after="0" w:line="443" w:lineRule="auto"/>
        <w:rPr>
          <w:sz w:val="20"/>
          <w:szCs w:val="20"/>
          <w:color w:val="auto"/>
        </w:rPr>
      </w:pPr>
      <w:r>
        <w:rPr>
          <w:rFonts w:ascii="PMingLiU" w:cs="PMingLiU" w:eastAsia="PMingLiU" w:hAnsi="PMingLiU"/>
          <w:sz w:val="14"/>
          <w:szCs w:val="14"/>
          <w:color w:val="auto"/>
        </w:rPr>
        <w:t>DOVRFRQVLGHUWKHUHVXOWVUHJDUGLQJWKHUDWLILFDWLRQRIWKHDSSRLQWPHQWRIRXULQGHSHQGHQWDXGLWRUVDWWKHSUHYLRXV$*0LQ PDNLQJGHWHUPLQDWLRQVLQWKHIXWXUH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9"/>
          <w:szCs w:val="29"/>
          <w:color w:val="5C004D"/>
        </w:rPr>
        <w:t>,QGHSHQGHQW5HJLVWHUHG3XEOLF$FFRXQWLQJ)LUP)HHVDQG6HUYLFHV</w:t>
      </w:r>
    </w:p>
    <w:p>
      <w:pPr>
        <w:spacing w:after="0" w:line="255" w:lineRule="exact"/>
        <w:rPr>
          <w:sz w:val="20"/>
          <w:szCs w:val="20"/>
          <w:color w:val="auto"/>
        </w:rPr>
      </w:pPr>
    </w:p>
    <w:p>
      <w:pPr>
        <w:spacing w:after="0" w:line="358" w:lineRule="auto"/>
        <w:rPr>
          <w:sz w:val="20"/>
          <w:szCs w:val="20"/>
          <w:color w:val="auto"/>
        </w:rPr>
      </w:pPr>
      <w:r>
        <w:rPr>
          <w:rFonts w:ascii="PMingLiU" w:cs="PMingLiU" w:eastAsia="PMingLiU" w:hAnsi="PMingLiU"/>
          <w:sz w:val="15"/>
          <w:szCs w:val="15"/>
          <w:color w:val="auto"/>
        </w:rPr>
        <w:t>2XU$XGLW&amp;RPPLWWHHLVUHVSRQVLEOHIRUDXGLWILUPFRPSHQVDWLRQ,QFRQQHFWLRQZLWKWKHDXGLWRIRXUILQDQFLDOVWDWHPHQWV ZHHQWHUHGLQWRDQHQJDJHPHQWDJUHHPHQWZLWK.30*ZKLFKVHWVIRUWKWKHWHUPVXQGHUZKLFK.30*SHUIRUPHGDXGLWDQG WD[VHUYLFHVIRURXU&amp;RPSDQ\</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8"/>
          <w:szCs w:val="18"/>
          <w:color w:val="auto"/>
        </w:rPr>
        <w:t>$OORIWKHVHUYLFHVDQGIHHVGHVFULEHGEHORZZHUHDSSURYHGE\RXU$XGLW&amp;RPPLWWHH</w:t>
      </w:r>
    </w:p>
    <w:p>
      <w:pPr>
        <w:spacing w:after="0" w:line="204" w:lineRule="exact"/>
        <w:rPr>
          <w:sz w:val="20"/>
          <w:szCs w:val="20"/>
          <w:color w:val="auto"/>
        </w:rPr>
      </w:pPr>
    </w:p>
    <w:p>
      <w:pPr>
        <w:ind w:right="100"/>
        <w:spacing w:after="0" w:line="358" w:lineRule="auto"/>
        <w:rPr>
          <w:sz w:val="20"/>
          <w:szCs w:val="20"/>
          <w:color w:val="auto"/>
        </w:rPr>
      </w:pPr>
      <w:r>
        <w:rPr>
          <w:rFonts w:ascii="PMingLiU" w:cs="PMingLiU" w:eastAsia="PMingLiU" w:hAnsi="PMingLiU"/>
          <w:sz w:val="16"/>
          <w:szCs w:val="16"/>
          <w:color w:val="auto"/>
        </w:rPr>
        <w:t>$VVKRZQLQWKHWDEOHEHORZOHVVWKDQRIWKHWRWDOIHHVWKDW.30*ELOOHGXVIRULQZHUHIRUVHUYLFHVRWKHUWKDQDXGLW DXGLWUHODWHGDQGWD[FRPSOLDQFHVHUYLFHV</w:t>
      </w:r>
    </w:p>
    <w:p>
      <w:pPr>
        <w:spacing w:after="0" w:line="86" w:lineRule="exact"/>
        <w:rPr>
          <w:sz w:val="20"/>
          <w:szCs w:val="20"/>
          <w:color w:val="auto"/>
        </w:rPr>
      </w:pPr>
    </w:p>
    <w:p>
      <w:pPr>
        <w:ind w:right="620"/>
        <w:spacing w:after="0" w:line="291" w:lineRule="auto"/>
        <w:rPr>
          <w:sz w:val="20"/>
          <w:szCs w:val="20"/>
          <w:color w:val="auto"/>
        </w:rPr>
      </w:pPr>
      <w:r>
        <w:rPr>
          <w:rFonts w:ascii="PMingLiU" w:cs="PMingLiU" w:eastAsia="PMingLiU" w:hAnsi="PMingLiU"/>
          <w:sz w:val="18"/>
          <w:szCs w:val="18"/>
          <w:color w:val="auto"/>
        </w:rPr>
        <w:t>7KHIROORZLQJWDEOHUHSUHVHQWVDJJUHJDWHIHHVELOOHGWRXVIRUWKH\HDUVHQGHG'HFHPEHUDQGE\.30* LQWKRXVDQGV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104775</wp:posOffset>
            </wp:positionV>
            <wp:extent cx="1625600" cy="5302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4">
                      <a:extLst>
                        <a:ext uri="{28A0092B-C50C-407E-A947-70E740481C1C}"/>
                      </a:extLst>
                    </a:blip>
                    <a:srcRect/>
                    <a:stretch>
                      <a:fillRect/>
                    </a:stretch>
                  </pic:blipFill>
                  <pic:spPr bwMode="auto">
                    <a:xfrm>
                      <a:off x="0" y="0"/>
                      <a:ext cx="1625600" cy="530225"/>
                    </a:xfrm>
                    <a:prstGeom prst="rect">
                      <a:avLst/>
                    </a:prstGeom>
                    <a:noFill/>
                  </pic:spPr>
                </pic:pic>
              </a:graphicData>
            </a:graphic>
          </wp:anchor>
        </w:drawing>
      </w:r>
    </w:p>
    <w:p>
      <w:pPr>
        <w:spacing w:after="0" w:line="245" w:lineRule="exact"/>
        <w:rPr>
          <w:sz w:val="20"/>
          <w:szCs w:val="20"/>
          <w:color w:val="auto"/>
        </w:rPr>
      </w:pPr>
    </w:p>
    <w:p>
      <w:pPr>
        <w:ind w:left="7800"/>
        <w:spacing w:after="0"/>
        <w:rPr>
          <w:sz w:val="20"/>
          <w:szCs w:val="20"/>
          <w:color w:val="auto"/>
        </w:rPr>
      </w:pPr>
      <w:r>
        <w:rPr>
          <w:rFonts w:ascii="PMingLiU" w:cs="PMingLiU" w:eastAsia="PMingLiU" w:hAnsi="PMingLiU"/>
          <w:sz w:val="16"/>
          <w:szCs w:val="16"/>
          <w:b w:val="1"/>
          <w:bCs w:val="1"/>
          <w:color w:val="000046"/>
        </w:rPr>
        <w:t>&lt;HDU(QGHG'HFHPEHU</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4840" w:type="dxa"/>
            <w:vAlign w:val="bottom"/>
            <w:shd w:val="clear" w:color="auto" w:fill="000046"/>
          </w:tcPr>
          <w:p>
            <w:pPr>
              <w:spacing w:after="0"/>
              <w:rPr>
                <w:sz w:val="24"/>
                <w:szCs w:val="24"/>
                <w:color w:val="auto"/>
              </w:rPr>
            </w:pPr>
          </w:p>
        </w:tc>
        <w:tc>
          <w:tcPr>
            <w:tcW w:w="4260" w:type="dxa"/>
            <w:vAlign w:val="bottom"/>
            <w:shd w:val="clear" w:color="auto" w:fill="000046"/>
          </w:tcPr>
          <w:p>
            <w:pPr>
              <w:jc w:val="right"/>
              <w:ind w:right="320"/>
              <w:spacing w:after="0"/>
              <w:rPr>
                <w:sz w:val="20"/>
                <w:szCs w:val="20"/>
                <w:color w:val="auto"/>
              </w:rPr>
            </w:pPr>
            <w:r>
              <w:rPr>
                <w:rFonts w:ascii="PMingLiU" w:cs="PMingLiU" w:eastAsia="PMingLiU" w:hAnsi="PMingLiU"/>
                <w:sz w:val="16"/>
                <w:szCs w:val="16"/>
                <w:b w:val="1"/>
                <w:bCs w:val="1"/>
                <w:color w:val="FFFFFF"/>
              </w:rPr>
              <w:t/>
            </w:r>
          </w:p>
        </w:tc>
        <w:tc>
          <w:tcPr>
            <w:tcW w:w="98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840" w:type="dxa"/>
            <w:vAlign w:val="bottom"/>
            <w:shd w:val="clear" w:color="auto" w:fill="000046"/>
          </w:tcPr>
          <w:p>
            <w:pPr>
              <w:spacing w:after="0"/>
              <w:rPr>
                <w:sz w:val="5"/>
                <w:szCs w:val="5"/>
                <w:color w:val="auto"/>
              </w:rPr>
            </w:pPr>
          </w:p>
        </w:tc>
        <w:tc>
          <w:tcPr>
            <w:tcW w:w="4260" w:type="dxa"/>
            <w:vAlign w:val="bottom"/>
            <w:shd w:val="clear" w:color="auto" w:fill="000046"/>
          </w:tcPr>
          <w:p>
            <w:pPr>
              <w:spacing w:after="0"/>
              <w:rPr>
                <w:sz w:val="5"/>
                <w:szCs w:val="5"/>
                <w:color w:val="auto"/>
              </w:rPr>
            </w:pPr>
          </w:p>
        </w:tc>
        <w:tc>
          <w:tcPr>
            <w:tcW w:w="980" w:type="dxa"/>
            <w:vAlign w:val="bottom"/>
            <w:shd w:val="clear" w:color="auto" w:fill="000046"/>
          </w:tcPr>
          <w:p>
            <w:pPr>
              <w:spacing w:after="0"/>
              <w:rPr>
                <w:sz w:val="5"/>
                <w:szCs w:val="5"/>
                <w:color w:val="auto"/>
              </w:rPr>
            </w:pPr>
          </w:p>
        </w:tc>
      </w:tr>
      <w:tr>
        <w:trPr>
          <w:trHeight w:val="285"/>
        </w:trPr>
        <w:tc>
          <w:tcPr>
            <w:tcW w:w="4840" w:type="dxa"/>
            <w:vAlign w:val="bottom"/>
          </w:tcPr>
          <w:p>
            <w:pPr>
              <w:ind w:left="100"/>
              <w:spacing w:after="0"/>
              <w:rPr>
                <w:sz w:val="20"/>
                <w:szCs w:val="20"/>
                <w:color w:val="auto"/>
              </w:rPr>
            </w:pPr>
            <w:r>
              <w:rPr>
                <w:rFonts w:ascii="PMingLiU" w:cs="PMingLiU" w:eastAsia="PMingLiU" w:hAnsi="PMingLiU"/>
                <w:sz w:val="16"/>
                <w:szCs w:val="16"/>
                <w:color w:val="auto"/>
              </w:rPr>
              <w:t>$XGLW)HHV</w:t>
            </w:r>
          </w:p>
        </w:tc>
        <w:tc>
          <w:tcPr>
            <w:tcW w:w="4260" w:type="dxa"/>
            <w:vAlign w:val="bottom"/>
          </w:tcPr>
          <w:p>
            <w:pPr>
              <w:jc w:val="right"/>
              <w:ind w:right="280"/>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73"/>
        </w:trPr>
        <w:tc>
          <w:tcPr>
            <w:tcW w:w="4840" w:type="dxa"/>
            <w:vAlign w:val="bottom"/>
            <w:tcBorders>
              <w:bottom w:val="single" w:sz="8" w:color="4454A7"/>
            </w:tcBorders>
          </w:tcPr>
          <w:p>
            <w:pPr>
              <w:spacing w:after="0"/>
              <w:rPr>
                <w:sz w:val="6"/>
                <w:szCs w:val="6"/>
                <w:color w:val="auto"/>
              </w:rPr>
            </w:pPr>
          </w:p>
        </w:tc>
        <w:tc>
          <w:tcPr>
            <w:tcW w:w="4260" w:type="dxa"/>
            <w:vAlign w:val="bottom"/>
            <w:tcBorders>
              <w:bottom w:val="single" w:sz="8" w:color="4454A7"/>
            </w:tcBorders>
          </w:tcPr>
          <w:p>
            <w:pPr>
              <w:spacing w:after="0"/>
              <w:rPr>
                <w:sz w:val="6"/>
                <w:szCs w:val="6"/>
                <w:color w:val="auto"/>
              </w:rPr>
            </w:pPr>
          </w:p>
        </w:tc>
        <w:tc>
          <w:tcPr>
            <w:tcW w:w="980" w:type="dxa"/>
            <w:vAlign w:val="bottom"/>
            <w:tcBorders>
              <w:bottom w:val="single" w:sz="8" w:color="4454A7"/>
            </w:tcBorders>
          </w:tcPr>
          <w:p>
            <w:pPr>
              <w:spacing w:after="0"/>
              <w:rPr>
                <w:sz w:val="6"/>
                <w:szCs w:val="6"/>
                <w:color w:val="auto"/>
              </w:rPr>
            </w:pPr>
          </w:p>
        </w:tc>
      </w:tr>
      <w:tr>
        <w:trPr>
          <w:trHeight w:val="267"/>
        </w:trPr>
        <w:tc>
          <w:tcPr>
            <w:tcW w:w="4840" w:type="dxa"/>
            <w:vAlign w:val="bottom"/>
          </w:tcPr>
          <w:p>
            <w:pPr>
              <w:ind w:left="100"/>
              <w:spacing w:after="0"/>
              <w:rPr>
                <w:sz w:val="20"/>
                <w:szCs w:val="20"/>
                <w:color w:val="auto"/>
              </w:rPr>
            </w:pPr>
            <w:r>
              <w:rPr>
                <w:rFonts w:ascii="PMingLiU" w:cs="PMingLiU" w:eastAsia="PMingLiU" w:hAnsi="PMingLiU"/>
                <w:sz w:val="16"/>
                <w:szCs w:val="16"/>
                <w:color w:val="auto"/>
              </w:rPr>
              <w:t>$XGLW5HODWHG)HHV</w:t>
            </w:r>
          </w:p>
        </w:tc>
        <w:tc>
          <w:tcPr>
            <w:tcW w:w="4260" w:type="dxa"/>
            <w:vAlign w:val="bottom"/>
          </w:tcPr>
          <w:p>
            <w:pPr>
              <w:jc w:val="right"/>
              <w:ind w:right="280"/>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73"/>
        </w:trPr>
        <w:tc>
          <w:tcPr>
            <w:tcW w:w="4840" w:type="dxa"/>
            <w:vAlign w:val="bottom"/>
            <w:tcBorders>
              <w:bottom w:val="single" w:sz="8" w:color="4454A7"/>
            </w:tcBorders>
          </w:tcPr>
          <w:p>
            <w:pPr>
              <w:spacing w:after="0"/>
              <w:rPr>
                <w:sz w:val="6"/>
                <w:szCs w:val="6"/>
                <w:color w:val="auto"/>
              </w:rPr>
            </w:pPr>
          </w:p>
        </w:tc>
        <w:tc>
          <w:tcPr>
            <w:tcW w:w="4260" w:type="dxa"/>
            <w:vAlign w:val="bottom"/>
            <w:tcBorders>
              <w:bottom w:val="single" w:sz="8" w:color="4454A7"/>
            </w:tcBorders>
          </w:tcPr>
          <w:p>
            <w:pPr>
              <w:spacing w:after="0"/>
              <w:rPr>
                <w:sz w:val="6"/>
                <w:szCs w:val="6"/>
                <w:color w:val="auto"/>
              </w:rPr>
            </w:pPr>
          </w:p>
        </w:tc>
        <w:tc>
          <w:tcPr>
            <w:tcW w:w="980" w:type="dxa"/>
            <w:vAlign w:val="bottom"/>
            <w:tcBorders>
              <w:bottom w:val="single" w:sz="8" w:color="4454A7"/>
            </w:tcBorders>
          </w:tcPr>
          <w:p>
            <w:pPr>
              <w:spacing w:after="0"/>
              <w:rPr>
                <w:sz w:val="6"/>
                <w:szCs w:val="6"/>
                <w:color w:val="auto"/>
              </w:rPr>
            </w:pPr>
          </w:p>
        </w:tc>
      </w:tr>
      <w:tr>
        <w:trPr>
          <w:trHeight w:val="267"/>
        </w:trPr>
        <w:tc>
          <w:tcPr>
            <w:tcW w:w="4840" w:type="dxa"/>
            <w:vAlign w:val="bottom"/>
          </w:tcPr>
          <w:p>
            <w:pPr>
              <w:ind w:left="100"/>
              <w:spacing w:after="0"/>
              <w:rPr>
                <w:sz w:val="20"/>
                <w:szCs w:val="20"/>
                <w:color w:val="auto"/>
              </w:rPr>
            </w:pPr>
            <w:r>
              <w:rPr>
                <w:rFonts w:ascii="PMingLiU" w:cs="PMingLiU" w:eastAsia="PMingLiU" w:hAnsi="PMingLiU"/>
                <w:sz w:val="16"/>
                <w:szCs w:val="16"/>
                <w:color w:val="auto"/>
              </w:rPr>
              <w:t>7D[)HHV</w:t>
            </w:r>
          </w:p>
        </w:tc>
        <w:tc>
          <w:tcPr>
            <w:tcW w:w="4260" w:type="dxa"/>
            <w:vAlign w:val="bottom"/>
          </w:tcPr>
          <w:p>
            <w:pPr>
              <w:jc w:val="right"/>
              <w:ind w:right="280"/>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73"/>
        </w:trPr>
        <w:tc>
          <w:tcPr>
            <w:tcW w:w="4840" w:type="dxa"/>
            <w:vAlign w:val="bottom"/>
            <w:tcBorders>
              <w:bottom w:val="single" w:sz="8" w:color="4454A7"/>
            </w:tcBorders>
          </w:tcPr>
          <w:p>
            <w:pPr>
              <w:spacing w:after="0"/>
              <w:rPr>
                <w:sz w:val="6"/>
                <w:szCs w:val="6"/>
                <w:color w:val="auto"/>
              </w:rPr>
            </w:pPr>
          </w:p>
        </w:tc>
        <w:tc>
          <w:tcPr>
            <w:tcW w:w="4260" w:type="dxa"/>
            <w:vAlign w:val="bottom"/>
            <w:tcBorders>
              <w:bottom w:val="single" w:sz="8" w:color="4454A7"/>
            </w:tcBorders>
          </w:tcPr>
          <w:p>
            <w:pPr>
              <w:spacing w:after="0"/>
              <w:rPr>
                <w:sz w:val="6"/>
                <w:szCs w:val="6"/>
                <w:color w:val="auto"/>
              </w:rPr>
            </w:pPr>
          </w:p>
        </w:tc>
        <w:tc>
          <w:tcPr>
            <w:tcW w:w="980" w:type="dxa"/>
            <w:vAlign w:val="bottom"/>
            <w:tcBorders>
              <w:bottom w:val="single" w:sz="8" w:color="4454A7"/>
            </w:tcBorders>
          </w:tcPr>
          <w:p>
            <w:pPr>
              <w:spacing w:after="0"/>
              <w:rPr>
                <w:sz w:val="6"/>
                <w:szCs w:val="6"/>
                <w:color w:val="auto"/>
              </w:rPr>
            </w:pPr>
          </w:p>
        </w:tc>
      </w:tr>
      <w:tr>
        <w:trPr>
          <w:trHeight w:val="267"/>
        </w:trPr>
        <w:tc>
          <w:tcPr>
            <w:tcW w:w="4840" w:type="dxa"/>
            <w:vAlign w:val="bottom"/>
          </w:tcPr>
          <w:p>
            <w:pPr>
              <w:ind w:left="100"/>
              <w:spacing w:after="0"/>
              <w:rPr>
                <w:sz w:val="20"/>
                <w:szCs w:val="20"/>
                <w:color w:val="auto"/>
              </w:rPr>
            </w:pPr>
            <w:r>
              <w:rPr>
                <w:rFonts w:ascii="PMingLiU" w:cs="PMingLiU" w:eastAsia="PMingLiU" w:hAnsi="PMingLiU"/>
                <w:sz w:val="16"/>
                <w:szCs w:val="16"/>
                <w:color w:val="auto"/>
              </w:rPr>
              <w:t>$OO2WKHU)HHV</w:t>
            </w:r>
          </w:p>
        </w:tc>
        <w:tc>
          <w:tcPr>
            <w:tcW w:w="4260" w:type="dxa"/>
            <w:vAlign w:val="bottom"/>
          </w:tcPr>
          <w:p>
            <w:pPr>
              <w:jc w:val="right"/>
              <w:ind w:right="280"/>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65"/>
        </w:trPr>
        <w:tc>
          <w:tcPr>
            <w:tcW w:w="4840" w:type="dxa"/>
            <w:vAlign w:val="bottom"/>
            <w:tcBorders>
              <w:bottom w:val="single" w:sz="8" w:color="5C004D"/>
            </w:tcBorders>
          </w:tcPr>
          <w:p>
            <w:pPr>
              <w:spacing w:after="0"/>
              <w:rPr>
                <w:sz w:val="5"/>
                <w:szCs w:val="5"/>
                <w:color w:val="auto"/>
              </w:rPr>
            </w:pPr>
          </w:p>
        </w:tc>
        <w:tc>
          <w:tcPr>
            <w:tcW w:w="4260" w:type="dxa"/>
            <w:vAlign w:val="bottom"/>
            <w:tcBorders>
              <w:bottom w:val="single" w:sz="8" w:color="5C004D"/>
            </w:tcBorders>
          </w:tcPr>
          <w:p>
            <w:pPr>
              <w:spacing w:after="0"/>
              <w:rPr>
                <w:sz w:val="5"/>
                <w:szCs w:val="5"/>
                <w:color w:val="auto"/>
              </w:rPr>
            </w:pPr>
          </w:p>
        </w:tc>
        <w:tc>
          <w:tcPr>
            <w:tcW w:w="980" w:type="dxa"/>
            <w:vAlign w:val="bottom"/>
            <w:tcBorders>
              <w:bottom w:val="single" w:sz="8" w:color="5C004D"/>
            </w:tcBorders>
          </w:tcPr>
          <w:p>
            <w:pPr>
              <w:spacing w:after="0"/>
              <w:rPr>
                <w:sz w:val="5"/>
                <w:szCs w:val="5"/>
                <w:color w:val="auto"/>
              </w:rPr>
            </w:pPr>
          </w:p>
        </w:tc>
      </w:tr>
      <w:tr>
        <w:trPr>
          <w:trHeight w:val="283"/>
        </w:trPr>
        <w:tc>
          <w:tcPr>
            <w:tcW w:w="4840" w:type="dxa"/>
            <w:vAlign w:val="bottom"/>
          </w:tcPr>
          <w:p>
            <w:pPr>
              <w:ind w:left="100"/>
              <w:spacing w:after="0"/>
              <w:rPr>
                <w:sz w:val="20"/>
                <w:szCs w:val="20"/>
                <w:color w:val="auto"/>
              </w:rPr>
            </w:pPr>
            <w:r>
              <w:rPr>
                <w:rFonts w:ascii="PMingLiU" w:cs="PMingLiU" w:eastAsia="PMingLiU" w:hAnsi="PMingLiU"/>
                <w:sz w:val="16"/>
                <w:szCs w:val="16"/>
                <w:b w:val="1"/>
                <w:bCs w:val="1"/>
                <w:color w:val="5C004D"/>
              </w:rPr>
              <w:t>7RWDO)HHV</w:t>
            </w:r>
          </w:p>
        </w:tc>
        <w:tc>
          <w:tcPr>
            <w:tcW w:w="4260" w:type="dxa"/>
            <w:vAlign w:val="bottom"/>
          </w:tcPr>
          <w:p>
            <w:pPr>
              <w:jc w:val="right"/>
              <w:ind w:right="280"/>
              <w:spacing w:after="0"/>
              <w:rPr>
                <w:sz w:val="20"/>
                <w:szCs w:val="20"/>
                <w:color w:val="auto"/>
              </w:rPr>
            </w:pPr>
            <w:r>
              <w:rPr>
                <w:rFonts w:ascii="PMingLiU" w:cs="PMingLiU" w:eastAsia="PMingLiU" w:hAnsi="PMingLiU"/>
                <w:sz w:val="16"/>
                <w:szCs w:val="16"/>
                <w:b w:val="1"/>
                <w:bCs w:val="1"/>
                <w:color w:val="5C004D"/>
              </w:rPr>
              <w:t/>
            </w:r>
          </w:p>
        </w:tc>
        <w:tc>
          <w:tcPr>
            <w:tcW w:w="980" w:type="dxa"/>
            <w:vAlign w:val="bottom"/>
          </w:tcPr>
          <w:p>
            <w:pPr>
              <w:jc w:val="right"/>
              <w:spacing w:after="0"/>
              <w:rPr>
                <w:sz w:val="20"/>
                <w:szCs w:val="20"/>
                <w:color w:val="auto"/>
              </w:rPr>
            </w:pPr>
            <w:r>
              <w:rPr>
                <w:rFonts w:ascii="PMingLiU" w:cs="PMingLiU" w:eastAsia="PMingLiU" w:hAnsi="PMingLiU"/>
                <w:sz w:val="16"/>
                <w:szCs w:val="16"/>
                <w:b w:val="1"/>
                <w:bCs w:val="1"/>
                <w:color w:val="5C004D"/>
              </w:rPr>
              <w:t/>
            </w:r>
          </w:p>
        </w:tc>
      </w:tr>
      <w:tr>
        <w:trPr>
          <w:trHeight w:val="57"/>
        </w:trPr>
        <w:tc>
          <w:tcPr>
            <w:tcW w:w="4840" w:type="dxa"/>
            <w:vAlign w:val="bottom"/>
            <w:tcBorders>
              <w:bottom w:val="single" w:sz="8" w:color="5C004D"/>
            </w:tcBorders>
          </w:tcPr>
          <w:p>
            <w:pPr>
              <w:spacing w:after="0"/>
              <w:rPr>
                <w:sz w:val="4"/>
                <w:szCs w:val="4"/>
                <w:color w:val="auto"/>
              </w:rPr>
            </w:pPr>
          </w:p>
        </w:tc>
        <w:tc>
          <w:tcPr>
            <w:tcW w:w="4260" w:type="dxa"/>
            <w:vAlign w:val="bottom"/>
            <w:tcBorders>
              <w:bottom w:val="single" w:sz="8" w:color="5C004D"/>
            </w:tcBorders>
          </w:tcPr>
          <w:p>
            <w:pPr>
              <w:spacing w:after="0"/>
              <w:rPr>
                <w:sz w:val="4"/>
                <w:szCs w:val="4"/>
                <w:color w:val="auto"/>
              </w:rPr>
            </w:pPr>
          </w:p>
        </w:tc>
        <w:tc>
          <w:tcPr>
            <w:tcW w:w="980" w:type="dxa"/>
            <w:vAlign w:val="bottom"/>
            <w:tcBorders>
              <w:bottom w:val="single" w:sz="8" w:color="5C004D"/>
            </w:tcBorders>
          </w:tcPr>
          <w:p>
            <w:pPr>
              <w:spacing w:after="0"/>
              <w:rPr>
                <w:sz w:val="4"/>
                <w:szCs w:val="4"/>
                <w:color w:val="auto"/>
              </w:rPr>
            </w:pPr>
          </w:p>
        </w:tc>
      </w:tr>
    </w:tbl>
    <w:p>
      <w:pPr>
        <w:spacing w:after="0" w:line="269"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$XGLW)HHV</w:t>
      </w:r>
    </w:p>
    <w:p>
      <w:pPr>
        <w:spacing w:after="0" w:line="191" w:lineRule="exact"/>
        <w:rPr>
          <w:sz w:val="20"/>
          <w:szCs w:val="20"/>
          <w:color w:val="auto"/>
        </w:rPr>
      </w:pPr>
    </w:p>
    <w:p>
      <w:pPr>
        <w:ind w:right="580"/>
        <w:spacing w:after="0" w:line="392" w:lineRule="auto"/>
        <w:rPr>
          <w:sz w:val="20"/>
          <w:szCs w:val="20"/>
          <w:color w:val="auto"/>
        </w:rPr>
      </w:pPr>
      <w:r>
        <w:rPr>
          <w:rFonts w:ascii="PMingLiU" w:cs="PMingLiU" w:eastAsia="PMingLiU" w:hAnsi="PMingLiU"/>
          <w:sz w:val="14"/>
          <w:szCs w:val="14"/>
          <w:color w:val="auto"/>
        </w:rPr>
        <w:t>$XGLWIHHVFRQVLVWRIIHHVDQGH[SHQVHVIRUSURIHVVLRQDOVHUYLFHVLQUHVSHFWRIWKHDXGLWRIRXU&amp;RPSDQ\¶VFRQVROLGDWHG ILQDQFLDOVWDWHPHQWVDQGRIRXULQWHUQDOFRQWURORYHUILQDQFLDOUHSRUWLQJWKHUHYLHZRITXDUWHUO\FRQVROLGDWHGILQDQFLDO VWDWHPHQWVDQGVWDWXWRU\DXGLWV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$XGLW5HODWHG)HHV</w:t>
      </w:r>
    </w:p>
    <w:p>
      <w:pPr>
        <w:spacing w:after="0" w:line="191" w:lineRule="exact"/>
        <w:rPr>
          <w:sz w:val="20"/>
          <w:szCs w:val="20"/>
          <w:color w:val="auto"/>
        </w:rPr>
      </w:pPr>
    </w:p>
    <w:p>
      <w:pPr>
        <w:ind w:right="360"/>
        <w:spacing w:after="0" w:line="443" w:lineRule="auto"/>
        <w:rPr>
          <w:sz w:val="20"/>
          <w:szCs w:val="20"/>
          <w:color w:val="auto"/>
        </w:rPr>
      </w:pPr>
      <w:r>
        <w:rPr>
          <w:rFonts w:ascii="PMingLiU" w:cs="PMingLiU" w:eastAsia="PMingLiU" w:hAnsi="PMingLiU"/>
          <w:sz w:val="14"/>
          <w:szCs w:val="14"/>
          <w:color w:val="auto"/>
        </w:rPr>
        <w:t>$XGLWUHODWHGIHHVFRQVLVWRIIHHVIRUDVVXUDQFHDQGUHODWHGVHUYLFHVHJGXHGLOLJHQFHVHUYLFHVWKDWWUDGLWLRQDOO\DUH SHUIRUPHGE\WKHLQGHSHQGHQWDFFRXQWDQW0RUHVSHFLILFDOO\WKHVHVHUYLFHVZHUHSULPDULO\UHODWHGWRDXGLWRUFHUWLILFDWLRQV</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7D[)HHV</w:t>
      </w:r>
    </w:p>
    <w:p>
      <w:pPr>
        <w:spacing w:after="0" w:line="191" w:lineRule="exact"/>
        <w:rPr>
          <w:sz w:val="20"/>
          <w:szCs w:val="20"/>
          <w:color w:val="auto"/>
        </w:rPr>
      </w:pPr>
    </w:p>
    <w:p>
      <w:pPr>
        <w:spacing w:after="0" w:line="1376" w:lineRule="auto"/>
        <w:rPr>
          <w:sz w:val="20"/>
          <w:szCs w:val="20"/>
          <w:color w:val="auto"/>
        </w:rPr>
      </w:pPr>
      <w:r>
        <w:rPr>
          <w:rFonts w:ascii="PMingLiU" w:cs="PMingLiU" w:eastAsia="PMingLiU" w:hAnsi="PMingLiU"/>
          <w:sz w:val="8"/>
          <w:szCs w:val="8"/>
          <w:color w:val="auto"/>
        </w:rPr>
        <w:t>7D[IHHVFRQVLVWRIIHHVDQGH[SHQVHVIRUSURIHVVLRQDOVHUYLFHVIRUWD[FRPSOLDQFH7D[FRPSOLDQFHVHUYLFHVFRQVLVWRI SURIHVVLRQDOVHUYLFHVUHODWHGWRGRPHVWLFDQGLQWHUQDWLRQDOWD[FRPSOLDQFHDQGDVVLVWDQFHZLWKGRPHVWLFDQGLQWHUQDWLRQDOWD[ UHWXUQSUHSDUDWLRQ'XULQJWKH\HDUHQGHG'HFHPEHUIHHVDQGH[SHQVHVRIDSSUR[LPDWHO\ZHUHELOOHGLQ FRQQHFWLRQZLWKWD[FRPSOLDQFHVHUYLFH'XULQJWKH\HDUHQGHG'HFHPEHUIHHVDQGH[SHQVHVRIDSSUR[LPDWHO\ ZHUHELOOHGLQFRQQHFWLRQZLWKWD[FRPSOLDQFHVHUYLFHV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760730</wp:posOffset>
            </wp:positionV>
            <wp:extent cx="1389380" cy="2343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52" w:name="page53"/>
    <w:bookmarkEnd w:id="52"/>
    <w:p>
      <w:pPr>
        <w:ind w:left="86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5989320</wp:posOffset>
                </wp:positionH>
                <wp:positionV relativeFrom="page">
                  <wp:posOffset>1270</wp:posOffset>
                </wp:positionV>
                <wp:extent cx="981075" cy="41910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19100"/>
                        </a:xfrm>
                        <a:prstGeom prst="rect">
                          <a:avLst/>
                        </a:prstGeom>
                        <a:solidFill>
                          <a:srgbClr val="5C004D"/>
                        </a:solidFill>
                      </wps:spPr>
                      <wps:bodyPr/>
                    </wps:wsp>
                  </a:graphicData>
                </a:graphic>
              </wp:anchor>
            </w:drawing>
          </mc:Choice>
          <mc:Fallback>
            <w:pict>
              <v:rect id="Shape 313" o:spid="_x0000_s1338" style="position:absolute;margin-left:471.6pt;margin-top:0.1pt;width:77.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$8',70$77(56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$OO2WKHU)HHV</w:t>
      </w:r>
    </w:p>
    <w:p>
      <w:pPr>
        <w:spacing w:after="0" w:line="191" w:lineRule="exact"/>
        <w:rPr>
          <w:sz w:val="20"/>
          <w:szCs w:val="20"/>
          <w:color w:val="auto"/>
        </w:rPr>
      </w:pPr>
    </w:p>
    <w:p>
      <w:pPr>
        <w:ind w:right="80"/>
        <w:spacing w:after="0" w:line="319" w:lineRule="auto"/>
        <w:rPr>
          <w:sz w:val="20"/>
          <w:szCs w:val="20"/>
          <w:color w:val="auto"/>
        </w:rPr>
      </w:pPr>
      <w:r>
        <w:rPr>
          <w:rFonts w:ascii="PMingLiU" w:cs="PMingLiU" w:eastAsia="PMingLiU" w:hAnsi="PMingLiU"/>
          <w:sz w:val="16"/>
          <w:szCs w:val="16"/>
          <w:color w:val="auto"/>
        </w:rPr>
        <w:t>$OORWKHUIHHVFRQVLVWRIIHHVIRUSURGXFWVDQGVHUYLFHVRWKHUWKDQWKHVHUYLFHVGHVFULEHGDERYH)RUWKH\HDUHQGHG 'HFHPEHUWKHVHIHHVZHUHSDLGLQFRQQHFWLRQZLWKDOLPLWHGDVVXUDQFHDVVHVVPHQWIRU(6*UHSRUWLQJSXUSRVHVDQG IRUWUDQVODWLRQVHUYLFHV)RUWKH\HDUHQGHG'HFHPEHUWKHVHIHHVZHUHSDLGLQFRQQHFWLRQZLWKDGRXEOHPDWHULDOLW\ FRPSOLDQFHDVVHVVPHQWIRU(6*UHSRUWLQJSXUSRVHV</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32"/>
          <w:szCs w:val="32"/>
          <w:color w:val="5C004D"/>
        </w:rPr>
        <w:t>3UH$SSURYDO3ROLFLHVDQG3URFHGXUHV</w:t>
      </w:r>
    </w:p>
    <w:p>
      <w:pPr>
        <w:spacing w:after="0" w:line="219" w:lineRule="exact"/>
        <w:rPr>
          <w:sz w:val="20"/>
          <w:szCs w:val="20"/>
          <w:color w:val="auto"/>
        </w:rPr>
      </w:pPr>
    </w:p>
    <w:p>
      <w:pPr>
        <w:ind w:right="520"/>
        <w:spacing w:after="0" w:line="342" w:lineRule="auto"/>
        <w:rPr>
          <w:sz w:val="20"/>
          <w:szCs w:val="20"/>
          <w:color w:val="auto"/>
        </w:rPr>
      </w:pPr>
      <w:r>
        <w:rPr>
          <w:rFonts w:ascii="PMingLiU" w:cs="PMingLiU" w:eastAsia="PMingLiU" w:hAnsi="PMingLiU"/>
          <w:sz w:val="14"/>
          <w:szCs w:val="14"/>
          <w:color w:val="auto"/>
        </w:rPr>
        <w:t>2XU$XGLW&amp;RPPLWWHHKDVDSROLF\DQGSURFHGXUHVIRUWKHSUHDSSURYDORIDXGLWDQGQRQDXGLWVHUYLFHVUHQGHUHGE\RXU LQGHSHQGHQWUHJLVWHUHGSXEOLFDFFRXQWLQJILUP2XUSROLF\JHQHUDOO\UHTXLUHVWKHSUHDSSURYDORIVSHFLILHGVHUYLFHVLQWKH</w:t>
      </w:r>
    </w:p>
    <w:p>
      <w:pPr>
        <w:ind w:right="120"/>
        <w:spacing w:after="0" w:line="339" w:lineRule="auto"/>
        <w:rPr>
          <w:sz w:val="20"/>
          <w:szCs w:val="20"/>
          <w:color w:val="auto"/>
        </w:rPr>
      </w:pPr>
      <w:r>
        <w:rPr>
          <w:rFonts w:ascii="PMingLiU" w:cs="PMingLiU" w:eastAsia="PMingLiU" w:hAnsi="PMingLiU"/>
          <w:sz w:val="15"/>
          <w:szCs w:val="15"/>
          <w:color w:val="auto"/>
        </w:rPr>
        <w:t>GHILQHGFDWHJRULHVRIDXGLWVHUYLFHVDXGLWUHODWHGVHUYLFHVDQGWD[VHUYLFHVXSWRVSHFLILHGDPRXQWV3UHDSSURYDOPD\DOVR EHJLYHQDVSDUWRIRXU$XGLW&amp;RPPLWWHH¶VDSSURYDORIWKHVFRSHRIWKHHQJDJHPHQWRIWKHLQGHSHQGHQWDXGLWRURURQDQ LQGLYLGXDOH[SOLFLWFDVHE\FDVHEDVLVEHIRUHWKHLQGHSHQGHQWDXGLWRULVHQJDJHGWRSURYLGHHDFKVHUYLFH7KHSUHDSSURYDORI VHUYLFHVPD\EHGHOHJDWHGWRRQHRUPRUHRIRXU$XGLW&amp;RPPLWWHH¶VPHPEHUVEXWWKHGHFLVLRQPXVWEHUHSRUWHGWRRXU$XGLW &amp;RPPLWWHHDWLWVQH[WVFKHGXOHGPHHWLQJ</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32"/>
          <w:szCs w:val="32"/>
          <w:color w:val="5C004D"/>
        </w:rPr>
        <w:t>,QGHSHQGHQFH</w:t>
      </w:r>
    </w:p>
    <w:p>
      <w:pPr>
        <w:spacing w:after="0" w:line="219" w:lineRule="exact"/>
        <w:rPr>
          <w:sz w:val="20"/>
          <w:szCs w:val="20"/>
          <w:color w:val="auto"/>
        </w:rPr>
      </w:pPr>
    </w:p>
    <w:p>
      <w:pPr>
        <w:ind w:right="360"/>
        <w:spacing w:after="0" w:line="443" w:lineRule="auto"/>
        <w:rPr>
          <w:sz w:val="20"/>
          <w:szCs w:val="20"/>
          <w:color w:val="auto"/>
        </w:rPr>
      </w:pPr>
      <w:r>
        <w:rPr>
          <w:rFonts w:ascii="PMingLiU" w:cs="PMingLiU" w:eastAsia="PMingLiU" w:hAnsi="PMingLiU"/>
          <w:sz w:val="14"/>
          <w:szCs w:val="14"/>
          <w:color w:val="auto"/>
        </w:rPr>
        <w:t>2XU$XGLW&amp;RPPLWWHHGHWHUPLQHGWKDWWKHUHQGHULQJRIWKHVHUYLFHVRWKHUWKDQDXGLWVHUYLFHVE\RXULQGHSHQGHQWUHJLVWHUHG SXEOLFDFFRXQWLQJILUPLVFRPSDWLEOHZLWKPDLQWDLQLQJWKHSULQFLSDODFFRXQWDQW¶VLQGHSHQGHQFH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6400800" cy="676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6">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0"/>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352326$/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PMingLiU" w:cs="PMingLiU" w:eastAsia="PMingLiU" w:hAnsi="PMingLiU"/>
          <w:sz w:val="32"/>
          <w:szCs w:val="32"/>
          <w:color w:val="5C004D"/>
        </w:rPr>
        <w:t>5HSRUWRIRXU$XGLW&amp;RPPLWWHH</w:t>
      </w:r>
      <w:r>
        <w:rPr>
          <w:rFonts w:ascii="PMingLiU" w:cs="PMingLiU" w:eastAsia="PMingLiU" w:hAnsi="PMingLiU"/>
          <w:sz w:val="41"/>
          <w:szCs w:val="41"/>
          <w:color w:val="5C004D"/>
          <w:vertAlign w:val="superscript"/>
        </w:rPr>
        <w:t/>
      </w:r>
    </w:p>
    <w:p>
      <w:pPr>
        <w:spacing w:after="0" w:line="111" w:lineRule="exact"/>
        <w:rPr>
          <w:sz w:val="20"/>
          <w:szCs w:val="20"/>
          <w:color w:val="auto"/>
        </w:rPr>
      </w:pPr>
    </w:p>
    <w:p>
      <w:pPr>
        <w:spacing w:after="0" w:line="330" w:lineRule="auto"/>
        <w:rPr>
          <w:sz w:val="20"/>
          <w:szCs w:val="20"/>
          <w:color w:val="auto"/>
        </w:rPr>
      </w:pPr>
      <w:r>
        <w:rPr>
          <w:rFonts w:ascii="PMingLiU" w:cs="PMingLiU" w:eastAsia="PMingLiU" w:hAnsi="PMingLiU"/>
          <w:sz w:val="15"/>
          <w:szCs w:val="15"/>
          <w:color w:val="auto"/>
        </w:rPr>
        <w:t>2XU$XGLW&amp;RPPLWWHHKDVUHYLHZHGDQGGLVFXVVHGRXUDXGLWHGILQDQFLDOVWDWHPHQWVIRUWKHILVFDO\HDUHQGHG'HFHPEHU ZLWKRXUPDQDJHPHQW2XU$XGLW&amp;RPPLWWHHKDVGLVFXVVHGZLWK.30*WKHLQGHSHQGHQWUHJLVWHUHGSXEOLFDFFRXQWLQJ ILUPWKDWDXGLWHGRXUILQDQFLDOVWDWHPHQWVIRUWKHILVFDO\HDUHQGHG'HFHPEHUWKHPDWWHUVUHTXLUHGWREHGLVFXVVHG E\WKHDSSOLFDEOHUHTXLUHPHQWVRIWKH3&amp;$2%DQGWKH6(&amp;2XU$XGLW&amp;RPPLWWHHKDVDOVRUHFHLYHGWKHZULWWHQGLVFORVXUHV DQGWKHOHWWHUIURP.30*UHTXLUHGE\DSSOLFDEOHUHTXLUHPHQWVRIWKH3&amp;$2%UHJDUGLQJWKHLQGHSHQGHQWDFFRXQWDQWV¶ FRPPXQLFDWLRQVZLWKRXU$XGLW&amp;RPPLWWHHFRQFHUQLQJLQGHSHQGHQFHDQGKDVGLVFXVVHGZLWK.30*WKDWILUP¶VLQGHSHQGHQFH %DVHGRQWKHIRUHJRLQJRXU$XGLW&amp;RPPLWWHHUHFRPPHQGHGWRRXU%RDUGWKDWWKHDXGLWHGILQDQFLDOVWDWHPHQWVEHLQFOXGHGLQ WKH$QQXDO5HSRUWRQ)RUP.IRUILOLQJZLWKWKH6(&amp;</w:t>
      </w:r>
    </w:p>
    <w:p>
      <w:pPr>
        <w:spacing w:after="0" w:line="296"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5HVSHFWIXOO\VXEPLWWHG</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b w:val="1"/>
          <w:bCs w:val="1"/>
          <w:color w:val="000046"/>
        </w:rPr>
        <w:t>2XU$XGLW&amp;RPPLWWHH</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0U3DWULFN.HQQHG\&amp;KDLU</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0U3DWULFN*(QULJKW</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'U7HG:/RYH0'</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0V+HDWKHU$QQ0F6KDUU\</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0V$QQH2¶5LRUGDQ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338455</wp:posOffset>
                </wp:positionV>
                <wp:extent cx="253301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0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65pt" to="199.35pt,26.65pt" o:allowincell="f" strokecolor="#000000" strokeweight="0.5pt"/>
            </w:pict>
          </mc:Fallback>
        </mc:AlternateContent>
      </w:r>
    </w:p>
    <w:p>
      <w:pPr>
        <w:spacing w:after="0" w:line="200" w:lineRule="exact"/>
        <w:rPr>
          <w:sz w:val="20"/>
          <w:szCs w:val="20"/>
          <w:color w:val="auto"/>
        </w:rPr>
      </w:pPr>
    </w:p>
    <w:p>
      <w:pPr>
        <w:spacing w:after="0" w:line="382" w:lineRule="exact"/>
        <w:rPr>
          <w:sz w:val="20"/>
          <w:szCs w:val="20"/>
          <w:color w:val="auto"/>
        </w:rPr>
      </w:pPr>
    </w:p>
    <w:p>
      <w:pPr>
        <w:ind w:left="400" w:right="280" w:hanging="359"/>
        <w:spacing w:after="0" w:line="323" w:lineRule="auto"/>
        <w:tabs>
          <w:tab w:leader="none" w:pos="380" w:val="left"/>
        </w:tabs>
        <w:rPr>
          <w:sz w:val="20"/>
          <w:szCs w:val="20"/>
          <w:color w:val="auto"/>
        </w:rPr>
      </w:pPr>
      <w:r>
        <w:rPr>
          <w:rFonts w:ascii="PMingLiU" w:cs="PMingLiU" w:eastAsia="PMingLiU" w:hAnsi="PMingLiU"/>
          <w:sz w:val="13"/>
          <w:szCs w:val="13"/>
          <w:color w:val="auto"/>
        </w:rPr>
        <w:t/>
        <w:tab/>
        <w:t>%\RXU$XGLW&amp;RPPLWWHHDVRIWKH$QQXDO5HSRUWRQ)RUP.7KHPDWHULDOXQGHUWKHKHDGLQJ³5HSRUWRIRXU$XGLW&amp;RPPLWWHH´ LQRXUSUR[\VWDWHPHQWLVQRW³VROLFLWLQJPDWHULDO´LVQRWGHHPHG³ILOHG´ZLWKWKH6(&amp;DQGLVQRWWREHLQFRUSRUDWHGE\UHIHUHQFHLQDQ\ ILOLQJE\XVXQGHUWKH6HFXULWLHV$FWRUWKH([FKDQJH$FWZKHWKHUPDGHEHIRUHRUDIWHUWKHGDWHKHUHRIDQGLUUHVSHFWLYHRIDQ\JHQHUDO LQFRUSRUDWLRQODQJXDJHLQDQ\VXFKILOLQJ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1389380" cy="2343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47">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97"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60"/>
          </w:cols>
          <w:pgMar w:left="900" w:top="377" w:right="819" w:bottom="0" w:gutter="0" w:footer="0" w:header="0"/>
        </w:sectPr>
      </w:pPr>
    </w:p>
    <w:bookmarkStart w:id="53" w:name="page54"/>
    <w:bookmarkEnd w:id="53"/>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([HFXWLYH2IILFHUV</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PMingLiU" w:cs="PMingLiU" w:eastAsia="PMingLiU" w:hAnsi="PMingLiU"/>
          <w:sz w:val="16"/>
          <w:szCs w:val="16"/>
          <w:color w:val="auto"/>
        </w:rPr>
        <w:t>7KHIROORZLQJELRJUDSKLHVSURYLGHLQIRUPDWLRQUHJDUGLQJRXUH[HFXWLYHRIILFHUVDVRI-XQH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1876425" cy="2295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49">
                      <a:extLst>
                        <a:ext uri="{28A0092B-C50C-407E-A947-70E740481C1C}"/>
                      </a:extLst>
                    </a:blip>
                    <a:srcRect/>
                    <a:stretch>
                      <a:fillRect/>
                    </a:stretch>
                  </pic:blipFill>
                  <pic:spPr bwMode="auto">
                    <a:xfrm>
                      <a:off x="0" y="0"/>
                      <a:ext cx="1876425" cy="2295525"/>
                    </a:xfrm>
                    <a:prstGeom prst="rect">
                      <a:avLst/>
                    </a:prstGeom>
                    <a:noFill/>
                  </pic:spPr>
                </pic:pic>
              </a:graphicData>
            </a:graphic>
          </wp:anchor>
        </w:drawing>
      </w:r>
    </w:p>
    <w:p>
      <w:pPr>
        <w:sectPr>
          <w:pgSz w:w="11880" w:h="15479" w:orient="portrait"/>
          <w:cols w:equalWidth="0" w:num="1">
            <w:col w:w="10060"/>
          </w:cols>
          <w:pgMar w:left="900" w:top="1440"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rPr>
          <w:sz w:val="20"/>
          <w:szCs w:val="20"/>
          <w:color w:val="auto"/>
        </w:rPr>
      </w:pPr>
      <w:r>
        <w:rPr>
          <w:rFonts w:ascii="PMingLiU" w:cs="PMingLiU" w:eastAsia="PMingLiU" w:hAnsi="PMingLiU"/>
          <w:sz w:val="28"/>
          <w:szCs w:val="28"/>
          <w:b w:val="1"/>
          <w:bCs w:val="1"/>
          <w:color w:val="000046"/>
        </w:rPr>
        <w:t>5HQHH'*DOD</w:t>
      </w:r>
    </w:p>
    <w:p>
      <w:pPr>
        <w:spacing w:after="0" w:line="213" w:lineRule="exact"/>
        <w:rPr>
          <w:sz w:val="20"/>
          <w:szCs w:val="20"/>
          <w:color w:val="auto"/>
        </w:rPr>
      </w:pPr>
    </w:p>
    <w:p>
      <w:pPr>
        <w:ind w:left="280" w:right="540"/>
        <w:spacing w:after="0" w:line="271" w:lineRule="auto"/>
        <w:rPr>
          <w:sz w:val="20"/>
          <w:szCs w:val="20"/>
          <w:color w:val="auto"/>
        </w:rPr>
      </w:pPr>
      <w:r>
        <w:rPr>
          <w:rFonts w:ascii="PMingLiU" w:cs="PMingLiU" w:eastAsia="PMingLiU" w:hAnsi="PMingLiU"/>
          <w:sz w:val="16"/>
          <w:szCs w:val="16"/>
          <w:b w:val="1"/>
          <w:bCs w:val="1"/>
          <w:color w:val="2D2C36"/>
        </w:rPr>
        <w:t>35(6,'(17&amp;(2$1' ',5(&amp;725</w:t>
      </w:r>
    </w:p>
    <w:p>
      <w:pPr>
        <w:spacing w:after="0" w:line="369"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876425" cy="22955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0">
                      <a:extLst>
                        <a:ext uri="{28A0092B-C50C-407E-A947-70E740481C1C}"/>
                      </a:extLst>
                    </a:blip>
                    <a:srcRect/>
                    <a:stretch>
                      <a:fillRect/>
                    </a:stretch>
                  </pic:blipFill>
                  <pic:spPr bwMode="auto">
                    <a:xfrm>
                      <a:off x="0" y="0"/>
                      <a:ext cx="1876425"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PMingLiU" w:cs="PMingLiU" w:eastAsia="PMingLiU" w:hAnsi="PMingLiU"/>
          <w:sz w:val="28"/>
          <w:szCs w:val="28"/>
          <w:b w:val="1"/>
          <w:bCs w:val="1"/>
          <w:color w:val="000046"/>
        </w:rPr>
        <w:t>3KLOLS/-RKQVRQ</w:t>
      </w:r>
    </w:p>
    <w:p>
      <w:pPr>
        <w:spacing w:after="0" w:line="213" w:lineRule="exact"/>
        <w:rPr>
          <w:sz w:val="20"/>
          <w:szCs w:val="20"/>
          <w:color w:val="auto"/>
        </w:rPr>
      </w:pPr>
    </w:p>
    <w:p>
      <w:pPr>
        <w:ind w:left="280"/>
        <w:spacing w:after="0" w:line="271" w:lineRule="auto"/>
        <w:rPr>
          <w:sz w:val="20"/>
          <w:szCs w:val="20"/>
          <w:color w:val="auto"/>
        </w:rPr>
      </w:pPr>
      <w:r>
        <w:rPr>
          <w:rFonts w:ascii="PMingLiU" w:cs="PMingLiU" w:eastAsia="PMingLiU" w:hAnsi="PMingLiU"/>
          <w:sz w:val="16"/>
          <w:szCs w:val="16"/>
          <w:b w:val="1"/>
          <w:bCs w:val="1"/>
          <w:color w:val="2D2C36"/>
        </w:rPr>
        <w:t>(;(&amp;87,9(9,&amp;(35(6,'(17 $1'&amp;)2</w:t>
      </w:r>
    </w:p>
    <w:p>
      <w:pPr>
        <w:spacing w:after="0" w:line="369" w:lineRule="exact"/>
        <w:rPr>
          <w:sz w:val="20"/>
          <w:szCs w:val="20"/>
          <w:color w:val="auto"/>
        </w:rPr>
      </w:pPr>
    </w:p>
    <w:p>
      <w:pPr>
        <w:ind w:left="28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240"/>
        <w:spacing w:after="0" w:line="365" w:lineRule="auto"/>
        <w:rPr>
          <w:sz w:val="20"/>
          <w:szCs w:val="20"/>
          <w:color w:val="auto"/>
        </w:rPr>
      </w:pPr>
      <w:r>
        <w:rPr>
          <w:rFonts w:ascii="PMingLiU" w:cs="PMingLiU" w:eastAsia="PMingLiU" w:hAnsi="PMingLiU"/>
          <w:sz w:val="14"/>
          <w:szCs w:val="14"/>
          <w:color w:val="auto"/>
        </w:rPr>
        <w:t>%LRJUDSKLFDOLQIRUPDWLRQUHJDUGLQJ0V*DODLVVHWIRUWKDERYHXQGHU³</w:t>
      </w:r>
      <w:r>
        <w:rPr>
          <w:rFonts w:ascii="PMingLiU" w:cs="PMingLiU" w:eastAsia="PMingLiU" w:hAnsi="PMingLiU"/>
          <w:sz w:val="14"/>
          <w:szCs w:val="14"/>
          <w:i w:val="1"/>
          <w:iCs w:val="1"/>
          <w:color w:val="auto"/>
        </w:rPr>
        <w:t>!85659(22,*:0545-</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08,*:58908,*:58954:04;04.04 --0*,</w:t>
      </w:r>
      <w:r>
        <w:rPr>
          <w:rFonts w:ascii="PMingLiU" w:cs="PMingLiU" w:eastAsia="PMingLiU" w:hAnsi="PMingLiU"/>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spacing w:after="0" w:line="295" w:lineRule="auto"/>
        <w:rPr>
          <w:sz w:val="20"/>
          <w:szCs w:val="20"/>
          <w:color w:val="auto"/>
        </w:rPr>
      </w:pPr>
      <w:r>
        <w:rPr>
          <w:rFonts w:ascii="PMingLiU" w:cs="PMingLiU" w:eastAsia="PMingLiU" w:hAnsi="PMingLiU"/>
          <w:sz w:val="14"/>
          <w:szCs w:val="14"/>
          <w:color w:val="auto"/>
        </w:rPr>
        <w:t>3KLOLS/-RKQVRQZDVDSSRLQWHGRXU([HFXWLYH9LFH3UHVLGHQWDQG&amp;)2DVRI0DUFK )URP-DQXDU\WR)HEUXDU\0U-RKQVRQVHUYHGDVJURXSYLFHSUHVLGHQWDQG WUHDVXUHUDW(OL/LOO\DQG&amp;RPSDQ\DJOREDOSKDUPDFHXWLFDOFRPSDQ\0U-RKQVRQMRLQHG(OL /LOO\DQG&amp;RPSDQ\LQZKHUHKHVHUYHGLQDYDULHW\RIUROHVZLWKLQFUHDVLQJUHVSRQVLELOLW\ 3ULRUWRKLVWHQXUHDW(OL/LOO\DQG&amp;RPSDQ\KHZDVDPDQDJHPHQWFRQVXOWDQWDW0F.LQVH\  &amp;RPSDQ\DQGZRUNHGZLWKLQYHVWPHQWEDQNVLQ0LODQ,WDO\DQG&amp;KLFDJR,OOLQRLV0U-RKQVRQ VHUYHVDVDQH[HFXWLYHERDUGPHPEHUDQG7UHDVXUHURIWKH,QGLDQDSROLV8UEDQ/HDJXHDQGDV DERDUGPHPEHURI/\Q[&amp;DSLWDO+HDOVRVHUYHGRQWKHERDUGRIGLUHFWRUVRIWKH,QGLDQD &amp;KDPEHURI&amp;RPPHUFH(TXLW\$05$FWLRQ)XQGDQG3UHVFULEHU3RLQWDVZHOODVDQ DGYLVRU\FRPPLWWHHPHPEHUIRU-XPSVWDUW1RYDDQG6L[W\&amp;DSLWDO0U-RKQVRQKROGVD%6 LQ)LQDQFHIURPWKH8QLYHUVLW\RI,OOLQRLVDQGDQ0%$IURPWKH.HOORJJ6FKRRORI0DQDJHPHQWDW</w:t>
      </w:r>
    </w:p>
    <w:p>
      <w:pPr>
        <w:spacing w:after="0" w:line="7" w:lineRule="exact"/>
        <w:rPr>
          <w:sz w:val="20"/>
          <w:szCs w:val="20"/>
          <w:color w:val="auto"/>
        </w:rPr>
      </w:pPr>
    </w:p>
    <w:p>
      <w:pPr>
        <w:spacing w:after="0"/>
        <w:rPr>
          <w:sz w:val="20"/>
          <w:szCs w:val="20"/>
          <w:color w:val="auto"/>
        </w:rPr>
      </w:pPr>
      <w:r>
        <w:rPr>
          <w:rFonts w:ascii="PMingLiU" w:cs="PMingLiU" w:eastAsia="PMingLiU" w:hAnsi="PMingLiU"/>
          <w:sz w:val="16"/>
          <w:szCs w:val="16"/>
          <w:color w:val="auto"/>
        </w:rPr>
        <w:t>1RUWKZHVWHUQ8QLYHUVLW</w:t>
      </w:r>
      <w:r>
        <w:rPr>
          <w:rFonts w:ascii="PMingLiU" w:cs="PMingLiU" w:eastAsia="PMingLiU" w:hAnsi="PMingLiU"/>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2745105</wp:posOffset>
            </wp:positionV>
            <wp:extent cx="1386840" cy="2336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363" w:lineRule="exact"/>
        <w:rPr>
          <w:sz w:val="20"/>
          <w:szCs w:val="20"/>
          <w:color w:val="auto"/>
        </w:rPr>
      </w:pPr>
    </w:p>
    <w:p>
      <w:pPr>
        <w:sectPr>
          <w:pgSz w:w="11880" w:h="15479" w:orient="portrait"/>
          <w:cols w:equalWidth="0" w:num="2">
            <w:col w:w="2600" w:space="640"/>
            <w:col w:w="6820"/>
          </w:cols>
          <w:pgMar w:left="900" w:top="1440" w:right="9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60"/>
          </w:cols>
          <w:pgMar w:left="900" w:top="1440" w:right="919" w:bottom="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687070</wp:posOffset>
            </wp:positionV>
            <wp:extent cx="1876425" cy="28860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2">
                      <a:extLst>
                        <a:ext uri="{28A0092B-C50C-407E-A947-70E740481C1C}"/>
                      </a:extLst>
                    </a:blip>
                    <a:srcRect/>
                    <a:stretch>
                      <a:fillRect/>
                    </a:stretch>
                  </pic:blipFill>
                  <pic:spPr bwMode="auto">
                    <a:xfrm>
                      <a:off x="0" y="0"/>
                      <a:ext cx="1876425" cy="288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PMingLiU" w:cs="PMingLiU" w:eastAsia="PMingLiU" w:hAnsi="PMingLiU"/>
          <w:sz w:val="28"/>
          <w:szCs w:val="28"/>
          <w:b w:val="1"/>
          <w:bCs w:val="1"/>
          <w:color w:val="000046"/>
        </w:rPr>
        <w:t>5REHUW,DQQRQH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-196850</wp:posOffset>
                </wp:positionV>
                <wp:extent cx="1590040" cy="174244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040" cy="1742440"/>
                        </a:xfrm>
                        <a:prstGeom prst="rect">
                          <a:avLst/>
                        </a:prstGeom>
                        <a:solidFill>
                          <a:srgbClr val="F3F3F1"/>
                        </a:solidFill>
                      </wps:spPr>
                      <wps:bodyPr/>
                    </wps:wsp>
                  </a:graphicData>
                </a:graphic>
              </wp:anchor>
            </w:drawing>
          </mc:Choice>
          <mc:Fallback>
            <w:pict>
              <v:rect id="Shape 322" o:spid="_x0000_s1347" style="position:absolute;margin-left:-2.8499pt;margin-top:-15.4999pt;width:125.2pt;height:13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3F3F1" stroked="f"/>
            </w:pict>
          </mc:Fallback>
        </mc:AlternateContent>
      </w:r>
    </w:p>
    <w:p>
      <w:pPr>
        <w:spacing w:after="0" w:line="193" w:lineRule="exact"/>
        <w:rPr>
          <w:sz w:val="20"/>
          <w:szCs w:val="20"/>
          <w:color w:val="auto"/>
        </w:rPr>
      </w:pPr>
    </w:p>
    <w:p>
      <w:pPr>
        <w:jc w:val="center"/>
        <w:spacing w:after="0" w:line="269" w:lineRule="auto"/>
        <w:rPr>
          <w:sz w:val="20"/>
          <w:szCs w:val="20"/>
          <w:color w:val="auto"/>
        </w:rPr>
      </w:pPr>
      <w:r>
        <w:rPr>
          <w:rFonts w:ascii="PMingLiU" w:cs="PMingLiU" w:eastAsia="PMingLiU" w:hAnsi="PMingLiU"/>
          <w:sz w:val="16"/>
          <w:szCs w:val="16"/>
          <w:b w:val="1"/>
          <w:bCs w:val="1"/>
          <w:color w:val="2D2C36"/>
        </w:rPr>
        <w:t>(;(&amp;87,9(9,&amp;(35(6,'(17 */2%$/+($'2)5(6($5&amp;+ '(9(/230(17$1'&amp;+,()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0(',&amp;$/2)),&amp;(5</w:t>
      </w:r>
    </w:p>
    <w:p>
      <w:pPr>
        <w:spacing w:after="0" w:line="17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646430</wp:posOffset>
            </wp:positionV>
            <wp:extent cx="1876425" cy="28162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3">
                      <a:extLst>
                        <a:ext uri="{28A0092B-C50C-407E-A947-70E740481C1C}"/>
                      </a:extLst>
                    </a:blip>
                    <a:srcRect/>
                    <a:stretch>
                      <a:fillRect/>
                    </a:stretch>
                  </pic:blipFill>
                  <pic:spPr bwMode="auto">
                    <a:xfrm>
                      <a:off x="0" y="0"/>
                      <a:ext cx="1876425"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PMingLiU" w:cs="PMingLiU" w:eastAsia="PMingLiU" w:hAnsi="PMingLiU"/>
          <w:sz w:val="28"/>
          <w:szCs w:val="28"/>
          <w:b w:val="1"/>
          <w:bCs w:val="1"/>
          <w:color w:val="000046"/>
        </w:rPr>
        <w:t>1HHQD03DWLO</w:t>
      </w:r>
    </w:p>
    <w:p>
      <w:pPr>
        <w:spacing w:after="0" w:line="213" w:lineRule="exact"/>
        <w:rPr>
          <w:sz w:val="20"/>
          <w:szCs w:val="20"/>
          <w:color w:val="auto"/>
        </w:rPr>
      </w:pPr>
    </w:p>
    <w:p>
      <w:pPr>
        <w:ind w:right="100"/>
        <w:spacing w:after="0" w:line="302" w:lineRule="auto"/>
        <w:rPr>
          <w:sz w:val="20"/>
          <w:szCs w:val="20"/>
          <w:color w:val="auto"/>
        </w:rPr>
      </w:pPr>
      <w:r>
        <w:rPr>
          <w:rFonts w:ascii="PMingLiU" w:cs="PMingLiU" w:eastAsia="PMingLiU" w:hAnsi="PMingLiU"/>
          <w:sz w:val="16"/>
          <w:szCs w:val="16"/>
          <w:b w:val="1"/>
          <w:bCs w:val="1"/>
          <w:color w:val="2D2C36"/>
        </w:rPr>
        <w:t>(;(&amp;87,9(9,&amp;(35(6,'(17 $1'&amp;+,()/(*$/2)),&amp;(5</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532130</wp:posOffset>
            </wp:positionV>
            <wp:extent cx="1876425" cy="22860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54">
                      <a:extLst>
                        <a:ext uri="{28A0092B-C50C-407E-A947-70E740481C1C}"/>
                      </a:extLst>
                    </a:blip>
                    <a:srcRect/>
                    <a:stretch>
                      <a:fillRect/>
                    </a:stretch>
                  </pic:blipFill>
                  <pic:spPr bwMode="auto">
                    <a:xfrm>
                      <a:off x="0" y="0"/>
                      <a:ext cx="187642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PMingLiU" w:cs="PMingLiU" w:eastAsia="PMingLiU" w:hAnsi="PMingLiU"/>
          <w:sz w:val="26"/>
          <w:szCs w:val="26"/>
          <w:b w:val="1"/>
          <w:bCs w:val="1"/>
          <w:color w:val="000046"/>
        </w:rPr>
        <w:t>6DPDQWKD3HDUFH</w:t>
      </w:r>
    </w:p>
    <w:p>
      <w:pPr>
        <w:spacing w:after="0" w:line="237" w:lineRule="exact"/>
        <w:rPr>
          <w:sz w:val="20"/>
          <w:szCs w:val="20"/>
          <w:color w:val="auto"/>
        </w:rPr>
      </w:pPr>
    </w:p>
    <w:p>
      <w:pPr>
        <w:ind w:right="60"/>
        <w:spacing w:after="0" w:line="302" w:lineRule="auto"/>
        <w:rPr>
          <w:sz w:val="20"/>
          <w:szCs w:val="20"/>
          <w:color w:val="auto"/>
        </w:rPr>
      </w:pPr>
      <w:r>
        <w:rPr>
          <w:rFonts w:ascii="PMingLiU" w:cs="PMingLiU" w:eastAsia="PMingLiU" w:hAnsi="PMingLiU"/>
          <w:sz w:val="16"/>
          <w:szCs w:val="16"/>
          <w:b w:val="1"/>
          <w:bCs w:val="1"/>
          <w:color w:val="2D2C36"/>
        </w:rPr>
        <w:t>(;(&amp;87,9(9,&amp;(35(6,'(17 &amp;+,()&amp;200(5&amp;,$/2)),&amp;(5</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814070</wp:posOffset>
            </wp:positionV>
            <wp:extent cx="1386840" cy="2336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5">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960"/>
        <w:spacing w:after="0"/>
        <w:rPr>
          <w:sz w:val="20"/>
          <w:szCs w:val="20"/>
          <w:color w:val="auto"/>
        </w:rPr>
      </w:pPr>
      <w:r>
        <w:rPr>
          <w:rFonts w:ascii="PMingLiU" w:cs="PMingLiU" w:eastAsia="PMingLiU" w:hAnsi="PMingLiU"/>
          <w:sz w:val="16"/>
          <w:szCs w:val="16"/>
          <w:b w:val="1"/>
          <w:bCs w:val="1"/>
          <w:color w:val="FFFFFF"/>
        </w:rPr>
        <w:t>(;(&amp;87,9(2)),&amp;(56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3074670</wp:posOffset>
                </wp:positionH>
                <wp:positionV relativeFrom="paragraph">
                  <wp:posOffset>-359410</wp:posOffset>
                </wp:positionV>
                <wp:extent cx="1266825" cy="418465"/>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6825" cy="418465"/>
                        </a:xfrm>
                        <a:prstGeom prst="rect">
                          <a:avLst/>
                        </a:prstGeom>
                        <a:solidFill>
                          <a:srgbClr val="5C004D"/>
                        </a:solidFill>
                      </wps:spPr>
                      <wps:bodyPr/>
                    </wps:wsp>
                  </a:graphicData>
                </a:graphic>
              </wp:anchor>
            </w:drawing>
          </mc:Choice>
          <mc:Fallback>
            <w:pict>
              <v:rect id="Shape 326" o:spid="_x0000_s1351" style="position:absolute;margin-left:242.1pt;margin-top:-28.2999pt;width:99.75pt;height:3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40"/>
        <w:spacing w:after="0" w:line="260" w:lineRule="auto"/>
        <w:rPr>
          <w:sz w:val="20"/>
          <w:szCs w:val="20"/>
          <w:color w:val="auto"/>
        </w:rPr>
      </w:pPr>
      <w:r>
        <w:rPr>
          <w:rFonts w:ascii="PMingLiU" w:cs="PMingLiU" w:eastAsia="PMingLiU" w:hAnsi="PMingLiU"/>
          <w:sz w:val="16"/>
          <w:szCs w:val="16"/>
          <w:color w:val="auto"/>
        </w:rPr>
        <w:t>5REHUW,DQQRQH0'06&amp;(ZDVDSSRLQWHGRXU([HFXWLYH9LFH3UHVLGHQW*OREDO+HDGRI 5HVHDUFKDQG'HYHORSPHQWDVRI0D\+HZDVDSSRLQWHGRXU&amp;KLHI0HGLFDO2IILFHUDVRI</w:t>
      </w:r>
    </w:p>
    <w:p>
      <w:pPr>
        <w:spacing w:after="0" w:line="1" w:lineRule="exact"/>
        <w:rPr>
          <w:sz w:val="20"/>
          <w:szCs w:val="20"/>
          <w:color w:val="auto"/>
        </w:rPr>
      </w:pPr>
    </w:p>
    <w:p>
      <w:pPr>
        <w:spacing w:after="0" w:line="969" w:lineRule="auto"/>
        <w:rPr>
          <w:sz w:val="20"/>
          <w:szCs w:val="20"/>
          <w:color w:val="auto"/>
        </w:rPr>
      </w:pPr>
      <w:r>
        <w:rPr>
          <w:rFonts w:ascii="PMingLiU" w:cs="PMingLiU" w:eastAsia="PMingLiU" w:hAnsi="PMingLiU"/>
          <w:sz w:val="7"/>
          <w:szCs w:val="7"/>
          <w:color w:val="auto"/>
        </w:rPr>
        <w:t>6HSWHPEHUKDYLQJSUHYLRXVO\VHUYHGDVRXU&amp;KLHI0HGLFDO2IILFHUIURP'HFHPEHU XQWLO2FWREHU)URP$SULOXQWLO0D\'U,DQQRQHVHUYHGDV+HDGRI5 'DQG &amp;KLHI0HGLFDO2IILFHURI,PPXQRPHGLFV,QFDELRSKDUPDFHXWLFDOFRPSDQ\3ULRUWRWKDWIURP -XO\WR$SULO'U,DQQRQHVHUYHGLQWKHUROHVRI6HQLRU9LFH3UHVLGHQWDQG+HDGRI ,PPXQRRQFRORJ\*OREDO0HGLFLQHV'HYHORSPHQWDQGWKH*OREDO3URGXFWV9LFH3UHVLGHQWDW $VWUD=HQHFDSOFDJOREDOVFLHQFHOHGELRSKDUPDFHXWLFDOFRPSDQ\)URPWR'U ,DQQRQHVHUYHGLQPDQDJHPHQWUROHVDW0HUFN&amp;R,QFDJOREDOELRSKDUPDFHXWLFDOFRPSDQ\ FXOPLQDWLQJLQKLVUROHDV([HFXWLYH'LUHFWRUDQG6HFWLRQ+HDGRI2QFRORJ\&amp;OLQLFDO 'HYHORSPHQW)URPWRKHVHUYHGDV$VVLVWDQW3URIHVVRURI3HGLDWULFVDQGIURP WRDV$GMXQFW$VVLVWDQW3URIHVVRURI3HGLDWULFVDWWKH8QLYHUVLW\RI3HQQV\OYDQLD 6FKRRORI0HGLFLQH'U,DQQRQHKDVEHHQVHUYLQJRQWKHERDUGRIGLUHFWRUVRI$XWROXV 7KHUDSHXWLFVSOFDFOLQLFDOVWDJHELRSKDUPDFHXWLFDOFRPSDQ\VLQFH-XQH+HKDVDOVR VHUYHGRQWKH&amp;DQFHU6WHHULQJ&amp;RPPLWWHHRIWKH)RXQGDWLRQIRUWKH1DWLRQDO,QVWLWXWHVRI+HDOWK VLQFH'U,DQQRQHMRLQHGWKH6FLHQWLILF$GYLVRU\%RDUGRI&amp;URVVERZ7KHUDSHXWLFV,QFLQ 2FWREHU'U,DQQRQHSUHYLRXVO\VHUYHGDVGLUHFWRURI-RXQFH7KHUDSHXWLFV,QFD FOLQLFDOVWDJHLPPXQRWKHUDS\FRPSDQ\IURP-DQXDU\WR0D\DQGL7HRV 7KHUDSHXWLFV,QFDFOLQLFDOVWDWHELRSKDUPDFHXWLFDOFRPSDQ\IURP0D\WR$XJXVW 'U,DQQRQHKROGVD%6IURP7KH&amp;DWKROLF8QLYHUVLW\RI$PHULFDDQ0'IURP&lt;DOH8QLYHUVLW\ DQGDQ06&amp;(IURP8QLYHUVLW\RI3HQQV\OYDQLDDQGFRPSOHWHGKLVUHVLGHQF\LQ3HGLDWULFVDQG IHOORZVKLSLQ3HGLDWULF+HPDWRORJ\2QFRORJ\DW-RKQV+RSNLQV8QLYHUVLW\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ind w:right="20"/>
        <w:spacing w:after="0" w:line="318" w:lineRule="auto"/>
        <w:rPr>
          <w:sz w:val="20"/>
          <w:szCs w:val="20"/>
          <w:color w:val="auto"/>
        </w:rPr>
      </w:pPr>
      <w:r>
        <w:rPr>
          <w:rFonts w:ascii="PMingLiU" w:cs="PMingLiU" w:eastAsia="PMingLiU" w:hAnsi="PMingLiU"/>
          <w:sz w:val="13"/>
          <w:szCs w:val="13"/>
          <w:color w:val="auto"/>
        </w:rPr>
        <w:t>1HHQD03DWLOZDVDSSRLQWHGRXU([HFXWLYH9LFH3UHVLGHQWDQG&amp;KLHI/HJDO2IILFHUDVRI $XJXVW0V3DWLOMRLQHG-D]]3KDUPDFHXWLFDOVDV6HQLRU9LFH3UHVLGHQWDQG*HQHUDO &amp;RXQVHOLQ-XO\)URP6HSWHPEHUWR-XO\0V3DWLOVHUYHGDV6HQLRU9LFH 3UHVLGHQW*HQHUDO&amp;RXQVHODQG&amp;RUSRUDWH6HFUHWDU\RI$EHRQD7KHUDSHXWLFV,QFDFOLQLFDO VWDJHELRSKDUPDFHXWLFDOFRPSDQ\3ULRUWRWKDWIURP0D\WR2FWREHU0V3DWLO VHUYHGLQPDQDJHPHQWSRVLWLRQVDW1RYR1RUGLVN,QFDJOREDOKHDOWKFDUHFRPSDQ\ FXOPLQDWLQJLQKHUUROHDV9LFH3UHVLGHQWIRU/HJDO$IIDLUVDQG$VVRFLDWH*HQHUDO&amp;RXQVHO3ULRU WRVKHZRUNHGIRUVHYHUDORWKHUJOREDOELRSKDUPDFHXWLFDOFRPSDQLHVLQFOXGLQJ3IL]HU,QF *3&amp;%LRWHFK$*DQG6DQRIL0V3DWLOVHUYHVRQWKHERDUGRIGLUHFWRUVRI7HOHIOH[,QFD JOREDOSURYLGHURIPHGLFDOWHFKQRORJLHVZKHUHVKHFKDLUVWKH1RPLQDWLQJDQG*RYHUQDQFH</w:t>
      </w:r>
    </w:p>
    <w:p>
      <w:pPr>
        <w:spacing w:after="0" w:line="5" w:lineRule="exact"/>
        <w:rPr>
          <w:sz w:val="20"/>
          <w:szCs w:val="20"/>
          <w:color w:val="auto"/>
        </w:rPr>
      </w:pPr>
    </w:p>
    <w:p>
      <w:pPr>
        <w:jc w:val="both"/>
        <w:ind w:right="140"/>
        <w:spacing w:after="0" w:line="322" w:lineRule="auto"/>
        <w:rPr>
          <w:sz w:val="20"/>
          <w:szCs w:val="20"/>
          <w:color w:val="auto"/>
        </w:rPr>
      </w:pPr>
      <w:r>
        <w:rPr>
          <w:rFonts w:ascii="PMingLiU" w:cs="PMingLiU" w:eastAsia="PMingLiU" w:hAnsi="PMingLiU"/>
          <w:sz w:val="14"/>
          <w:szCs w:val="14"/>
          <w:color w:val="auto"/>
        </w:rPr>
        <w:t>&amp;RPPLWWHH0V3DWLOLVDOVRDPHPEHURIWKH%LRWHFKQRORJ\,QQRYDWLRQ2UJDQL]DWLRQERDUGRI GLUHFWRUV0V3DWLOKROGVD%$IURP*HRUJHWRZQ8QLYHUVLW\DQGD-'DQG0DVWHURI+HDOWK 6HUYLFHV$GPLQLVWUDWLRQIURPWKH8QLYHUVLW\RI0LFKLJDQ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jc w:val="both"/>
        <w:ind w:right="60"/>
        <w:spacing w:after="0" w:line="624" w:lineRule="auto"/>
        <w:rPr>
          <w:sz w:val="20"/>
          <w:szCs w:val="20"/>
          <w:color w:val="auto"/>
        </w:rPr>
      </w:pPr>
      <w:r>
        <w:rPr>
          <w:rFonts w:ascii="PMingLiU" w:cs="PMingLiU" w:eastAsia="PMingLiU" w:hAnsi="PMingLiU"/>
          <w:sz w:val="10"/>
          <w:szCs w:val="10"/>
          <w:color w:val="auto"/>
        </w:rPr>
        <w:t>6DPDQWKD3HDUFHZDVDSSRLQWHGRXU([HFXWLYH9LFH3UHVLGHQW&amp;KLHI&amp;RPPHUFLDO2IILFHUDVRI $XJXVW0V3HDUFHMRLQHG-D]]3KDUPDFHXWLFDOVDV6HQLRU9LFH3UHVLGHQW(XURSHDQG ,QWHUQDWLRQDOLQ0DUFK)URP0DUFKWR'HFHPEHU0V3HDUFHKHOGYDULRXV</w:t>
      </w:r>
    </w:p>
    <w:p>
      <w:pPr>
        <w:spacing w:after="0"/>
        <w:rPr>
          <w:sz w:val="20"/>
          <w:szCs w:val="20"/>
          <w:color w:val="auto"/>
        </w:rPr>
      </w:pPr>
      <w:r>
        <w:rPr>
          <w:rFonts w:ascii="PMingLiU" w:cs="PMingLiU" w:eastAsia="PMingLiU" w:hAnsi="PMingLiU"/>
          <w:sz w:val="14"/>
          <w:szCs w:val="14"/>
          <w:color w:val="auto"/>
        </w:rPr>
        <w:t>JOREDOVHQLRUPDQDJHPHQWSRVLWLRQVZLWK&amp;HOJHQH&amp;RUSRUDWLRQDSKDUPDFHXWLFDOFRPSDQ\</w:t>
      </w:r>
    </w:p>
    <w:p>
      <w:pPr>
        <w:spacing w:after="0" w:line="41" w:lineRule="exact"/>
        <w:rPr>
          <w:sz w:val="20"/>
          <w:szCs w:val="20"/>
          <w:color w:val="auto"/>
        </w:rPr>
      </w:pPr>
    </w:p>
    <w:p>
      <w:pPr>
        <w:spacing w:after="0" w:line="336" w:lineRule="auto"/>
        <w:rPr>
          <w:sz w:val="20"/>
          <w:szCs w:val="20"/>
          <w:color w:val="auto"/>
        </w:rPr>
      </w:pPr>
      <w:r>
        <w:rPr>
          <w:rFonts w:ascii="PMingLiU" w:cs="PMingLiU" w:eastAsia="PMingLiU" w:hAnsi="PMingLiU"/>
          <w:sz w:val="13"/>
          <w:szCs w:val="13"/>
          <w:color w:val="auto"/>
        </w:rPr>
        <w:t>PRVWUHFHQWO\DV9LFH3UHVLGHQWDQG*HQHUDO0DQDJHU,QWHUQDWLRQDO0DUNHWV3ULRUWRWKDWIURP $XJXVWWR0DUFKVKHVHUYHGLQPDQDJHPHQWSRVLWLRQVDW$VWUD=HQHFDSOFDJOREDO SKDUPDFHXWLFDOFRPSDQ\FXOPLQDWLQJLQKHUUROHDV'LUHFWRU6SHFLDOLVW&amp;DUH3ULRUWR$XJXVW VKHZRUNHGIRU'X3RQW3KDUPDFHXWLFDOVDJOREDOSKDUPDFHXWLFDOFRPSDQ\0V3HDUFH KROGVD%6FIURP%LUPLQJKDP8QLYHUVLW\8.DQGDQ0%$IURP&amp;UDQILHOG8QLYHUVLW\8.</w:t>
      </w:r>
    </w:p>
    <w:p>
      <w:pPr>
        <w:spacing w:after="0" w:line="932" w:lineRule="exact"/>
        <w:rPr>
          <w:sz w:val="20"/>
          <w:szCs w:val="20"/>
          <w:color w:val="auto"/>
        </w:rPr>
      </w:pPr>
    </w:p>
    <w:p>
      <w:pPr>
        <w:sectPr>
          <w:pgSz w:w="11880" w:h="15479" w:orient="portrait"/>
          <w:cols w:equalWidth="0" w:num="2">
            <w:col w:w="2420" w:space="540"/>
            <w:col w:w="6820"/>
          </w:cols>
          <w:pgMar w:left="1180" w:top="377"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40"/>
        <w:spacing w:after="0"/>
        <w:tabs>
          <w:tab w:leader="none" w:pos="95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9780"/>
          </w:cols>
          <w:pgMar w:left="1180" w:top="377" w:right="919" w:bottom="0" w:gutter="0" w:footer="0" w:header="0"/>
          <w:type w:val="continuous"/>
        </w:sectPr>
      </w:pPr>
    </w:p>
    <w:bookmarkStart w:id="55" w:name="page56"/>
    <w:bookmarkEnd w:id="55"/>
    <w:p>
      <w:pPr>
        <w:ind w:left="6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266825" cy="41910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6825" cy="419100"/>
                        </a:xfrm>
                        <a:prstGeom prst="rect">
                          <a:avLst/>
                        </a:prstGeom>
                        <a:solidFill>
                          <a:srgbClr val="5C004D"/>
                        </a:solidFill>
                      </wps:spPr>
                      <wps:bodyPr/>
                    </wps:wsp>
                  </a:graphicData>
                </a:graphic>
              </wp:anchor>
            </w:drawing>
          </mc:Choice>
          <mc:Fallback>
            <w:pict>
              <v:rect id="Shape 327" o:spid="_x0000_s1352" style="position:absolute;margin-left:44.85pt;margin-top:0.1pt;width:99.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(;(&amp;87,9(2)),&amp;(56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325755</wp:posOffset>
            </wp:positionV>
            <wp:extent cx="1876425" cy="22860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56">
                      <a:extLst>
                        <a:ext uri="{28A0092B-C50C-407E-A947-70E740481C1C}"/>
                      </a:extLst>
                    </a:blip>
                    <a:srcRect/>
                    <a:stretch>
                      <a:fillRect/>
                    </a:stretch>
                  </pic:blipFill>
                  <pic:spPr bwMode="auto">
                    <a:xfrm>
                      <a:off x="0" y="0"/>
                      <a:ext cx="187642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PMingLiU" w:cs="PMingLiU" w:eastAsia="PMingLiU" w:hAnsi="PMingLiU"/>
          <w:sz w:val="28"/>
          <w:szCs w:val="28"/>
          <w:b w:val="1"/>
          <w:bCs w:val="1"/>
          <w:color w:val="000046"/>
        </w:rPr>
        <w:t>3DWULFLD&amp;DUU</w:t>
      </w:r>
    </w:p>
    <w:p>
      <w:pPr>
        <w:spacing w:after="0" w:line="213" w:lineRule="exact"/>
        <w:rPr>
          <w:sz w:val="20"/>
          <w:szCs w:val="20"/>
          <w:color w:val="auto"/>
        </w:rPr>
      </w:pPr>
    </w:p>
    <w:p>
      <w:pPr>
        <w:ind w:left="240"/>
        <w:spacing w:after="0" w:line="302" w:lineRule="auto"/>
        <w:rPr>
          <w:sz w:val="20"/>
          <w:szCs w:val="20"/>
          <w:color w:val="auto"/>
        </w:rPr>
      </w:pPr>
      <w:r>
        <w:rPr>
          <w:rFonts w:ascii="PMingLiU" w:cs="PMingLiU" w:eastAsia="PMingLiU" w:hAnsi="PMingLiU"/>
          <w:sz w:val="16"/>
          <w:szCs w:val="16"/>
          <w:b w:val="1"/>
          <w:bCs w:val="1"/>
          <w:color w:val="2D2C36"/>
        </w:rPr>
        <w:t>6(1,259,&amp;(35(6,'(17 &amp;+,()$&amp;&amp;2817,1*2)),&amp;(5</w:t>
      </w:r>
    </w:p>
    <w:p>
      <w:pPr>
        <w:spacing w:after="0" w:line="103"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532130</wp:posOffset>
            </wp:positionV>
            <wp:extent cx="1876425" cy="25050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57">
                      <a:extLst>
                        <a:ext uri="{28A0092B-C50C-407E-A947-70E740481C1C}"/>
                      </a:extLst>
                    </a:blip>
                    <a:srcRect/>
                    <a:stretch>
                      <a:fillRect/>
                    </a:stretch>
                  </pic:blipFill>
                  <pic:spPr bwMode="auto">
                    <a:xfrm>
                      <a:off x="0" y="0"/>
                      <a:ext cx="1876425"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40" w:right="300"/>
        <w:spacing w:after="0" w:line="294" w:lineRule="auto"/>
        <w:rPr>
          <w:sz w:val="20"/>
          <w:szCs w:val="20"/>
          <w:color w:val="auto"/>
        </w:rPr>
      </w:pPr>
      <w:r>
        <w:rPr>
          <w:rFonts w:ascii="PMingLiU" w:cs="PMingLiU" w:eastAsia="PMingLiU" w:hAnsi="PMingLiU"/>
          <w:sz w:val="27"/>
          <w:szCs w:val="27"/>
          <w:b w:val="1"/>
          <w:bCs w:val="1"/>
          <w:color w:val="000046"/>
        </w:rPr>
        <w:t>0DU\(OL]DEHWK +HQGHUVRQ</w:t>
      </w:r>
    </w:p>
    <w:p>
      <w:pPr>
        <w:spacing w:after="0" w:line="92" w:lineRule="exact"/>
        <w:rPr>
          <w:sz w:val="20"/>
          <w:szCs w:val="20"/>
          <w:color w:val="auto"/>
        </w:rPr>
      </w:pPr>
    </w:p>
    <w:p>
      <w:pPr>
        <w:ind w:left="240" w:right="260"/>
        <w:spacing w:after="0" w:line="302" w:lineRule="auto"/>
        <w:rPr>
          <w:sz w:val="20"/>
          <w:szCs w:val="20"/>
          <w:color w:val="auto"/>
        </w:rPr>
      </w:pPr>
      <w:r>
        <w:rPr>
          <w:rFonts w:ascii="PMingLiU" w:cs="PMingLiU" w:eastAsia="PMingLiU" w:hAnsi="PMingLiU"/>
          <w:sz w:val="16"/>
          <w:szCs w:val="16"/>
          <w:b w:val="1"/>
          <w:bCs w:val="1"/>
          <w:color w:val="2D2C36"/>
        </w:rPr>
        <w:t>6(1,259,&amp;(35(6,'(17 7(&amp;+1,&amp;$/23(5$7,216</w:t>
      </w:r>
    </w:p>
    <w:p>
      <w:pPr>
        <w:spacing w:after="0" w:line="103" w:lineRule="exact"/>
        <w:rPr>
          <w:sz w:val="20"/>
          <w:szCs w:val="20"/>
          <w:color w:val="auto"/>
        </w:rPr>
      </w:pPr>
    </w:p>
    <w:p>
      <w:pPr>
        <w:ind w:left="240"/>
        <w:spacing w:after="0"/>
        <w:rPr>
          <w:sz w:val="20"/>
          <w:szCs w:val="20"/>
          <w:color w:val="auto"/>
        </w:rPr>
      </w:pPr>
      <w:r>
        <w:rPr>
          <w:rFonts w:ascii="PMingLiU" w:cs="PMingLiU" w:eastAsia="PMingLiU" w:hAnsi="PMingLiU"/>
          <w:sz w:val="16"/>
          <w:szCs w:val="16"/>
          <w:b w:val="1"/>
          <w:bCs w:val="1"/>
          <w:color w:val="2D2C36"/>
        </w:rPr>
        <w:t>$*(</w:t>
      </w:r>
      <w:r>
        <w:rPr>
          <w:rFonts w:ascii="PMingLiU" w:cs="PMingLiU" w:eastAsia="PMingLiU" w:hAnsi="PMingLiU"/>
          <w:sz w:val="16"/>
          <w:szCs w:val="16"/>
          <w:color w:val="2D2C36"/>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54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4"/>
          <w:szCs w:val="14"/>
          <w:color w:val="auto"/>
        </w:rPr>
        <w:t>3DWULFLD&amp;DUUZDVDSSRLQWHGRXU6HQLRU9LFH3UHVLGHQWDQG&amp;KLHI$FFRXQWLQJ2IILFHUDVRI</w:t>
      </w:r>
    </w:p>
    <w:p>
      <w:pPr>
        <w:spacing w:after="0" w:line="45" w:lineRule="exact"/>
        <w:rPr>
          <w:sz w:val="20"/>
          <w:szCs w:val="20"/>
          <w:color w:val="auto"/>
        </w:rPr>
      </w:pPr>
    </w:p>
    <w:p>
      <w:pPr>
        <w:ind w:right="40"/>
        <w:spacing w:after="0" w:line="328" w:lineRule="auto"/>
        <w:rPr>
          <w:sz w:val="20"/>
          <w:szCs w:val="20"/>
          <w:color w:val="auto"/>
        </w:rPr>
      </w:pPr>
      <w:r>
        <w:rPr>
          <w:rFonts w:ascii="PMingLiU" w:cs="PMingLiU" w:eastAsia="PMingLiU" w:hAnsi="PMingLiU"/>
          <w:sz w:val="13"/>
          <w:szCs w:val="13"/>
          <w:color w:val="auto"/>
        </w:rPr>
        <w:t>$XJXVWDQGVHUYHGDVRXULQWHULP3ULQFLSDO)LQDQFLDO2IILFHUIURP2FWREHUWR0DUFK 0V&amp;DUUMRLQHG-D]]3KDUPDFHXWLFDOVDV9LFH3UHVLGHQW)LQDQFHLQ-XO\DQGZDV DSSRLQWHG3ULQFLSDO$FFRXQWLQJ2IILFHULQ$XJXVW3ULRUWRWKDWIURP6HSWHPEHUWR -XO\VKHVHUYHGDV9LFH3UHVLGHQW)LQDQFHRI$ONHUPHVSOFDJOREDOELRSKDUPDFHXWLFDO FRPSDQ\)URP-XQHWR6HSWHPEHUVKHVHUYHGLQDQXPEHURIUROHVLQ(ODQ &amp;RUSRUDWLRQSOFDQHXURVFLHQFHEDVHGELRWHFKQRORJ\FRPSDQ\PRVWUHFHQWO\DV9LFH 3UHVLGHQW)LQDQFH0V&amp;DUULVD)HOORZRIWKH,QVWLWXWHRI&amp;KDUWHUHG$FFRXQWDQWV,UHODQGDQG KROGVD%&amp;RPPIURPWKH8QLYHUVLW\RI*DOZD\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5C004D"/>
        </w:rPr>
        <w:t>%$&amp;.*5281'</w:t>
      </w:r>
    </w:p>
    <w:p>
      <w:pPr>
        <w:spacing w:after="0" w:line="81" w:lineRule="exact"/>
        <w:rPr>
          <w:sz w:val="20"/>
          <w:szCs w:val="20"/>
          <w:color w:val="auto"/>
        </w:rPr>
      </w:pPr>
    </w:p>
    <w:p>
      <w:pPr>
        <w:spacing w:after="0" w:line="323" w:lineRule="auto"/>
        <w:rPr>
          <w:sz w:val="20"/>
          <w:szCs w:val="20"/>
          <w:color w:val="auto"/>
        </w:rPr>
      </w:pPr>
      <w:r>
        <w:rPr>
          <w:rFonts w:ascii="PMingLiU" w:cs="PMingLiU" w:eastAsia="PMingLiU" w:hAnsi="PMingLiU"/>
          <w:sz w:val="13"/>
          <w:szCs w:val="13"/>
          <w:color w:val="auto"/>
        </w:rPr>
        <w:t>0DU\(OL]DEHWK+HQGHUVRQZDVDSSRLQWHGRXU6HQLRU9LFH3UHVLGHQW7HFKQLFDO2SHUDWLRQVDVRI $XJXVW,QWKLVUROH0V+HQGHUVRQRYHUVHHV-D]]¶VWHFKQLFDORSHUDWLRQVDQGTXDOLW\ 3ULRUWRMRLQLQJ-D]]3KDUPDFHXWLFDOV0V+HQGHUVRQKHOGYDULRXVUROHVRILQFUHDVLQJ UHVSRQVLELOLW\DW0HUFN.*D$DJOREDOVFLHQFHDQGWHFKQRORJ\FRPSDQ\$W0HUFN.*D$VKH KHOGSRVLWLRQVLQWKH+HDOWKFDUH%XVLQHVVDV6HQLRU9LFH3UHVLGHQW$3$&amp;5HJLRQ +HDOWK &amp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amp;KHPLVWU\IURP'XEOLQ&amp;LW\8QLYHUVLW\,UHODQG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3918585</wp:posOffset>
            </wp:positionV>
            <wp:extent cx="1386840" cy="2336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5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ectPr>
          <w:pgSz w:w="11880" w:h="15479" w:orient="portrait"/>
          <w:cols w:equalWidth="0" w:num="2">
            <w:col w:w="2580" w:space="620"/>
            <w:col w:w="6820"/>
          </w:cols>
          <w:pgMar w:left="940" w:top="377" w:right="919" w:bottom="0" w:gutter="0" w:footer="0" w:header="0"/>
        </w:sectPr>
      </w:pPr>
    </w:p>
    <w:bookmarkStart w:id="56" w:name="page57"/>
    <w:bookmarkEnd w:id="56"/>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120396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59">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1220"/>
        <w:spacing w:after="0" w:line="276" w:lineRule="auto"/>
        <w:rPr>
          <w:sz w:val="20"/>
          <w:szCs w:val="20"/>
          <w:color w:val="auto"/>
        </w:rPr>
      </w:pPr>
      <w:r>
        <w:rPr>
          <w:rFonts w:ascii="PMingLiU" w:cs="PMingLiU" w:eastAsia="PMingLiU" w:hAnsi="PMingLiU"/>
          <w:sz w:val="60"/>
          <w:szCs w:val="60"/>
          <w:b w:val="1"/>
          <w:bCs w:val="1"/>
          <w:color w:val="000046"/>
        </w:rPr>
        <w:t>1RQ%LQGLQJ$GYLVRU\9RWHRQ ([HFXWLYH&amp;RPSHQVDWLRQ</w:t>
      </w:r>
    </w:p>
    <w:p>
      <w:pPr>
        <w:spacing w:after="0" w:line="34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2YHUYLHZ</w:t>
      </w:r>
    </w:p>
    <w:p>
      <w:pPr>
        <w:spacing w:after="0" w:line="219" w:lineRule="exact"/>
        <w:rPr>
          <w:sz w:val="20"/>
          <w:szCs w:val="20"/>
          <w:color w:val="auto"/>
        </w:rPr>
      </w:pPr>
    </w:p>
    <w:p>
      <w:pPr>
        <w:ind w:right="3480"/>
        <w:spacing w:after="0" w:line="334" w:lineRule="auto"/>
        <w:rPr>
          <w:sz w:val="20"/>
          <w:szCs w:val="20"/>
          <w:color w:val="auto"/>
        </w:rPr>
      </w:pPr>
      <w:r>
        <w:rPr>
          <w:rFonts w:ascii="PMingLiU" w:cs="PMingLiU" w:eastAsia="PMingLiU" w:hAnsi="PMingLiU"/>
          <w:sz w:val="14"/>
          <w:szCs w:val="14"/>
          <w:color w:val="auto"/>
        </w:rPr>
        <w:t>8QGHUWKH'RGG)UDQN$FWDQG6HFWLRQ$RIWKH([FKDQJH$FWRXUVKDUHKROGHUV DUHHQWLWOHGWRYRWHWRDSSURYHRQDQRQELQGLQJDGYLVRU\EDVLVWKHFRPSHQVDWLRQ RIRXU1(2VDVGLVFORVHGLQRXUSUR[\VWDWHPHQWLQDFFRUGDQFHZLWKWKH FRPSHQVDWLRQGLVFORVXUHUXOHVRIWKH6(&amp;7KLVQRQELQGLQJDGYLVRU\YRWHLV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-561340</wp:posOffset>
            </wp:positionV>
            <wp:extent cx="2019300" cy="1400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60">
                      <a:extLst>
                        <a:ext uri="{28A0092B-C50C-407E-A947-70E740481C1C}"/>
                      </a:extLst>
                    </a:blip>
                    <a:srcRect/>
                    <a:stretch>
                      <a:fillRect/>
                    </a:stretch>
                  </pic:blipFill>
                  <pic:spPr bwMode="auto">
                    <a:xfrm>
                      <a:off x="0" y="0"/>
                      <a:ext cx="2019300" cy="1400175"/>
                    </a:xfrm>
                    <a:prstGeom prst="rect">
                      <a:avLst/>
                    </a:prstGeom>
                    <a:noFill/>
                  </pic:spPr>
                </pic:pic>
              </a:graphicData>
            </a:graphic>
          </wp:anchor>
        </w:drawing>
      </w:r>
    </w:p>
    <w:p>
      <w:pPr>
        <w:spacing w:after="0"/>
        <w:tabs>
          <w:tab w:leader="none" w:pos="7160" w:val="left"/>
        </w:tabs>
        <w:rPr>
          <w:sz w:val="20"/>
          <w:szCs w:val="20"/>
          <w:color w:val="auto"/>
        </w:rPr>
      </w:pPr>
      <w:r>
        <w:rPr>
          <w:rFonts w:ascii="PMingLiU" w:cs="PMingLiU" w:eastAsia="PMingLiU" w:hAnsi="PMingLiU"/>
          <w:sz w:val="18"/>
          <w:szCs w:val="18"/>
          <w:color w:val="auto"/>
        </w:rPr>
        <w:t>FRPPRQO\UHIHUUHGWRDVD³VD\RQSD\´YRWH</w:t>
      </w:r>
      <w:r>
        <w:rPr>
          <w:sz w:val="20"/>
          <w:szCs w:val="20"/>
          <w:color w:val="auto"/>
        </w:rPr>
        <w:tab/>
      </w:r>
      <w:r>
        <w:rPr>
          <w:rFonts w:ascii="PMingLiU" w:cs="PMingLiU" w:eastAsia="PMingLiU" w:hAnsi="PMingLiU"/>
          <w:sz w:val="20"/>
          <w:szCs w:val="20"/>
          <w:b w:val="1"/>
          <w:bCs w:val="1"/>
          <w:color w:val="2D2C36"/>
        </w:rPr>
        <w:t>285%2$5'</w:t>
      </w:r>
    </w:p>
    <w:p>
      <w:pPr>
        <w:ind w:left="7180"/>
        <w:spacing w:after="0" w:line="218" w:lineRule="auto"/>
        <w:rPr>
          <w:sz w:val="20"/>
          <w:szCs w:val="20"/>
          <w:color w:val="auto"/>
        </w:rPr>
      </w:pPr>
      <w:r>
        <w:rPr>
          <w:rFonts w:ascii="PMingLiU" w:cs="PMingLiU" w:eastAsia="PMingLiU" w:hAnsi="PMingLiU"/>
          <w:sz w:val="20"/>
          <w:szCs w:val="20"/>
          <w:b w:val="1"/>
          <w:bCs w:val="1"/>
          <w:color w:val="2D2C36"/>
        </w:rPr>
        <w:t>5(&amp;200(1'6$927(</w:t>
      </w:r>
    </w:p>
    <w:p>
      <w:pPr>
        <w:spacing w:after="0" w:line="181" w:lineRule="auto"/>
        <w:rPr>
          <w:sz w:val="20"/>
          <w:szCs w:val="20"/>
          <w:color w:val="auto"/>
        </w:rPr>
      </w:pPr>
      <w:r>
        <w:rPr>
          <w:rFonts w:ascii="PMingLiU" w:cs="PMingLiU" w:eastAsia="PMingLiU" w:hAnsi="PMingLiU"/>
          <w:sz w:val="18"/>
          <w:szCs w:val="18"/>
          <w:color w:val="auto"/>
        </w:rPr>
        <w:t>$WRXU$*0RXUVKDUHKROGHUVLQGLFDWHGWKHLUSUHIHUHQFHWKDWZHKROGDQRQ</w:t>
      </w:r>
    </w:p>
    <w:p>
      <w:pPr>
        <w:ind w:right="280"/>
        <w:spacing w:after="0" w:line="215" w:lineRule="auto"/>
        <w:rPr>
          <w:sz w:val="20"/>
          <w:szCs w:val="20"/>
          <w:color w:val="auto"/>
        </w:rPr>
      </w:pPr>
      <w:r>
        <w:rPr>
          <w:rFonts w:ascii="PMingLiU" w:cs="PMingLiU" w:eastAsia="PMingLiU" w:hAnsi="PMingLiU"/>
          <w:sz w:val="17"/>
          <w:szCs w:val="17"/>
          <w:color w:val="auto"/>
        </w:rPr>
        <w:t xml:space="preserve">ELQGLQJVD\RQSD\YRWHHYHU\\HDUDQGRXU%RDUGKDVDGRSWHGDSROLF\WKDWLV </w:t>
      </w:r>
      <w:r>
        <w:rPr>
          <w:rFonts w:ascii="PMingLiU" w:cs="PMingLiU" w:eastAsia="PMingLiU" w:hAnsi="PMingLiU"/>
          <w:sz w:val="38"/>
          <w:szCs w:val="38"/>
          <w:b w:val="1"/>
          <w:bCs w:val="1"/>
          <w:color w:val="5C004D"/>
          <w:vertAlign w:val="superscript"/>
        </w:rPr>
        <w:t>³)25´</w:t>
      </w:r>
      <w:r>
        <w:rPr>
          <w:rFonts w:ascii="PMingLiU" w:cs="PMingLiU" w:eastAsia="PMingLiU" w:hAnsi="PMingLiU"/>
          <w:sz w:val="38"/>
          <w:szCs w:val="38"/>
          <w:b w:val="1"/>
          <w:bCs w:val="1"/>
          <w:color w:val="2D2C36"/>
          <w:vertAlign w:val="superscript"/>
        </w:rPr>
        <w:t>352326$/</w:t>
      </w:r>
      <w:r>
        <w:rPr>
          <w:rFonts w:ascii="PMingLiU" w:cs="PMingLiU" w:eastAsia="PMingLiU" w:hAnsi="PMingLiU"/>
          <w:sz w:val="17"/>
          <w:szCs w:val="17"/>
          <w:color w:val="auto"/>
        </w:rPr>
        <w:t xml:space="preserve"> FRQVLVWHQWZLWKWKDWSUHIHUHQFH$WRXU$*0RXUVKDUHKROGHUVDSSURYHGRXU </w:t>
      </w:r>
      <w:r>
        <w:rPr>
          <w:sz w:val="1"/>
          <w:szCs w:val="1"/>
          <w:color w:val="auto"/>
        </w:rPr>
        <w:drawing>
          <wp:inline distT="0" distB="0" distL="0" distR="0">
            <wp:extent cx="1660525" cy="381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1">
                      <a:extLst>
                        <a:ext uri="{28A0092B-C50C-407E-A947-70E740481C1C}"/>
                      </a:extLst>
                    </a:blip>
                    <a:srcRect/>
                    <a:stretch>
                      <a:fillRect/>
                    </a:stretch>
                  </pic:blipFill>
                  <pic:spPr bwMode="auto">
                    <a:xfrm>
                      <a:off x="0" y="0"/>
                      <a:ext cx="1660525" cy="38100"/>
                    </a:xfrm>
                    <a:prstGeom prst="rect">
                      <a:avLst/>
                    </a:prstGeom>
                    <a:noFill/>
                    <a:ln>
                      <a:noFill/>
                    </a:ln>
                  </pic:spPr>
                </pic:pic>
              </a:graphicData>
            </a:graphic>
          </wp:inline>
        </w:drawing>
      </w:r>
      <w:r>
        <w:rPr>
          <w:rFonts w:ascii="PMingLiU" w:cs="PMingLiU" w:eastAsia="PMingLiU" w:hAnsi="PMingLiU"/>
          <w:sz w:val="17"/>
          <w:szCs w:val="17"/>
          <w:color w:val="auto"/>
        </w:rPr>
        <w:t xml:space="preserve"> VD\RQSD\SURSRVDOZLWKDSSUR[LPDWHO\RIWKHWRWDOYRWHVFDVWYRWLQJLQIDYRU</w:t>
      </w:r>
    </w:p>
    <w:p>
      <w:pPr>
        <w:spacing w:after="0" w:line="3" w:lineRule="exact"/>
        <w:rPr>
          <w:sz w:val="20"/>
          <w:szCs w:val="20"/>
          <w:color w:val="auto"/>
        </w:rPr>
      </w:pPr>
    </w:p>
    <w:p>
      <w:pPr>
        <w:spacing w:after="0"/>
        <w:rPr>
          <w:sz w:val="20"/>
          <w:szCs w:val="20"/>
          <w:color w:val="auto"/>
        </w:rPr>
      </w:pPr>
      <w:r>
        <w:rPr>
          <w:rFonts w:ascii="PMingLiU" w:cs="PMingLiU" w:eastAsia="PMingLiU" w:hAnsi="PMingLiU"/>
          <w:sz w:val="18"/>
          <w:szCs w:val="18"/>
          <w:color w:val="auto"/>
        </w:rPr>
        <w:t>RIWKHSURSRVDO</w:t>
      </w:r>
    </w:p>
    <w:p>
      <w:pPr>
        <w:spacing w:after="0" w:line="225" w:lineRule="exact"/>
        <w:rPr>
          <w:sz w:val="20"/>
          <w:szCs w:val="20"/>
          <w:color w:val="auto"/>
        </w:rPr>
      </w:pPr>
    </w:p>
    <w:p>
      <w:pPr>
        <w:spacing w:after="0"/>
        <w:rPr>
          <w:sz w:val="20"/>
          <w:szCs w:val="20"/>
          <w:color w:val="auto"/>
        </w:rPr>
      </w:pPr>
      <w:r>
        <w:rPr>
          <w:rFonts w:ascii="PMingLiU" w:cs="PMingLiU" w:eastAsia="PMingLiU" w:hAnsi="PMingLiU"/>
          <w:sz w:val="32"/>
          <w:szCs w:val="32"/>
          <w:color w:val="5C004D"/>
        </w:rPr>
        <w:t>6D\RQ3D\9RWH</w:t>
      </w:r>
    </w:p>
    <w:p>
      <w:pPr>
        <w:spacing w:after="0" w:line="219" w:lineRule="exact"/>
        <w:rPr>
          <w:sz w:val="20"/>
          <w:szCs w:val="20"/>
          <w:color w:val="auto"/>
        </w:rPr>
      </w:pPr>
    </w:p>
    <w:p>
      <w:pPr>
        <w:spacing w:after="0" w:line="367" w:lineRule="auto"/>
        <w:rPr>
          <w:sz w:val="20"/>
          <w:szCs w:val="20"/>
          <w:color w:val="auto"/>
        </w:rPr>
      </w:pPr>
      <w:r>
        <w:rPr>
          <w:rFonts w:ascii="PMingLiU" w:cs="PMingLiU" w:eastAsia="PMingLiU" w:hAnsi="PMingLiU"/>
          <w:sz w:val="14"/>
          <w:szCs w:val="14"/>
          <w:color w:val="auto"/>
        </w:rPr>
        <w:t>7KLVYRWHLVQRWLQWHQGHGWRDGGUHVVDQ\VSHFLILFLWHPRIFRPSHQVDWLRQEXWUDWKHUWKHRYHUDOOFRPSHQVDWLRQRIRXU1(2VDQG WKHSKLORVRSK\SROLFLHVDQGSUDFWLFHVGHVFULEHGLQRXUSUR[\VWDWHPHQW2XU%RDUGLVDVNLQJRXUVKDUHKROGHUVWRLQGLFDWHWKHLU VXSSRUWIRUWKHFRPSHQVDWLRQRIRXU1(2VDVGLVFORVHGLQWKH³&amp;RPSHQVDWLRQ'LVFXVVLRQDQG$QDO\VLV´WKHFRPSHQVDWLRQ WDEOHVDQGWKHUHODWHGQDUUDWLYHGLVFORVXUHFRQWDLQHGLQRXUSUR[\VWDWHPHQWEHJLQQLQJRQSDJHE\FDVWLQJDQRQELQGLQJ DGYLVRU\YRWH³)25´WKHIROORZLQJUHVROXWLRQ</w:t>
      </w:r>
    </w:p>
    <w:p>
      <w:pPr>
        <w:spacing w:after="0" w:line="93" w:lineRule="exact"/>
        <w:rPr>
          <w:sz w:val="20"/>
          <w:szCs w:val="20"/>
          <w:color w:val="auto"/>
        </w:rPr>
      </w:pPr>
    </w:p>
    <w:p>
      <w:pPr>
        <w:jc w:val="both"/>
        <w:ind w:left="440" w:right="660"/>
        <w:spacing w:after="0" w:line="358" w:lineRule="auto"/>
        <w:rPr>
          <w:sz w:val="20"/>
          <w:szCs w:val="20"/>
          <w:color w:val="auto"/>
        </w:rPr>
      </w:pPr>
      <w:r>
        <w:rPr>
          <w:rFonts w:ascii="PMingLiU" w:cs="PMingLiU" w:eastAsia="PMingLiU" w:hAnsi="PMingLiU"/>
          <w:sz w:val="15"/>
          <w:szCs w:val="15"/>
          <w:b w:val="1"/>
          <w:bCs w:val="1"/>
          <w:color w:val="000046"/>
        </w:rPr>
        <w:t>³5(62/9('</w:t>
      </w:r>
      <w:r>
        <w:rPr>
          <w:rFonts w:ascii="PMingLiU" w:cs="PMingLiU" w:eastAsia="PMingLiU" w:hAnsi="PMingLiU"/>
          <w:sz w:val="15"/>
          <w:szCs w:val="15"/>
          <w:color w:val="000000"/>
        </w:rPr>
        <w:t>WKDWWKHFRPSHQVDWLRQSDLGWR-D]]3KDUPDFHXWLFDOV¶1(2VDVGLVFORVHGSXUVXDQWWR,WHPRI</w:t>
      </w:r>
      <w:r>
        <w:rPr>
          <w:rFonts w:ascii="PMingLiU" w:cs="PMingLiU" w:eastAsia="PMingLiU" w:hAnsi="PMingLiU"/>
          <w:sz w:val="15"/>
          <w:szCs w:val="15"/>
          <w:b w:val="1"/>
          <w:bCs w:val="1"/>
          <w:color w:val="000046"/>
        </w:rPr>
        <w:t xml:space="preserve"> </w:t>
      </w:r>
      <w:r>
        <w:rPr>
          <w:rFonts w:ascii="PMingLiU" w:cs="PMingLiU" w:eastAsia="PMingLiU" w:hAnsi="PMingLiU"/>
          <w:sz w:val="15"/>
          <w:szCs w:val="15"/>
          <w:color w:val="000000"/>
        </w:rPr>
        <w:t>5HJXODWLRQ6.RIWKH([FKDQJH$FWLQFOXGLQJWKH&amp;RPSHQVDWLRQ'LVFXVVLRQDQG$QDO\VLVFRPSHQVDWLRQWDEOHV DQGQDUUDWLYHGLVFXVVLRQLVKHUHE\DSSURYHG´</w:t>
      </w:r>
    </w:p>
    <w:p>
      <w:pPr>
        <w:spacing w:after="0" w:line="93" w:lineRule="exact"/>
        <w:rPr>
          <w:sz w:val="20"/>
          <w:szCs w:val="20"/>
          <w:color w:val="auto"/>
        </w:rPr>
      </w:pPr>
    </w:p>
    <w:p>
      <w:pPr>
        <w:ind w:right="120"/>
        <w:spacing w:after="0" w:line="376" w:lineRule="auto"/>
        <w:rPr>
          <w:sz w:val="20"/>
          <w:szCs w:val="20"/>
          <w:color w:val="auto"/>
        </w:rPr>
      </w:pPr>
      <w:r>
        <w:rPr>
          <w:rFonts w:ascii="PMingLiU" w:cs="PMingLiU" w:eastAsia="PMingLiU" w:hAnsi="PMingLiU"/>
          <w:sz w:val="14"/>
          <w:szCs w:val="14"/>
          <w:color w:val="auto"/>
        </w:rPr>
        <w:t>3URSRVDOLVQRWELQGLQJRQRXU%RDUGRURXU&amp;RPSDQ\DVLWLVDQDGYLVRU\YRWH1HYHUWKHOHVVWKHYLHZVH[SUHVVHGE\RXU VKDUHKROGHUVDUHLPSRUWDQWWRRXU%RDUGDQGPDQDJHPHQWDQGDFFRUGLQJO\RXU%RDUGDQGRXU&amp;RPSHQVDWLRQ&amp;RPPLWWHH LQWHQGWRFRQVLGHUWKHUHVXOWVRIWKLVYRWHLQPDNLQJGHWHUPLQDWLRQVLQWKHIXWXUHUHJDUGLQJWKHFRPSHQVDWLRQDUUDQJHPHQWVRI RXU1(2V</w:t>
      </w:r>
    </w:p>
    <w:p>
      <w:pPr>
        <w:spacing w:after="0" w:line="85" w:lineRule="exact"/>
        <w:rPr>
          <w:sz w:val="20"/>
          <w:szCs w:val="20"/>
          <w:color w:val="auto"/>
        </w:rPr>
      </w:pPr>
    </w:p>
    <w:p>
      <w:pPr>
        <w:ind w:right="100"/>
        <w:spacing w:after="0" w:line="398" w:lineRule="auto"/>
        <w:rPr>
          <w:sz w:val="20"/>
          <w:szCs w:val="20"/>
          <w:color w:val="auto"/>
        </w:rPr>
      </w:pPr>
      <w:r>
        <w:rPr>
          <w:rFonts w:ascii="PMingLiU" w:cs="PMingLiU" w:eastAsia="PMingLiU" w:hAnsi="PMingLiU"/>
          <w:sz w:val="15"/>
          <w:szCs w:val="15"/>
          <w:color w:val="auto"/>
        </w:rPr>
        <w:t>3URSRVDOLVDQRUGLQDU\UHVROXWLRQDQGPXVWUHFHLYHWKHDIILUPDWLYHYRWHRIDPDMRULW\RIWKHYRWHVFDVWLQSHUVRQRUE\SUR[\ DWRXU$*0LQFOXGLQJDQ\DGMRXUQPHQWWKHUHRILQRUGHUWREHDSSURYHG</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7KHQH[WDGYLVRU\YRWHRQWKHFRPSHQVDWLRQRIRXU1(2VZLOOEHKHOGDWWKH$*0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198755</wp:posOffset>
            </wp:positionV>
            <wp:extent cx="6400800" cy="676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62">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0"/>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1135380</wp:posOffset>
            </wp:positionV>
            <wp:extent cx="1386840" cy="2336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1015" w:right="899" w:bottom="0" w:gutter="0" w:footer="0" w:header="0"/>
        </w:sectPr>
      </w:pPr>
    </w:p>
    <w:bookmarkStart w:id="57" w:name="page58"/>
    <w:bookmarkEnd w:id="5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([HFXWLYH&amp;RPSHQVDWLRQ</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PMingLiU" w:cs="PMingLiU" w:eastAsia="PMingLiU" w:hAnsi="PMingLiU"/>
          <w:sz w:val="32"/>
          <w:szCs w:val="32"/>
          <w:b w:val="1"/>
          <w:bCs w:val="1"/>
          <w:color w:val="5C004D"/>
        </w:rPr>
        <w:t>&amp;RPSHQVDWLRQ'LVFXVVLRQDQG$QDO\VLV</w:t>
      </w:r>
    </w:p>
    <w:p>
      <w:pPr>
        <w:spacing w:after="0" w:line="219" w:lineRule="exact"/>
        <w:rPr>
          <w:sz w:val="20"/>
          <w:szCs w:val="20"/>
          <w:color w:val="auto"/>
        </w:rPr>
      </w:pPr>
    </w:p>
    <w:p>
      <w:pPr>
        <w:ind w:right="480"/>
        <w:spacing w:after="0" w:line="398" w:lineRule="auto"/>
        <w:rPr>
          <w:sz w:val="20"/>
          <w:szCs w:val="20"/>
          <w:color w:val="auto"/>
        </w:rPr>
      </w:pPr>
      <w:r>
        <w:rPr>
          <w:rFonts w:ascii="PMingLiU" w:cs="PMingLiU" w:eastAsia="PMingLiU" w:hAnsi="PMingLiU"/>
          <w:sz w:val="15"/>
          <w:szCs w:val="15"/>
          <w:color w:val="auto"/>
        </w:rPr>
        <w:t>7KHIROORZLQJ&amp;RPSHQVDWLRQ'LVFXVVLRQDQG$QDO\VLVGHVFULEHVWKHPDWHULDOHOHPHQWVRIFRPSHQVDWLRQIRUWKHIROORZLQJ LQGLYLGXDOVZKRZHUHRXU1(2VIRUWKHILVFDO\HDUHQGHG'HFHPEHU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33020</wp:posOffset>
                </wp:positionV>
                <wp:extent cx="640016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12700">
                          <a:solidFill>
                            <a:srgbClr val="000046"/>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pt" to="503.85pt,2.6pt" o:allowincell="f" strokecolor="#000046" strokeweight="1pt"/>
            </w:pict>
          </mc:Fallback>
        </mc:AlternateContent>
      </w:r>
    </w:p>
    <w:p>
      <w:pPr>
        <w:spacing w:after="0" w:line="96"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6"/>
          <w:szCs w:val="16"/>
          <w:b w:val="1"/>
          <w:bCs w:val="1"/>
          <w:color w:val="5C004D"/>
        </w:rPr>
        <w:t>5HQHH'*DOD</w:t>
      </w:r>
      <w:r>
        <w:rPr>
          <w:rFonts w:ascii="PMingLiU" w:cs="PMingLiU" w:eastAsia="PMingLiU" w:hAnsi="PMingLiU"/>
          <w:sz w:val="20"/>
          <w:szCs w:val="20"/>
          <w:b w:val="1"/>
          <w:bCs w:val="1"/>
          <w:color w:val="5C004D"/>
          <w:vertAlign w:val="superscript"/>
        </w:rPr>
        <w:t/>
      </w:r>
      <w:r>
        <w:rPr>
          <w:sz w:val="20"/>
          <w:szCs w:val="20"/>
          <w:color w:val="auto"/>
        </w:rPr>
        <w:tab/>
      </w:r>
      <w:r>
        <w:rPr>
          <w:rFonts w:ascii="PMingLiU" w:cs="PMingLiU" w:eastAsia="PMingLiU" w:hAnsi="PMingLiU"/>
          <w:sz w:val="14"/>
          <w:szCs w:val="14"/>
          <w:color w:val="auto"/>
        </w:rPr>
        <w:t>3UHVLGHQW&amp;(2DQG'LUHFWRU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25400</wp:posOffset>
                </wp:positionV>
                <wp:extent cx="640016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pt" to="503.85pt,2pt" o:allowincell="f" strokecolor="#4454A7" strokeweight="0.25pt"/>
            </w:pict>
          </mc:Fallback>
        </mc:AlternateContent>
      </w:r>
    </w:p>
    <w:p>
      <w:pPr>
        <w:spacing w:after="0" w:line="85"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6"/>
          <w:szCs w:val="16"/>
          <w:b w:val="1"/>
          <w:bCs w:val="1"/>
          <w:color w:val="5C004D"/>
        </w:rPr>
        <w:t>3KLOLS/-RKQVRQ</w:t>
      </w:r>
      <w:r>
        <w:rPr>
          <w:sz w:val="20"/>
          <w:szCs w:val="20"/>
          <w:color w:val="auto"/>
        </w:rPr>
        <w:tab/>
      </w:r>
      <w:r>
        <w:rPr>
          <w:rFonts w:ascii="PMingLiU" w:cs="PMingLiU" w:eastAsia="PMingLiU" w:hAnsi="PMingLiU"/>
          <w:sz w:val="14"/>
          <w:szCs w:val="14"/>
          <w:color w:val="auto"/>
        </w:rPr>
        <w:t>([HFXWLYH9LFH3UHVLGHQWDQG&amp;)2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55880</wp:posOffset>
                </wp:positionV>
                <wp:extent cx="640016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4pt" to="503.85pt,4.4pt" o:allowincell="f" strokecolor="#4454A7" strokeweight="0.25pt"/>
            </w:pict>
          </mc:Fallback>
        </mc:AlternateContent>
      </w:r>
    </w:p>
    <w:p>
      <w:pPr>
        <w:spacing w:after="0" w:line="133"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6"/>
          <w:szCs w:val="16"/>
          <w:b w:val="1"/>
          <w:bCs w:val="1"/>
          <w:color w:val="5C004D"/>
        </w:rPr>
        <w:t>%UXFH&amp;&amp;R]DGG</w:t>
      </w:r>
      <w:r>
        <w:rPr>
          <w:rFonts w:ascii="PMingLiU" w:cs="PMingLiU" w:eastAsia="PMingLiU" w:hAnsi="PMingLiU"/>
          <w:sz w:val="20"/>
          <w:szCs w:val="20"/>
          <w:b w:val="1"/>
          <w:bCs w:val="1"/>
          <w:color w:val="5C004D"/>
          <w:vertAlign w:val="superscript"/>
        </w:rPr>
        <w:t/>
      </w:r>
      <w:r>
        <w:rPr>
          <w:sz w:val="20"/>
          <w:szCs w:val="20"/>
          <w:color w:val="auto"/>
        </w:rPr>
        <w:tab/>
      </w:r>
      <w:r>
        <w:rPr>
          <w:rFonts w:ascii="PMingLiU" w:cs="PMingLiU" w:eastAsia="PMingLiU" w:hAnsi="PMingLiU"/>
          <w:sz w:val="15"/>
          <w:szCs w:val="15"/>
          <w:color w:val="auto"/>
        </w:rPr>
        <w:t>&amp;KDLUSHUVRQDQG)RUPHU&amp;(2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25400</wp:posOffset>
                </wp:positionV>
                <wp:extent cx="640016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pt" to="503.85pt,2pt" o:allowincell="f" strokecolor="#4454A7" strokeweight="0.25pt"/>
            </w:pict>
          </mc:Fallback>
        </mc:AlternateContent>
      </w:r>
    </w:p>
    <w:p>
      <w:pPr>
        <w:spacing w:after="0" w:line="85"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5"/>
          <w:szCs w:val="15"/>
          <w:b w:val="1"/>
          <w:bCs w:val="1"/>
          <w:color w:val="5C004D"/>
        </w:rPr>
        <w:t>5REHUW,DQQRQH</w:t>
      </w:r>
      <w:r>
        <w:rPr>
          <w:sz w:val="20"/>
          <w:szCs w:val="20"/>
          <w:color w:val="auto"/>
        </w:rPr>
        <w:tab/>
      </w:r>
      <w:r>
        <w:rPr>
          <w:rFonts w:ascii="PMingLiU" w:cs="PMingLiU" w:eastAsia="PMingLiU" w:hAnsi="PMingLiU"/>
          <w:sz w:val="15"/>
          <w:szCs w:val="15"/>
          <w:color w:val="auto"/>
        </w:rPr>
        <w:t>([HFXWLYH9LFH3UHVLGHQW*OREDO+HDGRI5HVHDUFKDQG'HYHORSPHQW&amp;KLHI0HGLFDO2IILFHU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63500</wp:posOffset>
                </wp:positionV>
                <wp:extent cx="640016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pt" to="503.85pt,5pt" o:allowincell="f" strokecolor="#4454A7" strokeweight="0.25pt"/>
            </w:pict>
          </mc:Fallback>
        </mc:AlternateContent>
      </w:r>
    </w:p>
    <w:p>
      <w:pPr>
        <w:spacing w:after="0" w:line="145"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6"/>
          <w:szCs w:val="16"/>
          <w:b w:val="1"/>
          <w:bCs w:val="1"/>
          <w:color w:val="5C004D"/>
        </w:rPr>
        <w:t>1HHQD03DWLO</w:t>
      </w:r>
      <w:r>
        <w:rPr>
          <w:sz w:val="20"/>
          <w:szCs w:val="20"/>
          <w:color w:val="auto"/>
        </w:rPr>
        <w:tab/>
      </w:r>
      <w:r>
        <w:rPr>
          <w:rFonts w:ascii="PMingLiU" w:cs="PMingLiU" w:eastAsia="PMingLiU" w:hAnsi="PMingLiU"/>
          <w:sz w:val="16"/>
          <w:szCs w:val="16"/>
          <w:color w:val="auto"/>
        </w:rPr>
        <w:t>([HFXWLYH9LFH3UHVLGHQWDQG&amp;KLHI/HJDO2IILFHU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55880</wp:posOffset>
                </wp:positionV>
                <wp:extent cx="6400165"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4pt" to="503.85pt,4.4pt" o:allowincell="f" strokecolor="#4454A7" strokeweight="0.25pt"/>
            </w:pict>
          </mc:Fallback>
        </mc:AlternateContent>
      </w:r>
    </w:p>
    <w:p>
      <w:pPr>
        <w:spacing w:after="0" w:line="133" w:lineRule="exact"/>
        <w:rPr>
          <w:sz w:val="20"/>
          <w:szCs w:val="20"/>
          <w:color w:val="auto"/>
        </w:rPr>
      </w:pPr>
    </w:p>
    <w:p>
      <w:pPr>
        <w:ind w:left="100"/>
        <w:spacing w:after="0"/>
        <w:tabs>
          <w:tab w:leader="none" w:pos="3140" w:val="left"/>
        </w:tabs>
        <w:rPr>
          <w:sz w:val="20"/>
          <w:szCs w:val="20"/>
          <w:color w:val="auto"/>
        </w:rPr>
      </w:pPr>
      <w:r>
        <w:rPr>
          <w:rFonts w:ascii="PMingLiU" w:cs="PMingLiU" w:eastAsia="PMingLiU" w:hAnsi="PMingLiU"/>
          <w:sz w:val="16"/>
          <w:szCs w:val="16"/>
          <w:b w:val="1"/>
          <w:bCs w:val="1"/>
          <w:color w:val="5C004D"/>
        </w:rPr>
        <w:t>6DPDQWKD3HDUFH</w:t>
      </w:r>
      <w:r>
        <w:rPr>
          <w:sz w:val="20"/>
          <w:szCs w:val="20"/>
          <w:color w:val="auto"/>
        </w:rPr>
        <w:tab/>
      </w:r>
      <w:r>
        <w:rPr>
          <w:rFonts w:ascii="PMingLiU" w:cs="PMingLiU" w:eastAsia="PMingLiU" w:hAnsi="PMingLiU"/>
          <w:sz w:val="16"/>
          <w:szCs w:val="16"/>
          <w:color w:val="auto"/>
        </w:rPr>
        <w:t>([HFXWLYH9LFH3UHVLGHQW&amp;KLHI&amp;RPPHUFLDO2IILFHU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55880</wp:posOffset>
                </wp:positionV>
                <wp:extent cx="640016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12700">
                          <a:solidFill>
                            <a:srgbClr val="5C004D"/>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4pt" to="503.85pt,4.4pt" o:allowincell="f" strokecolor="#5C004D" strokeweight="1pt"/>
            </w:pict>
          </mc:Fallback>
        </mc:AlternateConten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28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2840" w:type="dxa"/>
            <w:vAlign w:val="bottom"/>
            <w:vMerge w:val="restart"/>
          </w:tcPr>
          <w:p>
            <w:pPr>
              <w:ind w:left="80"/>
              <w:spacing w:after="0"/>
              <w:rPr>
                <w:sz w:val="20"/>
                <w:szCs w:val="20"/>
                <w:color w:val="auto"/>
              </w:rPr>
            </w:pPr>
            <w:r>
              <w:rPr>
                <w:rFonts w:ascii="PMingLiU" w:cs="PMingLiU" w:eastAsia="PMingLiU" w:hAnsi="PMingLiU"/>
                <w:sz w:val="16"/>
                <w:szCs w:val="16"/>
                <w:color w:val="auto"/>
                <w:w w:val="98"/>
              </w:rPr>
              <w:t>0V*DODZDVDSSRLQWHG3UHVLGHQW</w:t>
            </w:r>
          </w:p>
        </w:tc>
        <w:tc>
          <w:tcPr>
            <w:tcW w:w="2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8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40" w:type="dxa"/>
            <w:vAlign w:val="bottom"/>
            <w:shd w:val="clear" w:color="auto" w:fill="F3F3F1"/>
          </w:tcPr>
          <w:p>
            <w:pPr>
              <w:spacing w:after="0"/>
              <w:rPr>
                <w:sz w:val="12"/>
                <w:szCs w:val="12"/>
                <w:color w:val="auto"/>
              </w:rPr>
            </w:pPr>
          </w:p>
        </w:tc>
        <w:tc>
          <w:tcPr>
            <w:tcW w:w="5840" w:type="dxa"/>
            <w:vAlign w:val="bottom"/>
            <w:shd w:val="clear" w:color="auto" w:fill="F3F3F1"/>
          </w:tcPr>
          <w:p>
            <w:pPr>
              <w:spacing w:after="0"/>
              <w:rPr>
                <w:sz w:val="12"/>
                <w:szCs w:val="12"/>
                <w:color w:val="auto"/>
              </w:rPr>
            </w:pPr>
          </w:p>
        </w:tc>
        <w:tc>
          <w:tcPr>
            <w:tcW w:w="620" w:type="dxa"/>
            <w:vAlign w:val="bottom"/>
            <w:shd w:val="clear" w:color="auto" w:fill="F3F3F1"/>
          </w:tcPr>
          <w:p>
            <w:pPr>
              <w:spacing w:after="0"/>
              <w:rPr>
                <w:sz w:val="12"/>
                <w:szCs w:val="12"/>
                <w:color w:val="auto"/>
              </w:rPr>
            </w:pPr>
          </w:p>
        </w:tc>
        <w:tc>
          <w:tcPr>
            <w:tcW w:w="240" w:type="dxa"/>
            <w:vAlign w:val="bottom"/>
            <w:shd w:val="clear" w:color="auto" w:fill="F3F3F1"/>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PMingLiU" w:cs="PMingLiU" w:eastAsia="PMingLiU" w:hAnsi="PMingLiU"/>
                <w:sz w:val="16"/>
                <w:szCs w:val="16"/>
                <w:color w:val="auto"/>
              </w:rPr>
              <w:t>&amp;(2DQG'LUHFWRUHIIHFWLYHDVRI</w:t>
            </w:r>
          </w:p>
        </w:tc>
        <w:tc>
          <w:tcPr>
            <w:tcW w:w="6080" w:type="dxa"/>
            <w:vAlign w:val="bottom"/>
            <w:gridSpan w:val="2"/>
            <w:shd w:val="clear" w:color="auto" w:fill="F3F3F1"/>
          </w:tcPr>
          <w:p>
            <w:pPr>
              <w:ind w:left="300"/>
              <w:spacing w:after="0" w:line="215" w:lineRule="exact"/>
              <w:rPr>
                <w:sz w:val="20"/>
                <w:szCs w:val="20"/>
                <w:color w:val="auto"/>
              </w:rPr>
            </w:pPr>
            <w:r>
              <w:rPr>
                <w:rFonts w:ascii="PMingLiU" w:cs="PMingLiU" w:eastAsia="PMingLiU" w:hAnsi="PMingLiU"/>
                <w:sz w:val="20"/>
                <w:szCs w:val="20"/>
                <w:b w:val="1"/>
                <w:bCs w:val="1"/>
                <w:color w:val="000046"/>
              </w:rPr>
              <w:t>7$%/(2)&amp;217(176</w:t>
            </w:r>
          </w:p>
        </w:tc>
        <w:tc>
          <w:tcPr>
            <w:tcW w:w="620" w:type="dxa"/>
            <w:vAlign w:val="bottom"/>
            <w:shd w:val="clear" w:color="auto" w:fill="F3F3F1"/>
          </w:tcPr>
          <w:p>
            <w:pPr>
              <w:spacing w:after="0"/>
              <w:rPr>
                <w:sz w:val="18"/>
                <w:szCs w:val="18"/>
                <w:color w:val="auto"/>
              </w:rPr>
            </w:pPr>
          </w:p>
        </w:tc>
        <w:tc>
          <w:tcPr>
            <w:tcW w:w="240" w:type="dxa"/>
            <w:vAlign w:val="bottom"/>
            <w:shd w:val="clear" w:color="auto" w:fill="F3F3F1"/>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840" w:type="dxa"/>
            <w:vAlign w:val="bottom"/>
          </w:tcPr>
          <w:p>
            <w:pPr>
              <w:ind w:left="80"/>
              <w:spacing w:after="0" w:line="168" w:lineRule="exact"/>
              <w:rPr>
                <w:sz w:val="20"/>
                <w:szCs w:val="20"/>
                <w:color w:val="auto"/>
              </w:rPr>
            </w:pPr>
            <w:r>
              <w:rPr>
                <w:rFonts w:ascii="PMingLiU" w:cs="PMingLiU" w:eastAsia="PMingLiU" w:hAnsi="PMingLiU"/>
                <w:sz w:val="16"/>
                <w:szCs w:val="16"/>
                <w:color w:val="auto"/>
              </w:rPr>
              <w:t>$XJXVW3ULRUWRKHU</w:t>
            </w:r>
          </w:p>
        </w:tc>
        <w:tc>
          <w:tcPr>
            <w:tcW w:w="240" w:type="dxa"/>
            <w:vAlign w:val="bottom"/>
            <w:shd w:val="clear" w:color="auto" w:fill="F3F3F1"/>
          </w:tcPr>
          <w:p>
            <w:pPr>
              <w:spacing w:after="0"/>
              <w:rPr>
                <w:sz w:val="14"/>
                <w:szCs w:val="14"/>
                <w:color w:val="auto"/>
              </w:rPr>
            </w:pPr>
          </w:p>
        </w:tc>
        <w:tc>
          <w:tcPr>
            <w:tcW w:w="58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([HFXWLYH6XPPDU\</w:t>
            </w:r>
          </w:p>
        </w:tc>
        <w:tc>
          <w:tcPr>
            <w:tcW w:w="620" w:type="dxa"/>
            <w:vAlign w:val="bottom"/>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shd w:val="clear" w:color="auto" w:fill="F3F3F1"/>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2840" w:type="dxa"/>
            <w:vAlign w:val="bottom"/>
          </w:tcPr>
          <w:p>
            <w:pPr>
              <w:ind w:left="80"/>
              <w:spacing w:after="0"/>
              <w:rPr>
                <w:sz w:val="20"/>
                <w:szCs w:val="20"/>
                <w:color w:val="auto"/>
              </w:rPr>
            </w:pPr>
            <w:r>
              <w:rPr>
                <w:rFonts w:ascii="PMingLiU" w:cs="PMingLiU" w:eastAsia="PMingLiU" w:hAnsi="PMingLiU"/>
                <w:sz w:val="16"/>
                <w:szCs w:val="16"/>
                <w:color w:val="auto"/>
              </w:rPr>
              <w:t>DSSRLQWPHQWDV3UHVLGHQW&amp;(2</w:t>
            </w:r>
          </w:p>
        </w:tc>
        <w:tc>
          <w:tcPr>
            <w:tcW w:w="240" w:type="dxa"/>
            <w:vAlign w:val="bottom"/>
            <w:shd w:val="clear" w:color="auto" w:fill="F3F3F1"/>
          </w:tcPr>
          <w:p>
            <w:pPr>
              <w:spacing w:after="0"/>
              <w:rPr>
                <w:sz w:val="16"/>
                <w:szCs w:val="16"/>
                <w:color w:val="auto"/>
              </w:rPr>
            </w:pPr>
          </w:p>
        </w:tc>
        <w:tc>
          <w:tcPr>
            <w:tcW w:w="5840" w:type="dxa"/>
            <w:vAlign w:val="bottom"/>
            <w:vMerge w:val="continue"/>
            <w:shd w:val="clear" w:color="auto" w:fill="F3F3F1"/>
          </w:tcPr>
          <w:p>
            <w:pPr>
              <w:spacing w:after="0"/>
              <w:rPr>
                <w:sz w:val="16"/>
                <w:szCs w:val="16"/>
                <w:color w:val="auto"/>
              </w:rPr>
            </w:pPr>
          </w:p>
        </w:tc>
        <w:tc>
          <w:tcPr>
            <w:tcW w:w="620" w:type="dxa"/>
            <w:vAlign w:val="bottom"/>
            <w:vMerge w:val="continue"/>
            <w:shd w:val="clear" w:color="auto" w:fill="F3F3F1"/>
          </w:tcPr>
          <w:p>
            <w:pPr>
              <w:spacing w:after="0"/>
              <w:rPr>
                <w:sz w:val="16"/>
                <w:szCs w:val="16"/>
                <w:color w:val="auto"/>
              </w:rPr>
            </w:pPr>
          </w:p>
        </w:tc>
        <w:tc>
          <w:tcPr>
            <w:tcW w:w="240" w:type="dxa"/>
            <w:vAlign w:val="bottom"/>
            <w:shd w:val="clear" w:color="auto" w:fill="F3F3F1"/>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80" w:type="dxa"/>
            <w:vAlign w:val="bottom"/>
          </w:tcPr>
          <w:p>
            <w:pPr>
              <w:spacing w:after="0"/>
              <w:rPr>
                <w:sz w:val="5"/>
                <w:szCs w:val="5"/>
                <w:color w:val="auto"/>
              </w:rPr>
            </w:pPr>
          </w:p>
        </w:tc>
        <w:tc>
          <w:tcPr>
            <w:tcW w:w="2840" w:type="dxa"/>
            <w:vAlign w:val="bottom"/>
            <w:vMerge w:val="restart"/>
          </w:tcPr>
          <w:p>
            <w:pPr>
              <w:ind w:left="80"/>
              <w:spacing w:after="0"/>
              <w:rPr>
                <w:sz w:val="20"/>
                <w:szCs w:val="20"/>
                <w:color w:val="auto"/>
              </w:rPr>
            </w:pPr>
            <w:r>
              <w:rPr>
                <w:rFonts w:ascii="PMingLiU" w:cs="PMingLiU" w:eastAsia="PMingLiU" w:hAnsi="PMingLiU"/>
                <w:sz w:val="16"/>
                <w:szCs w:val="16"/>
                <w:color w:val="auto"/>
              </w:rPr>
              <w:t>DQG'LUHFWRU0V*DODVHUYHGDV</w:t>
            </w:r>
          </w:p>
        </w:tc>
        <w:tc>
          <w:tcPr>
            <w:tcW w:w="240" w:type="dxa"/>
            <w:vAlign w:val="bottom"/>
            <w:tcBorders>
              <w:bottom w:val="single" w:sz="8" w:color="F3F3F1"/>
            </w:tcBorders>
            <w:shd w:val="clear" w:color="auto" w:fill="F3F3F1"/>
          </w:tcPr>
          <w:p>
            <w:pPr>
              <w:spacing w:after="0"/>
              <w:rPr>
                <w:sz w:val="5"/>
                <w:szCs w:val="5"/>
                <w:color w:val="auto"/>
              </w:rPr>
            </w:pPr>
          </w:p>
        </w:tc>
        <w:tc>
          <w:tcPr>
            <w:tcW w:w="5840" w:type="dxa"/>
            <w:vAlign w:val="bottom"/>
            <w:tcBorders>
              <w:bottom w:val="single" w:sz="8" w:color="4454A7"/>
            </w:tcBorders>
            <w:shd w:val="clear" w:color="auto" w:fill="F3F3F1"/>
          </w:tcPr>
          <w:p>
            <w:pPr>
              <w:spacing w:after="0"/>
              <w:rPr>
                <w:sz w:val="5"/>
                <w:szCs w:val="5"/>
                <w:color w:val="auto"/>
              </w:rPr>
            </w:pPr>
          </w:p>
        </w:tc>
        <w:tc>
          <w:tcPr>
            <w:tcW w:w="620" w:type="dxa"/>
            <w:vAlign w:val="bottom"/>
            <w:tcBorders>
              <w:bottom w:val="single" w:sz="8" w:color="4454A7"/>
            </w:tcBorders>
            <w:shd w:val="clear" w:color="auto" w:fill="F3F3F1"/>
          </w:tcPr>
          <w:p>
            <w:pPr>
              <w:spacing w:after="0"/>
              <w:rPr>
                <w:sz w:val="5"/>
                <w:szCs w:val="5"/>
                <w:color w:val="auto"/>
              </w:rPr>
            </w:pPr>
          </w:p>
        </w:tc>
        <w:tc>
          <w:tcPr>
            <w:tcW w:w="240" w:type="dxa"/>
            <w:vAlign w:val="bottom"/>
            <w:tcBorders>
              <w:bottom w:val="single" w:sz="8" w:color="F3F3F1"/>
            </w:tcBorders>
            <w:shd w:val="clear" w:color="auto" w:fill="F3F3F1"/>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240" w:type="dxa"/>
            <w:vAlign w:val="bottom"/>
            <w:shd w:val="clear" w:color="auto" w:fill="F3F3F1"/>
          </w:tcPr>
          <w:p>
            <w:pPr>
              <w:spacing w:after="0"/>
              <w:rPr>
                <w:sz w:val="8"/>
                <w:szCs w:val="8"/>
                <w:color w:val="auto"/>
              </w:rPr>
            </w:pPr>
          </w:p>
        </w:tc>
        <w:tc>
          <w:tcPr>
            <w:tcW w:w="58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&amp;RPSHQVDWLRQ3KLORVRSK\DQG2EMHFWLYHV</w:t>
            </w:r>
          </w:p>
        </w:tc>
        <w:tc>
          <w:tcPr>
            <w:tcW w:w="620" w:type="dxa"/>
            <w:vAlign w:val="bottom"/>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shd w:val="clear" w:color="auto" w:fill="F3F3F1"/>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2840" w:type="dxa"/>
            <w:vAlign w:val="bottom"/>
          </w:tcPr>
          <w:p>
            <w:pPr>
              <w:ind w:left="80"/>
              <w:spacing w:after="0"/>
              <w:rPr>
                <w:sz w:val="20"/>
                <w:szCs w:val="20"/>
                <w:color w:val="auto"/>
              </w:rPr>
            </w:pPr>
            <w:r>
              <w:rPr>
                <w:rFonts w:ascii="PMingLiU" w:cs="PMingLiU" w:eastAsia="PMingLiU" w:hAnsi="PMingLiU"/>
                <w:sz w:val="16"/>
                <w:szCs w:val="16"/>
                <w:color w:val="auto"/>
              </w:rPr>
              <w:t>RXU3UHVLGHQWDQG&amp;22</w:t>
            </w:r>
          </w:p>
        </w:tc>
        <w:tc>
          <w:tcPr>
            <w:tcW w:w="240" w:type="dxa"/>
            <w:vAlign w:val="bottom"/>
            <w:tcBorders>
              <w:bottom w:val="single" w:sz="8" w:color="F3F3F1"/>
            </w:tcBorders>
            <w:shd w:val="clear" w:color="auto" w:fill="F3F3F1"/>
          </w:tcPr>
          <w:p>
            <w:pPr>
              <w:spacing w:after="0"/>
              <w:rPr>
                <w:sz w:val="16"/>
                <w:szCs w:val="16"/>
                <w:color w:val="auto"/>
              </w:rPr>
            </w:pPr>
          </w:p>
        </w:tc>
        <w:tc>
          <w:tcPr>
            <w:tcW w:w="5840" w:type="dxa"/>
            <w:vAlign w:val="bottom"/>
            <w:tcBorders>
              <w:bottom w:val="single" w:sz="8" w:color="F3F3F1"/>
            </w:tcBorders>
            <w:vMerge w:val="continue"/>
            <w:shd w:val="clear" w:color="auto" w:fill="F3F3F1"/>
          </w:tcPr>
          <w:p>
            <w:pPr>
              <w:spacing w:after="0"/>
              <w:rPr>
                <w:sz w:val="16"/>
                <w:szCs w:val="16"/>
                <w:color w:val="auto"/>
              </w:rPr>
            </w:pPr>
          </w:p>
        </w:tc>
        <w:tc>
          <w:tcPr>
            <w:tcW w:w="620" w:type="dxa"/>
            <w:vAlign w:val="bottom"/>
            <w:tcBorders>
              <w:bottom w:val="single" w:sz="8" w:color="F3F3F1"/>
            </w:tcBorders>
            <w:vMerge w:val="continue"/>
            <w:shd w:val="clear" w:color="auto" w:fill="F3F3F1"/>
          </w:tcPr>
          <w:p>
            <w:pPr>
              <w:spacing w:after="0"/>
              <w:rPr>
                <w:sz w:val="16"/>
                <w:szCs w:val="16"/>
                <w:color w:val="auto"/>
              </w:rPr>
            </w:pPr>
          </w:p>
        </w:tc>
        <w:tc>
          <w:tcPr>
            <w:tcW w:w="240" w:type="dxa"/>
            <w:vAlign w:val="bottom"/>
            <w:tcBorders>
              <w:bottom w:val="single" w:sz="8" w:color="F3F3F1"/>
            </w:tcBorders>
            <w:shd w:val="clear" w:color="auto" w:fill="F3F3F1"/>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40" w:type="dxa"/>
            <w:vAlign w:val="bottom"/>
          </w:tcPr>
          <w:p>
            <w:pPr>
              <w:ind w:left="80"/>
              <w:spacing w:after="0"/>
              <w:rPr>
                <w:sz w:val="20"/>
                <w:szCs w:val="20"/>
                <w:color w:val="auto"/>
              </w:rPr>
            </w:pPr>
            <w:r>
              <w:rPr>
                <w:rFonts w:ascii="PMingLiU" w:cs="PMingLiU" w:eastAsia="PMingLiU" w:hAnsi="PMingLiU"/>
                <w:sz w:val="16"/>
                <w:szCs w:val="16"/>
                <w:color w:val="auto"/>
              </w:rPr>
              <w:t>0U&amp;R]DGGVHUYHGDVRXU&amp;(2</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5840" w:type="dxa"/>
            <w:vAlign w:val="bottom"/>
            <w:tcBorders>
              <w:top w:val="single" w:sz="8" w:color="4454A7"/>
              <w:bottom w:val="single" w:sz="8" w:color="F3F3F1"/>
            </w:tcBorders>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+RZ:H'HWHUPLQH([HFXWLYH&amp;RPSHQVDWLRQ</w:t>
            </w:r>
          </w:p>
        </w:tc>
        <w:tc>
          <w:tcPr>
            <w:tcW w:w="620" w:type="dxa"/>
            <w:vAlign w:val="bottom"/>
            <w:tcBorders>
              <w:top w:val="single" w:sz="8" w:color="4454A7"/>
              <w:bottom w:val="single" w:sz="8" w:color="F3F3F1"/>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bottom w:val="single" w:sz="8" w:color="F3F3F1"/>
            </w:tcBorders>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840" w:type="dxa"/>
            <w:vAlign w:val="bottom"/>
          </w:tcPr>
          <w:p>
            <w:pPr>
              <w:ind w:left="80"/>
              <w:spacing w:after="0" w:line="139" w:lineRule="exact"/>
              <w:rPr>
                <w:sz w:val="20"/>
                <w:szCs w:val="20"/>
                <w:color w:val="auto"/>
              </w:rPr>
            </w:pPr>
            <w:r>
              <w:rPr>
                <w:rFonts w:ascii="PMingLiU" w:cs="PMingLiU" w:eastAsia="PMingLiU" w:hAnsi="PMingLiU"/>
                <w:sz w:val="15"/>
                <w:szCs w:val="15"/>
                <w:color w:val="auto"/>
              </w:rPr>
              <w:t>IURP$SULOWR$XJXVW</w:t>
            </w:r>
          </w:p>
        </w:tc>
        <w:tc>
          <w:tcPr>
            <w:tcW w:w="240" w:type="dxa"/>
            <w:vAlign w:val="bottom"/>
            <w:tcBorders>
              <w:top w:val="single" w:sz="8" w:color="F3F3F1"/>
            </w:tcBorders>
            <w:shd w:val="clear" w:color="auto" w:fill="F3F3F1"/>
          </w:tcPr>
          <w:p>
            <w:pPr>
              <w:spacing w:after="0"/>
              <w:rPr>
                <w:sz w:val="12"/>
                <w:szCs w:val="12"/>
                <w:color w:val="auto"/>
              </w:rPr>
            </w:pPr>
          </w:p>
        </w:tc>
        <w:tc>
          <w:tcPr>
            <w:tcW w:w="5840" w:type="dxa"/>
            <w:vAlign w:val="bottom"/>
            <w:tcBorders>
              <w:top w:val="single" w:sz="8" w:color="4454A7"/>
            </w:tcBorders>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.H\&amp;RPSRQHQWVDQG'HVLJQRIWKH([HFXWLYH&amp;RPSHQVDWLRQ3URJUDP</w:t>
            </w:r>
          </w:p>
        </w:tc>
        <w:tc>
          <w:tcPr>
            <w:tcW w:w="620" w:type="dxa"/>
            <w:vAlign w:val="bottom"/>
            <w:tcBorders>
              <w:top w:val="single" w:sz="8" w:color="4454A7"/>
            </w:tcBorders>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tcBorders>
            <w:shd w:val="clear" w:color="auto" w:fill="F3F3F1"/>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840" w:type="dxa"/>
            <w:vAlign w:val="bottom"/>
          </w:tcPr>
          <w:p>
            <w:pPr>
              <w:ind w:left="80"/>
              <w:spacing w:after="0" w:line="156" w:lineRule="exact"/>
              <w:rPr>
                <w:sz w:val="20"/>
                <w:szCs w:val="20"/>
                <w:color w:val="auto"/>
              </w:rPr>
            </w:pPr>
            <w:r>
              <w:rPr>
                <w:rFonts w:ascii="PMingLiU" w:cs="PMingLiU" w:eastAsia="PMingLiU" w:hAnsi="PMingLiU"/>
                <w:sz w:val="16"/>
                <w:szCs w:val="16"/>
                <w:color w:val="auto"/>
              </w:rPr>
              <w:t>IROORZLQJZKLFKKHVHUYHGLQ</w:t>
            </w:r>
          </w:p>
        </w:tc>
        <w:tc>
          <w:tcPr>
            <w:tcW w:w="240" w:type="dxa"/>
            <w:vAlign w:val="bottom"/>
            <w:tcBorders>
              <w:bottom w:val="single" w:sz="8" w:color="F3F3F1"/>
            </w:tcBorders>
            <w:shd w:val="clear" w:color="auto" w:fill="F3F3F1"/>
          </w:tcPr>
          <w:p>
            <w:pPr>
              <w:spacing w:after="0"/>
              <w:rPr>
                <w:sz w:val="13"/>
                <w:szCs w:val="13"/>
                <w:color w:val="auto"/>
              </w:rPr>
            </w:pPr>
          </w:p>
        </w:tc>
        <w:tc>
          <w:tcPr>
            <w:tcW w:w="5840" w:type="dxa"/>
            <w:vAlign w:val="bottom"/>
            <w:tcBorders>
              <w:bottom w:val="single" w:sz="8" w:color="F3F3F1"/>
            </w:tcBorders>
            <w:vMerge w:val="continue"/>
            <w:shd w:val="clear" w:color="auto" w:fill="F3F3F1"/>
          </w:tcPr>
          <w:p>
            <w:pPr>
              <w:spacing w:after="0"/>
              <w:rPr>
                <w:sz w:val="13"/>
                <w:szCs w:val="13"/>
                <w:color w:val="auto"/>
              </w:rPr>
            </w:pPr>
          </w:p>
        </w:tc>
        <w:tc>
          <w:tcPr>
            <w:tcW w:w="620" w:type="dxa"/>
            <w:vAlign w:val="bottom"/>
            <w:tcBorders>
              <w:bottom w:val="single" w:sz="8" w:color="F3F3F1"/>
            </w:tcBorders>
            <w:vMerge w:val="continue"/>
            <w:shd w:val="clear" w:color="auto" w:fill="F3F3F1"/>
          </w:tcPr>
          <w:p>
            <w:pPr>
              <w:spacing w:after="0"/>
              <w:rPr>
                <w:sz w:val="13"/>
                <w:szCs w:val="13"/>
                <w:color w:val="auto"/>
              </w:rPr>
            </w:pPr>
          </w:p>
        </w:tc>
        <w:tc>
          <w:tcPr>
            <w:tcW w:w="240" w:type="dxa"/>
            <w:vAlign w:val="bottom"/>
            <w:tcBorders>
              <w:bottom w:val="single" w:sz="8" w:color="F3F3F1"/>
            </w:tcBorders>
            <w:shd w:val="clear" w:color="auto" w:fill="F3F3F1"/>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PMingLiU" w:cs="PMingLiU" w:eastAsia="PMingLiU" w:hAnsi="PMingLiU"/>
                <w:sz w:val="16"/>
                <w:szCs w:val="16"/>
                <w:color w:val="auto"/>
                <w:w w:val="83"/>
              </w:rPr>
              <w:t>DWUDQVLWLRQUROHWKURXJK6HSWHPEHU</w:t>
            </w:r>
          </w:p>
        </w:tc>
        <w:tc>
          <w:tcPr>
            <w:tcW w:w="240" w:type="dxa"/>
            <w:vAlign w:val="bottom"/>
            <w:tcBorders>
              <w:top w:val="single" w:sz="8" w:color="F3F3F1"/>
            </w:tcBorders>
            <w:shd w:val="clear" w:color="auto" w:fill="F3F3F1"/>
          </w:tcPr>
          <w:p>
            <w:pPr>
              <w:spacing w:after="0"/>
              <w:rPr>
                <w:sz w:val="18"/>
                <w:szCs w:val="18"/>
                <w:color w:val="auto"/>
              </w:rPr>
            </w:pPr>
          </w:p>
        </w:tc>
        <w:tc>
          <w:tcPr>
            <w:tcW w:w="5840" w:type="dxa"/>
            <w:vAlign w:val="bottom"/>
            <w:tcBorders>
              <w:top w:val="single" w:sz="8" w:color="4454A7"/>
            </w:tcBorders>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*RDOVIRUDQG$FKLHYHPHQWRI3HUIRUPDQFH%DVHG&amp;RPSHQVDWLRQ</w:t>
            </w:r>
          </w:p>
        </w:tc>
        <w:tc>
          <w:tcPr>
            <w:tcW w:w="620" w:type="dxa"/>
            <w:vAlign w:val="bottom"/>
            <w:tcBorders>
              <w:top w:val="single" w:sz="8" w:color="4454A7"/>
            </w:tcBorders>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tcBorders>
              <w:top w:val="single" w:sz="8" w:color="F3F3F1"/>
            </w:tcBorders>
            <w:shd w:val="clear" w:color="auto" w:fill="F3F3F1"/>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2840" w:type="dxa"/>
            <w:vAlign w:val="bottom"/>
            <w:vMerge w:val="restart"/>
          </w:tcPr>
          <w:p>
            <w:pPr>
              <w:ind w:left="80"/>
              <w:spacing w:after="0"/>
              <w:rPr>
                <w:sz w:val="20"/>
                <w:szCs w:val="20"/>
                <w:color w:val="auto"/>
              </w:rPr>
            </w:pPr>
            <w:r>
              <w:rPr>
                <w:rFonts w:ascii="PMingLiU" w:cs="PMingLiU" w:eastAsia="PMingLiU" w:hAnsi="PMingLiU"/>
                <w:sz w:val="16"/>
                <w:szCs w:val="16"/>
                <w:color w:val="auto"/>
              </w:rPr>
              <w:t>DQGVXEVHTXHQWO\UHWLUHG</w:t>
            </w:r>
          </w:p>
        </w:tc>
        <w:tc>
          <w:tcPr>
            <w:tcW w:w="240" w:type="dxa"/>
            <w:vAlign w:val="bottom"/>
            <w:tcBorders>
              <w:bottom w:val="single" w:sz="8" w:color="F3F3F1"/>
            </w:tcBorders>
            <w:shd w:val="clear" w:color="auto" w:fill="F3F3F1"/>
          </w:tcPr>
          <w:p>
            <w:pPr>
              <w:spacing w:after="0"/>
              <w:rPr>
                <w:sz w:val="7"/>
                <w:szCs w:val="7"/>
                <w:color w:val="auto"/>
              </w:rPr>
            </w:pPr>
          </w:p>
        </w:tc>
        <w:tc>
          <w:tcPr>
            <w:tcW w:w="5840" w:type="dxa"/>
            <w:vAlign w:val="bottom"/>
            <w:tcBorders>
              <w:bottom w:val="single" w:sz="8" w:color="4454A7"/>
            </w:tcBorders>
            <w:shd w:val="clear" w:color="auto" w:fill="F3F3F1"/>
          </w:tcPr>
          <w:p>
            <w:pPr>
              <w:spacing w:after="0"/>
              <w:rPr>
                <w:sz w:val="7"/>
                <w:szCs w:val="7"/>
                <w:color w:val="auto"/>
              </w:rPr>
            </w:pPr>
          </w:p>
        </w:tc>
        <w:tc>
          <w:tcPr>
            <w:tcW w:w="620" w:type="dxa"/>
            <w:vAlign w:val="bottom"/>
            <w:tcBorders>
              <w:bottom w:val="single" w:sz="8" w:color="4454A7"/>
            </w:tcBorders>
            <w:shd w:val="clear" w:color="auto" w:fill="F3F3F1"/>
          </w:tcPr>
          <w:p>
            <w:pPr>
              <w:spacing w:after="0"/>
              <w:rPr>
                <w:sz w:val="7"/>
                <w:szCs w:val="7"/>
                <w:color w:val="auto"/>
              </w:rPr>
            </w:pPr>
          </w:p>
        </w:tc>
        <w:tc>
          <w:tcPr>
            <w:tcW w:w="240" w:type="dxa"/>
            <w:vAlign w:val="bottom"/>
            <w:tcBorders>
              <w:bottom w:val="single" w:sz="8" w:color="F3F3F1"/>
            </w:tcBorders>
            <w:shd w:val="clear" w:color="auto" w:fill="F3F3F1"/>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240" w:type="dxa"/>
            <w:vAlign w:val="bottom"/>
            <w:shd w:val="clear" w:color="auto" w:fill="F3F3F1"/>
          </w:tcPr>
          <w:p>
            <w:pPr>
              <w:spacing w:after="0"/>
              <w:rPr>
                <w:sz w:val="7"/>
                <w:szCs w:val="7"/>
                <w:color w:val="auto"/>
              </w:rPr>
            </w:pPr>
          </w:p>
        </w:tc>
        <w:tc>
          <w:tcPr>
            <w:tcW w:w="58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&amp;RPSHQVDWLRQ'HFLVLRQVIRU2XU1(2V</w:t>
            </w:r>
          </w:p>
        </w:tc>
        <w:tc>
          <w:tcPr>
            <w:tcW w:w="620" w:type="dxa"/>
            <w:vAlign w:val="bottom"/>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shd w:val="clear" w:color="auto" w:fill="F3F3F1"/>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2840" w:type="dxa"/>
            <w:vAlign w:val="bottom"/>
          </w:tcPr>
          <w:p>
            <w:pPr>
              <w:ind w:left="80"/>
              <w:spacing w:after="0"/>
              <w:rPr>
                <w:sz w:val="20"/>
                <w:szCs w:val="20"/>
                <w:color w:val="auto"/>
              </w:rPr>
            </w:pPr>
            <w:r>
              <w:rPr>
                <w:rFonts w:ascii="PMingLiU" w:cs="PMingLiU" w:eastAsia="PMingLiU" w:hAnsi="PMingLiU"/>
                <w:sz w:val="16"/>
                <w:szCs w:val="16"/>
                <w:color w:val="auto"/>
              </w:rPr>
              <w:t>0U&amp;R]DGGFRQWLQXHVWRVHUYHDV</w:t>
            </w:r>
          </w:p>
        </w:tc>
        <w:tc>
          <w:tcPr>
            <w:tcW w:w="240" w:type="dxa"/>
            <w:vAlign w:val="bottom"/>
            <w:tcBorders>
              <w:bottom w:val="single" w:sz="8" w:color="F3F3F1"/>
            </w:tcBorders>
            <w:shd w:val="clear" w:color="auto" w:fill="F3F3F1"/>
          </w:tcPr>
          <w:p>
            <w:pPr>
              <w:spacing w:after="0"/>
              <w:rPr>
                <w:sz w:val="16"/>
                <w:szCs w:val="16"/>
                <w:color w:val="auto"/>
              </w:rPr>
            </w:pPr>
          </w:p>
        </w:tc>
        <w:tc>
          <w:tcPr>
            <w:tcW w:w="5840" w:type="dxa"/>
            <w:vAlign w:val="bottom"/>
            <w:tcBorders>
              <w:bottom w:val="single" w:sz="8" w:color="4454A7"/>
            </w:tcBorders>
            <w:vMerge w:val="continue"/>
            <w:shd w:val="clear" w:color="auto" w:fill="F3F3F1"/>
          </w:tcPr>
          <w:p>
            <w:pPr>
              <w:spacing w:after="0"/>
              <w:rPr>
                <w:sz w:val="16"/>
                <w:szCs w:val="16"/>
                <w:color w:val="auto"/>
              </w:rPr>
            </w:pPr>
          </w:p>
        </w:tc>
        <w:tc>
          <w:tcPr>
            <w:tcW w:w="620" w:type="dxa"/>
            <w:vAlign w:val="bottom"/>
            <w:tcBorders>
              <w:bottom w:val="single" w:sz="8" w:color="4454A7"/>
            </w:tcBorders>
            <w:vMerge w:val="continue"/>
            <w:shd w:val="clear" w:color="auto" w:fill="F3F3F1"/>
          </w:tcPr>
          <w:p>
            <w:pPr>
              <w:spacing w:after="0"/>
              <w:rPr>
                <w:sz w:val="16"/>
                <w:szCs w:val="16"/>
                <w:color w:val="auto"/>
              </w:rPr>
            </w:pPr>
          </w:p>
        </w:tc>
        <w:tc>
          <w:tcPr>
            <w:tcW w:w="240" w:type="dxa"/>
            <w:vAlign w:val="bottom"/>
            <w:tcBorders>
              <w:bottom w:val="single" w:sz="8" w:color="F3F3F1"/>
            </w:tcBorders>
            <w:shd w:val="clear" w:color="auto" w:fill="F3F3F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2840" w:type="dxa"/>
            <w:vAlign w:val="bottom"/>
          </w:tcPr>
          <w:p>
            <w:pPr>
              <w:ind w:left="80"/>
              <w:spacing w:after="0" w:line="190" w:lineRule="exact"/>
              <w:rPr>
                <w:sz w:val="20"/>
                <w:szCs w:val="20"/>
                <w:color w:val="auto"/>
              </w:rPr>
            </w:pPr>
            <w:r>
              <w:rPr>
                <w:rFonts w:ascii="PMingLiU" w:cs="PMingLiU" w:eastAsia="PMingLiU" w:hAnsi="PMingLiU"/>
                <w:sz w:val="16"/>
                <w:szCs w:val="16"/>
                <w:color w:val="auto"/>
              </w:rPr>
              <w:t>WKH&amp;KDLUSHUVRQRIWKH%RDUG</w:t>
            </w:r>
          </w:p>
        </w:tc>
        <w:tc>
          <w:tcPr>
            <w:tcW w:w="240" w:type="dxa"/>
            <w:vAlign w:val="bottom"/>
            <w:shd w:val="clear" w:color="auto" w:fill="F3F3F1"/>
          </w:tcPr>
          <w:p>
            <w:pPr>
              <w:spacing w:after="0"/>
              <w:rPr>
                <w:sz w:val="16"/>
                <w:szCs w:val="16"/>
                <w:color w:val="auto"/>
              </w:rPr>
            </w:pPr>
          </w:p>
        </w:tc>
        <w:tc>
          <w:tcPr>
            <w:tcW w:w="5840" w:type="dxa"/>
            <w:vAlign w:val="bottom"/>
            <w:vMerge w:val="restart"/>
            <w:shd w:val="clear" w:color="auto" w:fill="F3F3F1"/>
          </w:tcPr>
          <w:p>
            <w:pPr>
              <w:ind w:left="60"/>
              <w:spacing w:after="0"/>
              <w:rPr>
                <w:sz w:val="20"/>
                <w:szCs w:val="20"/>
                <w:color w:val="auto"/>
              </w:rPr>
            </w:pPr>
            <w:r>
              <w:rPr>
                <w:rFonts w:ascii="PMingLiU" w:cs="PMingLiU" w:eastAsia="PMingLiU" w:hAnsi="PMingLiU"/>
                <w:sz w:val="16"/>
                <w:szCs w:val="16"/>
                <w:b w:val="1"/>
                <w:bCs w:val="1"/>
                <w:color w:val="2D2C36"/>
              </w:rPr>
              <w:t>$GGLWLRQDO&amp;RPSHQVDWLRQ,QIRUPDWLRQ</w:t>
            </w:r>
          </w:p>
        </w:tc>
        <w:tc>
          <w:tcPr>
            <w:tcW w:w="620" w:type="dxa"/>
            <w:vAlign w:val="bottom"/>
            <w:vMerge w:val="restart"/>
            <w:shd w:val="clear" w:color="auto" w:fill="F3F3F1"/>
          </w:tcPr>
          <w:p>
            <w:pPr>
              <w:jc w:val="right"/>
              <w:spacing w:after="0"/>
              <w:rPr>
                <w:sz w:val="20"/>
                <w:szCs w:val="20"/>
                <w:color w:val="auto"/>
              </w:rPr>
            </w:pPr>
            <w:r>
              <w:rPr>
                <w:rFonts w:ascii="PMingLiU" w:cs="PMingLiU" w:eastAsia="PMingLiU" w:hAnsi="PMingLiU"/>
                <w:sz w:val="16"/>
                <w:szCs w:val="16"/>
                <w:b w:val="1"/>
                <w:bCs w:val="1"/>
                <w:color w:val="2D2C36"/>
              </w:rPr>
              <w:t/>
            </w:r>
          </w:p>
        </w:tc>
        <w:tc>
          <w:tcPr>
            <w:tcW w:w="240" w:type="dxa"/>
            <w:vAlign w:val="bottom"/>
            <w:shd w:val="clear" w:color="auto" w:fill="F3F3F1"/>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0" w:type="dxa"/>
            <w:vAlign w:val="bottom"/>
          </w:tcPr>
          <w:p>
            <w:pPr>
              <w:spacing w:after="0"/>
              <w:rPr>
                <w:sz w:val="6"/>
                <w:szCs w:val="6"/>
                <w:color w:val="auto"/>
              </w:rPr>
            </w:pPr>
          </w:p>
        </w:tc>
        <w:tc>
          <w:tcPr>
            <w:tcW w:w="2840" w:type="dxa"/>
            <w:vAlign w:val="bottom"/>
          </w:tcPr>
          <w:p>
            <w:pPr>
              <w:spacing w:after="0"/>
              <w:rPr>
                <w:sz w:val="6"/>
                <w:szCs w:val="6"/>
                <w:color w:val="auto"/>
              </w:rPr>
            </w:pPr>
          </w:p>
        </w:tc>
        <w:tc>
          <w:tcPr>
            <w:tcW w:w="240" w:type="dxa"/>
            <w:vAlign w:val="bottom"/>
            <w:shd w:val="clear" w:color="auto" w:fill="F3F3F1"/>
          </w:tcPr>
          <w:p>
            <w:pPr>
              <w:spacing w:after="0"/>
              <w:rPr>
                <w:sz w:val="6"/>
                <w:szCs w:val="6"/>
                <w:color w:val="auto"/>
              </w:rPr>
            </w:pPr>
          </w:p>
        </w:tc>
        <w:tc>
          <w:tcPr>
            <w:tcW w:w="5840" w:type="dxa"/>
            <w:vAlign w:val="bottom"/>
            <w:vMerge w:val="continue"/>
            <w:shd w:val="clear" w:color="auto" w:fill="F3F3F1"/>
          </w:tcPr>
          <w:p>
            <w:pPr>
              <w:spacing w:after="0"/>
              <w:rPr>
                <w:sz w:val="6"/>
                <w:szCs w:val="6"/>
                <w:color w:val="auto"/>
              </w:rPr>
            </w:pPr>
          </w:p>
        </w:tc>
        <w:tc>
          <w:tcPr>
            <w:tcW w:w="620" w:type="dxa"/>
            <w:vAlign w:val="bottom"/>
            <w:vMerge w:val="continue"/>
            <w:shd w:val="clear" w:color="auto" w:fill="F3F3F1"/>
          </w:tcPr>
          <w:p>
            <w:pPr>
              <w:spacing w:after="0"/>
              <w:rPr>
                <w:sz w:val="6"/>
                <w:szCs w:val="6"/>
                <w:color w:val="auto"/>
              </w:rPr>
            </w:pPr>
          </w:p>
        </w:tc>
        <w:tc>
          <w:tcPr>
            <w:tcW w:w="240" w:type="dxa"/>
            <w:vAlign w:val="bottom"/>
            <w:shd w:val="clear" w:color="auto" w:fill="F3F3F1"/>
          </w:tcPr>
          <w:p>
            <w:pPr>
              <w:spacing w:after="0"/>
              <w:rPr>
                <w:sz w:val="6"/>
                <w:szCs w:val="6"/>
                <w:color w:val="auto"/>
              </w:rPr>
            </w:pP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shd w:val="clear" w:color="auto" w:fill="F3F3F1"/>
          </w:tcPr>
          <w:p>
            <w:pPr>
              <w:spacing w:after="0"/>
              <w:rPr>
                <w:sz w:val="24"/>
                <w:szCs w:val="24"/>
                <w:color w:val="auto"/>
              </w:rPr>
            </w:pPr>
          </w:p>
        </w:tc>
        <w:tc>
          <w:tcPr>
            <w:tcW w:w="5840" w:type="dxa"/>
            <w:vAlign w:val="bottom"/>
            <w:shd w:val="clear" w:color="auto" w:fill="F3F3F1"/>
          </w:tcPr>
          <w:p>
            <w:pPr>
              <w:spacing w:after="0"/>
              <w:rPr>
                <w:sz w:val="24"/>
                <w:szCs w:val="24"/>
                <w:color w:val="auto"/>
              </w:rPr>
            </w:pPr>
          </w:p>
        </w:tc>
        <w:tc>
          <w:tcPr>
            <w:tcW w:w="620" w:type="dxa"/>
            <w:vAlign w:val="bottom"/>
            <w:shd w:val="clear" w:color="auto" w:fill="F3F3F1"/>
          </w:tcPr>
          <w:p>
            <w:pPr>
              <w:spacing w:after="0"/>
              <w:rPr>
                <w:sz w:val="24"/>
                <w:szCs w:val="24"/>
                <w:color w:val="auto"/>
              </w:rPr>
            </w:pPr>
          </w:p>
        </w:tc>
        <w:tc>
          <w:tcPr>
            <w:tcW w:w="240" w:type="dxa"/>
            <w:vAlign w:val="bottom"/>
            <w:shd w:val="clear" w:color="auto" w:fill="F3F3F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-166370</wp:posOffset>
            </wp:positionV>
            <wp:extent cx="4052570"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65">
                      <a:extLst>
                        <a:ext uri="{28A0092B-C50C-407E-A947-70E740481C1C}"/>
                      </a:extLst>
                    </a:blip>
                    <a:srcRect/>
                    <a:stretch>
                      <a:fillRect/>
                    </a:stretch>
                  </pic:blipFill>
                  <pic:spPr bwMode="auto">
                    <a:xfrm>
                      <a:off x="0" y="0"/>
                      <a:ext cx="4052570" cy="34925"/>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-1463040</wp:posOffset>
            </wp:positionV>
            <wp:extent cx="4156075" cy="508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66">
                      <a:extLst>
                        <a:ext uri="{28A0092B-C50C-407E-A947-70E740481C1C}"/>
                      </a:extLst>
                    </a:blip>
                    <a:srcRect/>
                    <a:stretch>
                      <a:fillRect/>
                    </a:stretch>
                  </pic:blipFill>
                  <pic:spPr bwMode="auto">
                    <a:xfrm>
                      <a:off x="0" y="0"/>
                      <a:ext cx="4156075" cy="5080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-1243965</wp:posOffset>
            </wp:positionV>
            <wp:extent cx="4117975"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67">
                      <a:extLst>
                        <a:ext uri="{28A0092B-C50C-407E-A947-70E740481C1C}"/>
                      </a:extLst>
                    </a:blip>
                    <a:srcRect/>
                    <a:stretch>
                      <a:fillRect/>
                    </a:stretch>
                  </pic:blipFill>
                  <pic:spPr bwMode="auto">
                    <a:xfrm>
                      <a:off x="0" y="0"/>
                      <a:ext cx="4117975" cy="1270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-1043940</wp:posOffset>
            </wp:positionV>
            <wp:extent cx="4117975"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68">
                      <a:extLst>
                        <a:ext uri="{28A0092B-C50C-407E-A947-70E740481C1C}"/>
                      </a:extLst>
                    </a:blip>
                    <a:srcRect/>
                    <a:stretch>
                      <a:fillRect/>
                    </a:stretch>
                  </pic:blipFill>
                  <pic:spPr bwMode="auto">
                    <a:xfrm>
                      <a:off x="0" y="0"/>
                      <a:ext cx="4117975" cy="1270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-843915</wp:posOffset>
            </wp:positionV>
            <wp:extent cx="4117975"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69">
                      <a:extLst>
                        <a:ext uri="{28A0092B-C50C-407E-A947-70E740481C1C}"/>
                      </a:extLst>
                    </a:blip>
                    <a:srcRect/>
                    <a:stretch>
                      <a:fillRect/>
                    </a:stretch>
                  </pic:blipFill>
                  <pic:spPr bwMode="auto">
                    <a:xfrm>
                      <a:off x="0" y="0"/>
                      <a:ext cx="4117975" cy="1270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-643890</wp:posOffset>
            </wp:positionV>
            <wp:extent cx="4117975" cy="127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70">
                      <a:extLst>
                        <a:ext uri="{28A0092B-C50C-407E-A947-70E740481C1C}"/>
                      </a:extLst>
                    </a:blip>
                    <a:srcRect/>
                    <a:stretch>
                      <a:fillRect/>
                    </a:stretch>
                  </pic:blipFill>
                  <pic:spPr bwMode="auto">
                    <a:xfrm>
                      <a:off x="0" y="0"/>
                      <a:ext cx="4117975" cy="1270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-443865</wp:posOffset>
            </wp:positionV>
            <wp:extent cx="4117975"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71">
                      <a:extLst>
                        <a:ext uri="{28A0092B-C50C-407E-A947-70E740481C1C}"/>
                      </a:extLst>
                    </a:blip>
                    <a:srcRect/>
                    <a:stretch>
                      <a:fillRect/>
                    </a:stretch>
                  </pic:blipFill>
                  <pic:spPr bwMode="auto">
                    <a:xfrm>
                      <a:off x="0" y="0"/>
                      <a:ext cx="4117975" cy="1270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3214370</wp:posOffset>
            </wp:positionV>
            <wp:extent cx="1389380" cy="2343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72">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60"/>
          </w:cols>
          <w:pgMar w:left="900" w:top="1440" w:right="919" w:bottom="0" w:gutter="0" w:footer="0" w:header="0"/>
        </w:sectPr>
      </w:pPr>
    </w:p>
    <w:bookmarkStart w:id="58" w:name="page59"/>
    <w:bookmarkEnd w:id="58"/>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52" o:spid="_x0000_s1377"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([HFXWLYH6XPPDU\</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3HUIRUPDQFH+LJKOLJKWV</w:t>
      </w:r>
    </w:p>
    <w:p>
      <w:pPr>
        <w:spacing w:after="0" w:line="191" w:lineRule="exact"/>
        <w:rPr>
          <w:sz w:val="20"/>
          <w:szCs w:val="20"/>
          <w:color w:val="auto"/>
        </w:rPr>
      </w:pPr>
    </w:p>
    <w:p>
      <w:pPr>
        <w:ind w:right="120"/>
        <w:spacing w:after="0" w:line="342" w:lineRule="auto"/>
        <w:rPr>
          <w:sz w:val="20"/>
          <w:szCs w:val="20"/>
          <w:color w:val="auto"/>
        </w:rPr>
      </w:pPr>
      <w:r>
        <w:rPr>
          <w:rFonts w:ascii="PMingLiU" w:cs="PMingLiU" w:eastAsia="PMingLiU" w:hAnsi="PMingLiU"/>
          <w:sz w:val="14"/>
          <w:szCs w:val="14"/>
          <w:color w:val="auto"/>
        </w:rPr>
        <w:t>ZDVD\HDURIVWURQJH[HFXWLRQZLWKUHFRUGILQDQFLDOSHUIRUPDQFHPXOWLSOHUHJXODWRU\DSSURYDOVDQGVLJQLILFDQWSURJUHVV DFURVVRXUSLSHOLQH7KHVHDFKLHYHPHQWVUHIOHFWRXUFRPPLWPHQWWRRSHUDWLRQDOH[FHOOHQFHDVZHGHOLYHUPHDQLQJIXO LQQRYDWLRQIRUSDWLHQWV7RWDOUHYHQXHJURZWKZDVGULYHQE\WKHVWUHQJWKRIRXUKLJKO\GLIIHUHQWLDWHGPDUNHWHGWKHUDSLHV</w:t>
      </w:r>
    </w:p>
    <w:p>
      <w:pPr>
        <w:spacing w:after="0" w:line="345" w:lineRule="auto"/>
        <w:rPr>
          <w:sz w:val="20"/>
          <w:szCs w:val="20"/>
          <w:color w:val="auto"/>
        </w:rPr>
      </w:pPr>
      <w:r>
        <w:rPr>
          <w:rFonts w:ascii="PMingLiU" w:cs="PMingLiU" w:eastAsia="PMingLiU" w:hAnsi="PMingLiU"/>
          <w:sz w:val="15"/>
          <w:szCs w:val="15"/>
          <w:color w:val="auto"/>
        </w:rPr>
        <w:t>LQFOXGLQJVXVWDLQHGDGRSWLRQRI;\ZDYDFURVVERWKQDUFROHSV\DQGLGLRSDWKLFK\SHUVRPQLDPHDQLQJIXO(SLGLROH[JURZWK DQGJURZWKFRQWULEXWLRQVIURP0RGH\VR DQG=LLKHUD,QDGGLWLRQDWWKHHQGRIZHUHSRUWHGSRVLWLYHUHVXOWVIURPWKH 3KDVHWULDORI]DQLGDWDPDELQILUVWOLQH+(5SRVLWLYHORFDOO\DGYDQFHGRUPHWDVWDWLF*($:HFRQWLQXHWRHQKDQFHRXU5 ' FDSDELOLWLHVDVZHEURDGHQDQGGHHSHQRXUSLSHOLQHDFURVVUDUHGLVHDVH</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&amp;RPPHUFLDO</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000046"/>
        </w:rPr>
        <w:t>5DUH6OHHS'LVRUGHUV</w:t>
      </w:r>
    </w:p>
    <w:p>
      <w:pPr>
        <w:spacing w:after="0" w:line="20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;\ZDYQHWSURGXFWVDOHVZHUHPLOOLRQLQ</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000046"/>
        </w:rPr>
        <w:t>5DUH(SLOHSVLHV</w:t>
      </w:r>
    </w:p>
    <w:p>
      <w:pPr>
        <w:spacing w:after="0" w:line="20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(SLGLROH[(SLG\ROH[QHWSURGXFWVDOHVZHUHPLOOLRQLQ</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000046"/>
        </w:rPr>
        <w:t>5DUH2QFRORJ\</w:t>
      </w:r>
    </w:p>
    <w:p>
      <w:pPr>
        <w:spacing w:after="0" w:line="20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=LLKHUDQHWSURGXFWVDOHVZHUHPLOOLRQLQ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0RGH\VRQHWSURGXFWVDOHVZHUHPLOOLRQLQ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=HS]HOFDQHWSURGXFWVDOHVZHUHPLOOLRQLQ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5\OD]H(QU\OD]HQHWSURGXFWVDOHVZHUHPLOOLRQLQ</w:t>
      </w:r>
    </w:p>
    <w:p>
      <w:pPr>
        <w:spacing w:after="0" w:line="1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3LSHOLQH</w:t>
      </w:r>
    </w:p>
    <w:p>
      <w:pPr>
        <w:spacing w:after="0" w:line="126" w:lineRule="exact"/>
        <w:rPr>
          <w:sz w:val="20"/>
          <w:szCs w:val="20"/>
          <w:color w:val="auto"/>
        </w:rPr>
      </w:pPr>
    </w:p>
    <w:p>
      <w:pPr>
        <w:ind w:left="360" w:right="40" w:hanging="279"/>
        <w:spacing w:after="0" w:line="345"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,Q$SULO=LLKHUDUHFHLYHGDSRVLWLYH&amp;RPPLWWHHIRU0HGLFLQDO3URGXFWVIRU+XPDQ8VHRSLQLRQIRUWKHWUHDWPHQWRI DGYDQFHG+(5SRVLWLYH%7&amp;,Q-XQHWKH(XURSHDQ&amp;RPPLVVLRQJUDQWHGFRQGLWLRQDOPDUNHWLQJDXWKRUL]DWLRQIRU =LLKHUDIRUWKHWUHDWPHQWRIDGXOWVZLWKXQUHVHFWDEOHORFDOO\DGYDQFHGRUPHWDVWDWLF+(5SRVLWLYH,+&amp;%7&amp;SUHYLRXVO\ WUHDWHGZLWKDWOHDVWRQHSULRUOLQHRIV\VWHPLFWKHUDS\</w:t>
      </w:r>
    </w:p>
    <w:p>
      <w:pPr>
        <w:spacing w:after="0" w:line="43" w:lineRule="exact"/>
        <w:rPr>
          <w:sz w:val="20"/>
          <w:szCs w:val="20"/>
          <w:color w:val="auto"/>
        </w:rPr>
      </w:pPr>
    </w:p>
    <w:p>
      <w:pPr>
        <w:ind w:left="360" w:right="280" w:hanging="279"/>
        <w:spacing w:after="0" w:line="34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7KHV1'$VXEPLVVLRQIRUWKHFRPELQDWLRQRI=HS]HOFDZLWKDWH]ROL]XPDERUDWH]ROL]XPDEDQGK\DOXURQLGDVHWTMVZDV JUDQWHGSULRULW\UHYLHZE\)'$LQ-XQHDQGVXEVHTXHQWO\DSSURYHGLQ2FWREHUDVDILUVWOLQHPDLQWHQDQFH WUHDWPHQWIRUDGXOWVZLWKH[WHQVLYHVWDJH6&amp;/&amp;ZKRVHGLVHDVHKDVQRWSURJUHVVHGDIWHUILUVWOLQHLQGXFWLRQWKHUDS\ZLWK</w:t>
      </w:r>
    </w:p>
    <w:p>
      <w:pPr>
        <w:ind w:left="360"/>
        <w:spacing w:after="0"/>
        <w:rPr>
          <w:sz w:val="20"/>
          <w:szCs w:val="20"/>
          <w:color w:val="auto"/>
        </w:rPr>
      </w:pPr>
      <w:r>
        <w:rPr>
          <w:rFonts w:ascii="PMingLiU" w:cs="PMingLiU" w:eastAsia="PMingLiU" w:hAnsi="PMingLiU"/>
          <w:sz w:val="18"/>
          <w:szCs w:val="18"/>
          <w:color w:val="auto"/>
        </w:rPr>
        <w:t>DWH]ROL]XPDERUDWH]ROL]XPDEDQGK\DOXURQLGDVHWTMVFDUERSODWLQDQGHWRSRVLGH</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7"/>
          <w:szCs w:val="17"/>
          <w:b w:val="1"/>
          <w:bCs w:val="1"/>
          <w:color w:val="000046"/>
        </w:rPr>
        <w:t></w:t>
      </w:r>
      <w:r>
        <w:rPr>
          <w:sz w:val="20"/>
          <w:szCs w:val="20"/>
          <w:color w:val="auto"/>
        </w:rPr>
        <w:tab/>
      </w:r>
      <w:r>
        <w:rPr>
          <w:rFonts w:ascii="PMingLiU" w:cs="PMingLiU" w:eastAsia="PMingLiU" w:hAnsi="PMingLiU"/>
          <w:sz w:val="17"/>
          <w:szCs w:val="17"/>
          <w:color w:val="auto"/>
        </w:rPr>
        <w:t>)ROORZLQJWKH&amp;KLPHUL[$FTXLVLWLRQLQ$SULO0RGH\VRUHFHLYHG)'$DSSURYDOLQ$XJXVWDQGZDVVXEVHTXHQWO\</w:t>
      </w:r>
    </w:p>
    <w:p>
      <w:pPr>
        <w:spacing w:after="0" w:line="43" w:lineRule="exact"/>
        <w:rPr>
          <w:sz w:val="20"/>
          <w:szCs w:val="20"/>
          <w:color w:val="auto"/>
        </w:rPr>
      </w:pPr>
    </w:p>
    <w:p>
      <w:pPr>
        <w:ind w:left="360" w:right="160"/>
        <w:spacing w:after="0" w:line="422" w:lineRule="auto"/>
        <w:rPr>
          <w:sz w:val="20"/>
          <w:szCs w:val="20"/>
          <w:color w:val="auto"/>
        </w:rPr>
      </w:pPr>
      <w:r>
        <w:rPr>
          <w:rFonts w:ascii="PMingLiU" w:cs="PMingLiU" w:eastAsia="PMingLiU" w:hAnsi="PMingLiU"/>
          <w:sz w:val="14"/>
          <w:szCs w:val="14"/>
          <w:color w:val="auto"/>
        </w:rPr>
        <w:t>ODXQFKHGIRUWKHWUHDWPHQWRIDGXOWDQGSHGLDWULFSDWLHQWV\HDURIDJHDQGROGHUZLWKGLIIXVHPLGOLQHJOLRPDKDUERULQJDQ +.0PXWDWLRQZLWKSURJUHVVLYHGLVHDVHIROORZLQJSULRUWKHUDS\</w:t>
      </w:r>
    </w:p>
    <w:p>
      <w:pPr>
        <w:spacing w:after="0" w:line="1"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0RGH\VRDQG=HS]HOFDZHUHLQFOXGHGLQWKH1&amp;&amp;1&amp;OLQLFDO3UDFWLFH*XLGHOLQHVLQ2QFRORJ\LQ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$QQRXQFHGSRVLWLYHWRSOLQHUHVXOWVIURPWKH3KDVH+(5,=21*($WULDOVKRZLQJVWDWLVWLFDOO\VLJQLILFDQWDQGFOLQLFDOO\</w:t>
      </w:r>
    </w:p>
    <w:p>
      <w:pPr>
        <w:spacing w:after="0" w:line="67" w:lineRule="exact"/>
        <w:rPr>
          <w:sz w:val="20"/>
          <w:szCs w:val="20"/>
          <w:color w:val="auto"/>
        </w:rPr>
      </w:pPr>
    </w:p>
    <w:p>
      <w:pPr>
        <w:ind w:left="360" w:right="500"/>
        <w:spacing w:after="0" w:line="422" w:lineRule="auto"/>
        <w:rPr>
          <w:sz w:val="20"/>
          <w:szCs w:val="20"/>
          <w:color w:val="auto"/>
        </w:rPr>
      </w:pPr>
      <w:r>
        <w:rPr>
          <w:rFonts w:ascii="PMingLiU" w:cs="PMingLiU" w:eastAsia="PMingLiU" w:hAnsi="PMingLiU"/>
          <w:sz w:val="14"/>
          <w:szCs w:val="14"/>
          <w:color w:val="auto"/>
        </w:rPr>
        <w:t>PHDQLQJIXOSURJUHVVLRQIUHHVXUYLYDODQGRYHUDOOVXUYLYDOEHQHILWVIRU]DQLGDWDPDEDQGFKHPRWKHUDS\ZLWKRUZLWKRXW WLVOHOL]XPDELQ+(5SRVLWLYHORFDOO\DGYDQFHGRUPHWDVWDWLF*($</w:t>
      </w:r>
    </w:p>
    <w:p>
      <w:pPr>
        <w:spacing w:after="0" w:line="1"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,QLWLDWHG]DQLGDWDPDE3KDVH(PSRZ+(5%&amp;WULDOWRHYDOXDWH+(5SRVLWLYHQHRDGMXYDQWDQGDGMXYDQWEUHDVW</w:t>
      </w:r>
    </w:p>
    <w:p>
      <w:pPr>
        <w:spacing w:after="0" w:line="55"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FDQFHU</w:t>
      </w:r>
    </w:p>
    <w:p>
      <w:pPr>
        <w:spacing w:after="0" w:line="136"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,QLWLDWHGD3KDVHEWULDORI(SLGLROH[LQIRFDORQVHWVHL]XUHV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958850</wp:posOffset>
            </wp:positionV>
            <wp:extent cx="1386840" cy="2336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7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59" w:name="page60"/>
    <w:bookmarkEnd w:id="5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54" o:spid="_x0000_s1379"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1"/>
          <w:szCs w:val="21"/>
          <w:b w:val="1"/>
          <w:bCs w:val="1"/>
          <w:color w:val="000046"/>
        </w:rPr>
        <w:t>.H\)HDWXUHVRI2XU([HFXWLYH&amp;RPSHQVDWLRQ3URJUDP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160655</wp:posOffset>
                </wp:positionV>
                <wp:extent cx="3228340" cy="238125"/>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238125"/>
                        </a:xfrm>
                        <a:prstGeom prst="rect">
                          <a:avLst/>
                        </a:prstGeom>
                        <a:solidFill>
                          <a:srgbClr val="5C004D"/>
                        </a:solidFill>
                      </wps:spPr>
                      <wps:bodyPr/>
                    </wps:wsp>
                  </a:graphicData>
                </a:graphic>
              </wp:anchor>
            </w:drawing>
          </mc:Choice>
          <mc:Fallback>
            <w:pict>
              <v:rect id="Shape 355" o:spid="_x0000_s1380" style="position:absolute;margin-left:-0.0999pt;margin-top:12.65pt;width:254.2pt;height:1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004D" stroked="f"/>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160655</wp:posOffset>
                </wp:positionV>
                <wp:extent cx="3057525" cy="238125"/>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7525" cy="238125"/>
                        </a:xfrm>
                        <a:prstGeom prst="rect">
                          <a:avLst/>
                        </a:prstGeom>
                        <a:solidFill>
                          <a:srgbClr val="000046"/>
                        </a:solidFill>
                      </wps:spPr>
                      <wps:bodyPr/>
                    </wps:wsp>
                  </a:graphicData>
                </a:graphic>
              </wp:anchor>
            </w:drawing>
          </mc:Choice>
          <mc:Fallback>
            <w:pict>
              <v:rect id="Shape 356" o:spid="_x0000_s1381" style="position:absolute;margin-left:263.1pt;margin-top:12.65pt;width:240.75pt;height:1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46" stroked="f"/>
            </w:pict>
          </mc:Fallback>
        </mc:AlternateContent>
      </w:r>
    </w:p>
    <w:p>
      <w:pPr>
        <w:sectPr>
          <w:pgSz w:w="11880" w:h="15479" w:orient="portrait"/>
          <w:cols w:equalWidth="0" w:num="1">
            <w:col w:w="10120"/>
          </w:cols>
          <w:pgMar w:left="900" w:top="377" w:right="859" w:bottom="0" w:gutter="0" w:footer="0" w:header="0"/>
        </w:sectPr>
      </w:pPr>
    </w:p>
    <w:p>
      <w:pPr>
        <w:spacing w:after="0" w:line="295" w:lineRule="exact"/>
        <w:rPr>
          <w:sz w:val="20"/>
          <w:szCs w:val="20"/>
          <w:color w:val="auto"/>
        </w:rPr>
      </w:pPr>
    </w:p>
    <w:p>
      <w:pPr>
        <w:ind w:left="1960"/>
        <w:spacing w:after="0"/>
        <w:rPr>
          <w:sz w:val="20"/>
          <w:szCs w:val="20"/>
          <w:color w:val="auto"/>
        </w:rPr>
      </w:pPr>
      <w:r>
        <w:rPr>
          <w:rFonts w:ascii="PMingLiU" w:cs="PMingLiU" w:eastAsia="PMingLiU" w:hAnsi="PMingLiU"/>
          <w:sz w:val="20"/>
          <w:szCs w:val="20"/>
          <w:b w:val="1"/>
          <w:bCs w:val="1"/>
          <w:color w:val="FFFFFF"/>
        </w:rPr>
        <w:t>:KDW:H'R</w:t>
      </w:r>
    </w:p>
    <w:p>
      <w:pPr>
        <w:ind w:left="60"/>
        <w:spacing w:after="0" w:line="200" w:lineRule="auto"/>
        <w:rPr>
          <w:sz w:val="20"/>
          <w:szCs w:val="20"/>
          <w:color w:val="auto"/>
        </w:rPr>
      </w:pPr>
      <w:r>
        <w:rPr>
          <w:rFonts w:ascii="PMingLiU" w:cs="PMingLiU" w:eastAsia="PMingLiU" w:hAnsi="PMingLiU"/>
          <w:sz w:val="44"/>
          <w:szCs w:val="44"/>
          <w:color w:val="5C004D"/>
          <w:vertAlign w:val="subscript"/>
        </w:rPr>
        <w:t/>
      </w:r>
      <w:r>
        <w:rPr>
          <w:rFonts w:ascii="PMingLiU" w:cs="PMingLiU" w:eastAsia="PMingLiU" w:hAnsi="PMingLiU"/>
          <w:sz w:val="15"/>
          <w:szCs w:val="15"/>
          <w:color w:val="auto"/>
        </w:rPr>
        <w:t xml:space="preserve"> 'HVLJQH[HFXWLYHFRPSHQVDWLRQWRDOLJQSD\ZLWKSHUIRUPDQFH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8255</wp:posOffset>
                </wp:positionV>
                <wp:extent cx="322834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65pt" to="254.1pt,0.65pt" o:allowincell="f" strokecolor="#4454A7" strokeweight="0.25pt"/>
            </w:pict>
          </mc:Fallback>
        </mc:AlternateContent>
      </w:r>
    </w:p>
    <w:p>
      <w:pPr>
        <w:spacing w:after="0" w:line="36" w:lineRule="exact"/>
        <w:rPr>
          <w:sz w:val="20"/>
          <w:szCs w:val="20"/>
          <w:color w:val="auto"/>
        </w:rPr>
      </w:pPr>
    </w:p>
    <w:p>
      <w:pPr>
        <w:ind w:left="60"/>
        <w:spacing w:after="0"/>
        <w:rPr>
          <w:sz w:val="20"/>
          <w:szCs w:val="20"/>
          <w:color w:val="auto"/>
        </w:rPr>
      </w:pPr>
      <w:r>
        <w:rPr>
          <w:rFonts w:ascii="PMingLiU" w:cs="PMingLiU" w:eastAsia="PMingLiU" w:hAnsi="PMingLiU"/>
          <w:sz w:val="9"/>
          <w:szCs w:val="9"/>
          <w:color w:val="5C004D"/>
        </w:rPr>
        <w:t xml:space="preserve"> </w:t>
      </w:r>
      <w:r>
        <w:rPr>
          <w:rFonts w:ascii="PMingLiU" w:cs="PMingLiU" w:eastAsia="PMingLiU" w:hAnsi="PMingLiU"/>
          <w:sz w:val="11"/>
          <w:szCs w:val="11"/>
          <w:color w:val="000000"/>
          <w:vertAlign w:val="superscript"/>
        </w:rPr>
        <w:t>%DODQFHVKRUWWHUPDQGORQJWHUPLQFHQWLYHFRPSHQVDWLRQZLWK</w:t>
      </w:r>
      <w:r>
        <w:rPr>
          <w:rFonts w:ascii="PMingLiU" w:cs="PMingLiU" w:eastAsia="PMingLiU" w:hAnsi="PMingLiU"/>
          <w:sz w:val="11"/>
          <w:szCs w:val="11"/>
          <w:color w:val="000000"/>
          <w:vertAlign w:val="subscript"/>
        </w:rPr>
        <w:t>DPDMRULW\RIH[HFXWLYHFRPSHQVDWLRQEHLQJ³DWULVN´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231775</wp:posOffset>
                </wp:positionV>
                <wp:extent cx="322834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25pt" to="254.1pt,18.25pt" o:allowincell="f" strokecolor="#4454A7" strokeweight="0.25pt"/>
            </w:pict>
          </mc:Fallback>
        </mc:AlternateContent>
      </w:r>
    </w:p>
    <w:p>
      <w:pPr>
        <w:spacing w:after="0" w:line="388" w:lineRule="exact"/>
        <w:rPr>
          <w:sz w:val="20"/>
          <w:szCs w:val="20"/>
          <w:color w:val="auto"/>
        </w:rPr>
      </w:pPr>
    </w:p>
    <w:p>
      <w:pPr>
        <w:ind w:left="60"/>
        <w:spacing w:after="0"/>
        <w:rPr>
          <w:sz w:val="20"/>
          <w:szCs w:val="20"/>
          <w:color w:val="auto"/>
        </w:rPr>
      </w:pPr>
      <w:r>
        <w:rPr>
          <w:rFonts w:ascii="PMingLiU" w:cs="PMingLiU" w:eastAsia="PMingLiU" w:hAnsi="PMingLiU"/>
          <w:sz w:val="12"/>
          <w:szCs w:val="12"/>
          <w:color w:val="5C004D"/>
        </w:rPr>
        <w:t xml:space="preserve"> </w:t>
      </w:r>
      <w:r>
        <w:rPr>
          <w:rFonts w:ascii="PMingLiU" w:cs="PMingLiU" w:eastAsia="PMingLiU" w:hAnsi="PMingLiU"/>
          <w:sz w:val="14"/>
          <w:szCs w:val="14"/>
          <w:color w:val="000000"/>
          <w:vertAlign w:val="superscript"/>
        </w:rPr>
        <w:t>*UDQWHTXLW\DZDUGVWKDWYHVWEDVHGRQSHUIRUPDQFHJRDOVRYHU</w:t>
      </w:r>
      <w:r>
        <w:rPr>
          <w:rFonts w:ascii="PMingLiU" w:cs="PMingLiU" w:eastAsia="PMingLiU" w:hAnsi="PMingLiU"/>
          <w:sz w:val="14"/>
          <w:szCs w:val="14"/>
          <w:color w:val="000000"/>
          <w:vertAlign w:val="subscript"/>
        </w:rPr>
        <w:t>DPXOWL\HDUSHUIRUPDQFHSHULRG</w:t>
      </w:r>
    </w:p>
    <w:p>
      <w:pPr>
        <w:spacing w:after="0" w:line="101" w:lineRule="exact"/>
        <w:rPr>
          <w:sz w:val="20"/>
          <w:szCs w:val="20"/>
          <w:color w:val="auto"/>
        </w:rPr>
      </w:pPr>
    </w:p>
    <w:p>
      <w:pPr>
        <w:ind w:left="60"/>
        <w:spacing w:after="0"/>
        <w:rPr>
          <w:sz w:val="20"/>
          <w:szCs w:val="20"/>
          <w:color w:val="auto"/>
        </w:rPr>
      </w:pPr>
      <w:r>
        <w:rPr>
          <w:rFonts w:ascii="PMingLiU" w:cs="PMingLiU" w:eastAsia="PMingLiU" w:hAnsi="PMingLiU"/>
          <w:sz w:val="48"/>
          <w:szCs w:val="48"/>
          <w:color w:val="5C004D"/>
          <w:vertAlign w:val="subscript"/>
        </w:rPr>
        <w:t/>
      </w:r>
      <w:r>
        <w:rPr>
          <w:rFonts w:ascii="PMingLiU" w:cs="PMingLiU" w:eastAsia="PMingLiU" w:hAnsi="PMingLiU"/>
          <w:sz w:val="16"/>
          <w:szCs w:val="16"/>
          <w:color w:val="auto"/>
        </w:rPr>
        <w:t xml:space="preserve"> 0DLQWDLQH[HFXWLYHVKDUHRZQHUVKLSJXLGHOLQHV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-220345</wp:posOffset>
                </wp:positionV>
                <wp:extent cx="322834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7.3499pt" to="254.1pt,-17.3499pt" o:allowincell="f" strokecolor="#4454A7" strokeweight="0.25pt"/>
            </w:pict>
          </mc:Fallback>
        </mc:AlternateContent>
      </w:r>
    </w:p>
    <w:p>
      <w:pPr>
        <w:ind w:left="60"/>
        <w:spacing w:after="0" w:line="180" w:lineRule="auto"/>
        <w:rPr>
          <w:sz w:val="20"/>
          <w:szCs w:val="20"/>
          <w:color w:val="auto"/>
        </w:rPr>
      </w:pPr>
      <w:r>
        <w:rPr>
          <w:rFonts w:ascii="PMingLiU" w:cs="PMingLiU" w:eastAsia="PMingLiU" w:hAnsi="PMingLiU"/>
          <w:sz w:val="40"/>
          <w:szCs w:val="40"/>
          <w:color w:val="5C004D"/>
          <w:vertAlign w:val="subscript"/>
        </w:rPr>
        <w:t/>
      </w:r>
      <w:r>
        <w:rPr>
          <w:rFonts w:ascii="PMingLiU" w:cs="PMingLiU" w:eastAsia="PMingLiU" w:hAnsi="PMingLiU"/>
          <w:sz w:val="15"/>
          <w:szCs w:val="15"/>
          <w:color w:val="auto"/>
        </w:rPr>
        <w:t xml:space="preserve"> 3URYLGH³GRXEOHWULJJHU´&amp;,&amp;EHQHILWV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-220345</wp:posOffset>
                </wp:positionV>
                <wp:extent cx="322834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7.3499pt" to="254.1pt,-17.3499pt" o:allowincell="f" strokecolor="#4454A7" strokeweight="0.25pt"/>
            </w:pict>
          </mc:Fallback>
        </mc:AlternateContent>
      </w:r>
    </w:p>
    <w:p>
      <w:pPr>
        <w:ind w:left="60"/>
        <w:spacing w:after="0"/>
        <w:rPr>
          <w:sz w:val="20"/>
          <w:szCs w:val="20"/>
          <w:color w:val="auto"/>
        </w:rPr>
      </w:pPr>
      <w:r>
        <w:rPr>
          <w:rFonts w:ascii="PMingLiU" w:cs="PMingLiU" w:eastAsia="PMingLiU" w:hAnsi="PMingLiU"/>
          <w:sz w:val="32"/>
          <w:szCs w:val="32"/>
          <w:color w:val="5C004D"/>
          <w:vertAlign w:val="subscript"/>
        </w:rPr>
        <w:t/>
      </w:r>
      <w:r>
        <w:rPr>
          <w:rFonts w:ascii="PMingLiU" w:cs="PMingLiU" w:eastAsia="PMingLiU" w:hAnsi="PMingLiU"/>
          <w:sz w:val="13"/>
          <w:szCs w:val="13"/>
          <w:color w:val="auto"/>
        </w:rPr>
        <w:t xml:space="preserve"> 3URKLELWKHGJLQJDQGSOHGJLQJE\H[HFXWLYHRIILFHUVDQG</w:t>
      </w:r>
      <w:r>
        <w:rPr>
          <w:rFonts w:ascii="PMingLiU" w:cs="PMingLiU" w:eastAsia="PMingLiU" w:hAnsi="PMingLiU"/>
          <w:sz w:val="23"/>
          <w:szCs w:val="23"/>
          <w:color w:val="auto"/>
          <w:vertAlign w:val="subscript"/>
        </w:rPr>
        <w:t>GLUHFWRUV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-235585</wp:posOffset>
                </wp:positionV>
                <wp:extent cx="322834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5499pt" to="254.1pt,-18.5499pt" o:allowincell="f" strokecolor="#4454A7" strokeweight="0.25pt"/>
            </w:pict>
          </mc:Fallback>
        </mc:AlternateContent>
      </w:r>
    </w:p>
    <w:p>
      <w:pPr>
        <w:ind w:left="60"/>
        <w:spacing w:after="0" w:line="215" w:lineRule="auto"/>
        <w:rPr>
          <w:sz w:val="20"/>
          <w:szCs w:val="20"/>
          <w:color w:val="auto"/>
        </w:rPr>
      </w:pPr>
      <w:r>
        <w:rPr>
          <w:rFonts w:ascii="PMingLiU" w:cs="PMingLiU" w:eastAsia="PMingLiU" w:hAnsi="PMingLiU"/>
          <w:sz w:val="48"/>
          <w:szCs w:val="48"/>
          <w:color w:val="5C004D"/>
          <w:vertAlign w:val="subscript"/>
        </w:rPr>
        <w:t/>
      </w:r>
      <w:r>
        <w:rPr>
          <w:rFonts w:ascii="PMingLiU" w:cs="PMingLiU" w:eastAsia="PMingLiU" w:hAnsi="PMingLiU"/>
          <w:sz w:val="16"/>
          <w:szCs w:val="16"/>
          <w:color w:val="auto"/>
        </w:rPr>
        <w:t xml:space="preserve"> 0DLQWDLQDFODZEDFNSROLF\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-220345</wp:posOffset>
                </wp:positionV>
                <wp:extent cx="322834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7.3499pt" to="254.1pt,-17.3499pt" o:allowincell="f" strokecolor="#4454A7" strokeweight="0.2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7620</wp:posOffset>
                </wp:positionV>
                <wp:extent cx="322834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6pt" to="254.1pt,0.6pt" o:allowincell="f" strokecolor="#4454A7" strokeweight="0.25pt"/>
            </w:pict>
          </mc:Fallback>
        </mc:AlternateContent>
      </w:r>
    </w:p>
    <w:p>
      <w:pPr>
        <w:spacing w:after="0" w:line="36" w:lineRule="exact"/>
        <w:rPr>
          <w:sz w:val="20"/>
          <w:szCs w:val="20"/>
          <w:color w:val="auto"/>
        </w:rPr>
      </w:pPr>
    </w:p>
    <w:p>
      <w:pPr>
        <w:ind w:left="360" w:right="220" w:hanging="303"/>
        <w:spacing w:after="0" w:line="633" w:lineRule="auto"/>
        <w:rPr>
          <w:sz w:val="20"/>
          <w:szCs w:val="20"/>
          <w:color w:val="auto"/>
        </w:rPr>
      </w:pPr>
      <w:r>
        <w:rPr>
          <w:rFonts w:ascii="PMingLiU" w:cs="PMingLiU" w:eastAsia="PMingLiU" w:hAnsi="PMingLiU"/>
          <w:sz w:val="10"/>
          <w:szCs w:val="10"/>
          <w:color w:val="5C004D"/>
        </w:rPr>
        <w:t xml:space="preserve"> </w:t>
      </w:r>
      <w:r>
        <w:rPr>
          <w:rFonts w:ascii="PMingLiU" w:cs="PMingLiU" w:eastAsia="PMingLiU" w:hAnsi="PMingLiU"/>
          <w:sz w:val="11"/>
          <w:szCs w:val="11"/>
          <w:color w:val="000000"/>
          <w:vertAlign w:val="superscript"/>
        </w:rPr>
        <w:t>(VWDEOLVKWKUHVKROGDQGPD[LPXPOHYHOVRIDFKLHYHPHQWIRU</w:t>
      </w:r>
      <w:r>
        <w:rPr>
          <w:rFonts w:ascii="PMingLiU" w:cs="PMingLiU" w:eastAsia="PMingLiU" w:hAnsi="PMingLiU"/>
          <w:sz w:val="11"/>
          <w:szCs w:val="11"/>
          <w:color w:val="000000"/>
          <w:vertAlign w:val="subscript"/>
        </w:rPr>
        <w:t>SD\RXWVXQGHURXUSHUIRUPDQFHYHVWLQJHTXLW\DZDUGVDQG</w:t>
      </w:r>
      <w:r>
        <w:rPr>
          <w:rFonts w:ascii="PMingLiU" w:cs="PMingLiU" w:eastAsia="PMingLiU" w:hAnsi="PMingLiU"/>
          <w:sz w:val="10"/>
          <w:szCs w:val="10"/>
          <w:color w:val="5C004D"/>
        </w:rPr>
        <w:t xml:space="preserve"> </w:t>
      </w:r>
      <w:r>
        <w:rPr>
          <w:rFonts w:ascii="PMingLiU" w:cs="PMingLiU" w:eastAsia="PMingLiU" w:hAnsi="PMingLiU"/>
          <w:sz w:val="9"/>
          <w:szCs w:val="9"/>
          <w:color w:val="000000"/>
        </w:rPr>
        <w:t>PD[LPXPOHYHOVRIDFKLHYHPHQWIRUSD\RXWVXQGHURXUDQQXDO SHUIRUPDQFHERQXVSODQLQFOXGLQJDQRYHUDOOFDSRQLQGLYLGXDO SD\RXWDPRXQWV</w:t>
      </w:r>
    </w:p>
    <w:p>
      <w:pPr>
        <w:spacing w:after="0" w:line="55" w:lineRule="exact"/>
        <w:rPr>
          <w:sz w:val="20"/>
          <w:szCs w:val="20"/>
          <w:color w:val="auto"/>
        </w:rPr>
      </w:pPr>
    </w:p>
    <w:p>
      <w:pPr>
        <w:ind w:left="60"/>
        <w:spacing w:after="0"/>
        <w:rPr>
          <w:sz w:val="20"/>
          <w:szCs w:val="20"/>
          <w:color w:val="auto"/>
        </w:rPr>
      </w:pPr>
      <w:r>
        <w:rPr>
          <w:rFonts w:ascii="PMingLiU" w:cs="PMingLiU" w:eastAsia="PMingLiU" w:hAnsi="PMingLiU"/>
          <w:sz w:val="38"/>
          <w:szCs w:val="38"/>
          <w:color w:val="5C004D"/>
          <w:vertAlign w:val="subscript"/>
        </w:rPr>
        <w:t/>
      </w:r>
      <w:r>
        <w:rPr>
          <w:rFonts w:ascii="PMingLiU" w:cs="PMingLiU" w:eastAsia="PMingLiU" w:hAnsi="PMingLiU"/>
          <w:sz w:val="14"/>
          <w:szCs w:val="14"/>
          <w:color w:val="auto"/>
        </w:rPr>
        <w:t xml:space="preserve"> +DYHLQGHSHQGHQWGLUHFWRUVRQRXU&amp;RPSHQVDWLRQ</w:t>
      </w:r>
      <w:r>
        <w:rPr>
          <w:rFonts w:ascii="PMingLiU" w:cs="PMingLiU" w:eastAsia="PMingLiU" w:hAnsi="PMingLiU"/>
          <w:sz w:val="26"/>
          <w:szCs w:val="26"/>
          <w:color w:val="auto"/>
          <w:vertAlign w:val="subscript"/>
        </w:rPr>
        <w:t>&amp;RPPLWWHH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-258445</wp:posOffset>
                </wp:positionV>
                <wp:extent cx="322834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0.3499pt" to="254.1pt,-20.3499pt" o:allowincell="f" strokecolor="#4454A7" strokeweight="0.2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83820</wp:posOffset>
                </wp:positionV>
                <wp:extent cx="322834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6pt" to="254.1pt,6.6pt" o:allowincell="f" strokecolor="#4454A7" strokeweight="0.25pt"/>
            </w:pict>
          </mc:Fallback>
        </mc:AlternateContent>
      </w:r>
    </w:p>
    <w:p>
      <w:pPr>
        <w:spacing w:after="0" w:line="155" w:lineRule="exact"/>
        <w:rPr>
          <w:sz w:val="20"/>
          <w:szCs w:val="20"/>
          <w:color w:val="auto"/>
        </w:rPr>
      </w:pPr>
    </w:p>
    <w:p>
      <w:pPr>
        <w:ind w:left="60"/>
        <w:spacing w:after="0"/>
        <w:rPr>
          <w:sz w:val="20"/>
          <w:szCs w:val="20"/>
          <w:color w:val="auto"/>
        </w:rPr>
      </w:pPr>
      <w:r>
        <w:rPr>
          <w:rFonts w:ascii="PMingLiU" w:cs="PMingLiU" w:eastAsia="PMingLiU" w:hAnsi="PMingLiU"/>
          <w:sz w:val="11"/>
          <w:szCs w:val="11"/>
          <w:color w:val="5C004D"/>
        </w:rPr>
        <w:t xml:space="preserve"> </w:t>
      </w:r>
      <w:r>
        <w:rPr>
          <w:rFonts w:ascii="PMingLiU" w:cs="PMingLiU" w:eastAsia="PMingLiU" w:hAnsi="PMingLiU"/>
          <w:sz w:val="13"/>
          <w:szCs w:val="13"/>
          <w:color w:val="000000"/>
          <w:vertAlign w:val="superscript"/>
        </w:rPr>
        <w:t>5HWDLQLQGHSHQGHQWFRPSHQVDWLRQFRQVXOWDQWZKRUHSRUWVGLUHFWO\</w:t>
      </w:r>
      <w:r>
        <w:rPr>
          <w:rFonts w:ascii="PMingLiU" w:cs="PMingLiU" w:eastAsia="PMingLiU" w:hAnsi="PMingLiU"/>
          <w:sz w:val="13"/>
          <w:szCs w:val="13"/>
          <w:color w:val="000000"/>
          <w:vertAlign w:val="subscript"/>
        </w:rPr>
        <w:t>WRRXU&amp;RPSHQVDWLRQ&amp;RPPLWWHH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216535</wp:posOffset>
                </wp:positionV>
                <wp:extent cx="322834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7.05pt" to="254.1pt,17.05pt" o:allowincell="f" strokecolor="#4454A7" strokeweight="0.25pt"/>
            </w:pict>
          </mc:Fallback>
        </mc:AlternateContent>
      </w:r>
    </w:p>
    <w:p>
      <w:pPr>
        <w:spacing w:after="0" w:line="364" w:lineRule="exact"/>
        <w:rPr>
          <w:sz w:val="20"/>
          <w:szCs w:val="20"/>
          <w:color w:val="auto"/>
        </w:rPr>
      </w:pPr>
    </w:p>
    <w:p>
      <w:pPr>
        <w:ind w:left="60"/>
        <w:spacing w:after="0"/>
        <w:rPr>
          <w:sz w:val="20"/>
          <w:szCs w:val="20"/>
          <w:color w:val="auto"/>
        </w:rPr>
      </w:pPr>
      <w:r>
        <w:rPr>
          <w:rFonts w:ascii="PMingLiU" w:cs="PMingLiU" w:eastAsia="PMingLiU" w:hAnsi="PMingLiU"/>
          <w:sz w:val="12"/>
          <w:szCs w:val="12"/>
          <w:color w:val="5C004D"/>
        </w:rPr>
        <w:t xml:space="preserve"> </w:t>
      </w:r>
      <w:r>
        <w:rPr>
          <w:rFonts w:ascii="PMingLiU" w:cs="PMingLiU" w:eastAsia="PMingLiU" w:hAnsi="PMingLiU"/>
          <w:sz w:val="14"/>
          <w:szCs w:val="14"/>
          <w:color w:val="000000"/>
          <w:vertAlign w:val="superscript"/>
        </w:rPr>
        <w:t>2XU&amp;RPSHQVDWLRQ&amp;RPPLWWHHPHHWVUHJXODUO\LQH[HFXWLYH</w:t>
      </w:r>
      <w:r>
        <w:rPr>
          <w:rFonts w:ascii="PMingLiU" w:cs="PMingLiU" w:eastAsia="PMingLiU" w:hAnsi="PMingLiU"/>
          <w:sz w:val="14"/>
          <w:szCs w:val="14"/>
          <w:color w:val="000000"/>
          <w:vertAlign w:val="subscript"/>
        </w:rPr>
        <w:t>VHVVLRQZLWKRXWPDQDJHPHQWSUHVHQW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208915</wp:posOffset>
                </wp:positionV>
                <wp:extent cx="322834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8340" cy="4763"/>
                        </a:xfrm>
                        <a:prstGeom prst="line">
                          <a:avLst/>
                        </a:prstGeom>
                        <a:solidFill>
                          <a:srgbClr val="FFFFFF"/>
                        </a:solidFill>
                        <a:ln w="12700">
                          <a:solidFill>
                            <a:srgbClr val="5C004D"/>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45pt" to="254.1pt,16.45pt" o:allowincell="f" strokecolor="#5C004D" strokeweight="1pt"/>
            </w:pict>
          </mc:Fallback>
        </mc:AlternateConten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80"/>
        <w:spacing w:after="0"/>
        <w:rPr>
          <w:sz w:val="20"/>
          <w:szCs w:val="20"/>
          <w:color w:val="auto"/>
        </w:rPr>
      </w:pPr>
      <w:r>
        <w:rPr>
          <w:rFonts w:ascii="PMingLiU" w:cs="PMingLiU" w:eastAsia="PMingLiU" w:hAnsi="PMingLiU"/>
          <w:sz w:val="20"/>
          <w:szCs w:val="20"/>
          <w:b w:val="1"/>
          <w:bCs w:val="1"/>
          <w:color w:val="FFFFFF"/>
        </w:rPr>
        <w:t>:KDW:H'RQ¶W'R</w:t>
      </w:r>
    </w:p>
    <w:p>
      <w:pPr>
        <w:spacing w:after="0" w:line="183" w:lineRule="auto"/>
        <w:rPr>
          <w:sz w:val="20"/>
          <w:szCs w:val="20"/>
          <w:color w:val="auto"/>
        </w:rPr>
      </w:pPr>
      <w:r>
        <w:rPr>
          <w:rFonts w:ascii="PMingLiU" w:cs="PMingLiU" w:eastAsia="PMingLiU" w:hAnsi="PMingLiU"/>
          <w:sz w:val="48"/>
          <w:szCs w:val="48"/>
          <w:color w:val="000046"/>
          <w:vertAlign w:val="subscript"/>
        </w:rPr>
        <w:t/>
      </w:r>
      <w:r>
        <w:rPr>
          <w:rFonts w:ascii="PMingLiU" w:cs="PMingLiU" w:eastAsia="PMingLiU" w:hAnsi="PMingLiU"/>
          <w:sz w:val="16"/>
          <w:szCs w:val="16"/>
          <w:color w:val="auto"/>
        </w:rPr>
        <w:t xml:space="preserve"> 1RH[FHVVLYH&amp;,&amp;RUVHYHUDQFHDUUDQJHPHQWV</w:t>
      </w:r>
    </w:p>
    <w:p>
      <w:pPr>
        <w:spacing w:after="0" w:line="181" w:lineRule="auto"/>
        <w:rPr>
          <w:sz w:val="20"/>
          <w:szCs w:val="20"/>
          <w:color w:val="auto"/>
        </w:rPr>
      </w:pPr>
      <w:r>
        <w:rPr>
          <w:rFonts w:ascii="PMingLiU" w:cs="PMingLiU" w:eastAsia="PMingLiU" w:hAnsi="PMingLiU"/>
          <w:sz w:val="40"/>
          <w:szCs w:val="40"/>
          <w:color w:val="000046"/>
          <w:vertAlign w:val="subscript"/>
        </w:rPr>
        <w:t/>
      </w:r>
      <w:r>
        <w:rPr>
          <w:rFonts w:ascii="PMingLiU" w:cs="PMingLiU" w:eastAsia="PMingLiU" w:hAnsi="PMingLiU"/>
          <w:sz w:val="15"/>
          <w:szCs w:val="15"/>
          <w:color w:val="auto"/>
        </w:rPr>
        <w:t xml:space="preserve"> 1R³VLQJOHWULJJHU´FDVKRUHTXLW\&amp;,&amp;EHQHILWV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-220345</wp:posOffset>
                </wp:positionV>
                <wp:extent cx="305689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7.3499pt" to="236.85pt,-17.3499pt" o:allowincell="f" strokecolor="#4454A7" strokeweight="0.25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121920</wp:posOffset>
                </wp:positionV>
                <wp:extent cx="305689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9.6pt" to="236.85pt,9.6pt" o:allowincell="f" strokecolor="#4454A7" strokeweight="0.25pt"/>
            </w:pict>
          </mc:Fallback>
        </mc:AlternateContent>
      </w:r>
    </w:p>
    <w:p>
      <w:pPr>
        <w:spacing w:after="0" w:line="215" w:lineRule="exact"/>
        <w:rPr>
          <w:sz w:val="20"/>
          <w:szCs w:val="20"/>
          <w:color w:val="auto"/>
        </w:rPr>
      </w:pPr>
    </w:p>
    <w:p>
      <w:pPr>
        <w:spacing w:after="0"/>
        <w:rPr>
          <w:sz w:val="20"/>
          <w:szCs w:val="20"/>
          <w:color w:val="auto"/>
        </w:rPr>
      </w:pPr>
      <w:r>
        <w:rPr>
          <w:rFonts w:ascii="PMingLiU" w:cs="PMingLiU" w:eastAsia="PMingLiU" w:hAnsi="PMingLiU"/>
          <w:sz w:val="12"/>
          <w:szCs w:val="12"/>
          <w:color w:val="000046"/>
        </w:rPr>
        <w:t xml:space="preserve"> </w:t>
      </w:r>
      <w:r>
        <w:rPr>
          <w:rFonts w:ascii="PMingLiU" w:cs="PMingLiU" w:eastAsia="PMingLiU" w:hAnsi="PMingLiU"/>
          <w:sz w:val="15"/>
          <w:szCs w:val="15"/>
          <w:color w:val="000000"/>
          <w:vertAlign w:val="superscript"/>
        </w:rPr>
        <w:t>1RUHSULFLQJRIXQGHUZDWHUVWRFNRSWLRQVZLWKRXWSULRU</w:t>
      </w:r>
      <w:r>
        <w:rPr>
          <w:rFonts w:ascii="PMingLiU" w:cs="PMingLiU" w:eastAsia="PMingLiU" w:hAnsi="PMingLiU"/>
          <w:sz w:val="15"/>
          <w:szCs w:val="15"/>
          <w:color w:val="000000"/>
          <w:vertAlign w:val="subscript"/>
        </w:rPr>
        <w:t>VKDUHKROGHUDSSURYDO</w:t>
      </w:r>
    </w:p>
    <w:p>
      <w:pPr>
        <w:spacing w:after="0" w:line="89" w:lineRule="exact"/>
        <w:rPr>
          <w:sz w:val="20"/>
          <w:szCs w:val="20"/>
          <w:color w:val="auto"/>
        </w:rPr>
      </w:pPr>
    </w:p>
    <w:p>
      <w:pPr>
        <w:spacing w:after="0"/>
        <w:rPr>
          <w:sz w:val="20"/>
          <w:szCs w:val="20"/>
          <w:color w:val="auto"/>
        </w:rPr>
      </w:pPr>
      <w:r>
        <w:rPr>
          <w:rFonts w:ascii="PMingLiU" w:cs="PMingLiU" w:eastAsia="PMingLiU" w:hAnsi="PMingLiU"/>
          <w:sz w:val="48"/>
          <w:szCs w:val="48"/>
          <w:color w:val="000046"/>
          <w:vertAlign w:val="subscript"/>
        </w:rPr>
        <w:t/>
      </w:r>
      <w:r>
        <w:rPr>
          <w:rFonts w:ascii="PMingLiU" w:cs="PMingLiU" w:eastAsia="PMingLiU" w:hAnsi="PMingLiU"/>
          <w:sz w:val="16"/>
          <w:szCs w:val="16"/>
          <w:color w:val="auto"/>
        </w:rPr>
        <w:t xml:space="preserve"> 1RH[FHVVLYHSHUTXLVLWHV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-220345</wp:posOffset>
                </wp:positionV>
                <wp:extent cx="305689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7.3499pt" to="236.85pt,-17.3499pt" o:allowincell="f" strokecolor="#4454A7" strokeweight="0.25pt"/>
            </w:pict>
          </mc:Fallback>
        </mc:AlternateContent>
      </w:r>
    </w:p>
    <w:p>
      <w:pPr>
        <w:spacing w:after="0" w:line="180" w:lineRule="auto"/>
        <w:rPr>
          <w:sz w:val="20"/>
          <w:szCs w:val="20"/>
          <w:color w:val="auto"/>
        </w:rPr>
      </w:pPr>
      <w:r>
        <w:rPr>
          <w:rFonts w:ascii="PMingLiU" w:cs="PMingLiU" w:eastAsia="PMingLiU" w:hAnsi="PMingLiU"/>
          <w:sz w:val="40"/>
          <w:szCs w:val="40"/>
          <w:color w:val="000046"/>
          <w:vertAlign w:val="subscript"/>
        </w:rPr>
        <w:t/>
      </w:r>
      <w:r>
        <w:rPr>
          <w:rFonts w:ascii="PMingLiU" w:cs="PMingLiU" w:eastAsia="PMingLiU" w:hAnsi="PMingLiU"/>
          <w:sz w:val="15"/>
          <w:szCs w:val="15"/>
          <w:color w:val="auto"/>
        </w:rPr>
        <w:t xml:space="preserve"> 1RWD[JURVVXSVRQVHYHUDQFHRU&amp;,&amp;EHQHILWV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-220345</wp:posOffset>
                </wp:positionV>
                <wp:extent cx="305689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7.3499pt" to="236.85pt,-17.3499pt" o:allowincell="f" strokecolor="#4454A7" strokeweight="0.25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7620</wp:posOffset>
                </wp:positionV>
                <wp:extent cx="305689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0.6pt" to="236.85pt,0.6pt" o:allowincell="f" strokecolor="#4454A7" strokeweight="0.25pt"/>
            </w:pict>
          </mc:Fallback>
        </mc:AlternateContent>
      </w:r>
    </w:p>
    <w:p>
      <w:pPr>
        <w:spacing w:after="0" w:line="36" w:lineRule="exact"/>
        <w:rPr>
          <w:sz w:val="20"/>
          <w:szCs w:val="20"/>
          <w:color w:val="auto"/>
        </w:rPr>
      </w:pPr>
    </w:p>
    <w:p>
      <w:pPr>
        <w:spacing w:after="0"/>
        <w:rPr>
          <w:sz w:val="20"/>
          <w:szCs w:val="20"/>
          <w:color w:val="auto"/>
        </w:rPr>
      </w:pPr>
      <w:r>
        <w:rPr>
          <w:rFonts w:ascii="PMingLiU" w:cs="PMingLiU" w:eastAsia="PMingLiU" w:hAnsi="PMingLiU"/>
          <w:sz w:val="9"/>
          <w:szCs w:val="9"/>
          <w:color w:val="000046"/>
        </w:rPr>
        <w:t xml:space="preserve"> </w:t>
      </w:r>
      <w:r>
        <w:rPr>
          <w:rFonts w:ascii="PMingLiU" w:cs="PMingLiU" w:eastAsia="PMingLiU" w:hAnsi="PMingLiU"/>
          <w:sz w:val="11"/>
          <w:szCs w:val="11"/>
          <w:color w:val="000000"/>
          <w:vertAlign w:val="superscript"/>
        </w:rPr>
        <w:t>1RSRVWWHUPLQDWLRQUHWLUHPHQWRUSHQVLRQEHQHILWVWKDWDUH</w:t>
      </w:r>
      <w:r>
        <w:rPr>
          <w:rFonts w:ascii="PMingLiU" w:cs="PMingLiU" w:eastAsia="PMingLiU" w:hAnsi="PMingLiU"/>
          <w:sz w:val="11"/>
          <w:szCs w:val="11"/>
          <w:color w:val="000000"/>
          <w:vertAlign w:val="subscript"/>
        </w:rPr>
        <w:t>QRWDYDLODEOHWRHPSOR\HHVJHQHUDOO\</w:t>
      </w:r>
    </w:p>
    <w:p>
      <w:pPr>
        <w:spacing w:after="0" w:line="185" w:lineRule="exact"/>
        <w:rPr>
          <w:sz w:val="20"/>
          <w:szCs w:val="20"/>
          <w:color w:val="auto"/>
        </w:rPr>
      </w:pPr>
    </w:p>
    <w:p>
      <w:pPr>
        <w:spacing w:after="0"/>
        <w:rPr>
          <w:sz w:val="20"/>
          <w:szCs w:val="20"/>
          <w:color w:val="auto"/>
        </w:rPr>
      </w:pPr>
      <w:r>
        <w:rPr>
          <w:rFonts w:ascii="PMingLiU" w:cs="PMingLiU" w:eastAsia="PMingLiU" w:hAnsi="PMingLiU"/>
          <w:sz w:val="44"/>
          <w:szCs w:val="44"/>
          <w:color w:val="000046"/>
          <w:vertAlign w:val="subscript"/>
        </w:rPr>
        <w:t/>
      </w:r>
      <w:r>
        <w:rPr>
          <w:rFonts w:ascii="PMingLiU" w:cs="PMingLiU" w:eastAsia="PMingLiU" w:hAnsi="PMingLiU"/>
          <w:sz w:val="15"/>
          <w:szCs w:val="15"/>
          <w:color w:val="auto"/>
        </w:rPr>
        <w:t xml:space="preserve"> 1RJXDUDQWHHGERQXVHVRUEDVHVDODU\LQFUHDVHV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-220345</wp:posOffset>
                </wp:positionV>
                <wp:extent cx="305689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7.3499pt" to="236.85pt,-17.3499pt" o:allowincell="f" strokecolor="#4454A7" strokeweight="0.25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7620</wp:posOffset>
                </wp:positionV>
                <wp:extent cx="305689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6890" cy="4763"/>
                        </a:xfrm>
                        <a:prstGeom prst="line">
                          <a:avLst/>
                        </a:prstGeom>
                        <a:solidFill>
                          <a:srgbClr val="FFFFFF"/>
                        </a:solidFill>
                        <a:ln w="12700">
                          <a:solidFill>
                            <a:srgbClr val="000046"/>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0.6pt" to="236.85pt,0.6pt" o:allowincell="f" strokecolor="#000046" strokeweight="1pt"/>
            </w:pict>
          </mc:Fallback>
        </mc:AlternateContent>
      </w:r>
    </w:p>
    <w:p>
      <w:pPr>
        <w:spacing w:after="0" w:line="2598" w:lineRule="exact"/>
        <w:rPr>
          <w:sz w:val="20"/>
          <w:szCs w:val="20"/>
          <w:color w:val="auto"/>
        </w:rPr>
      </w:pPr>
    </w:p>
    <w:p>
      <w:pPr>
        <w:sectPr>
          <w:pgSz w:w="11880" w:h="15479" w:orient="portrait"/>
          <w:cols w:equalWidth="0" w:num="2">
            <w:col w:w="5000" w:space="340"/>
            <w:col w:w="4780"/>
          </w:cols>
          <w:pgMar w:left="900" w:top="377" w:right="859" w:bottom="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3D\IRU3HUIRUPDQFH2YHUYLHZ</w:t>
      </w:r>
    </w:p>
    <w:p>
      <w:pPr>
        <w:spacing w:after="0" w:line="191" w:lineRule="exact"/>
        <w:rPr>
          <w:sz w:val="20"/>
          <w:szCs w:val="20"/>
          <w:color w:val="auto"/>
        </w:rPr>
      </w:pPr>
    </w:p>
    <w:p>
      <w:pPr>
        <w:ind w:right="200"/>
        <w:spacing w:after="0" w:line="376" w:lineRule="auto"/>
        <w:rPr>
          <w:sz w:val="20"/>
          <w:szCs w:val="20"/>
          <w:color w:val="auto"/>
        </w:rPr>
      </w:pPr>
      <w:r>
        <w:rPr>
          <w:rFonts w:ascii="PMingLiU" w:cs="PMingLiU" w:eastAsia="PMingLiU" w:hAnsi="PMingLiU"/>
          <w:sz w:val="14"/>
          <w:szCs w:val="14"/>
          <w:color w:val="auto"/>
        </w:rPr>
        <w:t>$VGLVFXVVHGWKURXJKRXWWKLV&amp;RPSHQVDWLRQ'LVFXVVLRQDQG$QDO\VLVRXUH[HFXWLYHFRPSHQVDWLRQSURJUDPLVGHVLJQHGWR DOLJQH[HFXWLYHSD\ZLWKWKHDFKLHYHPHQWRIRXUPRVWFULWLFDOILQDQFLDODQGVWUDWHJLFREMHFWLYHVDQGWKHFUHDWLRQRIORQJWHUP VXVWDLQDEOHVKDUHKROGHUYDOXH7KHIROORZLQJFRPSHQVDWLRQSD\RXWVZHUHGLUHFWO\LPSDFWHGE\RXUDFKLHYHPHQWRISUH HVWDEOLVKHGILQDQFLDODQGVWUDWHJLFJRDOV</w:t>
      </w:r>
    </w:p>
    <w:p>
      <w:pPr>
        <w:spacing w:after="0" w:line="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$QQXDO3HUIRUPDQFH%RQXV</w:t>
      </w:r>
    </w:p>
    <w:p>
      <w:pPr>
        <w:spacing w:after="0" w:line="126"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 xml:space="preserve">2XUDQQXDOERQXVSURJUDPSURYLGHVIRUDFDVKERQXVEDVHGRQWKHDFKLHYHPHQWRISUHHVWDEOLVKHGFRUSRUDWHREMHFWLYHV DVGHWHUPLQHGE\RXU&amp;RPSHQVDWLRQ&amp;RPPLWWHHDQGUHIOHFWVWKHLQGLYLGXDO1(2¶VFRQWULEXWLRQVWRZDUGVXFKDFKLHYHPHQWV 7KLVSURJUDPLVGHVFULEHGLQPRUHGHWDLOEHORZXQGHU³ </w:t>
      </w:r>
      <w:r>
        <w:rPr>
          <w:rFonts w:ascii="PMingLiU" w:cs="PMingLiU" w:eastAsia="PMingLiU" w:hAnsi="PMingLiU"/>
          <w:sz w:val="15"/>
          <w:szCs w:val="15"/>
          <w:i w:val="1"/>
          <w:iCs w:val="1"/>
          <w:color w:val="auto"/>
        </w:rPr>
        <w:t> !,8-583(4*,54;9!85.8(3</w:t>
      </w:r>
      <w:r>
        <w:rPr>
          <w:rFonts w:ascii="PMingLiU" w:cs="PMingLiU" w:eastAsia="PMingLiU" w:hAnsi="PMingLiU"/>
          <w:sz w:val="15"/>
          <w:szCs w:val="15"/>
          <w:color w:val="auto"/>
        </w:rPr>
        <w:t>´2XUSHUIRUPDQFHGXULQJ DJDLQVWWKHERQXVSODQFRUSRUDWHREMHFWLYHVUHVXOWHGLQDFKLHYHPHQWDWRIWDUJHW</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/RQJ7HUP,QFHQWLYH</w:t>
      </w:r>
    </w:p>
    <w:p>
      <w:pPr>
        <w:spacing w:after="0" w:line="126" w:lineRule="exact"/>
        <w:rPr>
          <w:sz w:val="20"/>
          <w:szCs w:val="20"/>
          <w:color w:val="auto"/>
        </w:rPr>
      </w:pPr>
    </w:p>
    <w:p>
      <w:pPr>
        <w:ind w:right="260"/>
        <w:spacing w:after="0" w:line="323" w:lineRule="auto"/>
        <w:rPr>
          <w:sz w:val="20"/>
          <w:szCs w:val="20"/>
          <w:color w:val="auto"/>
        </w:rPr>
      </w:pPr>
      <w:r>
        <w:rPr>
          <w:rFonts w:ascii="PMingLiU" w:cs="PMingLiU" w:eastAsia="PMingLiU" w:hAnsi="PMingLiU"/>
          <w:sz w:val="17"/>
          <w:szCs w:val="17"/>
          <w:color w:val="auto"/>
        </w:rPr>
        <w:t>2XUDQQXDOORQJWHUPLQFHQWLYHSURJUDPFRQVLVWHGRI568VDQG368VWKDWDUHHOLJLEOHWRYHVWEDVHGRQSUH HVWDEOLVKHGSHUIRUPDQFHJRDOVPHDVXUHGRYHUDPXOWL\HDUSHUIRUPDQFHSHULRG</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/RQJ7HUP,QFHQWLYH3D\RXWV</w:t>
      </w:r>
    </w:p>
    <w:p>
      <w:pPr>
        <w:spacing w:after="0" w:line="126" w:lineRule="exact"/>
        <w:rPr>
          <w:sz w:val="20"/>
          <w:szCs w:val="20"/>
          <w:color w:val="auto"/>
        </w:rPr>
      </w:pPr>
    </w:p>
    <w:p>
      <w:pPr>
        <w:ind w:right="40"/>
        <w:spacing w:after="0" w:line="306" w:lineRule="auto"/>
        <w:rPr>
          <w:sz w:val="20"/>
          <w:szCs w:val="20"/>
          <w:color w:val="auto"/>
        </w:rPr>
      </w:pPr>
      <w:r>
        <w:rPr>
          <w:rFonts w:ascii="PMingLiU" w:cs="PMingLiU" w:eastAsia="PMingLiU" w:hAnsi="PMingLiU"/>
          <w:sz w:val="16"/>
          <w:szCs w:val="16"/>
          <w:color w:val="auto"/>
        </w:rPr>
        <w:t>7KH368VJUDQWHGIRUWKHSHUIRUPDQFHSHULRGSURYLGHGVHQLRUH[HFXWLYHVZLWKWKHRSSRUWXQLW\WRHDUQVKDUH DZDUGVEDVHGRQDPL[RIFRPPHUFLDOILQDQFLDODQGGHYHORSPHQWJRDOVPHDVXUHGIURP-DQXDU\WKURXJK'HFHPEHU PRGLILHGE\D765UDQNLQJYHUVXVSHHUVPHDVXUHGGXULQJWKHVDPHSHULRG%DVHGRQWKHDFKLHYHPHQWRIWKH FRPPHUFLDOILQDQFLDODQGGHYHORSPHQWREMHFWLYHVWKHSUHOLPLQDU\SD\RXWZDVRIWDUJHW+RZHYHURXU765UDQNHGLQWKH WKSHUFHQWLOHDJDLQVWSHHUVZKLFKUHGXFHGWKHSD\RXWE\EDVHGRQWKHVFKHGXOHWKDWZDVHVWDEOLVKHGE\RXU &amp;RPSHQVDWLRQ&amp;RPPLWWHHDWWKHWLPHRIJUDQW$VDUHVXOWWKHILQDOSD\RXWRIWKH368DZDUGF\FOHZDVRI WDUJHW$GGLWLRQDOGHWDLOVDERXWRXU368SURJUDPDQGWKH368DZDUGF\FOHDUHSURYLGHGEHORZXQGHU</w:t>
      </w:r>
      <w:r>
        <w:rPr>
          <w:rFonts w:ascii="PMingLiU" w:cs="PMingLiU" w:eastAsia="PMingLiU" w:hAnsi="PMingLiU"/>
          <w:sz w:val="16"/>
          <w:szCs w:val="16"/>
          <w:i w:val="1"/>
          <w:iCs w:val="1"/>
          <w:color w:val="auto"/>
        </w:rPr>
        <w:t>E5(29-58</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(4+*/0,&lt;,3,4:5-  !,8-583(4*,(9,+536,49(:054  A  !#%!85.8(3F</w:t>
      </w:r>
      <w:r>
        <w:rPr>
          <w:rFonts w:ascii="PMingLiU" w:cs="PMingLiU" w:eastAsia="PMingLiU" w:hAnsi="PMingLiU"/>
          <w:sz w:val="16"/>
          <w:szCs w:val="16"/>
          <w:color w:val="auto"/>
        </w:rPr>
        <w:t>DQG</w:t>
      </w:r>
      <w:r>
        <w:rPr>
          <w:rFonts w:ascii="PMingLiU" w:cs="PMingLiU" w:eastAsia="PMingLiU" w:hAnsi="PMingLiU"/>
          <w:sz w:val="16"/>
          <w:szCs w:val="16"/>
          <w:i w:val="1"/>
          <w:iCs w:val="1"/>
          <w:color w:val="auto"/>
        </w:rPr>
        <w:t>E  536,49(:054 ,*090549-58 ;8 9 54*2;90545-!,8-583(4*,!,805+-58  !#%9F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100965</wp:posOffset>
            </wp:positionV>
            <wp:extent cx="1389380" cy="2343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74">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138"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type w:val="continuous"/>
        </w:sectPr>
      </w:pPr>
    </w:p>
    <w:bookmarkStart w:id="60" w:name="page61"/>
    <w:bookmarkEnd w:id="60"/>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76" o:spid="_x0000_s1401"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6SHFLDO&amp;RPSHQVDWLRQ&amp;RQVLGHUDWLRQVIRU0U&amp;R]DGG</w:t>
      </w:r>
    </w:p>
    <w:p>
      <w:pPr>
        <w:spacing w:after="0" w:line="126" w:lineRule="exact"/>
        <w:rPr>
          <w:sz w:val="20"/>
          <w:szCs w:val="20"/>
          <w:color w:val="auto"/>
        </w:rPr>
      </w:pPr>
    </w:p>
    <w:p>
      <w:pPr>
        <w:ind w:right="180"/>
        <w:spacing w:after="0" w:line="345" w:lineRule="auto"/>
        <w:rPr>
          <w:sz w:val="20"/>
          <w:szCs w:val="20"/>
          <w:color w:val="auto"/>
        </w:rPr>
      </w:pPr>
      <w:r>
        <w:rPr>
          <w:rFonts w:ascii="PMingLiU" w:cs="PMingLiU" w:eastAsia="PMingLiU" w:hAnsi="PMingLiU"/>
          <w:sz w:val="15"/>
          <w:szCs w:val="15"/>
          <w:color w:val="auto"/>
        </w:rPr>
        <w:t>$VQRWHGDERYH0U&amp;R]DGGFHDVHGVHUYLQJDVRXU&amp;(2RQ$XJXVWDQGKHUHWLUHGIURPDOOHPSOR\PHQWSRVLWLRQV ZLWKRXU&amp;RPSDQ\HIIHFWLYH6HSWHPEHUIROORZLQJVHUYLFHLQDWUDQVLWLRQUROH$FFRUGLQJO\ZKHQDGGUHVVLQJ&amp;(2 FRPSHQVDWLRQIRUWKHFRPSHQVDWLRQSURJUDPVDQGGHFLVLRQVGHVFULEHGLQWKLV&amp;RPSHQVDWLRQ'LVFXVVLRQDQG$QDO\VLV JHQHUDOO\UHODWHWR0V*DODZKRDVVXPHGWKH&amp;(2SRVLWLRQHIIHFWLYH$XJXVW</w:t>
      </w:r>
    </w:p>
    <w:p>
      <w:pPr>
        <w:spacing w:after="0" w:line="103" w:lineRule="exact"/>
        <w:rPr>
          <w:sz w:val="20"/>
          <w:szCs w:val="20"/>
          <w:color w:val="auto"/>
        </w:rPr>
      </w:pPr>
    </w:p>
    <w:p>
      <w:pPr>
        <w:ind w:right="140"/>
        <w:spacing w:after="0" w:line="299" w:lineRule="auto"/>
        <w:rPr>
          <w:sz w:val="20"/>
          <w:szCs w:val="20"/>
          <w:color w:val="auto"/>
        </w:rPr>
      </w:pPr>
      <w:r>
        <w:rPr>
          <w:rFonts w:ascii="PMingLiU" w:cs="PMingLiU" w:eastAsia="PMingLiU" w:hAnsi="PMingLiU"/>
          <w:sz w:val="16"/>
          <w:szCs w:val="16"/>
          <w:color w:val="auto"/>
        </w:rPr>
        <w:t>%HFDXVH0U&amp;R]DGG¶VDQWLFLSDWHGUHWLUHPHQWZDVDQQRXQFHGLQ'HFHPEHURXU&amp;RPSHQVDWLRQ&amp;RPPLWWHHDQG%RDUG HVWDEOLVKHGVHYHUDOVSHFLDOFRPSHQVDWLRQDUUDQJHPHQWVIRU0U&amp;R]DGGIRU2XU&amp;RPSHQVDWLRQ&amp;RPPLWWHHDQG%RDUG</w:t>
      </w:r>
    </w:p>
    <w:p>
      <w:pPr>
        <w:spacing w:after="0" w:line="1" w:lineRule="exact"/>
        <w:rPr>
          <w:sz w:val="20"/>
          <w:szCs w:val="20"/>
          <w:color w:val="auto"/>
        </w:rPr>
      </w:pPr>
    </w:p>
    <w:p>
      <w:pPr>
        <w:ind w:right="100"/>
        <w:spacing w:after="0" w:line="443" w:lineRule="auto"/>
        <w:rPr>
          <w:sz w:val="20"/>
          <w:szCs w:val="20"/>
          <w:color w:val="auto"/>
        </w:rPr>
      </w:pPr>
      <w:r>
        <w:rPr>
          <w:rFonts w:ascii="PMingLiU" w:cs="PMingLiU" w:eastAsia="PMingLiU" w:hAnsi="PMingLiU"/>
          <w:sz w:val="14"/>
          <w:szCs w:val="14"/>
          <w:color w:val="auto"/>
        </w:rPr>
        <w:t>EHOLHYHGWKHVHDUUDQJHPHQWVZHUHEHVWWDLORUHGWRDSSURSULDWHO\LQFHQWLYL]H0U&amp;R]DGGGXULQJWKHSHULRGRIWUDQVLWLRQ7KH VSHFLDOWUDQVLWLRQDUUDQJHPHQWVIRU0U&amp;R]DGGDUHPRUHIXOO\GHVFULEHGEHORZLQWKLV&amp;RPSHQVDWLRQ'LVFXVVLRQDQG$QDO\VLV</w:t>
      </w:r>
    </w:p>
    <w:p>
      <w:pPr>
        <w:spacing w:after="0" w:line="60"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&amp;RPSHQVDWLRQ3KLORVRSK\DQG2EMHFWLYHV</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8"/>
          <w:szCs w:val="18"/>
          <w:color w:val="auto"/>
        </w:rPr>
        <w:t>2XUH[HFXWLYHFRPSHQVDWLRQSURJUDPLVGHVLJQHGWRVXSSRUWWKHIROORZLQJSKLORVRSK\DQGREMHFWLYHV</w:t>
      </w:r>
    </w:p>
    <w:p>
      <w:pPr>
        <w:spacing w:after="0" w:line="204" w:lineRule="exact"/>
        <w:rPr>
          <w:sz w:val="20"/>
          <w:szCs w:val="20"/>
          <w:color w:val="auto"/>
        </w:rPr>
      </w:pPr>
    </w:p>
    <w:p>
      <w:pPr>
        <w:ind w:left="360" w:right="20" w:hanging="279"/>
        <w:spacing w:after="0" w:line="392" w:lineRule="auto"/>
        <w:tabs>
          <w:tab w:leader="none" w:pos="340" w:val="left"/>
        </w:tabs>
        <w:rPr>
          <w:sz w:val="20"/>
          <w:szCs w:val="20"/>
          <w:color w:val="auto"/>
        </w:rPr>
      </w:pPr>
      <w:r>
        <w:rPr>
          <w:rFonts w:ascii="PMingLiU" w:cs="PMingLiU" w:eastAsia="PMingLiU" w:hAnsi="PMingLiU"/>
          <w:sz w:val="14"/>
          <w:szCs w:val="14"/>
          <w:color w:val="000046"/>
        </w:rPr>
        <w:t></w:t>
      </w:r>
      <w:r>
        <w:rPr>
          <w:sz w:val="20"/>
          <w:szCs w:val="20"/>
          <w:color w:val="auto"/>
        </w:rPr>
        <w:tab/>
      </w:r>
      <w:r>
        <w:rPr>
          <w:rFonts w:ascii="PMingLiU" w:cs="PMingLiU" w:eastAsia="PMingLiU" w:hAnsi="PMingLiU"/>
          <w:sz w:val="14"/>
          <w:szCs w:val="14"/>
          <w:b w:val="1"/>
          <w:bCs w:val="1"/>
          <w:color w:val="000046"/>
        </w:rPr>
        <w:t>$WWUDFWLQFHQWLYL]HUHZDUGDQGUHWDLQH[SHULHQFHGWDOHQWHGLQGLYLGXDOVZLWKUHOHYDQWH[SHULHQFHLQWKHOLIH VFLHQFHVLQGXVWU\WKURXJKDFRPSHWLWLYHSD\VWUXFWXUH</w:t>
      </w:r>
      <w:r>
        <w:rPr>
          <w:rFonts w:ascii="PMingLiU" w:cs="PMingLiU" w:eastAsia="PMingLiU" w:hAnsi="PMingLiU"/>
          <w:sz w:val="14"/>
          <w:szCs w:val="14"/>
          <w:color w:val="000000"/>
        </w:rPr>
        <w:t>:HUHZDUGLQGLYLGXDOVIDLUO\RYHUWLPHDQGVHHNWRUHWDLQWKRVH</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LQGLYLGXDOVZKRFRQWLQXHWRPHHWRXUKLJKH[SHFWDWLRQV</w:t>
      </w:r>
    </w:p>
    <w:p>
      <w:pPr>
        <w:spacing w:after="0" w:line="16" w:lineRule="exact"/>
        <w:rPr>
          <w:sz w:val="20"/>
          <w:szCs w:val="20"/>
          <w:color w:val="auto"/>
        </w:rPr>
      </w:pPr>
    </w:p>
    <w:p>
      <w:pPr>
        <w:ind w:left="360" w:right="20" w:hanging="279"/>
        <w:spacing w:after="0" w:line="342" w:lineRule="auto"/>
        <w:tabs>
          <w:tab w:leader="none" w:pos="340" w:val="left"/>
        </w:tabs>
        <w:rPr>
          <w:sz w:val="20"/>
          <w:szCs w:val="20"/>
          <w:color w:val="auto"/>
        </w:rPr>
      </w:pPr>
      <w:r>
        <w:rPr>
          <w:rFonts w:ascii="PMingLiU" w:cs="PMingLiU" w:eastAsia="PMingLiU" w:hAnsi="PMingLiU"/>
          <w:sz w:val="14"/>
          <w:szCs w:val="14"/>
          <w:color w:val="000046"/>
        </w:rPr>
        <w:t></w:t>
      </w:r>
      <w:r>
        <w:rPr>
          <w:sz w:val="20"/>
          <w:szCs w:val="20"/>
          <w:color w:val="auto"/>
        </w:rPr>
        <w:tab/>
      </w:r>
      <w:r>
        <w:rPr>
          <w:rFonts w:ascii="PMingLiU" w:cs="PMingLiU" w:eastAsia="PMingLiU" w:hAnsi="PMingLiU"/>
          <w:sz w:val="14"/>
          <w:szCs w:val="14"/>
          <w:b w:val="1"/>
          <w:bCs w:val="1"/>
          <w:color w:val="000046"/>
        </w:rPr>
        <w:t>'HOLYHUEDODQFHGWRWDOFRPSHQVDWLRQSDFNDJHVWRDFFRPSOLVKRXUEXVLQHVVREMHFWLYHVDQGPLVVLRQ</w:t>
      </w:r>
      <w:r>
        <w:rPr>
          <w:rFonts w:ascii="PMingLiU" w:cs="PMingLiU" w:eastAsia="PMingLiU" w:hAnsi="PMingLiU"/>
          <w:sz w:val="14"/>
          <w:szCs w:val="14"/>
          <w:color w:val="000000"/>
        </w:rPr>
        <w:t>2XUH[HFXWLYH</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FRPSHQVDWLRQSURJUDPIRFXVHVRQWDUJHWWRWDOGLUHFWFRPSHQVDWLRQFRPELQLQJVKRUWDQGORQJWHUPFRPSRQHQWVFDVK DQGHTXLW\DQGIL[HGDQGYDULDEOHSD\PHQWVLQWKHSURSRUWLRQVWKDWZHEHOLHYHDUHWKHPRVWDSSURSULDWHWRLQFHQWLYL]HDQG</w:t>
      </w:r>
    </w:p>
    <w:p>
      <w:pPr>
        <w:ind w:left="360" w:right="360"/>
        <w:spacing w:after="0" w:line="427" w:lineRule="auto"/>
        <w:rPr>
          <w:sz w:val="20"/>
          <w:szCs w:val="20"/>
          <w:color w:val="auto"/>
        </w:rPr>
      </w:pPr>
      <w:r>
        <w:rPr>
          <w:rFonts w:ascii="PMingLiU" w:cs="PMingLiU" w:eastAsia="PMingLiU" w:hAnsi="PMingLiU"/>
          <w:sz w:val="14"/>
          <w:szCs w:val="14"/>
          <w:color w:val="auto"/>
        </w:rPr>
        <w:t>UHZDUGRXUH[HFXWLYHRIILFHUVIRUDFKLHYLQJRXUFRUSRUDWHJRDOVZKLOHPLQLPL]LQJLQFHQWLYHVIRUH[FHVVLYHULVNWDNLQJRU XQHWKLFDOFRQGXFW</w:t>
      </w:r>
    </w:p>
    <w:p>
      <w:pPr>
        <w:spacing w:after="0" w:line="1"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color w:val="000046"/>
        </w:rPr>
        <w:t></w:t>
      </w:r>
      <w:r>
        <w:rPr>
          <w:sz w:val="20"/>
          <w:szCs w:val="20"/>
          <w:color w:val="auto"/>
        </w:rPr>
        <w:tab/>
      </w:r>
      <w:r>
        <w:rPr>
          <w:rFonts w:ascii="PMingLiU" w:cs="PMingLiU" w:eastAsia="PMingLiU" w:hAnsi="PMingLiU"/>
          <w:sz w:val="15"/>
          <w:szCs w:val="15"/>
          <w:b w:val="1"/>
          <w:bCs w:val="1"/>
          <w:color w:val="000046"/>
        </w:rPr>
        <w:t>$OLJQSD\ZLWKRXUSHUIRUPDQFH</w:t>
      </w:r>
      <w:r>
        <w:rPr>
          <w:rFonts w:ascii="PMingLiU" w:cs="PMingLiU" w:eastAsia="PMingLiU" w:hAnsi="PMingLiU"/>
          <w:sz w:val="15"/>
          <w:szCs w:val="15"/>
          <w:color w:val="000000"/>
        </w:rPr>
        <w:t>$VLOOXVWUDWHGEHORZDVXEVWDQWLDOSRUWLRQRIRXU1(2V¶FRPSHQVDWLRQRSSRUWXQLW\LV</w:t>
      </w:r>
    </w:p>
    <w:p>
      <w:pPr>
        <w:spacing w:after="0" w:line="67" w:lineRule="exact"/>
        <w:rPr>
          <w:sz w:val="20"/>
          <w:szCs w:val="20"/>
          <w:color w:val="auto"/>
        </w:rPr>
      </w:pPr>
    </w:p>
    <w:p>
      <w:pPr>
        <w:ind w:left="360" w:right="80"/>
        <w:spacing w:after="0" w:line="360" w:lineRule="auto"/>
        <w:rPr>
          <w:sz w:val="20"/>
          <w:szCs w:val="20"/>
          <w:color w:val="auto"/>
        </w:rPr>
      </w:pPr>
      <w:r>
        <w:rPr>
          <w:rFonts w:ascii="PMingLiU" w:cs="PMingLiU" w:eastAsia="PMingLiU" w:hAnsi="PMingLiU"/>
          <w:sz w:val="14"/>
          <w:szCs w:val="14"/>
          <w:color w:val="auto"/>
        </w:rPr>
        <w:t>YDULDEOHRU³DWULVN´DQGGHSHQGHQWXSRQRXUSHUIRUPDQFH2XUDQQXDOSHUIRUPDQFHERQXVDZDUGVDUHQRWHDUQHGXQOHVV SUHGHWHUPLQHGOHYHOVRISHUIRUPDQFHDUHDFKLHYHGDJDLQVWDQQXDOFRUSRUDWHREMHFWLYHVDSSURYHGE\RXU&amp;RPSHQVDWLRQ &amp;RPPLWWHHDWWKHEHJLQQLQJRIWKH\HDU/LNHZLVHRXU368VDUHQRWHDUQHGXQOHVVSUHGHWHUPLQHGOHYHOVRISHUIRUPDQFH DUHDFKLHYHGDQGRXU568VZLOOQRWSURYLGHLQFUHDVHGYDOXHXQOHVVWKHUHLVDQLQFUHDVHLQWKHYDOXHRIRXUVKDUHVZKLFK EHQHILWVDOOVKDUHKROGHUV:HDOVRKDYHH[HFXWLYHVKDUHRZQHUVKLSJXLGHOLQHVWRIXUWKHUVXSSRUWRXURZQHUVKLSFXOWXUH DQGDOLJQWKHLQWHUHVWVRIH[HFXWLYHRIILFHUVDQGVKDUHKROGHUV</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+RZ:H'HWHUPLQH([HFXWLYH&amp;RPSHQVDWLRQ</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5ROHRIRXU&amp;RPSHQVDWLRQ&amp;RPPLWWHH</w:t>
      </w:r>
    </w:p>
    <w:p>
      <w:pPr>
        <w:spacing w:after="0" w:line="191" w:lineRule="exact"/>
        <w:rPr>
          <w:sz w:val="20"/>
          <w:szCs w:val="20"/>
          <w:color w:val="auto"/>
        </w:rPr>
      </w:pPr>
    </w:p>
    <w:p>
      <w:pPr>
        <w:spacing w:after="0" w:line="359" w:lineRule="auto"/>
        <w:rPr>
          <w:sz w:val="20"/>
          <w:szCs w:val="20"/>
          <w:color w:val="auto"/>
        </w:rPr>
      </w:pPr>
      <w:r>
        <w:rPr>
          <w:rFonts w:ascii="PMingLiU" w:cs="PMingLiU" w:eastAsia="PMingLiU" w:hAnsi="PMingLiU"/>
          <w:sz w:val="14"/>
          <w:szCs w:val="14"/>
          <w:color w:val="auto"/>
        </w:rPr>
        <w:t>2XU&amp;RPSHQVDWLRQ&amp;RPPLWWHHLVDQGZDVDWDOOWLPHVGXULQJFRPSRVHGHQWLUHO\RILQGHSHQGHQWGLUHFWRUVDVGHILQHGE\ WKH1DVGDTOLVWLQJVWDQGDUGVDSSOLFDEOHWRWKHLQGHSHQGHQFHRI&amp;RPSHQVDWLRQ&amp;RPPLWWHHPHPEHUV2XU&amp;RPSHQVDWLRQ &amp;RPPLWWHHPHHWVDVRIWHQDVLWGHWHUPLQHVQHFHVVDU\WRFDUU\RXWLWVGXWLHVDQGUHVSRQVLELOLWLHVWKURXJKUHJXODUO\VFKHGXOHG PHHWLQJVDQGLIQHFHVVDU\VSHFLDOPHHWLQJV2XU&amp;RPSHQVDWLRQ&amp;RPPLWWHHDOVRKDVWKHDXWKRULW\WRWDNHFHUWDLQDFWLRQVE\ ZULWWHQFRQVHQWRIDOOPHPEHUV7KHDJHQGDIRUHDFK&amp;RPSHQVDWLRQ&amp;RPPLWWHHPHHWLQJLVXVXDOO\GHYHORSHGE\PHPEHUVRI RXUKXPDQUHVRXUFHVGHSDUWPHQWDQGRXU&amp;(2ZLWKLQSXWIURPPHPEHUVRIRXUOHJDOGHSDUWPHQWDQGLVUHYLHZHGDQG ILQDOL]HGZLWKWKHFKDLUSHUVRQRIRXU&amp;RPSHQVDWLRQ&amp;RPPLWWHH</w:t>
      </w:r>
    </w:p>
    <w:p>
      <w:pPr>
        <w:spacing w:after="0" w:line="98" w:lineRule="exact"/>
        <w:rPr>
          <w:sz w:val="20"/>
          <w:szCs w:val="20"/>
          <w:color w:val="auto"/>
        </w:rPr>
      </w:pPr>
    </w:p>
    <w:p>
      <w:pPr>
        <w:ind w:right="100"/>
        <w:spacing w:after="0" w:line="319" w:lineRule="auto"/>
        <w:rPr>
          <w:sz w:val="20"/>
          <w:szCs w:val="20"/>
          <w:color w:val="auto"/>
        </w:rPr>
      </w:pPr>
      <w:r>
        <w:rPr>
          <w:rFonts w:ascii="PMingLiU" w:cs="PMingLiU" w:eastAsia="PMingLiU" w:hAnsi="PMingLiU"/>
          <w:sz w:val="15"/>
          <w:szCs w:val="15"/>
          <w:color w:val="auto"/>
        </w:rPr>
        <w:t>2XU&amp;RPSHQVDWLRQ&amp;RPPLWWHHUHYLHZVDQGRYHUVHHVRXUFRPSHQVDWLRQSROLFLHVSODQVDQGSURJUDPVDQGUHYLHZVDQG JHQHUDOO\GHWHUPLQHVWKHFRPSHQVDWLRQWREHSDLGWRWKHH[HFXWLYHRIILFHUVLQFOXGLQJWKH1(2V2XU&amp;(2¶VFRPSHQVDWLRQLV DSSURYHGE\WKHLQGHSHQGHQWPHPEHUVRIRXU%RDUGXSRQUHFRPPHQGDWLRQIURPRXU&amp;RPSHQVDWLRQ&amp;RPPLWWHHDIWHU</w:t>
      </w:r>
    </w:p>
    <w:p>
      <w:pPr>
        <w:spacing w:after="0" w:line="1" w:lineRule="exact"/>
        <w:rPr>
          <w:sz w:val="20"/>
          <w:szCs w:val="20"/>
          <w:color w:val="auto"/>
        </w:rPr>
      </w:pPr>
    </w:p>
    <w:p>
      <w:pPr>
        <w:ind w:right="40"/>
        <w:spacing w:after="0" w:line="443" w:lineRule="auto"/>
        <w:rPr>
          <w:sz w:val="20"/>
          <w:szCs w:val="20"/>
          <w:color w:val="auto"/>
        </w:rPr>
      </w:pPr>
      <w:r>
        <w:rPr>
          <w:rFonts w:ascii="PMingLiU" w:cs="PMingLiU" w:eastAsia="PMingLiU" w:hAnsi="PMingLiU"/>
          <w:sz w:val="14"/>
          <w:szCs w:val="14"/>
          <w:color w:val="auto"/>
        </w:rPr>
        <w:t>FRQVLGHULQJDGYLFHIURPLWVLQGHSHQGHQWFRPSHQVDWLRQFRQVXOWDQW5HIHUHQFHVLQWKLV&amp;RPSHQVDWLRQ'LVFXVVLRQDQG$QDO\VLV WRRXU%RDUGDSSURYLQJRXU&amp;(2¶VFRPSHQVDWLRQDUHWRWKHLQGHSHQGHQWPHPEHUVRIRXU%RDUG</w:t>
      </w:r>
    </w:p>
    <w:p>
      <w:pPr>
        <w:spacing w:after="0" w:line="39" w:lineRule="exact"/>
        <w:rPr>
          <w:sz w:val="20"/>
          <w:szCs w:val="20"/>
          <w:color w:val="auto"/>
        </w:rPr>
      </w:pPr>
    </w:p>
    <w:p>
      <w:pPr>
        <w:ind w:right="400"/>
        <w:spacing w:after="0" w:line="345" w:lineRule="auto"/>
        <w:rPr>
          <w:sz w:val="20"/>
          <w:szCs w:val="20"/>
          <w:color w:val="auto"/>
        </w:rPr>
      </w:pPr>
      <w:r>
        <w:rPr>
          <w:rFonts w:ascii="PMingLiU" w:cs="PMingLiU" w:eastAsia="PMingLiU" w:hAnsi="PMingLiU"/>
          <w:sz w:val="15"/>
          <w:szCs w:val="15"/>
          <w:color w:val="auto"/>
        </w:rPr>
        <w:t>,QPDNLQJH[HFXWLYHFRPSHQVDWLRQGHWHUPLQDWLRQVRWKHUWKDQIRURXU&amp;(2RXU&amp;RPSHQVDWLRQ&amp;RPPLWWHHFRQVLGHUV UHFRPPHQGDWLRQVIURPRXU&amp;(22XU&amp;RPSHQVDWLRQ&amp;RPPLWWHHWDNHVDKROLVWLFDSSURDFKWRFRPSHQVDWLRQDQGVHHNVWR HQVXUHWKDWWKHDJJUHJDWHOHYHORISD\DFURVVDOOWKHSD\HOHPHQWVVDWLVILHVRXU&amp;RPSDQ\¶VGHVLUHGREMHFWLYHVIRUHDFK H[HFXWLYHRIILFHU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424815</wp:posOffset>
            </wp:positionV>
            <wp:extent cx="1386840" cy="2336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75">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61" w:name="page62"/>
    <w:bookmarkEnd w:id="6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78" o:spid="_x0000_s1403"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5ROHRIRXU&amp;(2DQG0DQDJHPHQW</w:t>
      </w:r>
    </w:p>
    <w:p>
      <w:pPr>
        <w:spacing w:after="0" w:line="191"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,QPDNLQJUHFRPPHQGDWLRQVUHJDUGLQJH[HFXWLYHFRPSHQVDWLRQGHWHUPLQDWLRQVRXU&amp;(2UHFHLYHVLQSXWIURPRXUKXPDQ UHVRXUFHVGHSDUWPHQWDQGIURPWKHLQGLYLGXDOVZKRPDQDJHRUUHSRUWGLUHFWO\WRWKHRWKHUH[HFXWLYHRIILFHUVDQGRXU&amp;(2 UHYLHZVYDULRXVVRXUFHVRIPDUNHWFRPSHQVDWLRQGDWDSURYLGHGE\WKHLQGHSHQGHQWFRPSHQVDWLRQFRQVXOWDQWWRRXU &amp;RPSHQVDWLRQ&amp;RPPLWWHHDVGHVFULEHGEHORZ:KLOHRXU&amp;(2GLVFXVVHVRXU&amp;(2¶VUHFRPPHQGDWLRQVIRUWKHRWKHU H[HFXWLYHRIILFHUVZLWKRXU&amp;RPSHQVDWLRQ&amp;RPPLWWHHRXU&amp;(2GRHVQRWSDUWLFLSDWHLQWKHGHOLEHUDWLRQVDQGUHFRPPHQGDWLRQV</w:t>
      </w:r>
    </w:p>
    <w:p>
      <w:pPr>
        <w:spacing w:after="0" w:line="1" w:lineRule="exact"/>
        <w:rPr>
          <w:sz w:val="20"/>
          <w:szCs w:val="20"/>
          <w:color w:val="auto"/>
        </w:rPr>
      </w:pPr>
    </w:p>
    <w:p>
      <w:pPr>
        <w:spacing w:after="0" w:line="299" w:lineRule="auto"/>
        <w:rPr>
          <w:sz w:val="20"/>
          <w:szCs w:val="20"/>
          <w:color w:val="auto"/>
        </w:rPr>
      </w:pPr>
      <w:r>
        <w:rPr>
          <w:rFonts w:ascii="PMingLiU" w:cs="PMingLiU" w:eastAsia="PMingLiU" w:hAnsi="PMingLiU"/>
          <w:sz w:val="16"/>
          <w:szCs w:val="16"/>
          <w:color w:val="auto"/>
        </w:rPr>
        <w:t>FRQFHUQLQJGHWHUPLQDWLRQRIVXFK&amp;(2¶VSD\RUHYDOXDWLRQRIVXFK&amp;(2¶VSHUIRUPDQFHZKHWKHUZLWKRXU&amp;RPSHQVDWLRQ &amp;RPPLWWHHDQGRUZLWKRXU%RDUG8QWLO$XJXVW0U&amp;R]DGGSDUWLFLSDWHGLQVXFKUHYLHZDQGGLVFXVVLRQDQGSURYLGHG KLVUHFRPPHQGDWLRQVZLWKUHVSHFWWRH[HFXWLYHRIILFHUFRPSHQVDWLRQ6LQFH$XJXVW0V*DODKDVSDUWLFLSDWHGLQVXFK</w:t>
      </w:r>
    </w:p>
    <w:p>
      <w:pPr>
        <w:spacing w:after="0" w:line="1" w:lineRule="exact"/>
        <w:rPr>
          <w:sz w:val="20"/>
          <w:szCs w:val="20"/>
          <w:color w:val="auto"/>
        </w:rPr>
      </w:pPr>
    </w:p>
    <w:p>
      <w:pPr>
        <w:ind w:right="360"/>
        <w:spacing w:after="0" w:line="398" w:lineRule="auto"/>
        <w:rPr>
          <w:sz w:val="20"/>
          <w:szCs w:val="20"/>
          <w:color w:val="auto"/>
        </w:rPr>
      </w:pPr>
      <w:r>
        <w:rPr>
          <w:rFonts w:ascii="PMingLiU" w:cs="PMingLiU" w:eastAsia="PMingLiU" w:hAnsi="PMingLiU"/>
          <w:sz w:val="15"/>
          <w:szCs w:val="15"/>
          <w:color w:val="auto"/>
        </w:rPr>
        <w:t>UHYLHZDQGGLVFXVVLRQDQGSURYLGHGKHUUHFRPPHQGDWLRQVZLWKUHVSHFWWRH[HFXWLYHRIILFHUFRPSHQVDWLRQ0HPEHUVRIRXU KXPDQUHVRXUFHVGHSDUWPHQWDQGOHJDOGHSDUWPHQWDOVRDWWHQGFRPSHQVDWLRQFRPPLWWHHPHHWLQJVDVDSSURSULDWH</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$QQXDO([HFXWLYH&amp;RPSHQVDWLRQ3URJUDP&amp;\FOH</w:t>
      </w:r>
    </w:p>
    <w:p>
      <w:pPr>
        <w:spacing w:after="0" w:line="191" w:lineRule="exact"/>
        <w:rPr>
          <w:sz w:val="20"/>
          <w:szCs w:val="20"/>
          <w:color w:val="auto"/>
        </w:rPr>
      </w:pPr>
    </w:p>
    <w:p>
      <w:pPr>
        <w:ind w:right="440"/>
        <w:spacing w:after="0" w:line="398" w:lineRule="auto"/>
        <w:rPr>
          <w:sz w:val="20"/>
          <w:szCs w:val="20"/>
          <w:color w:val="auto"/>
        </w:rPr>
      </w:pPr>
      <w:r>
        <w:rPr>
          <w:rFonts w:ascii="PMingLiU" w:cs="PMingLiU" w:eastAsia="PMingLiU" w:hAnsi="PMingLiU"/>
          <w:sz w:val="15"/>
          <w:szCs w:val="15"/>
          <w:color w:val="auto"/>
        </w:rPr>
        <w:t>%HORZDUHWKHKLJKOLJKWVRIWKHDQQXDOF\FOHRXU&amp;RPSHQVDWLRQ&amp;RPPLWWHHIROORZVLQUHYLHZLQJDQGPDNLQJGHFLVLRQVZLWK UHVSHFWWRRXUH[HFXWLYHFRPSHQVDWLRQSURJUDPDVDSSOLFDEOH</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538"/>
        </w:trPr>
        <w:tc>
          <w:tcPr>
            <w:tcW w:w="2180" w:type="dxa"/>
            <w:vAlign w:val="bottom"/>
            <w:shd w:val="clear" w:color="auto" w:fill="000046"/>
          </w:tcPr>
          <w:p>
            <w:pPr>
              <w:ind w:left="940"/>
              <w:spacing w:after="0"/>
              <w:rPr>
                <w:sz w:val="20"/>
                <w:szCs w:val="20"/>
                <w:color w:val="auto"/>
              </w:rPr>
            </w:pPr>
            <w:r>
              <w:rPr>
                <w:rFonts w:ascii="PMingLiU" w:cs="PMingLiU" w:eastAsia="PMingLiU" w:hAnsi="PMingLiU"/>
                <w:sz w:val="24"/>
                <w:szCs w:val="24"/>
                <w:b w:val="1"/>
                <w:bCs w:val="1"/>
                <w:color w:val="FFFFFF"/>
              </w:rPr>
              <w:t>4</w:t>
            </w:r>
          </w:p>
        </w:tc>
        <w:tc>
          <w:tcPr>
            <w:tcW w:w="440" w:type="dxa"/>
            <w:vAlign w:val="bottom"/>
          </w:tcPr>
          <w:p>
            <w:pPr>
              <w:jc w:val="right"/>
              <w:spacing w:after="0"/>
              <w:rPr>
                <w:sz w:val="20"/>
                <w:szCs w:val="20"/>
                <w:color w:val="auto"/>
              </w:rPr>
            </w:pPr>
            <w:r>
              <w:rPr>
                <w:rFonts w:ascii="PMingLiU" w:cs="PMingLiU" w:eastAsia="PMingLiU" w:hAnsi="PMingLiU"/>
                <w:sz w:val="32"/>
                <w:szCs w:val="32"/>
                <w:color w:val="000046"/>
              </w:rPr>
              <w:t/>
            </w:r>
          </w:p>
        </w:tc>
        <w:tc>
          <w:tcPr>
            <w:tcW w:w="2200" w:type="dxa"/>
            <w:vAlign w:val="bottom"/>
            <w:shd w:val="clear" w:color="auto" w:fill="4454A7"/>
          </w:tcPr>
          <w:p>
            <w:pPr>
              <w:ind w:left="940"/>
              <w:spacing w:after="0"/>
              <w:rPr>
                <w:sz w:val="20"/>
                <w:szCs w:val="20"/>
                <w:color w:val="auto"/>
              </w:rPr>
            </w:pPr>
            <w:r>
              <w:rPr>
                <w:rFonts w:ascii="PMingLiU" w:cs="PMingLiU" w:eastAsia="PMingLiU" w:hAnsi="PMingLiU"/>
                <w:sz w:val="24"/>
                <w:szCs w:val="24"/>
                <w:b w:val="1"/>
                <w:bCs w:val="1"/>
                <w:color w:val="FFFFFF"/>
              </w:rPr>
              <w:t>4</w:t>
            </w:r>
          </w:p>
        </w:tc>
        <w:tc>
          <w:tcPr>
            <w:tcW w:w="420" w:type="dxa"/>
            <w:vAlign w:val="bottom"/>
          </w:tcPr>
          <w:p>
            <w:pPr>
              <w:jc w:val="right"/>
              <w:spacing w:after="0"/>
              <w:rPr>
                <w:sz w:val="20"/>
                <w:szCs w:val="20"/>
                <w:color w:val="auto"/>
              </w:rPr>
            </w:pPr>
            <w:r>
              <w:rPr>
                <w:rFonts w:ascii="PMingLiU" w:cs="PMingLiU" w:eastAsia="PMingLiU" w:hAnsi="PMingLiU"/>
                <w:sz w:val="32"/>
                <w:szCs w:val="32"/>
                <w:color w:val="000046"/>
              </w:rPr>
              <w:t/>
            </w:r>
          </w:p>
        </w:tc>
        <w:tc>
          <w:tcPr>
            <w:tcW w:w="2200" w:type="dxa"/>
            <w:vAlign w:val="bottom"/>
            <w:shd w:val="clear" w:color="auto" w:fill="5C004D"/>
          </w:tcPr>
          <w:p>
            <w:pPr>
              <w:ind w:left="940"/>
              <w:spacing w:after="0"/>
              <w:rPr>
                <w:sz w:val="20"/>
                <w:szCs w:val="20"/>
                <w:color w:val="auto"/>
              </w:rPr>
            </w:pPr>
            <w:r>
              <w:rPr>
                <w:rFonts w:ascii="PMingLiU" w:cs="PMingLiU" w:eastAsia="PMingLiU" w:hAnsi="PMingLiU"/>
                <w:sz w:val="24"/>
                <w:szCs w:val="24"/>
                <w:b w:val="1"/>
                <w:bCs w:val="1"/>
                <w:color w:val="FFFFFF"/>
              </w:rPr>
              <w:t>4</w:t>
            </w:r>
          </w:p>
        </w:tc>
        <w:tc>
          <w:tcPr>
            <w:tcW w:w="440" w:type="dxa"/>
            <w:vAlign w:val="bottom"/>
          </w:tcPr>
          <w:p>
            <w:pPr>
              <w:jc w:val="right"/>
              <w:spacing w:after="0"/>
              <w:rPr>
                <w:sz w:val="20"/>
                <w:szCs w:val="20"/>
                <w:color w:val="auto"/>
              </w:rPr>
            </w:pPr>
            <w:r>
              <w:rPr>
                <w:rFonts w:ascii="PMingLiU" w:cs="PMingLiU" w:eastAsia="PMingLiU" w:hAnsi="PMingLiU"/>
                <w:sz w:val="32"/>
                <w:szCs w:val="32"/>
                <w:color w:val="000046"/>
              </w:rPr>
              <w:t/>
            </w:r>
          </w:p>
        </w:tc>
        <w:tc>
          <w:tcPr>
            <w:tcW w:w="2180" w:type="dxa"/>
            <w:vAlign w:val="bottom"/>
            <w:shd w:val="clear" w:color="auto" w:fill="D25F0C"/>
          </w:tcPr>
          <w:p>
            <w:pPr>
              <w:ind w:left="920"/>
              <w:spacing w:after="0"/>
              <w:rPr>
                <w:sz w:val="20"/>
                <w:szCs w:val="20"/>
                <w:color w:val="auto"/>
              </w:rPr>
            </w:pPr>
            <w:r>
              <w:rPr>
                <w:rFonts w:ascii="PMingLiU" w:cs="PMingLiU" w:eastAsia="PMingLiU" w:hAnsi="PMingLiU"/>
                <w:sz w:val="24"/>
                <w:szCs w:val="24"/>
                <w:b w:val="1"/>
                <w:bCs w:val="1"/>
                <w:color w:val="FFFFFF"/>
              </w:rPr>
              <w:t>4</w:t>
            </w:r>
          </w:p>
        </w:tc>
      </w:tr>
      <w:tr>
        <w:trPr>
          <w:trHeight w:val="137"/>
        </w:trPr>
        <w:tc>
          <w:tcPr>
            <w:tcW w:w="2180" w:type="dxa"/>
            <w:vAlign w:val="bottom"/>
            <w:shd w:val="clear" w:color="auto" w:fill="000046"/>
          </w:tcPr>
          <w:p>
            <w:pPr>
              <w:spacing w:after="0"/>
              <w:rPr>
                <w:sz w:val="11"/>
                <w:szCs w:val="11"/>
                <w:color w:val="auto"/>
              </w:rPr>
            </w:pPr>
          </w:p>
        </w:tc>
        <w:tc>
          <w:tcPr>
            <w:tcW w:w="440" w:type="dxa"/>
            <w:vAlign w:val="bottom"/>
          </w:tcPr>
          <w:p>
            <w:pPr>
              <w:spacing w:after="0"/>
              <w:rPr>
                <w:sz w:val="11"/>
                <w:szCs w:val="11"/>
                <w:color w:val="auto"/>
              </w:rPr>
            </w:pPr>
          </w:p>
        </w:tc>
        <w:tc>
          <w:tcPr>
            <w:tcW w:w="2200" w:type="dxa"/>
            <w:vAlign w:val="bottom"/>
            <w:shd w:val="clear" w:color="auto" w:fill="4454A7"/>
          </w:tcPr>
          <w:p>
            <w:pPr>
              <w:spacing w:after="0"/>
              <w:rPr>
                <w:sz w:val="11"/>
                <w:szCs w:val="11"/>
                <w:color w:val="auto"/>
              </w:rPr>
            </w:pPr>
          </w:p>
        </w:tc>
        <w:tc>
          <w:tcPr>
            <w:tcW w:w="420" w:type="dxa"/>
            <w:vAlign w:val="bottom"/>
          </w:tcPr>
          <w:p>
            <w:pPr>
              <w:spacing w:after="0"/>
              <w:rPr>
                <w:sz w:val="11"/>
                <w:szCs w:val="11"/>
                <w:color w:val="auto"/>
              </w:rPr>
            </w:pPr>
          </w:p>
        </w:tc>
        <w:tc>
          <w:tcPr>
            <w:tcW w:w="2200" w:type="dxa"/>
            <w:vAlign w:val="bottom"/>
            <w:shd w:val="clear" w:color="auto" w:fill="5C004D"/>
          </w:tcPr>
          <w:p>
            <w:pPr>
              <w:spacing w:after="0"/>
              <w:rPr>
                <w:sz w:val="11"/>
                <w:szCs w:val="11"/>
                <w:color w:val="auto"/>
              </w:rPr>
            </w:pPr>
          </w:p>
        </w:tc>
        <w:tc>
          <w:tcPr>
            <w:tcW w:w="440" w:type="dxa"/>
            <w:vAlign w:val="bottom"/>
          </w:tcPr>
          <w:p>
            <w:pPr>
              <w:spacing w:after="0"/>
              <w:rPr>
                <w:sz w:val="11"/>
                <w:szCs w:val="11"/>
                <w:color w:val="auto"/>
              </w:rPr>
            </w:pPr>
          </w:p>
        </w:tc>
        <w:tc>
          <w:tcPr>
            <w:tcW w:w="2180" w:type="dxa"/>
            <w:vAlign w:val="bottom"/>
            <w:shd w:val="clear" w:color="auto" w:fill="D25F0C"/>
          </w:tcPr>
          <w:p>
            <w:pPr>
              <w:spacing w:after="0"/>
              <w:rPr>
                <w:sz w:val="11"/>
                <w:szCs w:val="11"/>
                <w:color w:val="auto"/>
              </w:rPr>
            </w:pPr>
          </w:p>
        </w:tc>
      </w:tr>
      <w:tr>
        <w:trPr>
          <w:trHeight w:val="305"/>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5HYLHZSULRU\HDU¶V</w:t>
            </w:r>
          </w:p>
        </w:tc>
        <w:tc>
          <w:tcPr>
            <w:tcW w:w="440" w:type="dxa"/>
            <w:vAlign w:val="bottom"/>
          </w:tcPr>
          <w:p>
            <w:pPr>
              <w:spacing w:after="0"/>
              <w:rPr>
                <w:sz w:val="24"/>
                <w:szCs w:val="24"/>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&amp;RQVLGHUDQ\</w:t>
            </w:r>
          </w:p>
        </w:tc>
        <w:tc>
          <w:tcPr>
            <w:tcW w:w="420" w:type="dxa"/>
            <w:vAlign w:val="bottom"/>
          </w:tcPr>
          <w:p>
            <w:pPr>
              <w:spacing w:after="0"/>
              <w:rPr>
                <w:sz w:val="24"/>
                <w:szCs w:val="24"/>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5HYLHZFRPSHQVDWLRQ</w:t>
            </w:r>
          </w:p>
        </w:tc>
        <w:tc>
          <w:tcPr>
            <w:tcW w:w="440" w:type="dxa"/>
            <w:vAlign w:val="bottom"/>
          </w:tcPr>
          <w:p>
            <w:pPr>
              <w:spacing w:after="0"/>
              <w:rPr>
                <w:sz w:val="24"/>
                <w:szCs w:val="24"/>
                <w:color w:val="auto"/>
              </w:rPr>
            </w:pPr>
          </w:p>
        </w:tc>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'LVFXVVFRPSHQVDWLRQ</w:t>
            </w: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SHUIRUPDQFHDQG</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6"/>
              </w:rPr>
              <w:t>FRPSHQVDWLRQUHODWHG</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UHODWHGFRUSRUDWH</w:t>
            </w:r>
          </w:p>
        </w:tc>
        <w:tc>
          <w:tcPr>
            <w:tcW w:w="440" w:type="dxa"/>
            <w:vAlign w:val="bottom"/>
          </w:tcPr>
          <w:p>
            <w:pPr>
              <w:spacing w:after="0"/>
              <w:rPr>
                <w:sz w:val="16"/>
                <w:szCs w:val="16"/>
                <w:color w:val="auto"/>
              </w:rPr>
            </w:pPr>
          </w:p>
        </w:tc>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SKLORVRSK\DQG</w:t>
            </w: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GHWHUPLQHERQXVDQG</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SUR[\SURSRVDOVDQG</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w w:val="95"/>
              </w:rPr>
              <w:t>JRYHUQDQFHWUHQGVDQG</w:t>
            </w:r>
          </w:p>
        </w:tc>
        <w:tc>
          <w:tcPr>
            <w:tcW w:w="440" w:type="dxa"/>
            <w:vAlign w:val="bottom"/>
          </w:tcPr>
          <w:p>
            <w:pPr>
              <w:spacing w:after="0"/>
              <w:rPr>
                <w:sz w:val="16"/>
                <w:szCs w:val="16"/>
                <w:color w:val="auto"/>
              </w:rPr>
            </w:pPr>
          </w:p>
        </w:tc>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7"/>
              </w:rPr>
              <w:t>GLUHFWLRQIRUQH[W\HDU</w:t>
            </w: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368SURJUDPSD\RXWV</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GLVFORVXUHVUHYLHZ</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DQ\IHHGEDFNUHFHLYHG</w:t>
            </w:r>
          </w:p>
        </w:tc>
        <w:tc>
          <w:tcPr>
            <w:tcW w:w="440" w:type="dxa"/>
            <w:vAlign w:val="bottom"/>
          </w:tcPr>
          <w:p>
            <w:pPr>
              <w:spacing w:after="0"/>
              <w:rPr>
                <w:sz w:val="16"/>
                <w:szCs w:val="16"/>
                <w:color w:val="auto"/>
              </w:rPr>
            </w:pPr>
          </w:p>
        </w:tc>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86"/>
              </w:rPr>
              <w:t>LQFOXGLQJLQFHQWLYHSODQ</w:t>
            </w: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83"/>
              </w:rPr>
              <w:t>HVWDEOLVKJRDOVIRUVKRUW</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H[HFXWLYHVKDUH</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IURPVKDUHKROGHUV</w:t>
            </w:r>
          </w:p>
        </w:tc>
        <w:tc>
          <w:tcPr>
            <w:tcW w:w="440" w:type="dxa"/>
            <w:vAlign w:val="bottom"/>
          </w:tcPr>
          <w:p>
            <w:pPr>
              <w:spacing w:after="0"/>
              <w:rPr>
                <w:sz w:val="16"/>
                <w:szCs w:val="16"/>
                <w:color w:val="auto"/>
              </w:rPr>
            </w:pPr>
          </w:p>
        </w:tc>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GHVLJQV</w:t>
            </w: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1"/>
              </w:rPr>
              <w:t>DQGORQJWHUPLQFHQWLYH</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RZQHUVKLSOHYHOV</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GLVFXVVWDOHQWDQG</w:t>
            </w: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5"/>
              </w:rPr>
              <w:t>SODQVVHWFXUUHQW\HDU</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rPr>
              <w:t>UHYLHZQRQHPSOR\HH</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w w:val="93"/>
              </w:rPr>
              <w:t>VXFFHVVLRQSODQQLQJIRU</w:t>
            </w: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r>
        <w:trPr>
          <w:trHeight w:val="192"/>
        </w:trPr>
        <w:tc>
          <w:tcPr>
            <w:tcW w:w="218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4"/>
              </w:rPr>
              <w:t>OHYHOVRIFRPSHQVDWLRQ</w:t>
            </w:r>
          </w:p>
        </w:tc>
        <w:tc>
          <w:tcPr>
            <w:tcW w:w="440" w:type="dxa"/>
            <w:vAlign w:val="bottom"/>
          </w:tcPr>
          <w:p>
            <w:pPr>
              <w:spacing w:after="0"/>
              <w:rPr>
                <w:sz w:val="16"/>
                <w:szCs w:val="16"/>
                <w:color w:val="auto"/>
              </w:rPr>
            </w:pPr>
          </w:p>
        </w:tc>
        <w:tc>
          <w:tcPr>
            <w:tcW w:w="2200" w:type="dxa"/>
            <w:vAlign w:val="bottom"/>
            <w:shd w:val="clear" w:color="auto" w:fill="F3F3F1"/>
          </w:tcPr>
          <w:p>
            <w:pPr>
              <w:ind w:left="240"/>
              <w:spacing w:after="0"/>
              <w:rPr>
                <w:sz w:val="20"/>
                <w:szCs w:val="20"/>
                <w:color w:val="auto"/>
              </w:rPr>
            </w:pPr>
            <w:r>
              <w:rPr>
                <w:rFonts w:ascii="PMingLiU" w:cs="PMingLiU" w:eastAsia="PMingLiU" w:hAnsi="PMingLiU"/>
                <w:sz w:val="16"/>
                <w:szCs w:val="16"/>
                <w:color w:val="2D2C36"/>
                <w:w w:val="93"/>
              </w:rPr>
              <w:t>GLUHFWRUFRPSHQVDWLRQ</w:t>
            </w: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&amp;(2DQGRWKHUVHQLRU</w:t>
            </w: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r>
        <w:trPr>
          <w:trHeight w:val="192"/>
        </w:trPr>
        <w:tc>
          <w:tcPr>
            <w:tcW w:w="2180" w:type="dxa"/>
            <w:vAlign w:val="bottom"/>
            <w:shd w:val="clear" w:color="auto" w:fill="F3F3F1"/>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shd w:val="clear" w:color="auto" w:fill="F3F3F1"/>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PDQDJHPHQWUROHV</w:t>
            </w: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r>
        <w:trPr>
          <w:trHeight w:val="192"/>
        </w:trPr>
        <w:tc>
          <w:tcPr>
            <w:tcW w:w="2180" w:type="dxa"/>
            <w:vAlign w:val="bottom"/>
            <w:shd w:val="clear" w:color="auto" w:fill="F3F3F1"/>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shd w:val="clear" w:color="auto" w:fill="F3F3F1"/>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GHWHUPLQHSHHUJURXS</w:t>
            </w: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r>
        <w:trPr>
          <w:trHeight w:val="213"/>
        </w:trPr>
        <w:tc>
          <w:tcPr>
            <w:tcW w:w="2180" w:type="dxa"/>
            <w:vAlign w:val="bottom"/>
            <w:shd w:val="clear" w:color="auto" w:fill="F3F3F1"/>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shd w:val="clear" w:color="auto" w:fill="F3F3F1"/>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shd w:val="clear" w:color="auto" w:fill="F3F3F1"/>
          </w:tcPr>
          <w:p>
            <w:pPr>
              <w:ind w:left="260"/>
              <w:spacing w:after="0"/>
              <w:rPr>
                <w:sz w:val="20"/>
                <w:szCs w:val="20"/>
                <w:color w:val="auto"/>
              </w:rPr>
            </w:pPr>
            <w:r>
              <w:rPr>
                <w:rFonts w:ascii="PMingLiU" w:cs="PMingLiU" w:eastAsia="PMingLiU" w:hAnsi="PMingLiU"/>
                <w:sz w:val="16"/>
                <w:szCs w:val="16"/>
                <w:color w:val="2D2C36"/>
              </w:rPr>
              <w:t>IRUQH[W\HDU</w:t>
            </w:r>
          </w:p>
        </w:tc>
        <w:tc>
          <w:tcPr>
            <w:tcW w:w="440" w:type="dxa"/>
            <w:vAlign w:val="bottom"/>
          </w:tcPr>
          <w:p>
            <w:pPr>
              <w:spacing w:after="0"/>
              <w:rPr>
                <w:sz w:val="18"/>
                <w:szCs w:val="18"/>
                <w:color w:val="auto"/>
              </w:rPr>
            </w:pPr>
          </w:p>
        </w:tc>
        <w:tc>
          <w:tcPr>
            <w:tcW w:w="2180" w:type="dxa"/>
            <w:vAlign w:val="bottom"/>
            <w:shd w:val="clear" w:color="auto" w:fill="F3F3F1"/>
          </w:tcPr>
          <w:p>
            <w:pPr>
              <w:spacing w:after="0"/>
              <w:rPr>
                <w:sz w:val="18"/>
                <w:szCs w:val="18"/>
                <w:color w:val="auto"/>
              </w:rPr>
            </w:pPr>
          </w:p>
        </w:tc>
      </w:tr>
      <w:tr>
        <w:trPr>
          <w:trHeight w:val="184"/>
        </w:trPr>
        <w:tc>
          <w:tcPr>
            <w:tcW w:w="2180" w:type="dxa"/>
            <w:vAlign w:val="bottom"/>
            <w:shd w:val="clear" w:color="auto" w:fill="F3F3F1"/>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shd w:val="clear" w:color="auto" w:fill="F3F3F1"/>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shd w:val="clear" w:color="auto" w:fill="F3F3F1"/>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shd w:val="clear" w:color="auto" w:fill="F3F3F1"/>
          </w:tcPr>
          <w:p>
            <w:pPr>
              <w:spacing w:after="0"/>
              <w:rPr>
                <w:sz w:val="16"/>
                <w:szCs w:val="16"/>
                <w:color w:val="auto"/>
              </w:rPr>
            </w:pPr>
          </w:p>
        </w:tc>
      </w:tr>
    </w:tbl>
    <w:p>
      <w:pPr>
        <w:spacing w:after="0" w:line="279"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5ROHRIWKH,QGHSHQGHQW&amp;RPSHQVDWLRQ&amp;RQVXOWDQW</w:t>
      </w:r>
    </w:p>
    <w:p>
      <w:pPr>
        <w:spacing w:after="0" w:line="191" w:lineRule="exact"/>
        <w:rPr>
          <w:sz w:val="20"/>
          <w:szCs w:val="20"/>
          <w:color w:val="auto"/>
        </w:rPr>
      </w:pPr>
    </w:p>
    <w:p>
      <w:pPr>
        <w:ind w:right="460"/>
        <w:spacing w:after="0" w:line="342" w:lineRule="auto"/>
        <w:rPr>
          <w:sz w:val="20"/>
          <w:szCs w:val="20"/>
          <w:color w:val="auto"/>
        </w:rPr>
      </w:pPr>
      <w:r>
        <w:rPr>
          <w:rFonts w:ascii="PMingLiU" w:cs="PMingLiU" w:eastAsia="PMingLiU" w:hAnsi="PMingLiU"/>
          <w:sz w:val="14"/>
          <w:szCs w:val="14"/>
          <w:color w:val="auto"/>
        </w:rPr>
        <w:t>2XU&amp;RPSHQVDWLRQ&amp;RPPLWWHHHQJDJHVDQLQGHSHQGHQWFRPSHQVDWLRQFRQVXOWDQWHDFK\HDUWRSURYLGHDFRPSHWLWLYH FRPSHQVDWLRQDVVHVVPHQWZLWKUHVSHFWWRWKHH[HFXWLYHRIILFHUVWRDVVLVWRXU&amp;RPSHQVDWLRQ&amp;RPPLWWHHLQPDNLQJDQQXDO FRPSHQVDWLRQGHFLVLRQV6LQFH$RQKDVEHHQHQJDJHGE\RXU&amp;RPSHQVDWLRQ&amp;RPPLWWHHDVRXULQGHSHQGHQW</w:t>
      </w:r>
    </w:p>
    <w:p>
      <w:pPr>
        <w:ind w:right="220"/>
        <w:spacing w:after="0" w:line="342" w:lineRule="auto"/>
        <w:rPr>
          <w:sz w:val="20"/>
          <w:szCs w:val="20"/>
          <w:color w:val="auto"/>
        </w:rPr>
      </w:pPr>
      <w:r>
        <w:rPr>
          <w:rFonts w:ascii="PMingLiU" w:cs="PMingLiU" w:eastAsia="PMingLiU" w:hAnsi="PMingLiU"/>
          <w:sz w:val="14"/>
          <w:szCs w:val="14"/>
          <w:color w:val="auto"/>
        </w:rPr>
        <w:t>FRQVXOWDQW$RQVXSSRUWVRXU&amp;RPSHQVDWLRQ&amp;RPPLWWHHLQDGGUHVVLQJWKHGHVLJQRIRXUFRPSHQVDWLRQSHHUJURXSSURYLGHV LQGXVWU\FRPSHQVDWLRQGDWDSURYLGHVRXU&amp;RPSHQVDWLRQ&amp;RPPLWWHHZLWKDGYLFHUHJDUGLQJH[HFXWLYHRIILFHUV¶FRPSHQVDWLRQ LQFOXGLQJEDVHVDODULHVSHUIRUPDQFHEDVHGERQXVHVDQGORQJWHUPHTXLW\FRPSHQVDWLRQDQGVLPLODUDGYLFHUHJDUGLQJQRQ HPSOR\HHGLUHFWRUV¶FRPSHQVDWLRQ2XU&amp;RPSHQVDWLRQ&amp;RPPLWWHHKDVDOVRFRQVXOWHGZLWK$RQWRXSGDWHWKHSHHUFRPSDQ\</w:t>
      </w:r>
    </w:p>
    <w:p>
      <w:pPr>
        <w:spacing w:after="0" w:line="1" w:lineRule="exact"/>
        <w:rPr>
          <w:sz w:val="20"/>
          <w:szCs w:val="20"/>
          <w:color w:val="auto"/>
        </w:rPr>
      </w:pPr>
    </w:p>
    <w:p>
      <w:pPr>
        <w:ind w:right="40"/>
        <w:spacing w:after="0" w:line="342" w:lineRule="auto"/>
        <w:rPr>
          <w:sz w:val="20"/>
          <w:szCs w:val="20"/>
          <w:color w:val="auto"/>
        </w:rPr>
      </w:pPr>
      <w:r>
        <w:rPr>
          <w:rFonts w:ascii="PMingLiU" w:cs="PMingLiU" w:eastAsia="PMingLiU" w:hAnsi="PMingLiU"/>
          <w:sz w:val="14"/>
          <w:szCs w:val="14"/>
          <w:color w:val="auto"/>
        </w:rPr>
        <w:t>DQGLQGXVWU\FRPSHQVDWLRQGDWDRQDQDQQXDOEDVLVDQGDGGUHVVVSHFLILFTXHVWLRQVWKDWDULVHDVWKHFRPPLWWHHIXOILOOVWKHLU UHVSRQVLELOLWLHVDVRXWOLQHGLQRXU&amp;RPSHQVDWLRQ&amp;RPPLWWHHFKDUWHU$RQSURYLGHVVXSSRUWLQDGGUHVVLQJFKDQJHVLQWUHQGV DQGEHVWSUDFWLFHVIRUH[HFXWLYHFRPSHQVDWLRQLQFHQWLYHDQGHTXLW\FRPSHQVDWLRQDQGRURWKHUEHVWSUDFWLFHVWKDWDUH UHTXHVWHGE\RXU&amp;RPSHQVDWLRQ&amp;RPPLWWHHWRKHOSLQIRUPRXU&amp;RPSHQVDWLRQ&amp;RPPLWWHH¶VGHFLVLRQV$RQUHSRUWVGLUHFWO\WR RXU&amp;RPSHQVDWLRQ&amp;RPPLWWHHZKLFKPDLQWDLQVWKHDXWKRULW\WRGLUHFW$RQ¶VZRUNDQGHQJDJHPHQW$VUHTXHVWHGDQGXQGHU WKHSXUYLHZRIRXU&amp;RPSHQVDWLRQ&amp;RPPLWWHH$RQPD\DGYLVHWKHKXPDQUHVRXUFHVGHSDUWPHQWRQSURMHFWVIURPWLPHWRWLPH</w:t>
      </w:r>
    </w:p>
    <w:p>
      <w:pPr>
        <w:spacing w:after="0" w:line="1" w:lineRule="exact"/>
        <w:rPr>
          <w:sz w:val="20"/>
          <w:szCs w:val="20"/>
          <w:color w:val="auto"/>
        </w:rPr>
      </w:pPr>
    </w:p>
    <w:p>
      <w:pPr>
        <w:ind w:right="620"/>
        <w:spacing w:after="0" w:line="345" w:lineRule="auto"/>
        <w:rPr>
          <w:sz w:val="20"/>
          <w:szCs w:val="20"/>
          <w:color w:val="auto"/>
        </w:rPr>
      </w:pPr>
      <w:r>
        <w:rPr>
          <w:rFonts w:ascii="PMingLiU" w:cs="PMingLiU" w:eastAsia="PMingLiU" w:hAnsi="PMingLiU"/>
          <w:sz w:val="15"/>
          <w:szCs w:val="15"/>
          <w:color w:val="auto"/>
        </w:rPr>
        <w:t>$RQLQWHUDFWVZLWKPDQDJHPHQWWRJDLQDFFHVVWRRXU&amp;RPSDQ\LQIRUPDWLRQWKDWLVUHTXLUHGWRSHUIRUPVHUYLFHVDQGWR XQGHUVWDQGWKHFXOWXUHDQGSROLFLHVRIWKHRUJDQL]DWLRQ$RQDWWHQGV&amp;RPSHQVDWLRQ&amp;RPPLWWHHPHHWLQJVDQGRXU &amp;RPSHQVDWLRQ&amp;RPPLWWHHDQG$RQPHHWLQH[HFXWLYHVHVVLRQZLWKQRPHPEHUVRIPDQDJHPHQWSUHVHQWDVQHHGHGWR DGGUHVVYDULRXVFRPSHQVDWLRQPDWWHUVLQFOXGLQJGHOLEHUDWLRQVUHJDUGLQJRXU&amp;(2¶VFRPSHQVDWLRQ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989330</wp:posOffset>
            </wp:positionV>
            <wp:extent cx="1386840" cy="2336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76">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62" w:name="page63"/>
    <w:bookmarkEnd w:id="62"/>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80" o:spid="_x0000_s1405"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80"/>
        <w:spacing w:after="0" w:line="319" w:lineRule="auto"/>
        <w:rPr>
          <w:sz w:val="20"/>
          <w:szCs w:val="20"/>
          <w:color w:val="auto"/>
        </w:rPr>
      </w:pPr>
      <w:r>
        <w:rPr>
          <w:rFonts w:ascii="PMingLiU" w:cs="PMingLiU" w:eastAsia="PMingLiU" w:hAnsi="PMingLiU"/>
          <w:sz w:val="15"/>
          <w:szCs w:val="15"/>
          <w:color w:val="auto"/>
        </w:rPr>
        <w:t>,QDVVHVVLQJ$RQ¶VLQGHSHQGHQFHIURPPDQDJHPHQWLQSURYLGLQJH[HFXWLYHFRPSHQVDWLRQVHUYLFHVWRRXU&amp;RPSHQVDWLRQ &amp;RPPLWWHHRXU&amp;RPSHQVDWLRQ&amp;RPPLWWHHFRQVLGHUHGWKDW$RQLVRQO\HQJDJHGE\WDNHVGLUHFWLRQIURPDQGUHSRUWVWRRXU &amp;RPSHQVDWLRQ&amp;RPPLWWHHIRUVXFKVHUYLFHVDQGDFFRUGLQJO\RQO\RXU&amp;RPSHQVDWLRQ&amp;RPPLWWHHKDVWKHULJKWWRWHUPLQDWHRU UHSODFH$RQDVLWVFRPSHQVDWLRQFRQVXOWDQWDWDQ\WLPH2XU&amp;RPSHQVDWLRQ&amp;RPPLWWHHDOVRDQDO\]HGZKHWKHUWKHZRUNRI</w:t>
      </w:r>
    </w:p>
    <w:p>
      <w:pPr>
        <w:spacing w:after="0" w:line="1" w:lineRule="exact"/>
        <w:rPr>
          <w:sz w:val="20"/>
          <w:szCs w:val="20"/>
          <w:color w:val="auto"/>
        </w:rPr>
      </w:pPr>
    </w:p>
    <w:p>
      <w:pPr>
        <w:ind w:right="180"/>
        <w:spacing w:after="0" w:line="443" w:lineRule="auto"/>
        <w:rPr>
          <w:sz w:val="20"/>
          <w:szCs w:val="20"/>
          <w:color w:val="auto"/>
        </w:rPr>
      </w:pPr>
      <w:r>
        <w:rPr>
          <w:rFonts w:ascii="PMingLiU" w:cs="PMingLiU" w:eastAsia="PMingLiU" w:hAnsi="PMingLiU"/>
          <w:sz w:val="14"/>
          <w:szCs w:val="14"/>
          <w:color w:val="auto"/>
        </w:rPr>
        <w:t>$RQDVDFRPSHQVDWLRQFRQVXOWDQWZLWKUHVSHFWWRH[HFXWLYHDQGGLUHFWRUFRPSHQVDWLRQUDLVHGDQ\FRQIOLFWRILQWHUHVWWDNLQJ LQWRFRQVLGHUDWLRQWKHIROORZLQJIDFWRUV</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r>
              <w:rPr>
                <w:rFonts w:ascii="PMingLiU" w:cs="PMingLiU" w:eastAsia="PMingLiU" w:hAnsi="PMingLiU"/>
                <w:sz w:val="18"/>
                <w:szCs w:val="18"/>
                <w:color w:val="5C004D"/>
                <w:w w:val="94"/>
              </w:rPr>
              <w:t xml:space="preserve"> </w:t>
            </w:r>
            <w:r>
              <w:rPr>
                <w:rFonts w:ascii="PMingLiU" w:cs="PMingLiU" w:eastAsia="PMingLiU" w:hAnsi="PMingLiU"/>
                <w:sz w:val="18"/>
                <w:szCs w:val="18"/>
                <w:color w:val="000000"/>
                <w:w w:val="94"/>
              </w:rPr>
              <w:t>WKHSURYLVLRQRIRWKHUVHUYLFHVWRRXU&amp;RPSDQ\E\$RQ</w:t>
            </w:r>
          </w:p>
        </w:tc>
        <w:tc>
          <w:tcPr>
            <w:tcW w:w="5040" w:type="dxa"/>
            <w:vAlign w:val="bottom"/>
          </w:tcPr>
          <w:p>
            <w:pPr>
              <w:ind w:left="340"/>
              <w:spacing w:after="0"/>
              <w:rPr>
                <w:sz w:val="20"/>
                <w:szCs w:val="20"/>
                <w:color w:val="auto"/>
              </w:rPr>
            </w:pPr>
            <w:r>
              <w:rPr>
                <w:rFonts w:ascii="PMingLiU" w:cs="PMingLiU" w:eastAsia="PMingLiU" w:hAnsi="PMingLiU"/>
                <w:sz w:val="18"/>
                <w:szCs w:val="18"/>
                <w:color w:val="5C004D"/>
                <w:w w:val="80"/>
              </w:rPr>
              <w:t xml:space="preserve"> </w:t>
            </w:r>
            <w:r>
              <w:rPr>
                <w:rFonts w:ascii="PMingLiU" w:cs="PMingLiU" w:eastAsia="PMingLiU" w:hAnsi="PMingLiU"/>
                <w:sz w:val="18"/>
                <w:szCs w:val="18"/>
                <w:color w:val="000000"/>
                <w:w w:val="80"/>
              </w:rPr>
              <w:t>DQ\EXVLQHVVRUSHUVRQDOUHODWLRQVKLSRIWKHLQGLYLGXDO</w:t>
            </w: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PMingLiU" w:cs="PMingLiU" w:eastAsia="PMingLiU" w:hAnsi="PMingLiU"/>
                <w:sz w:val="18"/>
                <w:szCs w:val="18"/>
                <w:color w:val="auto"/>
              </w:rPr>
              <w:t>DQGLWVDIILOLDWHV</w:t>
            </w:r>
          </w:p>
        </w:tc>
        <w:tc>
          <w:tcPr>
            <w:tcW w:w="5040" w:type="dxa"/>
            <w:vAlign w:val="bottom"/>
          </w:tcPr>
          <w:p>
            <w:pPr>
              <w:ind w:left="620"/>
              <w:spacing w:after="0"/>
              <w:rPr>
                <w:sz w:val="20"/>
                <w:szCs w:val="20"/>
                <w:color w:val="auto"/>
              </w:rPr>
            </w:pPr>
            <w:r>
              <w:rPr>
                <w:rFonts w:ascii="PMingLiU" w:cs="PMingLiU" w:eastAsia="PMingLiU" w:hAnsi="PMingLiU"/>
                <w:sz w:val="18"/>
                <w:szCs w:val="18"/>
                <w:color w:val="auto"/>
                <w:w w:val="97"/>
              </w:rPr>
              <w:t>FRPSHQVDWLRQDGYLVRUVZLWKDQ\&amp;RPSHQVDWLRQ</w:t>
            </w:r>
          </w:p>
        </w:tc>
        <w:tc>
          <w:tcPr>
            <w:tcW w:w="0" w:type="dxa"/>
            <w:vAlign w:val="bottom"/>
          </w:tcPr>
          <w:p>
            <w:pPr>
              <w:spacing w:after="0"/>
              <w:rPr>
                <w:sz w:val="1"/>
                <w:szCs w:val="1"/>
                <w:color w:val="auto"/>
              </w:rPr>
            </w:pPr>
          </w:p>
        </w:tc>
      </w:tr>
      <w:tr>
        <w:trPr>
          <w:trHeight w:val="239"/>
        </w:trPr>
        <w:tc>
          <w:tcPr>
            <w:tcW w:w="4940" w:type="dxa"/>
            <w:vAlign w:val="bottom"/>
            <w:vMerge w:val="restart"/>
          </w:tcPr>
          <w:p>
            <w:pPr>
              <w:spacing w:after="0"/>
              <w:rPr>
                <w:sz w:val="20"/>
                <w:szCs w:val="20"/>
                <w:color w:val="auto"/>
              </w:rPr>
            </w:pPr>
            <w:r>
              <w:rPr>
                <w:rFonts w:ascii="PMingLiU" w:cs="PMingLiU" w:eastAsia="PMingLiU" w:hAnsi="PMingLiU"/>
                <w:sz w:val="18"/>
                <w:szCs w:val="18"/>
                <w:color w:val="5C004D"/>
                <w:w w:val="92"/>
              </w:rPr>
              <w:t xml:space="preserve"> </w:t>
            </w:r>
            <w:r>
              <w:rPr>
                <w:rFonts w:ascii="PMingLiU" w:cs="PMingLiU" w:eastAsia="PMingLiU" w:hAnsi="PMingLiU"/>
                <w:sz w:val="18"/>
                <w:szCs w:val="18"/>
                <w:color w:val="000000"/>
                <w:w w:val="92"/>
              </w:rPr>
              <w:t>WKHDPRXQWRIIHHVZHSDLGWR$RQDQGLWVDIILOLDWHVDV</w:t>
            </w:r>
          </w:p>
        </w:tc>
        <w:tc>
          <w:tcPr>
            <w:tcW w:w="5040" w:type="dxa"/>
            <w:vAlign w:val="bottom"/>
          </w:tcPr>
          <w:p>
            <w:pPr>
              <w:ind w:left="620"/>
              <w:spacing w:after="0"/>
              <w:rPr>
                <w:sz w:val="20"/>
                <w:szCs w:val="20"/>
                <w:color w:val="auto"/>
              </w:rPr>
            </w:pPr>
            <w:r>
              <w:rPr>
                <w:rFonts w:ascii="PMingLiU" w:cs="PMingLiU" w:eastAsia="PMingLiU" w:hAnsi="PMingLiU"/>
                <w:sz w:val="18"/>
                <w:szCs w:val="18"/>
                <w:color w:val="auto"/>
              </w:rPr>
              <w:t>&amp;RPPLWWHHPHPEHU</w:t>
            </w:r>
          </w:p>
        </w:tc>
        <w:tc>
          <w:tcPr>
            <w:tcW w:w="0" w:type="dxa"/>
            <w:vAlign w:val="bottom"/>
          </w:tcPr>
          <w:p>
            <w:pPr>
              <w:spacing w:after="0"/>
              <w:rPr>
                <w:sz w:val="1"/>
                <w:szCs w:val="1"/>
                <w:color w:val="auto"/>
              </w:rPr>
            </w:pPr>
          </w:p>
        </w:tc>
      </w:tr>
      <w:tr>
        <w:trPr>
          <w:trHeight w:val="120"/>
        </w:trPr>
        <w:tc>
          <w:tcPr>
            <w:tcW w:w="4940" w:type="dxa"/>
            <w:vAlign w:val="bottom"/>
            <w:vMerge w:val="continue"/>
          </w:tcPr>
          <w:p>
            <w:pPr>
              <w:spacing w:after="0"/>
              <w:rPr>
                <w:sz w:val="10"/>
                <w:szCs w:val="10"/>
                <w:color w:val="auto"/>
              </w:rPr>
            </w:pPr>
          </w:p>
        </w:tc>
        <w:tc>
          <w:tcPr>
            <w:tcW w:w="5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PMingLiU" w:cs="PMingLiU" w:eastAsia="PMingLiU" w:hAnsi="PMingLiU"/>
                <w:sz w:val="18"/>
                <w:szCs w:val="18"/>
                <w:color w:val="auto"/>
              </w:rPr>
              <w:t>DSHUFHQWDJHRI$RQ¶VWRWDOUHYHQXH</w:t>
            </w:r>
          </w:p>
        </w:tc>
        <w:tc>
          <w:tcPr>
            <w:tcW w:w="5040" w:type="dxa"/>
            <w:vAlign w:val="bottom"/>
          </w:tcPr>
          <w:p>
            <w:pPr>
              <w:ind w:left="340"/>
              <w:spacing w:after="0"/>
              <w:rPr>
                <w:sz w:val="20"/>
                <w:szCs w:val="20"/>
                <w:color w:val="auto"/>
              </w:rPr>
            </w:pPr>
            <w:r>
              <w:rPr>
                <w:rFonts w:ascii="PMingLiU" w:cs="PMingLiU" w:eastAsia="PMingLiU" w:hAnsi="PMingLiU"/>
                <w:sz w:val="18"/>
                <w:szCs w:val="18"/>
                <w:color w:val="5C004D"/>
                <w:w w:val="89"/>
              </w:rPr>
              <w:t xml:space="preserve"> </w:t>
            </w:r>
            <w:r>
              <w:rPr>
                <w:rFonts w:ascii="PMingLiU" w:cs="PMingLiU" w:eastAsia="PMingLiU" w:hAnsi="PMingLiU"/>
                <w:sz w:val="18"/>
                <w:szCs w:val="18"/>
                <w:color w:val="000000"/>
                <w:w w:val="89"/>
              </w:rPr>
              <w:t>$RQ¶VSROLFLHVDQGSURFHGXUHVWKDWDUHGHVLJQHGWR</w:t>
            </w:r>
          </w:p>
        </w:tc>
        <w:tc>
          <w:tcPr>
            <w:tcW w:w="0" w:type="dxa"/>
            <w:vAlign w:val="bottom"/>
          </w:tcPr>
          <w:p>
            <w:pPr>
              <w:spacing w:after="0"/>
              <w:rPr>
                <w:sz w:val="1"/>
                <w:szCs w:val="1"/>
                <w:color w:val="auto"/>
              </w:rPr>
            </w:pPr>
          </w:p>
        </w:tc>
      </w:tr>
      <w:tr>
        <w:trPr>
          <w:trHeight w:val="239"/>
        </w:trPr>
        <w:tc>
          <w:tcPr>
            <w:tcW w:w="4940" w:type="dxa"/>
            <w:vAlign w:val="bottom"/>
            <w:vMerge w:val="restart"/>
          </w:tcPr>
          <w:p>
            <w:pPr>
              <w:spacing w:after="0"/>
              <w:rPr>
                <w:sz w:val="20"/>
                <w:szCs w:val="20"/>
                <w:color w:val="auto"/>
              </w:rPr>
            </w:pPr>
            <w:r>
              <w:rPr>
                <w:rFonts w:ascii="PMingLiU" w:cs="PMingLiU" w:eastAsia="PMingLiU" w:hAnsi="PMingLiU"/>
                <w:sz w:val="18"/>
                <w:szCs w:val="18"/>
                <w:color w:val="5C004D"/>
                <w:w w:val="94"/>
              </w:rPr>
              <w:t xml:space="preserve"> </w:t>
            </w:r>
            <w:r>
              <w:rPr>
                <w:rFonts w:ascii="PMingLiU" w:cs="PMingLiU" w:eastAsia="PMingLiU" w:hAnsi="PMingLiU"/>
                <w:sz w:val="18"/>
                <w:szCs w:val="18"/>
                <w:color w:val="000000"/>
                <w:w w:val="94"/>
              </w:rPr>
              <w:t>DQ\EXVLQHVVRUSHUVRQDOUHODWLRQVKLSRI$RQRUWKH</w:t>
            </w:r>
          </w:p>
        </w:tc>
        <w:tc>
          <w:tcPr>
            <w:tcW w:w="5040" w:type="dxa"/>
            <w:vAlign w:val="bottom"/>
          </w:tcPr>
          <w:p>
            <w:pPr>
              <w:ind w:left="620"/>
              <w:spacing w:after="0"/>
              <w:rPr>
                <w:sz w:val="20"/>
                <w:szCs w:val="20"/>
                <w:color w:val="auto"/>
              </w:rPr>
            </w:pPr>
            <w:r>
              <w:rPr>
                <w:rFonts w:ascii="PMingLiU" w:cs="PMingLiU" w:eastAsia="PMingLiU" w:hAnsi="PMingLiU"/>
                <w:sz w:val="18"/>
                <w:szCs w:val="18"/>
                <w:color w:val="auto"/>
              </w:rPr>
              <w:t>SUHYHQWFRQIOLFWVRILQWHUHVWDQG</w:t>
            </w:r>
          </w:p>
        </w:tc>
        <w:tc>
          <w:tcPr>
            <w:tcW w:w="0" w:type="dxa"/>
            <w:vAlign w:val="bottom"/>
          </w:tcPr>
          <w:p>
            <w:pPr>
              <w:spacing w:after="0"/>
              <w:rPr>
                <w:sz w:val="1"/>
                <w:szCs w:val="1"/>
                <w:color w:val="auto"/>
              </w:rPr>
            </w:pPr>
          </w:p>
        </w:tc>
      </w:tr>
      <w:tr>
        <w:trPr>
          <w:trHeight w:val="120"/>
        </w:trPr>
        <w:tc>
          <w:tcPr>
            <w:tcW w:w="4940" w:type="dxa"/>
            <w:vAlign w:val="bottom"/>
            <w:vMerge w:val="continue"/>
          </w:tcPr>
          <w:p>
            <w:pPr>
              <w:spacing w:after="0"/>
              <w:rPr>
                <w:sz w:val="10"/>
                <w:szCs w:val="10"/>
                <w:color w:val="auto"/>
              </w:rPr>
            </w:pPr>
          </w:p>
        </w:tc>
        <w:tc>
          <w:tcPr>
            <w:tcW w:w="5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PMingLiU" w:cs="PMingLiU" w:eastAsia="PMingLiU" w:hAnsi="PMingLiU"/>
                <w:sz w:val="18"/>
                <w:szCs w:val="18"/>
                <w:color w:val="auto"/>
                <w:w w:val="88"/>
              </w:rPr>
              <w:t>LQGLYLGXDOFRPSHQVDWLRQDGYLVRUVHPSOR\HGE\LWZLWK</w:t>
            </w:r>
          </w:p>
        </w:tc>
        <w:tc>
          <w:tcPr>
            <w:tcW w:w="5040" w:type="dxa"/>
            <w:vAlign w:val="bottom"/>
          </w:tcPr>
          <w:p>
            <w:pPr>
              <w:ind w:left="340"/>
              <w:spacing w:after="0"/>
              <w:rPr>
                <w:sz w:val="20"/>
                <w:szCs w:val="20"/>
                <w:color w:val="auto"/>
              </w:rPr>
            </w:pPr>
            <w:r>
              <w:rPr>
                <w:rFonts w:ascii="PMingLiU" w:cs="PMingLiU" w:eastAsia="PMingLiU" w:hAnsi="PMingLiU"/>
                <w:sz w:val="18"/>
                <w:szCs w:val="18"/>
                <w:color w:val="5C004D"/>
              </w:rPr>
              <w:t xml:space="preserve"> </w:t>
            </w:r>
            <w:r>
              <w:rPr>
                <w:rFonts w:ascii="PMingLiU" w:cs="PMingLiU" w:eastAsia="PMingLiU" w:hAnsi="PMingLiU"/>
                <w:sz w:val="18"/>
                <w:szCs w:val="18"/>
                <w:color w:val="000000"/>
              </w:rPr>
              <w:t>DQ\RUGLQDU\VKDUHVRIRXU&amp;RPSDQ\RZQHGE\$RQRU</w:t>
            </w:r>
          </w:p>
        </w:tc>
        <w:tc>
          <w:tcPr>
            <w:tcW w:w="0" w:type="dxa"/>
            <w:vAlign w:val="bottom"/>
          </w:tcPr>
          <w:p>
            <w:pPr>
              <w:spacing w:after="0"/>
              <w:rPr>
                <w:sz w:val="1"/>
                <w:szCs w:val="1"/>
                <w:color w:val="auto"/>
              </w:rPr>
            </w:pPr>
          </w:p>
        </w:tc>
      </w:tr>
      <w:tr>
        <w:trPr>
          <w:trHeight w:val="239"/>
        </w:trPr>
        <w:tc>
          <w:tcPr>
            <w:tcW w:w="4940" w:type="dxa"/>
            <w:vAlign w:val="bottom"/>
          </w:tcPr>
          <w:p>
            <w:pPr>
              <w:ind w:left="280"/>
              <w:spacing w:after="0"/>
              <w:rPr>
                <w:sz w:val="20"/>
                <w:szCs w:val="20"/>
                <w:color w:val="auto"/>
              </w:rPr>
            </w:pPr>
            <w:r>
              <w:rPr>
                <w:rFonts w:ascii="PMingLiU" w:cs="PMingLiU" w:eastAsia="PMingLiU" w:hAnsi="PMingLiU"/>
                <w:sz w:val="18"/>
                <w:szCs w:val="18"/>
                <w:color w:val="auto"/>
              </w:rPr>
              <w:t>DQ\H[HFXWLYHRIILFHURIRXU&amp;RPSDQ\</w:t>
            </w:r>
          </w:p>
        </w:tc>
        <w:tc>
          <w:tcPr>
            <w:tcW w:w="5040" w:type="dxa"/>
            <w:vAlign w:val="bottom"/>
          </w:tcPr>
          <w:p>
            <w:pPr>
              <w:ind w:left="620"/>
              <w:spacing w:after="0"/>
              <w:rPr>
                <w:sz w:val="20"/>
                <w:szCs w:val="20"/>
                <w:color w:val="auto"/>
              </w:rPr>
            </w:pPr>
            <w:r>
              <w:rPr>
                <w:rFonts w:ascii="PMingLiU" w:cs="PMingLiU" w:eastAsia="PMingLiU" w:hAnsi="PMingLiU"/>
                <w:sz w:val="18"/>
                <w:szCs w:val="18"/>
                <w:color w:val="auto"/>
                <w:w w:val="84"/>
              </w:rPr>
              <w:t>WKHLQGLYLGXDOFRPSHQVDWLRQDGYLVRUVHPSOR\HGE\$RQ</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
        <w:spacing w:after="0" w:line="358" w:lineRule="auto"/>
        <w:rPr>
          <w:sz w:val="20"/>
          <w:szCs w:val="20"/>
          <w:color w:val="auto"/>
        </w:rPr>
      </w:pPr>
      <w:r>
        <w:rPr>
          <w:rFonts w:ascii="PMingLiU" w:cs="PMingLiU" w:eastAsia="PMingLiU" w:hAnsi="PMingLiU"/>
          <w:sz w:val="15"/>
          <w:szCs w:val="15"/>
          <w:color w:val="auto"/>
        </w:rPr>
        <w:t>2XU&amp;RPSHQVDWLRQ&amp;RPPLWWHHKDVGHWHUPLQHGEDVHGRQLWVDQDO\VLVRIWKHDERYHIDFWRUVWKDWWKHZRUNRI$RQDQGWKH LQGLYLGXDOFRPSHQVDWLRQDGYLVRUVHPSOR\HGE\$RQDVFRPSHQVDWLRQFRQVXOWDQWVWRRXU&amp;RPSDQ\KDVQRWFUHDWHGDQ\FRQIOLFW RILQWHUHVW</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&amp;RPSHWLWLYH$VVHVVPHQWRI&amp;RPSHQVDWLRQ±3HHU&amp;RPSDQLHVDQG0DUNHW'DWD</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15"/>
          <w:szCs w:val="15"/>
          <w:color w:val="auto"/>
        </w:rPr>
        <w:t>%HFDXVHZHDLPWRDWWUDFWDQGUHWDLQWKHPRVWKLJKO\TXDOLILHGH[HFXWLYHRIILFHUVLQDQH[WUHPHO\FRPSHWLWLYHPDUNHWRXU</w:t>
      </w:r>
    </w:p>
    <w:p>
      <w:pPr>
        <w:spacing w:after="0" w:line="60" w:lineRule="exact"/>
        <w:rPr>
          <w:sz w:val="20"/>
          <w:szCs w:val="20"/>
          <w:color w:val="auto"/>
        </w:rPr>
      </w:pPr>
    </w:p>
    <w:p>
      <w:pPr>
        <w:ind w:right="260"/>
        <w:spacing w:after="0" w:line="342" w:lineRule="auto"/>
        <w:rPr>
          <w:sz w:val="20"/>
          <w:szCs w:val="20"/>
          <w:color w:val="auto"/>
        </w:rPr>
      </w:pPr>
      <w:r>
        <w:rPr>
          <w:rFonts w:ascii="PMingLiU" w:cs="PMingLiU" w:eastAsia="PMingLiU" w:hAnsi="PMingLiU"/>
          <w:sz w:val="14"/>
          <w:szCs w:val="14"/>
          <w:color w:val="auto"/>
        </w:rPr>
        <w:t>&amp;RPSHQVDWLRQ&amp;RPPLWWHHEHOLHYHVWKDWLWLVLPSRUWDQWZKHQPDNLQJLWVFRPSHQVDWLRQGHFLVLRQVWREHLQIRUPHGDVWRWKH FXUUHQWSUDFWLFHVRIFRPSDUDEOHSXEOLFFRPSDQLHVZLWKZKLFKZHFRPSHWHIRUWRSWDOHQW7RWKLVHQGRXU&amp;RPSHQVDWLRQ &amp;RPPLWWHHUHYLHZVPDUNHWGDWDIRUHDFKH[HFXWLYHRIILFHU¶VSRVLWLRQFRPSLOHGE\$RQDVGHVFULEHGEHORZLQFOXGLQJ LQIRUPDWLRQUHODWLQJWRWKHPL[DQGOHYHOVRIFRPSHQVDWLRQIRUH[HFXWLYHRIILFHUVLQWKHOLIHVFLHQFHVLQGXVWU\ZLWKDIRFXVRQ</w:t>
      </w:r>
    </w:p>
    <w:p>
      <w:pPr>
        <w:spacing w:after="0" w:line="1" w:lineRule="exact"/>
        <w:rPr>
          <w:sz w:val="20"/>
          <w:szCs w:val="20"/>
          <w:color w:val="auto"/>
        </w:rPr>
      </w:pPr>
    </w:p>
    <w:p>
      <w:pPr>
        <w:ind w:right="620"/>
        <w:spacing w:after="0" w:line="443" w:lineRule="auto"/>
        <w:rPr>
          <w:sz w:val="20"/>
          <w:szCs w:val="20"/>
          <w:color w:val="auto"/>
        </w:rPr>
      </w:pPr>
      <w:r>
        <w:rPr>
          <w:rFonts w:ascii="PMingLiU" w:cs="PMingLiU" w:eastAsia="PMingLiU" w:hAnsi="PMingLiU"/>
          <w:sz w:val="14"/>
          <w:szCs w:val="14"/>
          <w:color w:val="auto"/>
        </w:rPr>
        <w:t>WDUJHWWRWDOGLUHFWFRPSHQVDWLRQFRQVLVWLQJRIWDUJHWWRWDOFDVKFRPSHQVDWLRQDQGHTXLW\FRPSHQVDWLRQLQOLQHZLWKRXU &amp;RPSHQVDWLRQ&amp;RPPLWWHH¶VKROLVWLFDSSURDFKWRH[HFXWLYHFRPSHQVDWLRQ</w:t>
      </w:r>
    </w:p>
    <w:p>
      <w:pPr>
        <w:spacing w:after="0" w:line="3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3HHU*URXS</w:t>
      </w:r>
    </w:p>
    <w:p>
      <w:pPr>
        <w:spacing w:after="0" w:line="126" w:lineRule="exact"/>
        <w:rPr>
          <w:sz w:val="20"/>
          <w:szCs w:val="20"/>
          <w:color w:val="auto"/>
        </w:rPr>
      </w:pPr>
    </w:p>
    <w:p>
      <w:pPr>
        <w:spacing w:after="0" w:line="376" w:lineRule="auto"/>
        <w:rPr>
          <w:sz w:val="20"/>
          <w:szCs w:val="20"/>
          <w:color w:val="auto"/>
        </w:rPr>
      </w:pPr>
      <w:r>
        <w:rPr>
          <w:rFonts w:ascii="PMingLiU" w:cs="PMingLiU" w:eastAsia="PMingLiU" w:hAnsi="PMingLiU"/>
          <w:sz w:val="14"/>
          <w:szCs w:val="14"/>
          <w:color w:val="auto"/>
        </w:rPr>
        <w:t>2XU&amp;RPSHQVDWLRQ&amp;RPPLWWHHXVHVDSHHUJURXSDQGRWKHUPDUNHWGDWDWRSURYLGHFRQWH[WIRULWVH[HFXWLYHFRPSHQVDWLRQ GHFLVLRQPDNLQJ(DFK\HDU$RQUHYLHZVWKHH[WHUQDOPDUNHWGDWDDQGHYDOXDWHVWKHFRPSRVLWLRQRIRXUSHHUJURXSWRHQVXUH LWDSSURSULDWHO\UHIOHFWVRXUJURZWKFKDQJHVLQRXUUHYHQXHVDQGPDUNHWFDSLWDOL]DWLRQDQGWKHFRQVROLGDWLRQLQRXULQGXVWU\,Q -XO\ZLWKWKHDVVLVWDQFHRI$RQRXU&amp;RPSHQVDWLRQ&amp;RPPLWWHHFRQVLGHUHGFRPSDQLHV</w:t>
      </w:r>
    </w:p>
    <w:p>
      <w:pPr>
        <w:spacing w:after="0" w:line="85" w:lineRule="exact"/>
        <w:rPr>
          <w:sz w:val="20"/>
          <w:szCs w:val="20"/>
          <w:color w:val="auto"/>
        </w:rPr>
      </w:pPr>
    </w:p>
    <w:p>
      <w:pPr>
        <w:ind w:left="360" w:right="120" w:hanging="279"/>
        <w:spacing w:after="0" w:line="427"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LQWKHOLIHVFLHQFHVLQGXVWU\VSHFLILFDOO\ELRWHFKQRORJ\DQGVSHFLDOW\ELRSKDUPDFRPSDQLHVZLWKFRPPHUFLDOSURGXFWVRQ WKHPDUNHW</w:t>
      </w:r>
    </w:p>
    <w:p>
      <w:pPr>
        <w:spacing w:after="0" w:line="1" w:lineRule="exact"/>
        <w:rPr>
          <w:sz w:val="20"/>
          <w:szCs w:val="20"/>
          <w:color w:val="auto"/>
        </w:rPr>
      </w:pPr>
    </w:p>
    <w:p>
      <w:pPr>
        <w:ind w:left="360" w:right="40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ZLWKUHYHQXHVJHQHUDOO\RIDSSUR[LPDWHO\RQHKDOI[WRWKUHHWLPHV[RXUWKHQSURMHFWHGUHYHQXHUHVXOWLQJLQD UDQJHRIJHQHUDOO\EHWZHHQELOOLRQWRELOOLRQLQUHYHQXHV</w:t>
      </w:r>
    </w:p>
    <w:p>
      <w:pPr>
        <w:spacing w:after="0" w:line="2" w:lineRule="exact"/>
        <w:rPr>
          <w:sz w:val="20"/>
          <w:szCs w:val="20"/>
          <w:color w:val="auto"/>
        </w:rPr>
      </w:pPr>
    </w:p>
    <w:p>
      <w:pPr>
        <w:ind w:left="360" w:right="60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ZLWKPDUNHWYDOXHJHQHUDOO\RIDSSUR[LPDWHO\RQHWKLUG[WRIRXUWLPHV[RXUPDUNHWFDSLWDOL]DWLRQDWWKHWLPH UHVXOWLQJLQDUDQJHRIJHQHUDOO\EHWZHHQELOOLRQWRELOOLRQLQPDUNHWFDSLWDOL]DWLRQDQG</w:t>
      </w:r>
    </w:p>
    <w:p>
      <w:pPr>
        <w:spacing w:after="0" w:line="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SULPDULO\ORFDWHGLQWKH86ZLWKDVHFRQGDU\IRFXVRQFRPSDQLHVWKDWDUHKHDGTXDUWHUHGLQ(XURSH</w:t>
      </w:r>
    </w:p>
    <w:p>
      <w:pPr>
        <w:spacing w:after="0" w:line="204" w:lineRule="exact"/>
        <w:rPr>
          <w:sz w:val="20"/>
          <w:szCs w:val="20"/>
          <w:color w:val="auto"/>
        </w:rPr>
      </w:pPr>
    </w:p>
    <w:p>
      <w:pPr>
        <w:spacing w:after="0" w:line="319" w:lineRule="auto"/>
        <w:rPr>
          <w:sz w:val="20"/>
          <w:szCs w:val="20"/>
          <w:color w:val="auto"/>
        </w:rPr>
      </w:pPr>
      <w:r>
        <w:rPr>
          <w:rFonts w:ascii="PMingLiU" w:cs="PMingLiU" w:eastAsia="PMingLiU" w:hAnsi="PMingLiU"/>
          <w:sz w:val="16"/>
          <w:szCs w:val="16"/>
          <w:color w:val="auto"/>
        </w:rPr>
        <w:t>%DVHGRQWKHDERYHFULWHULDRXU&amp;RPSHQVDWLRQ&amp;RPPLWWHHGHWHUPLQHGWRDGGWZRDGGLWLRQDOFRPSDQLHV$OQ\ODP 3KDUPDFHXWLFDOV,QFDQG0RGHUQD,QFWRWKHH[HFXWLYHFRPSHQVDWLRQSHHUJURXSXVHGIRURXUFRPSHQVDWLRQ GHFLVLRQVZKLFKZHUHIHUWRDVRXUSHHUJURXS+RUL]RQ7KHUDSHXWLFVSOFDQG6HDJHQ,QFZHUHUHPRYHGIURPRXU SHHUJURXSEHFDXVHWKH\ZHUHSUHYLRXVO\DFTXLUHGLQ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1226185</wp:posOffset>
            </wp:positionV>
            <wp:extent cx="1386840" cy="2336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7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63" w:name="page64"/>
    <w:bookmarkEnd w:id="6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82" o:spid="_x0000_s1407"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120"/>
        <w:spacing w:after="0" w:line="317" w:lineRule="auto"/>
        <w:rPr>
          <w:sz w:val="20"/>
          <w:szCs w:val="20"/>
          <w:color w:val="auto"/>
        </w:rPr>
      </w:pPr>
      <w:r>
        <w:rPr>
          <w:rFonts w:ascii="PMingLiU" w:cs="PMingLiU" w:eastAsia="PMingLiU" w:hAnsi="PMingLiU"/>
          <w:sz w:val="15"/>
          <w:szCs w:val="15"/>
          <w:color w:val="auto"/>
        </w:rPr>
        <w:t>2XUSHHUJURXSFRQVLVWHGRIWKHFRPSDQLHVOLVWHGLQWKHWDEOHEHORZ$WWKHWLPHRXU&amp;RPSHQVDWLRQ&amp;RPPLWWHH DSSURYHGWKHSHHUJURXSZHZHUHDWWKH</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SHUFHQWLOHIRUWUDLOLQJPRQWKVUHYHQXHDQGWKH</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SHUFHQWLOHIRUPDUNHW FDSLWDOL]DWLRQDPRQJWKHQHZSHHUJURXS2XU&amp;RPSHQVDWLRQ&amp;RPPLWWHHFRQVLGHUHGWKLVDUHDVRQDEOHEDODQFHDQGDJRRG UHSUHVHQWDWLRQRIFRPSDQLHVWKDWZHUHRIVLPLODUVFRSHDQGFRPSOH[LW\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109855</wp:posOffset>
                </wp:positionV>
                <wp:extent cx="640016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12700">
                          <a:solidFill>
                            <a:srgbClr val="000046"/>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65pt" to="503.85pt,8.65pt" o:allowincell="f" strokecolor="#000046" strokeweight="1pt"/>
            </w:pict>
          </mc:Fallback>
        </mc:AlternateConten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vMerge w:val="restart"/>
          </w:tcPr>
          <w:p>
            <w:pPr>
              <w:ind w:left="100"/>
              <w:spacing w:after="0"/>
              <w:rPr>
                <w:sz w:val="20"/>
                <w:szCs w:val="20"/>
                <w:color w:val="auto"/>
              </w:rPr>
            </w:pPr>
            <w:r>
              <w:rPr>
                <w:rFonts w:ascii="PMingLiU" w:cs="PMingLiU" w:eastAsia="PMingLiU" w:hAnsi="PMingLiU"/>
                <w:sz w:val="16"/>
                <w:szCs w:val="16"/>
                <w:color w:val="auto"/>
              </w:rPr>
              <w:t>$ONHUPHVSOF</w:t>
            </w:r>
          </w:p>
        </w:tc>
        <w:tc>
          <w:tcPr>
            <w:tcW w:w="2180" w:type="dxa"/>
            <w:vAlign w:val="bottom"/>
            <w:vMerge w:val="restart"/>
          </w:tcPr>
          <w:p>
            <w:pPr>
              <w:ind w:left="180"/>
              <w:spacing w:after="0"/>
              <w:rPr>
                <w:sz w:val="20"/>
                <w:szCs w:val="20"/>
                <w:color w:val="auto"/>
              </w:rPr>
            </w:pPr>
            <w:r>
              <w:rPr>
                <w:rFonts w:ascii="PMingLiU" w:cs="PMingLiU" w:eastAsia="PMingLiU" w:hAnsi="PMingLiU"/>
                <w:sz w:val="16"/>
                <w:szCs w:val="16"/>
                <w:color w:val="auto"/>
              </w:rPr>
              <w:t>([HOL[LV,QF</w:t>
            </w:r>
          </w:p>
        </w:tc>
        <w:tc>
          <w:tcPr>
            <w:tcW w:w="2940" w:type="dxa"/>
            <w:vAlign w:val="bottom"/>
            <w:vMerge w:val="restart"/>
          </w:tcPr>
          <w:p>
            <w:pPr>
              <w:ind w:left="500"/>
              <w:spacing w:after="0"/>
              <w:rPr>
                <w:sz w:val="20"/>
                <w:szCs w:val="20"/>
                <w:color w:val="auto"/>
              </w:rPr>
            </w:pPr>
            <w:r>
              <w:rPr>
                <w:rFonts w:ascii="PMingLiU" w:cs="PMingLiU" w:eastAsia="PMingLiU" w:hAnsi="PMingLiU"/>
                <w:sz w:val="16"/>
                <w:szCs w:val="16"/>
                <w:color w:val="auto"/>
              </w:rPr>
              <w:t>1HXURFULQH%LRVFLHQFHV,QF</w:t>
            </w:r>
          </w:p>
        </w:tc>
        <w:tc>
          <w:tcPr>
            <w:tcW w:w="2520" w:type="dxa"/>
            <w:vAlign w:val="bottom"/>
          </w:tcPr>
          <w:p>
            <w:pPr>
              <w:ind w:left="60"/>
              <w:spacing w:after="0"/>
              <w:rPr>
                <w:sz w:val="20"/>
                <w:szCs w:val="20"/>
                <w:color w:val="auto"/>
              </w:rPr>
            </w:pPr>
            <w:r>
              <w:rPr>
                <w:rFonts w:ascii="PMingLiU" w:cs="PMingLiU" w:eastAsia="PMingLiU" w:hAnsi="PMingLiU"/>
                <w:sz w:val="16"/>
                <w:szCs w:val="16"/>
                <w:color w:val="auto"/>
              </w:rPr>
              <w:t>9HUWH[3KDUPDFHXWLFDOV</w:t>
            </w:r>
          </w:p>
        </w:tc>
        <w:tc>
          <w:tcPr>
            <w:tcW w:w="0" w:type="dxa"/>
            <w:vAlign w:val="bottom"/>
          </w:tcPr>
          <w:p>
            <w:pPr>
              <w:spacing w:after="0"/>
              <w:rPr>
                <w:sz w:val="1"/>
                <w:szCs w:val="1"/>
                <w:color w:val="auto"/>
              </w:rPr>
            </w:pPr>
          </w:p>
        </w:tc>
      </w:tr>
      <w:tr>
        <w:trPr>
          <w:trHeight w:val="117"/>
        </w:trPr>
        <w:tc>
          <w:tcPr>
            <w:tcW w:w="244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2520" w:type="dxa"/>
            <w:vAlign w:val="bottom"/>
            <w:vMerge w:val="restart"/>
          </w:tcPr>
          <w:p>
            <w:pPr>
              <w:ind w:left="60"/>
              <w:spacing w:after="0"/>
              <w:rPr>
                <w:sz w:val="20"/>
                <w:szCs w:val="20"/>
                <w:color w:val="auto"/>
              </w:rPr>
            </w:pPr>
            <w:r>
              <w:rPr>
                <w:rFonts w:ascii="PMingLiU" w:cs="PMingLiU" w:eastAsia="PMingLiU" w:hAnsi="PMingLiU"/>
                <w:sz w:val="16"/>
                <w:szCs w:val="16"/>
                <w:color w:val="auto"/>
              </w:rPr>
              <w:t>,QFRUSRUDWHG</w:t>
            </w: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440" w:type="dxa"/>
            <w:vAlign w:val="bottom"/>
            <w:tcBorders>
              <w:bottom w:val="single" w:sz="8" w:color="4454A7"/>
            </w:tcBorders>
          </w:tcPr>
          <w:p>
            <w:pPr>
              <w:spacing w:after="0"/>
              <w:rPr>
                <w:sz w:val="3"/>
                <w:szCs w:val="3"/>
                <w:color w:val="auto"/>
              </w:rPr>
            </w:pPr>
          </w:p>
        </w:tc>
        <w:tc>
          <w:tcPr>
            <w:tcW w:w="2180" w:type="dxa"/>
            <w:vAlign w:val="bottom"/>
            <w:tcBorders>
              <w:bottom w:val="single" w:sz="8" w:color="4454A7"/>
            </w:tcBorders>
          </w:tcPr>
          <w:p>
            <w:pPr>
              <w:spacing w:after="0"/>
              <w:rPr>
                <w:sz w:val="3"/>
                <w:szCs w:val="3"/>
                <w:color w:val="auto"/>
              </w:rPr>
            </w:pPr>
          </w:p>
        </w:tc>
        <w:tc>
          <w:tcPr>
            <w:tcW w:w="2940" w:type="dxa"/>
            <w:vAlign w:val="bottom"/>
            <w:tcBorders>
              <w:bottom w:val="single" w:sz="8" w:color="4454A7"/>
            </w:tcBorders>
          </w:tcPr>
          <w:p>
            <w:pPr>
              <w:spacing w:after="0"/>
              <w:rPr>
                <w:sz w:val="3"/>
                <w:szCs w:val="3"/>
                <w:color w:val="auto"/>
              </w:rPr>
            </w:pPr>
          </w:p>
        </w:tc>
        <w:tc>
          <w:tcPr>
            <w:tcW w:w="252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2440" w:type="dxa"/>
            <w:vAlign w:val="bottom"/>
          </w:tcPr>
          <w:p>
            <w:pPr>
              <w:ind w:left="100"/>
              <w:spacing w:after="0"/>
              <w:rPr>
                <w:sz w:val="20"/>
                <w:szCs w:val="20"/>
                <w:color w:val="auto"/>
              </w:rPr>
            </w:pPr>
            <w:r>
              <w:rPr>
                <w:rFonts w:ascii="PMingLiU" w:cs="PMingLiU" w:eastAsia="PMingLiU" w:hAnsi="PMingLiU"/>
                <w:sz w:val="16"/>
                <w:szCs w:val="16"/>
                <w:color w:val="auto"/>
                <w:w w:val="96"/>
              </w:rPr>
              <w:t>$OQ\ODP3KDUPDFHXWLFDOV,QF</w:t>
            </w:r>
          </w:p>
        </w:tc>
        <w:tc>
          <w:tcPr>
            <w:tcW w:w="2180" w:type="dxa"/>
            <w:vAlign w:val="bottom"/>
          </w:tcPr>
          <w:p>
            <w:pPr>
              <w:ind w:left="180"/>
              <w:spacing w:after="0"/>
              <w:rPr>
                <w:sz w:val="20"/>
                <w:szCs w:val="20"/>
                <w:color w:val="auto"/>
              </w:rPr>
            </w:pPr>
            <w:r>
              <w:rPr>
                <w:rFonts w:ascii="PMingLiU" w:cs="PMingLiU" w:eastAsia="PMingLiU" w:hAnsi="PMingLiU"/>
                <w:sz w:val="16"/>
                <w:szCs w:val="16"/>
                <w:color w:val="auto"/>
              </w:rPr>
              <w:t>*LOHDG6FLHQFHV,QF</w:t>
            </w:r>
          </w:p>
        </w:tc>
        <w:tc>
          <w:tcPr>
            <w:tcW w:w="2940" w:type="dxa"/>
            <w:vAlign w:val="bottom"/>
          </w:tcPr>
          <w:p>
            <w:pPr>
              <w:ind w:left="500"/>
              <w:spacing w:after="0"/>
              <w:rPr>
                <w:sz w:val="20"/>
                <w:szCs w:val="20"/>
                <w:color w:val="auto"/>
              </w:rPr>
            </w:pPr>
            <w:r>
              <w:rPr>
                <w:rFonts w:ascii="PMingLiU" w:cs="PMingLiU" w:eastAsia="PMingLiU" w:hAnsi="PMingLiU"/>
                <w:sz w:val="16"/>
                <w:szCs w:val="16"/>
                <w:color w:val="auto"/>
              </w:rPr>
              <w:t>2UJDQRQ &amp;R</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40" w:type="dxa"/>
            <w:vAlign w:val="bottom"/>
            <w:tcBorders>
              <w:bottom w:val="single" w:sz="8" w:color="4454A7"/>
            </w:tcBorders>
          </w:tcPr>
          <w:p>
            <w:pPr>
              <w:spacing w:after="0"/>
              <w:rPr>
                <w:sz w:val="8"/>
                <w:szCs w:val="8"/>
                <w:color w:val="auto"/>
              </w:rPr>
            </w:pPr>
          </w:p>
        </w:tc>
        <w:tc>
          <w:tcPr>
            <w:tcW w:w="2180" w:type="dxa"/>
            <w:vAlign w:val="bottom"/>
            <w:tcBorders>
              <w:bottom w:val="single" w:sz="8" w:color="4454A7"/>
            </w:tcBorders>
          </w:tcPr>
          <w:p>
            <w:pPr>
              <w:spacing w:after="0"/>
              <w:rPr>
                <w:sz w:val="8"/>
                <w:szCs w:val="8"/>
                <w:color w:val="auto"/>
              </w:rPr>
            </w:pPr>
          </w:p>
        </w:tc>
        <w:tc>
          <w:tcPr>
            <w:tcW w:w="2940" w:type="dxa"/>
            <w:vAlign w:val="bottom"/>
            <w:tcBorders>
              <w:bottom w:val="single" w:sz="8" w:color="4454A7"/>
            </w:tcBorders>
          </w:tcPr>
          <w:p>
            <w:pPr>
              <w:spacing w:after="0"/>
              <w:rPr>
                <w:sz w:val="8"/>
                <w:szCs w:val="8"/>
                <w:color w:val="auto"/>
              </w:rPr>
            </w:pPr>
          </w:p>
        </w:tc>
        <w:tc>
          <w:tcPr>
            <w:tcW w:w="252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440" w:type="dxa"/>
            <w:vAlign w:val="bottom"/>
          </w:tcPr>
          <w:p>
            <w:pPr>
              <w:ind w:left="100"/>
              <w:spacing w:after="0"/>
              <w:rPr>
                <w:sz w:val="20"/>
                <w:szCs w:val="20"/>
                <w:color w:val="auto"/>
              </w:rPr>
            </w:pPr>
            <w:r>
              <w:rPr>
                <w:rFonts w:ascii="PMingLiU" w:cs="PMingLiU" w:eastAsia="PMingLiU" w:hAnsi="PMingLiU"/>
                <w:sz w:val="16"/>
                <w:szCs w:val="16"/>
                <w:color w:val="auto"/>
              </w:rPr>
              <w:t>%LRJHQ,QF</w:t>
            </w:r>
          </w:p>
        </w:tc>
        <w:tc>
          <w:tcPr>
            <w:tcW w:w="2180" w:type="dxa"/>
            <w:vAlign w:val="bottom"/>
          </w:tcPr>
          <w:p>
            <w:pPr>
              <w:ind w:left="180"/>
              <w:spacing w:after="0"/>
              <w:rPr>
                <w:sz w:val="20"/>
                <w:szCs w:val="20"/>
                <w:color w:val="auto"/>
              </w:rPr>
            </w:pPr>
            <w:r>
              <w:rPr>
                <w:rFonts w:ascii="PMingLiU" w:cs="PMingLiU" w:eastAsia="PMingLiU" w:hAnsi="PMingLiU"/>
                <w:sz w:val="16"/>
                <w:szCs w:val="16"/>
                <w:color w:val="auto"/>
              </w:rPr>
              <w:t>,QF\WH&amp;RUSRUDWLRQ</w:t>
            </w:r>
          </w:p>
        </w:tc>
        <w:tc>
          <w:tcPr>
            <w:tcW w:w="2940" w:type="dxa"/>
            <w:vAlign w:val="bottom"/>
          </w:tcPr>
          <w:p>
            <w:pPr>
              <w:ind w:left="500"/>
              <w:spacing w:after="0"/>
              <w:rPr>
                <w:sz w:val="20"/>
                <w:szCs w:val="20"/>
                <w:color w:val="auto"/>
              </w:rPr>
            </w:pPr>
            <w:r>
              <w:rPr>
                <w:rFonts w:ascii="PMingLiU" w:cs="PMingLiU" w:eastAsia="PMingLiU" w:hAnsi="PMingLiU"/>
                <w:sz w:val="16"/>
                <w:szCs w:val="16"/>
                <w:color w:val="auto"/>
                <w:w w:val="91"/>
              </w:rPr>
              <w:t>5HJHQHURQ3KDUPDFHXWLFDOV,QF</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40" w:type="dxa"/>
            <w:vAlign w:val="bottom"/>
            <w:tcBorders>
              <w:bottom w:val="single" w:sz="8" w:color="4454A7"/>
            </w:tcBorders>
          </w:tcPr>
          <w:p>
            <w:pPr>
              <w:spacing w:after="0"/>
              <w:rPr>
                <w:sz w:val="8"/>
                <w:szCs w:val="8"/>
                <w:color w:val="auto"/>
              </w:rPr>
            </w:pPr>
          </w:p>
        </w:tc>
        <w:tc>
          <w:tcPr>
            <w:tcW w:w="2180" w:type="dxa"/>
            <w:vAlign w:val="bottom"/>
            <w:tcBorders>
              <w:bottom w:val="single" w:sz="8" w:color="4454A7"/>
            </w:tcBorders>
          </w:tcPr>
          <w:p>
            <w:pPr>
              <w:spacing w:after="0"/>
              <w:rPr>
                <w:sz w:val="8"/>
                <w:szCs w:val="8"/>
                <w:color w:val="auto"/>
              </w:rPr>
            </w:pPr>
          </w:p>
        </w:tc>
        <w:tc>
          <w:tcPr>
            <w:tcW w:w="2940" w:type="dxa"/>
            <w:vAlign w:val="bottom"/>
            <w:tcBorders>
              <w:bottom w:val="single" w:sz="8" w:color="4454A7"/>
            </w:tcBorders>
          </w:tcPr>
          <w:p>
            <w:pPr>
              <w:spacing w:after="0"/>
              <w:rPr>
                <w:sz w:val="8"/>
                <w:szCs w:val="8"/>
                <w:color w:val="auto"/>
              </w:rPr>
            </w:pPr>
          </w:p>
        </w:tc>
        <w:tc>
          <w:tcPr>
            <w:tcW w:w="252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40" w:type="dxa"/>
            <w:vAlign w:val="bottom"/>
          </w:tcPr>
          <w:p>
            <w:pPr>
              <w:ind w:left="100"/>
              <w:spacing w:after="0"/>
              <w:rPr>
                <w:sz w:val="20"/>
                <w:szCs w:val="20"/>
                <w:color w:val="auto"/>
              </w:rPr>
            </w:pPr>
            <w:r>
              <w:rPr>
                <w:rFonts w:ascii="PMingLiU" w:cs="PMingLiU" w:eastAsia="PMingLiU" w:hAnsi="PMingLiU"/>
                <w:sz w:val="16"/>
                <w:szCs w:val="16"/>
                <w:color w:val="auto"/>
                <w:w w:val="94"/>
              </w:rPr>
              <w:t>%LR0DULQ3KDUPDFHXWLFDO,QF</w:t>
            </w:r>
          </w:p>
        </w:tc>
        <w:tc>
          <w:tcPr>
            <w:tcW w:w="2180" w:type="dxa"/>
            <w:vAlign w:val="bottom"/>
          </w:tcPr>
          <w:p>
            <w:pPr>
              <w:ind w:left="180"/>
              <w:spacing w:after="0"/>
              <w:rPr>
                <w:sz w:val="20"/>
                <w:szCs w:val="20"/>
                <w:color w:val="auto"/>
              </w:rPr>
            </w:pPr>
            <w:r>
              <w:rPr>
                <w:rFonts w:ascii="PMingLiU" w:cs="PMingLiU" w:eastAsia="PMingLiU" w:hAnsi="PMingLiU"/>
                <w:sz w:val="16"/>
                <w:szCs w:val="16"/>
                <w:color w:val="auto"/>
              </w:rPr>
              <w:t>0RGHUQD,QF</w:t>
            </w:r>
          </w:p>
        </w:tc>
        <w:tc>
          <w:tcPr>
            <w:tcW w:w="2940" w:type="dxa"/>
            <w:vAlign w:val="bottom"/>
          </w:tcPr>
          <w:p>
            <w:pPr>
              <w:ind w:left="500"/>
              <w:spacing w:after="0"/>
              <w:rPr>
                <w:sz w:val="20"/>
                <w:szCs w:val="20"/>
                <w:color w:val="auto"/>
              </w:rPr>
            </w:pPr>
            <w:r>
              <w:rPr>
                <w:rFonts w:ascii="PMingLiU" w:cs="PMingLiU" w:eastAsia="PMingLiU" w:hAnsi="PMingLiU"/>
                <w:sz w:val="16"/>
                <w:szCs w:val="16"/>
                <w:color w:val="auto"/>
                <w:w w:val="79"/>
              </w:rPr>
              <w:t>8QLWHG7KHUDSHXWLFV&amp;RUSRUDWLRQ</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440" w:type="dxa"/>
            <w:vAlign w:val="bottom"/>
            <w:tcBorders>
              <w:bottom w:val="single" w:sz="8" w:color="5C004D"/>
            </w:tcBorders>
          </w:tcPr>
          <w:p>
            <w:pPr>
              <w:spacing w:after="0"/>
              <w:rPr>
                <w:sz w:val="7"/>
                <w:szCs w:val="7"/>
                <w:color w:val="auto"/>
              </w:rPr>
            </w:pPr>
          </w:p>
        </w:tc>
        <w:tc>
          <w:tcPr>
            <w:tcW w:w="2180" w:type="dxa"/>
            <w:vAlign w:val="bottom"/>
            <w:tcBorders>
              <w:bottom w:val="single" w:sz="8" w:color="5C004D"/>
            </w:tcBorders>
          </w:tcPr>
          <w:p>
            <w:pPr>
              <w:spacing w:after="0"/>
              <w:rPr>
                <w:sz w:val="7"/>
                <w:szCs w:val="7"/>
                <w:color w:val="auto"/>
              </w:rPr>
            </w:pPr>
          </w:p>
        </w:tc>
        <w:tc>
          <w:tcPr>
            <w:tcW w:w="2940" w:type="dxa"/>
            <w:vAlign w:val="bottom"/>
            <w:tcBorders>
              <w:bottom w:val="single" w:sz="8" w:color="5C004D"/>
            </w:tcBorders>
          </w:tcPr>
          <w:p>
            <w:pPr>
              <w:spacing w:after="0"/>
              <w:rPr>
                <w:sz w:val="7"/>
                <w:szCs w:val="7"/>
                <w:color w:val="auto"/>
              </w:rPr>
            </w:pPr>
          </w:p>
        </w:tc>
        <w:tc>
          <w:tcPr>
            <w:tcW w:w="2520" w:type="dxa"/>
            <w:vAlign w:val="bottom"/>
            <w:tcBorders>
              <w:bottom w:val="single" w:sz="8" w:color="5C004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0DUNHW'DWD</w:t>
      </w:r>
    </w:p>
    <w:p>
      <w:pPr>
        <w:spacing w:after="0" w:line="126" w:lineRule="exact"/>
        <w:rPr>
          <w:sz w:val="20"/>
          <w:szCs w:val="20"/>
          <w:color w:val="auto"/>
        </w:rPr>
      </w:pPr>
    </w:p>
    <w:p>
      <w:pPr>
        <w:ind w:right="20"/>
        <w:spacing w:after="0" w:line="319" w:lineRule="auto"/>
        <w:rPr>
          <w:sz w:val="20"/>
          <w:szCs w:val="20"/>
          <w:color w:val="auto"/>
        </w:rPr>
      </w:pPr>
      <w:r>
        <w:rPr>
          <w:rFonts w:ascii="PMingLiU" w:cs="PMingLiU" w:eastAsia="PMingLiU" w:hAnsi="PMingLiU"/>
          <w:sz w:val="15"/>
          <w:szCs w:val="15"/>
          <w:color w:val="auto"/>
        </w:rPr>
        <w:t>,QHDUO\$RQFRPSOHWHGDQDVVHVVPHQWRIH[HFXWLYHFRPSHQVDWLRQEDVHGRQRXUSHHUJURXSWRLQIRUPRXU &amp;RPSHQVDWLRQ&amp;RPPLWWHH¶VGHWHUPLQDWLRQVRIH[HFXWLYHFRPSHQVDWLRQIRU2XU&amp;RPSHQVDWLRQ&amp;RPPLWWHHUHYLHZVWDUJHW</w:t>
      </w:r>
    </w:p>
    <w:p>
      <w:pPr>
        <w:spacing w:after="0" w:line="1"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WRWDOGLUHFWFRPSHQVDWLRQFRQVLVWLQJRIWDUJHWWRWDOFDVKFRPSHQVDWLRQDQGHTXLW\FRPSHQVDWLRQDJDLQVWWKHPDUNHWGDWD SURYLGHGE\$RQSULPDULO\WRHQVXUHWKDWRXUH[HFXWLYHFRPSHQVDWLRQSURJUDPDVDZKROHLVSRVLWLRQHGFRPSHWLWLYHO\WRDWWUDFW</w:t>
      </w:r>
    </w:p>
    <w:p>
      <w:pPr>
        <w:ind w:right="120"/>
        <w:spacing w:after="0" w:line="359" w:lineRule="auto"/>
        <w:rPr>
          <w:sz w:val="20"/>
          <w:szCs w:val="20"/>
          <w:color w:val="auto"/>
        </w:rPr>
      </w:pPr>
      <w:r>
        <w:rPr>
          <w:rFonts w:ascii="PMingLiU" w:cs="PMingLiU" w:eastAsia="PMingLiU" w:hAnsi="PMingLiU"/>
          <w:sz w:val="14"/>
          <w:szCs w:val="14"/>
          <w:color w:val="auto"/>
        </w:rPr>
        <w:t>DQGUHWDLQWKHKLJKHVWFDOLEHURIH[HFXWLYHRIILFHUVDQGWRHQVXUHWKDWWKHWRWDOGLUHFWFRPSHQVDWLRQRSSRUWXQLW\IRUWKH H[HFXWLYHRIILFHUJURXSLVDOLJQHGZLWKRXUFRUSRUDWHREMHFWLYHVDQGVWUDWHJLFQHHGV2XU&amp;RPSHQVDWLRQ&amp;RPPLWWHHGRHVQRW WDUJHWDVSHFLILFSHUFHQWLOHIRUVHWWLQJWKHOHYHORIFRPSHQVDWLRQIRUWKH1(2VDQGGRHVQRWRWKHUZLVHXVHDIRUPXODLF DSSURDFKWRVHWWLQJSD\DJDLQVWWKHPDUNHWGDWD2XU&amp;RPSHQVDWLRQ&amp;RPPLWWHHEHOLHYHVWKDWRYHUUHOLDQFHRQEHQFKPDUNLQJ FDQUHVXOWLQFRPSHQVDWLRQWKDWLVXQUHODWHGWRWKHYDOXHGHOLYHUHGE\RXUH[HFXWLYHRIILFHUVEHFDXVHFRPSHQVDWLRQ EHQFKPDUNLQJGRHVQRWFRQVLGHUFRPSDQ\WRFRPSDQ\YDULDWLRQVDPRQJDFWXDOUROHVZLWKVLPLODUWLWOHVRUWKHVSHFLILF SHUIRUPDQFHRIWKHH[HFXWLYHRIILFHUV</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)DFWRUV8VHGLQ'HWHUPLQLQJ([HFXWLYH&amp;RPSHQVDWLRQ</w:t>
      </w:r>
    </w:p>
    <w:p>
      <w:pPr>
        <w:spacing w:after="0" w:line="191" w:lineRule="exact"/>
        <w:rPr>
          <w:sz w:val="20"/>
          <w:szCs w:val="20"/>
          <w:color w:val="auto"/>
        </w:rPr>
      </w:pPr>
    </w:p>
    <w:p>
      <w:pPr>
        <w:ind w:right="280"/>
        <w:spacing w:after="0" w:line="359" w:lineRule="auto"/>
        <w:rPr>
          <w:sz w:val="20"/>
          <w:szCs w:val="20"/>
          <w:color w:val="auto"/>
        </w:rPr>
      </w:pPr>
      <w:r>
        <w:rPr>
          <w:rFonts w:ascii="PMingLiU" w:cs="PMingLiU" w:eastAsia="PMingLiU" w:hAnsi="PMingLiU"/>
          <w:sz w:val="14"/>
          <w:szCs w:val="14"/>
          <w:color w:val="auto"/>
        </w:rPr>
        <w:t>2XU&amp;RPSHQVDWLRQ&amp;RPPLWWHHVHWVWKHFRPSHQVDWLRQRIRXUH[HFXWLYHRIILFHUVDWOHYHOVWKDWRXU&amp;RPSHQVDWLRQ&amp;RPPLWWHH GHWHUPLQHVWREHFRPSHWLWLYHDQGDSSURSULDWHIRUHDFK1(2XVLQJRXU&amp;RPSHQVDWLRQ&amp;RPPLWWHH¶VSURIHVVLRQDOH[SHULHQFH DQGMXGJPHQW2XU&amp;RPSHQVDWLRQ&amp;RPPLWWHH¶VSD\GHFLVLRQVDUHQRWGULYHQE\DSDUWLFXODUWDUJHWOHYHORIFRPSHQVDWLRQ EDVHGRQPDUNHWGDWDDQGRXU&amp;RPSHQVDWLRQ&amp;RPPLWWHHGRHVQRWRWKHUZLVHXVHDIRUPXODLFDSSURDFKWRVHWWLQJH[HFXWLYH SD\,QVWHDGRXU&amp;RPSHQVDWLRQ&amp;RPPLWWHHEHOLHYHVWKDWH[HFXWLYHSD\GHFLVLRQVUHTXLUHFRQVLGHUDWLRQRIPXOWLSOHUHOHYDQW IDFWRUVZKLFKPD\YDU\IURP\HDUWR\HDU7KHILJXUHEHORZUHIOHFWVWKHIDFWRUVRXU&amp;RPSHQVDWLRQ&amp;RPPLWWHHFRQVLGHUHG DPRQJRWKHUVLQGHWHUPLQLQJDQGDSSURYLQJWKHDPRXQWIRUPDQGPL[RISD\IRURXU1(2VLQ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93980</wp:posOffset>
                </wp:positionV>
                <wp:extent cx="6400165" cy="257175"/>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57175"/>
                        </a:xfrm>
                        <a:prstGeom prst="rect">
                          <a:avLst/>
                        </a:prstGeom>
                        <a:solidFill>
                          <a:srgbClr val="000046"/>
                        </a:solidFill>
                      </wps:spPr>
                      <wps:bodyPr/>
                    </wps:wsp>
                  </a:graphicData>
                </a:graphic>
              </wp:anchor>
            </w:drawing>
          </mc:Choice>
          <mc:Fallback>
            <w:pict>
              <v:rect id="Shape 384" o:spid="_x0000_s1409" style="position:absolute;margin-left:-0.0999pt;margin-top:7.4pt;width:503.95pt;height:2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46" stroked="f"/>
            </w:pict>
          </mc:Fallback>
        </mc:AlternateContent>
      </w:r>
    </w:p>
    <w:p>
      <w:pPr>
        <w:spacing w:after="0" w:line="200" w:lineRule="exact"/>
        <w:rPr>
          <w:sz w:val="20"/>
          <w:szCs w:val="20"/>
          <w:color w:val="auto"/>
        </w:rPr>
      </w:pPr>
    </w:p>
    <w:p>
      <w:pPr>
        <w:jc w:val="center"/>
        <w:ind w:right="120"/>
        <w:spacing w:after="0"/>
        <w:rPr>
          <w:sz w:val="20"/>
          <w:szCs w:val="20"/>
          <w:color w:val="auto"/>
        </w:rPr>
      </w:pPr>
      <w:r>
        <w:rPr>
          <w:rFonts w:ascii="PMingLiU" w:cs="PMingLiU" w:eastAsia="PMingLiU" w:hAnsi="PMingLiU"/>
          <w:sz w:val="20"/>
          <w:szCs w:val="20"/>
          <w:b w:val="1"/>
          <w:bCs w:val="1"/>
          <w:color w:val="FFFFFF"/>
        </w:rPr>
        <w:t>)DFWRUVLQ'HWHUPLQLQJ&amp;RPSHQVDWLRQ</w:t>
      </w:r>
    </w:p>
    <w:tbl>
      <w:tblPr>
        <w:tblLayout w:type="fixed"/>
        <w:tblInd w:w="0" w:type="dxa"/>
        <w:tblCellMar>
          <w:top w:w="0" w:type="dxa"/>
          <w:left w:w="0" w:type="dxa"/>
          <w:bottom w:w="0" w:type="dxa"/>
          <w:right w:w="0" w:type="dxa"/>
        </w:tblCellMar>
      </w:tblPr>
      <w:tr>
        <w:trPr>
          <w:trHeight w:val="369"/>
        </w:trPr>
        <w:tc>
          <w:tcPr>
            <w:tcW w:w="4820" w:type="dxa"/>
            <w:vAlign w:val="bottom"/>
            <w:gridSpan w:val="2"/>
          </w:tcPr>
          <w:p>
            <w:pPr>
              <w:ind w:left="60"/>
              <w:spacing w:after="0" w:line="369" w:lineRule="exact"/>
              <w:rPr>
                <w:sz w:val="20"/>
                <w:szCs w:val="20"/>
                <w:color w:val="auto"/>
              </w:rPr>
            </w:pPr>
            <w:r>
              <w:rPr>
                <w:rFonts w:ascii="PMingLiU" w:cs="PMingLiU" w:eastAsia="PMingLiU" w:hAnsi="PMingLiU"/>
                <w:sz w:val="41"/>
                <w:szCs w:val="41"/>
                <w:color w:val="5C004D"/>
                <w:vertAlign w:val="subscript"/>
              </w:rPr>
              <w:t/>
            </w:r>
            <w:r>
              <w:rPr>
                <w:rFonts w:ascii="PMingLiU" w:cs="PMingLiU" w:eastAsia="PMingLiU" w:hAnsi="PMingLiU"/>
                <w:sz w:val="15"/>
                <w:szCs w:val="15"/>
                <w:color w:val="auto"/>
              </w:rPr>
              <w:t xml:space="preserve"> &amp;RPSDQ\SHUIRUPDQFH</w:t>
            </w:r>
          </w:p>
        </w:tc>
        <w:tc>
          <w:tcPr>
            <w:tcW w:w="460" w:type="dxa"/>
            <w:vAlign w:val="bottom"/>
          </w:tcPr>
          <w:p>
            <w:pPr>
              <w:ind w:left="220"/>
              <w:spacing w:after="0"/>
              <w:rPr>
                <w:sz w:val="20"/>
                <w:szCs w:val="20"/>
                <w:color w:val="auto"/>
              </w:rPr>
            </w:pPr>
            <w:r>
              <w:rPr>
                <w:rFonts w:ascii="PMingLiU" w:cs="PMingLiU" w:eastAsia="PMingLiU" w:hAnsi="PMingLiU"/>
                <w:sz w:val="24"/>
                <w:szCs w:val="24"/>
                <w:color w:val="5C004D"/>
              </w:rPr>
              <w:t/>
            </w:r>
          </w:p>
        </w:tc>
        <w:tc>
          <w:tcPr>
            <w:tcW w:w="4800" w:type="dxa"/>
            <w:vAlign w:val="bottom"/>
          </w:tcPr>
          <w:p>
            <w:pPr>
              <w:ind w:left="60"/>
              <w:spacing w:after="0"/>
              <w:rPr>
                <w:sz w:val="20"/>
                <w:szCs w:val="20"/>
                <w:color w:val="auto"/>
              </w:rPr>
            </w:pPr>
            <w:r>
              <w:rPr>
                <w:rFonts w:ascii="PMingLiU" w:cs="PMingLiU" w:eastAsia="PMingLiU" w:hAnsi="PMingLiU"/>
                <w:sz w:val="16"/>
                <w:szCs w:val="16"/>
                <w:color w:val="auto"/>
                <w:w w:val="98"/>
              </w:rPr>
              <w:t>(DFK1(2¶VWDUJHWWRWDOGLUHFWFRPSHQVDWLRQDQGHTXLW\</w:t>
            </w:r>
          </w:p>
        </w:tc>
      </w:tr>
      <w:tr>
        <w:trPr>
          <w:trHeight w:val="211"/>
        </w:trPr>
        <w:tc>
          <w:tcPr>
            <w:tcW w:w="3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PMingLiU" w:cs="PMingLiU" w:eastAsia="PMingLiU" w:hAnsi="PMingLiU"/>
                <w:sz w:val="16"/>
                <w:szCs w:val="16"/>
                <w:color w:val="auto"/>
              </w:rPr>
              <w:t>RZQHUVKLS</w:t>
            </w:r>
          </w:p>
        </w:tc>
      </w:tr>
      <w:tr>
        <w:trPr>
          <w:trHeight w:val="50"/>
        </w:trPr>
        <w:tc>
          <w:tcPr>
            <w:tcW w:w="300" w:type="dxa"/>
            <w:vAlign w:val="bottom"/>
            <w:tcBorders>
              <w:bottom w:val="single" w:sz="8" w:color="4454A7"/>
            </w:tcBorders>
          </w:tcPr>
          <w:p>
            <w:pPr>
              <w:spacing w:after="0"/>
              <w:rPr>
                <w:sz w:val="4"/>
                <w:szCs w:val="4"/>
                <w:color w:val="auto"/>
              </w:rPr>
            </w:pPr>
          </w:p>
        </w:tc>
        <w:tc>
          <w:tcPr>
            <w:tcW w:w="4520" w:type="dxa"/>
            <w:vAlign w:val="bottom"/>
            <w:tcBorders>
              <w:bottom w:val="single" w:sz="8" w:color="4454A7"/>
            </w:tcBorders>
          </w:tcPr>
          <w:p>
            <w:pPr>
              <w:spacing w:after="0"/>
              <w:rPr>
                <w:sz w:val="4"/>
                <w:szCs w:val="4"/>
                <w:color w:val="auto"/>
              </w:rPr>
            </w:pPr>
          </w:p>
        </w:tc>
        <w:tc>
          <w:tcPr>
            <w:tcW w:w="460" w:type="dxa"/>
            <w:vAlign w:val="bottom"/>
            <w:tcBorders>
              <w:bottom w:val="single" w:sz="8" w:color="4454A7"/>
            </w:tcBorders>
          </w:tcPr>
          <w:p>
            <w:pPr>
              <w:spacing w:after="0"/>
              <w:rPr>
                <w:sz w:val="4"/>
                <w:szCs w:val="4"/>
                <w:color w:val="auto"/>
              </w:rPr>
            </w:pPr>
          </w:p>
        </w:tc>
        <w:tc>
          <w:tcPr>
            <w:tcW w:w="4800" w:type="dxa"/>
            <w:vAlign w:val="bottom"/>
            <w:tcBorders>
              <w:bottom w:val="single" w:sz="8" w:color="4454A7"/>
            </w:tcBorders>
          </w:tcPr>
          <w:p>
            <w:pPr>
              <w:spacing w:after="0"/>
              <w:rPr>
                <w:sz w:val="4"/>
                <w:szCs w:val="4"/>
                <w:color w:val="auto"/>
              </w:rPr>
            </w:pPr>
          </w:p>
        </w:tc>
      </w:tr>
      <w:tr>
        <w:trPr>
          <w:trHeight w:val="259"/>
        </w:trPr>
        <w:tc>
          <w:tcPr>
            <w:tcW w:w="300" w:type="dxa"/>
            <w:vAlign w:val="bottom"/>
          </w:tcPr>
          <w:p>
            <w:pPr>
              <w:ind w:left="60"/>
              <w:spacing w:after="0" w:line="258" w:lineRule="exact"/>
              <w:rPr>
                <w:sz w:val="20"/>
                <w:szCs w:val="20"/>
                <w:color w:val="auto"/>
              </w:rPr>
            </w:pPr>
            <w:r>
              <w:rPr>
                <w:rFonts w:ascii="PMingLiU" w:cs="PMingLiU" w:eastAsia="PMingLiU" w:hAnsi="PMingLiU"/>
                <w:sz w:val="24"/>
                <w:szCs w:val="24"/>
                <w:color w:val="5C004D"/>
              </w:rPr>
              <w:t/>
            </w:r>
          </w:p>
        </w:tc>
        <w:tc>
          <w:tcPr>
            <w:tcW w:w="4520" w:type="dxa"/>
            <w:vAlign w:val="bottom"/>
          </w:tcPr>
          <w:p>
            <w:pPr>
              <w:ind w:left="60"/>
              <w:spacing w:after="0"/>
              <w:rPr>
                <w:sz w:val="20"/>
                <w:szCs w:val="20"/>
                <w:color w:val="auto"/>
              </w:rPr>
            </w:pPr>
            <w:r>
              <w:rPr>
                <w:rFonts w:ascii="PMingLiU" w:cs="PMingLiU" w:eastAsia="PMingLiU" w:hAnsi="PMingLiU"/>
                <w:sz w:val="16"/>
                <w:szCs w:val="16"/>
                <w:color w:val="auto"/>
                <w:w w:val="92"/>
              </w:rPr>
              <w:t>(DFK1(2¶VH[SHUWLVHDQGFRQWULEXWLRQWRDFKLHYHPHQWRI</w:t>
            </w:r>
          </w:p>
        </w:tc>
        <w:tc>
          <w:tcPr>
            <w:tcW w:w="460" w:type="dxa"/>
            <w:vAlign w:val="bottom"/>
          </w:tcPr>
          <w:p>
            <w:pPr>
              <w:ind w:left="220"/>
              <w:spacing w:after="0" w:line="258" w:lineRule="exact"/>
              <w:rPr>
                <w:sz w:val="20"/>
                <w:szCs w:val="20"/>
                <w:color w:val="auto"/>
              </w:rPr>
            </w:pPr>
            <w:r>
              <w:rPr>
                <w:rFonts w:ascii="PMingLiU" w:cs="PMingLiU" w:eastAsia="PMingLiU" w:hAnsi="PMingLiU"/>
                <w:sz w:val="24"/>
                <w:szCs w:val="24"/>
                <w:color w:val="5C004D"/>
              </w:rPr>
              <w:t/>
            </w:r>
          </w:p>
        </w:tc>
        <w:tc>
          <w:tcPr>
            <w:tcW w:w="4800" w:type="dxa"/>
            <w:vAlign w:val="bottom"/>
          </w:tcPr>
          <w:p>
            <w:pPr>
              <w:ind w:left="60"/>
              <w:spacing w:after="0"/>
              <w:rPr>
                <w:sz w:val="20"/>
                <w:szCs w:val="20"/>
                <w:color w:val="auto"/>
              </w:rPr>
            </w:pPr>
            <w:r>
              <w:rPr>
                <w:rFonts w:ascii="PMingLiU" w:cs="PMingLiU" w:eastAsia="PMingLiU" w:hAnsi="PMingLiU"/>
                <w:sz w:val="16"/>
                <w:szCs w:val="16"/>
                <w:color w:val="auto"/>
                <w:w w:val="94"/>
              </w:rPr>
              <w:t>5DQJHRIPDUNHWGDWDUHIHUHQFHSRLQWVJHQHUDOO\WKHWKWK</w:t>
            </w:r>
          </w:p>
        </w:tc>
      </w:tr>
      <w:tr>
        <w:trPr>
          <w:trHeight w:val="211"/>
        </w:trPr>
        <w:tc>
          <w:tcPr>
            <w:tcW w:w="30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PMingLiU" w:cs="PMingLiU" w:eastAsia="PMingLiU" w:hAnsi="PMingLiU"/>
                <w:sz w:val="16"/>
                <w:szCs w:val="16"/>
                <w:color w:val="auto"/>
              </w:rPr>
              <w:t>FRUSRUDWHJRDOV</w:t>
            </w:r>
          </w:p>
        </w:tc>
        <w:tc>
          <w:tcPr>
            <w:tcW w:w="46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PMingLiU" w:cs="PMingLiU" w:eastAsia="PMingLiU" w:hAnsi="PMingLiU"/>
                <w:sz w:val="16"/>
                <w:szCs w:val="16"/>
                <w:color w:val="auto"/>
              </w:rPr>
              <w:t>WKDQGWKSHUFHQWLOHVRIWKHPDUNHWGDWD</w:t>
            </w:r>
          </w:p>
        </w:tc>
      </w:tr>
      <w:tr>
        <w:trPr>
          <w:trHeight w:val="50"/>
        </w:trPr>
        <w:tc>
          <w:tcPr>
            <w:tcW w:w="300" w:type="dxa"/>
            <w:vAlign w:val="bottom"/>
            <w:tcBorders>
              <w:bottom w:val="single" w:sz="8" w:color="4454A7"/>
            </w:tcBorders>
          </w:tcPr>
          <w:p>
            <w:pPr>
              <w:spacing w:after="0"/>
              <w:rPr>
                <w:sz w:val="4"/>
                <w:szCs w:val="4"/>
                <w:color w:val="auto"/>
              </w:rPr>
            </w:pPr>
          </w:p>
        </w:tc>
        <w:tc>
          <w:tcPr>
            <w:tcW w:w="4520" w:type="dxa"/>
            <w:vAlign w:val="bottom"/>
            <w:tcBorders>
              <w:bottom w:val="single" w:sz="8" w:color="4454A7"/>
            </w:tcBorders>
          </w:tcPr>
          <w:p>
            <w:pPr>
              <w:spacing w:after="0"/>
              <w:rPr>
                <w:sz w:val="4"/>
                <w:szCs w:val="4"/>
                <w:color w:val="auto"/>
              </w:rPr>
            </w:pPr>
          </w:p>
        </w:tc>
        <w:tc>
          <w:tcPr>
            <w:tcW w:w="460" w:type="dxa"/>
            <w:vAlign w:val="bottom"/>
            <w:tcBorders>
              <w:bottom w:val="single" w:sz="8" w:color="4454A7"/>
            </w:tcBorders>
          </w:tcPr>
          <w:p>
            <w:pPr>
              <w:spacing w:after="0"/>
              <w:rPr>
                <w:sz w:val="4"/>
                <w:szCs w:val="4"/>
                <w:color w:val="auto"/>
              </w:rPr>
            </w:pPr>
          </w:p>
        </w:tc>
        <w:tc>
          <w:tcPr>
            <w:tcW w:w="4800" w:type="dxa"/>
            <w:vAlign w:val="bottom"/>
            <w:tcBorders>
              <w:bottom w:val="single" w:sz="8" w:color="4454A7"/>
            </w:tcBorders>
          </w:tcPr>
          <w:p>
            <w:pPr>
              <w:spacing w:after="0"/>
              <w:rPr>
                <w:sz w:val="4"/>
                <w:szCs w:val="4"/>
                <w:color w:val="auto"/>
              </w:rPr>
            </w:pPr>
          </w:p>
        </w:tc>
      </w:tr>
      <w:tr>
        <w:trPr>
          <w:trHeight w:val="259"/>
        </w:trPr>
        <w:tc>
          <w:tcPr>
            <w:tcW w:w="300" w:type="dxa"/>
            <w:vAlign w:val="bottom"/>
          </w:tcPr>
          <w:p>
            <w:pPr>
              <w:ind w:left="60"/>
              <w:spacing w:after="0" w:line="258" w:lineRule="exact"/>
              <w:rPr>
                <w:sz w:val="20"/>
                <w:szCs w:val="20"/>
                <w:color w:val="auto"/>
              </w:rPr>
            </w:pPr>
            <w:r>
              <w:rPr>
                <w:rFonts w:ascii="PMingLiU" w:cs="PMingLiU" w:eastAsia="PMingLiU" w:hAnsi="PMingLiU"/>
                <w:sz w:val="24"/>
                <w:szCs w:val="24"/>
                <w:color w:val="5C004D"/>
              </w:rPr>
              <w:t/>
            </w:r>
          </w:p>
        </w:tc>
        <w:tc>
          <w:tcPr>
            <w:tcW w:w="4520" w:type="dxa"/>
            <w:vAlign w:val="bottom"/>
          </w:tcPr>
          <w:p>
            <w:pPr>
              <w:ind w:left="60"/>
              <w:spacing w:after="0"/>
              <w:rPr>
                <w:sz w:val="20"/>
                <w:szCs w:val="20"/>
                <w:color w:val="auto"/>
              </w:rPr>
            </w:pPr>
            <w:r>
              <w:rPr>
                <w:rFonts w:ascii="PMingLiU" w:cs="PMingLiU" w:eastAsia="PMingLiU" w:hAnsi="PMingLiU"/>
                <w:sz w:val="16"/>
                <w:szCs w:val="16"/>
                <w:color w:val="auto"/>
                <w:w w:val="95"/>
              </w:rPr>
              <w:t>&amp;(2¶VUHFRPPHQGDWLRQVRWKHUWKDQIRUKLPVHOIKHUVHOI</w:t>
            </w:r>
          </w:p>
        </w:tc>
        <w:tc>
          <w:tcPr>
            <w:tcW w:w="460" w:type="dxa"/>
            <w:vAlign w:val="bottom"/>
          </w:tcPr>
          <w:p>
            <w:pPr>
              <w:ind w:left="220"/>
              <w:spacing w:after="0" w:line="258" w:lineRule="exact"/>
              <w:rPr>
                <w:sz w:val="20"/>
                <w:szCs w:val="20"/>
                <w:color w:val="auto"/>
              </w:rPr>
            </w:pPr>
            <w:r>
              <w:rPr>
                <w:rFonts w:ascii="PMingLiU" w:cs="PMingLiU" w:eastAsia="PMingLiU" w:hAnsi="PMingLiU"/>
                <w:sz w:val="24"/>
                <w:szCs w:val="24"/>
                <w:color w:val="5C004D"/>
              </w:rPr>
              <w:t/>
            </w:r>
          </w:p>
        </w:tc>
        <w:tc>
          <w:tcPr>
            <w:tcW w:w="4800" w:type="dxa"/>
            <w:vAlign w:val="bottom"/>
          </w:tcPr>
          <w:p>
            <w:pPr>
              <w:ind w:left="60"/>
              <w:spacing w:after="0"/>
              <w:rPr>
                <w:sz w:val="20"/>
                <w:szCs w:val="20"/>
                <w:color w:val="auto"/>
              </w:rPr>
            </w:pPr>
            <w:r>
              <w:rPr>
                <w:rFonts w:ascii="PMingLiU" w:cs="PMingLiU" w:eastAsia="PMingLiU" w:hAnsi="PMingLiU"/>
                <w:sz w:val="16"/>
                <w:szCs w:val="16"/>
                <w:color w:val="auto"/>
                <w:w w:val="98"/>
              </w:rPr>
              <w:t>$RQ¶VUHFRPPHQGDWLRQRQFRPSHQVDWLRQSROLF\GHVLJQDQG</w:t>
            </w:r>
          </w:p>
        </w:tc>
      </w:tr>
      <w:tr>
        <w:trPr>
          <w:trHeight w:val="176"/>
        </w:trPr>
        <w:tc>
          <w:tcPr>
            <w:tcW w:w="300" w:type="dxa"/>
            <w:vAlign w:val="bottom"/>
          </w:tcPr>
          <w:p>
            <w:pPr>
              <w:spacing w:after="0"/>
              <w:rPr>
                <w:sz w:val="15"/>
                <w:szCs w:val="15"/>
                <w:color w:val="auto"/>
              </w:rPr>
            </w:pPr>
          </w:p>
        </w:tc>
        <w:tc>
          <w:tcPr>
            <w:tcW w:w="4520" w:type="dxa"/>
            <w:vAlign w:val="bottom"/>
          </w:tcPr>
          <w:p>
            <w:pPr>
              <w:ind w:left="60"/>
              <w:spacing w:after="0" w:line="176" w:lineRule="exact"/>
              <w:rPr>
                <w:sz w:val="20"/>
                <w:szCs w:val="20"/>
                <w:color w:val="auto"/>
              </w:rPr>
            </w:pPr>
            <w:r>
              <w:rPr>
                <w:rFonts w:ascii="PMingLiU" w:cs="PMingLiU" w:eastAsia="PMingLiU" w:hAnsi="PMingLiU"/>
                <w:sz w:val="16"/>
                <w:szCs w:val="16"/>
                <w:color w:val="auto"/>
                <w:w w:val="95"/>
              </w:rPr>
              <w:t>EDVHGRQGLUHFWNQRZOHGJHRI1(2SHUIRUPDQFHDQGKLVKHU</w:t>
            </w:r>
          </w:p>
        </w:tc>
        <w:tc>
          <w:tcPr>
            <w:tcW w:w="460" w:type="dxa"/>
            <w:vAlign w:val="bottom"/>
          </w:tcPr>
          <w:p>
            <w:pPr>
              <w:spacing w:after="0"/>
              <w:rPr>
                <w:sz w:val="15"/>
                <w:szCs w:val="15"/>
                <w:color w:val="auto"/>
              </w:rPr>
            </w:pPr>
          </w:p>
        </w:tc>
        <w:tc>
          <w:tcPr>
            <w:tcW w:w="4800" w:type="dxa"/>
            <w:vAlign w:val="bottom"/>
          </w:tcPr>
          <w:p>
            <w:pPr>
              <w:ind w:left="60"/>
              <w:spacing w:after="0" w:line="176" w:lineRule="exact"/>
              <w:rPr>
                <w:sz w:val="20"/>
                <w:szCs w:val="20"/>
                <w:color w:val="auto"/>
              </w:rPr>
            </w:pPr>
            <w:r>
              <w:rPr>
                <w:rFonts w:ascii="PMingLiU" w:cs="PMingLiU" w:eastAsia="PMingLiU" w:hAnsi="PMingLiU"/>
                <w:sz w:val="16"/>
                <w:szCs w:val="16"/>
                <w:color w:val="auto"/>
              </w:rPr>
              <w:t>VWUXFWXUH</w:t>
            </w:r>
          </w:p>
        </w:tc>
      </w:tr>
      <w:tr>
        <w:trPr>
          <w:trHeight w:val="211"/>
        </w:trPr>
        <w:tc>
          <w:tcPr>
            <w:tcW w:w="30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PMingLiU" w:cs="PMingLiU" w:eastAsia="PMingLiU" w:hAnsi="PMingLiU"/>
                <w:sz w:val="16"/>
                <w:szCs w:val="16"/>
                <w:color w:val="auto"/>
              </w:rPr>
              <w:t>H[WHQVLYHLQGXVWU\H[SHULHQFH</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54"/>
        </w:trPr>
        <w:tc>
          <w:tcPr>
            <w:tcW w:w="4820" w:type="dxa"/>
            <w:vAlign w:val="bottom"/>
            <w:tcBorders>
              <w:bottom w:val="single" w:sz="8" w:color="4454A7"/>
            </w:tcBorders>
            <w:gridSpan w:val="2"/>
          </w:tcPr>
          <w:p>
            <w:pPr>
              <w:spacing w:after="0"/>
              <w:rPr>
                <w:sz w:val="4"/>
                <w:szCs w:val="4"/>
                <w:color w:val="auto"/>
              </w:rPr>
            </w:pPr>
          </w:p>
        </w:tc>
        <w:tc>
          <w:tcPr>
            <w:tcW w:w="5260" w:type="dxa"/>
            <w:vAlign w:val="bottom"/>
            <w:tcBorders>
              <w:bottom w:val="single" w:sz="8" w:color="4454A7"/>
            </w:tcBorders>
            <w:gridSpan w:val="2"/>
          </w:tcPr>
          <w:p>
            <w:pPr>
              <w:spacing w:after="0"/>
              <w:rPr>
                <w:sz w:val="4"/>
                <w:szCs w:val="4"/>
                <w:color w:val="auto"/>
              </w:rPr>
            </w:pPr>
          </w:p>
        </w:tc>
      </w:tr>
      <w:tr>
        <w:trPr>
          <w:trHeight w:val="355"/>
        </w:trPr>
        <w:tc>
          <w:tcPr>
            <w:tcW w:w="4820" w:type="dxa"/>
            <w:vAlign w:val="bottom"/>
            <w:tcBorders>
              <w:bottom w:val="single" w:sz="8" w:color="4454A7"/>
            </w:tcBorders>
            <w:gridSpan w:val="2"/>
          </w:tcPr>
          <w:p>
            <w:pPr>
              <w:ind w:left="60"/>
              <w:spacing w:after="0" w:line="355" w:lineRule="exact"/>
              <w:rPr>
                <w:sz w:val="20"/>
                <w:szCs w:val="20"/>
                <w:color w:val="auto"/>
              </w:rPr>
            </w:pPr>
            <w:r>
              <w:rPr>
                <w:rFonts w:ascii="PMingLiU" w:cs="PMingLiU" w:eastAsia="PMingLiU" w:hAnsi="PMingLiU"/>
                <w:sz w:val="39"/>
                <w:szCs w:val="39"/>
                <w:color w:val="5C004D"/>
                <w:vertAlign w:val="subscript"/>
              </w:rPr>
              <w:t/>
            </w:r>
            <w:r>
              <w:rPr>
                <w:rFonts w:ascii="PMingLiU" w:cs="PMingLiU" w:eastAsia="PMingLiU" w:hAnsi="PMingLiU"/>
                <w:sz w:val="15"/>
                <w:szCs w:val="15"/>
                <w:color w:val="auto"/>
              </w:rPr>
              <w:t xml:space="preserve"> ,QWHUQDOSD\HTXLW\</w:t>
            </w:r>
          </w:p>
        </w:tc>
        <w:tc>
          <w:tcPr>
            <w:tcW w:w="5260" w:type="dxa"/>
            <w:vAlign w:val="bottom"/>
            <w:tcBorders>
              <w:bottom w:val="single" w:sz="8" w:color="4454A7"/>
            </w:tcBorders>
            <w:gridSpan w:val="2"/>
          </w:tcPr>
          <w:p>
            <w:pPr>
              <w:ind w:left="220"/>
              <w:spacing w:after="0" w:line="355" w:lineRule="exact"/>
              <w:rPr>
                <w:sz w:val="20"/>
                <w:szCs w:val="20"/>
                <w:color w:val="auto"/>
              </w:rPr>
            </w:pPr>
            <w:r>
              <w:rPr>
                <w:rFonts w:ascii="PMingLiU" w:cs="PMingLiU" w:eastAsia="PMingLiU" w:hAnsi="PMingLiU"/>
                <w:sz w:val="39"/>
                <w:szCs w:val="39"/>
                <w:color w:val="5C004D"/>
                <w:vertAlign w:val="subscript"/>
              </w:rPr>
              <w:t/>
            </w:r>
            <w:r>
              <w:rPr>
                <w:rFonts w:ascii="PMingLiU" w:cs="PMingLiU" w:eastAsia="PMingLiU" w:hAnsi="PMingLiU"/>
                <w:sz w:val="15"/>
                <w:szCs w:val="15"/>
                <w:color w:val="auto"/>
              </w:rPr>
              <w:t xml:space="preserve"> 6KDUHKROGHUIHHGEDFN</w:t>
            </w:r>
          </w:p>
        </w:tc>
      </w:tr>
      <w:tr>
        <w:trPr>
          <w:trHeight w:val="355"/>
        </w:trPr>
        <w:tc>
          <w:tcPr>
            <w:tcW w:w="4820" w:type="dxa"/>
            <w:vAlign w:val="bottom"/>
            <w:tcBorders>
              <w:bottom w:val="single" w:sz="8" w:color="4454A7"/>
            </w:tcBorders>
            <w:gridSpan w:val="2"/>
          </w:tcPr>
          <w:p>
            <w:pPr>
              <w:ind w:left="60"/>
              <w:spacing w:after="0" w:line="355" w:lineRule="exact"/>
              <w:rPr>
                <w:sz w:val="20"/>
                <w:szCs w:val="20"/>
                <w:color w:val="auto"/>
              </w:rPr>
            </w:pPr>
            <w:r>
              <w:rPr>
                <w:rFonts w:ascii="PMingLiU" w:cs="PMingLiU" w:eastAsia="PMingLiU" w:hAnsi="PMingLiU"/>
                <w:sz w:val="39"/>
                <w:szCs w:val="39"/>
                <w:color w:val="5C004D"/>
                <w:vertAlign w:val="subscript"/>
              </w:rPr>
              <w:t/>
            </w:r>
            <w:r>
              <w:rPr>
                <w:rFonts w:ascii="PMingLiU" w:cs="PMingLiU" w:eastAsia="PMingLiU" w:hAnsi="PMingLiU"/>
                <w:sz w:val="15"/>
                <w:szCs w:val="15"/>
                <w:color w:val="auto"/>
              </w:rPr>
              <w:t xml:space="preserve"> 7KHQHHGWRDWWUDFWDQGUHWDLQWDOHQW</w:t>
            </w:r>
          </w:p>
        </w:tc>
        <w:tc>
          <w:tcPr>
            <w:tcW w:w="5260" w:type="dxa"/>
            <w:vAlign w:val="bottom"/>
            <w:tcBorders>
              <w:bottom w:val="single" w:sz="8" w:color="4454A7"/>
            </w:tcBorders>
            <w:gridSpan w:val="2"/>
          </w:tcPr>
          <w:p>
            <w:pPr>
              <w:ind w:left="220"/>
              <w:spacing w:after="0" w:line="355" w:lineRule="exact"/>
              <w:rPr>
                <w:sz w:val="20"/>
                <w:szCs w:val="20"/>
                <w:color w:val="auto"/>
              </w:rPr>
            </w:pPr>
            <w:r>
              <w:rPr>
                <w:rFonts w:ascii="PMingLiU" w:cs="PMingLiU" w:eastAsia="PMingLiU" w:hAnsi="PMingLiU"/>
                <w:sz w:val="39"/>
                <w:szCs w:val="39"/>
                <w:color w:val="5C004D"/>
                <w:vertAlign w:val="subscript"/>
              </w:rPr>
              <w:t/>
            </w:r>
            <w:r>
              <w:rPr>
                <w:rFonts w:ascii="PMingLiU" w:cs="PMingLiU" w:eastAsia="PMingLiU" w:hAnsi="PMingLiU"/>
                <w:sz w:val="15"/>
                <w:szCs w:val="15"/>
                <w:color w:val="auto"/>
              </w:rPr>
              <w:t xml:space="preserve"> (DFK1(2¶VSDVWSHUIRUPDQFHDQGUHWHQWLRQREMHFWLYHV</w:t>
            </w:r>
          </w:p>
        </w:tc>
      </w:tr>
      <w:tr>
        <w:trPr>
          <w:trHeight w:val="259"/>
        </w:trPr>
        <w:tc>
          <w:tcPr>
            <w:tcW w:w="300" w:type="dxa"/>
            <w:vAlign w:val="bottom"/>
          </w:tcPr>
          <w:p>
            <w:pPr>
              <w:ind w:left="60"/>
              <w:spacing w:after="0" w:line="258" w:lineRule="exact"/>
              <w:rPr>
                <w:sz w:val="20"/>
                <w:szCs w:val="20"/>
                <w:color w:val="auto"/>
              </w:rPr>
            </w:pPr>
            <w:r>
              <w:rPr>
                <w:rFonts w:ascii="PMingLiU" w:cs="PMingLiU" w:eastAsia="PMingLiU" w:hAnsi="PMingLiU"/>
                <w:sz w:val="24"/>
                <w:szCs w:val="24"/>
                <w:color w:val="5C004D"/>
              </w:rPr>
              <w:t/>
            </w:r>
          </w:p>
        </w:tc>
        <w:tc>
          <w:tcPr>
            <w:tcW w:w="4520" w:type="dxa"/>
            <w:vAlign w:val="bottom"/>
          </w:tcPr>
          <w:p>
            <w:pPr>
              <w:ind w:left="60"/>
              <w:spacing w:after="0"/>
              <w:rPr>
                <w:sz w:val="20"/>
                <w:szCs w:val="20"/>
                <w:color w:val="auto"/>
              </w:rPr>
            </w:pPr>
            <w:r>
              <w:rPr>
                <w:rFonts w:ascii="PMingLiU" w:cs="PMingLiU" w:eastAsia="PMingLiU" w:hAnsi="PMingLiU"/>
                <w:sz w:val="16"/>
                <w:szCs w:val="16"/>
                <w:color w:val="auto"/>
                <w:w w:val="92"/>
              </w:rPr>
              <w:t>$JJUHJDWHFRPSHQVDWLRQFRVWDQGLPSDFWRQVKDUHKROGHU</w:t>
            </w:r>
          </w:p>
        </w:tc>
        <w:tc>
          <w:tcPr>
            <w:tcW w:w="460" w:type="dxa"/>
            <w:vAlign w:val="bottom"/>
          </w:tcPr>
          <w:p>
            <w:pPr>
              <w:ind w:left="220"/>
              <w:spacing w:after="0" w:line="258" w:lineRule="exact"/>
              <w:rPr>
                <w:sz w:val="20"/>
                <w:szCs w:val="20"/>
                <w:color w:val="auto"/>
              </w:rPr>
            </w:pPr>
            <w:r>
              <w:rPr>
                <w:rFonts w:ascii="PMingLiU" w:cs="PMingLiU" w:eastAsia="PMingLiU" w:hAnsi="PMingLiU"/>
                <w:sz w:val="24"/>
                <w:szCs w:val="24"/>
                <w:color w:val="5C004D"/>
              </w:rPr>
              <w:t/>
            </w:r>
          </w:p>
        </w:tc>
        <w:tc>
          <w:tcPr>
            <w:tcW w:w="4800" w:type="dxa"/>
            <w:vAlign w:val="bottom"/>
          </w:tcPr>
          <w:p>
            <w:pPr>
              <w:ind w:left="60"/>
              <w:spacing w:after="0"/>
              <w:rPr>
                <w:sz w:val="20"/>
                <w:szCs w:val="20"/>
                <w:color w:val="auto"/>
              </w:rPr>
            </w:pPr>
            <w:r>
              <w:rPr>
                <w:rFonts w:ascii="PMingLiU" w:cs="PMingLiU" w:eastAsia="PMingLiU" w:hAnsi="PMingLiU"/>
                <w:sz w:val="16"/>
                <w:szCs w:val="16"/>
                <w:color w:val="auto"/>
              </w:rPr>
              <w:t>,QGHSHQGHQWEXVLQHVVMXGJPHQWRIPHPEHUVRIRXU</w:t>
            </w:r>
          </w:p>
        </w:tc>
      </w:tr>
      <w:tr>
        <w:trPr>
          <w:trHeight w:val="211"/>
        </w:trPr>
        <w:tc>
          <w:tcPr>
            <w:tcW w:w="30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PMingLiU" w:cs="PMingLiU" w:eastAsia="PMingLiU" w:hAnsi="PMingLiU"/>
                <w:sz w:val="16"/>
                <w:szCs w:val="16"/>
                <w:color w:val="auto"/>
              </w:rPr>
              <w:t>GLOXWLRQ</w:t>
            </w:r>
          </w:p>
        </w:tc>
        <w:tc>
          <w:tcPr>
            <w:tcW w:w="46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PMingLiU" w:cs="PMingLiU" w:eastAsia="PMingLiU" w:hAnsi="PMingLiU"/>
                <w:sz w:val="16"/>
                <w:szCs w:val="16"/>
                <w:color w:val="auto"/>
              </w:rPr>
              <w:t>&amp;RPSHQVDWLRQ&amp;RPPLWWHH</w:t>
            </w:r>
          </w:p>
        </w:tc>
      </w:tr>
      <w:tr>
        <w:trPr>
          <w:trHeight w:val="58"/>
        </w:trPr>
        <w:tc>
          <w:tcPr>
            <w:tcW w:w="300" w:type="dxa"/>
            <w:vAlign w:val="bottom"/>
            <w:tcBorders>
              <w:bottom w:val="single" w:sz="8" w:color="5C004D"/>
            </w:tcBorders>
          </w:tcPr>
          <w:p>
            <w:pPr>
              <w:spacing w:after="0"/>
              <w:rPr>
                <w:sz w:val="5"/>
                <w:szCs w:val="5"/>
                <w:color w:val="auto"/>
              </w:rPr>
            </w:pPr>
          </w:p>
        </w:tc>
        <w:tc>
          <w:tcPr>
            <w:tcW w:w="4520" w:type="dxa"/>
            <w:vAlign w:val="bottom"/>
            <w:tcBorders>
              <w:bottom w:val="single" w:sz="8" w:color="5C004D"/>
            </w:tcBorders>
          </w:tcPr>
          <w:p>
            <w:pPr>
              <w:spacing w:after="0"/>
              <w:rPr>
                <w:sz w:val="5"/>
                <w:szCs w:val="5"/>
                <w:color w:val="auto"/>
              </w:rPr>
            </w:pPr>
          </w:p>
        </w:tc>
        <w:tc>
          <w:tcPr>
            <w:tcW w:w="460" w:type="dxa"/>
            <w:vAlign w:val="bottom"/>
            <w:tcBorders>
              <w:bottom w:val="single" w:sz="8" w:color="5C004D"/>
            </w:tcBorders>
          </w:tcPr>
          <w:p>
            <w:pPr>
              <w:spacing w:after="0"/>
              <w:rPr>
                <w:sz w:val="5"/>
                <w:szCs w:val="5"/>
                <w:color w:val="auto"/>
              </w:rPr>
            </w:pPr>
          </w:p>
        </w:tc>
        <w:tc>
          <w:tcPr>
            <w:tcW w:w="4800" w:type="dxa"/>
            <w:vAlign w:val="bottom"/>
            <w:tcBorders>
              <w:bottom w:val="single" w:sz="8" w:color="5C004D"/>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899795</wp:posOffset>
            </wp:positionV>
            <wp:extent cx="1389380" cy="2343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78">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64" w:name="page65"/>
    <w:bookmarkEnd w:id="64"/>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86" o:spid="_x0000_s1411"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$GYLVRU\9RWHRQ([HFXWLYH&amp;RPSHQVDWLRQDQG6KDUHKROGHU(QJDJHPHQW</w:t>
      </w:r>
    </w:p>
    <w:p>
      <w:pPr>
        <w:spacing w:after="0" w:line="191" w:lineRule="exact"/>
        <w:rPr>
          <w:sz w:val="20"/>
          <w:szCs w:val="20"/>
          <w:color w:val="auto"/>
        </w:rPr>
      </w:pPr>
    </w:p>
    <w:p>
      <w:pPr>
        <w:ind w:right="860"/>
        <w:spacing w:after="0" w:line="398" w:lineRule="auto"/>
        <w:rPr>
          <w:sz w:val="20"/>
          <w:szCs w:val="20"/>
          <w:color w:val="auto"/>
        </w:rPr>
      </w:pPr>
      <w:r>
        <w:rPr>
          <w:rFonts w:ascii="PMingLiU" w:cs="PMingLiU" w:eastAsia="PMingLiU" w:hAnsi="PMingLiU"/>
          <w:sz w:val="15"/>
          <w:szCs w:val="15"/>
          <w:color w:val="auto"/>
        </w:rPr>
        <w:t>(DFK\HDUZHFRQGXFWDVD\RQSD\DGYLVRU\YRWHRQH[HFXWLYHFRPSHQVDWLRQ7KLVSURYLGHVVKDUHKROGHUVZLWKWKH RSSRUWXQLW\WRFDVWDQRQELQGLQJYRWHRQDSURSRVDOUHJDUGLQJWKHFRPSHQVDWLRQRIRXU1(2V</w:t>
      </w:r>
    </w:p>
    <w:p>
      <w:pPr>
        <w:spacing w:after="0" w:line="62" w:lineRule="exact"/>
        <w:rPr>
          <w:sz w:val="20"/>
          <w:szCs w:val="20"/>
          <w:color w:val="auto"/>
        </w:rPr>
      </w:pPr>
    </w:p>
    <w:p>
      <w:pPr>
        <w:ind w:right="400"/>
        <w:spacing w:after="0" w:line="291" w:lineRule="auto"/>
        <w:rPr>
          <w:sz w:val="20"/>
          <w:szCs w:val="20"/>
          <w:color w:val="auto"/>
        </w:rPr>
      </w:pPr>
      <w:r>
        <w:rPr>
          <w:rFonts w:ascii="PMingLiU" w:cs="PMingLiU" w:eastAsia="PMingLiU" w:hAnsi="PMingLiU"/>
          <w:sz w:val="18"/>
          <w:szCs w:val="18"/>
          <w:color w:val="auto"/>
        </w:rPr>
        <w:t>$WRXU$*0DSSUR[LPDWHO\RIWKHYRWHVFDVWZHUHLQIDYRURIWKHFRPSHQVDWLRQRIRXU1(2VIRUWKH\HDUHQGHG 'HFHPEHU</w:t>
      </w:r>
    </w:p>
    <w:p>
      <w:pPr>
        <w:spacing w:after="0" w:line="135" w:lineRule="exact"/>
        <w:rPr>
          <w:sz w:val="20"/>
          <w:szCs w:val="20"/>
          <w:color w:val="auto"/>
        </w:rPr>
      </w:pPr>
    </w:p>
    <w:p>
      <w:pPr>
        <w:spacing w:after="0" w:line="367" w:lineRule="auto"/>
        <w:rPr>
          <w:sz w:val="20"/>
          <w:szCs w:val="20"/>
          <w:color w:val="auto"/>
        </w:rPr>
      </w:pPr>
      <w:r>
        <w:rPr>
          <w:rFonts w:ascii="PMingLiU" w:cs="PMingLiU" w:eastAsia="PMingLiU" w:hAnsi="PMingLiU"/>
          <w:sz w:val="14"/>
          <w:szCs w:val="14"/>
          <w:color w:val="auto"/>
        </w:rPr>
        <w:t>2XU%RDUGYDOXHVWKHYLHZVRIRXUVKDUHKROGHUV$VVXFKRXUPDQDJHPHQWWHDPUHJXODUO\HQJDJHVLQGLDORJXHZLWKRXU VKDUHKROGHUVDQGYLHZVGLUHFWVKDUHKROGHUHQJDJHPHQWDVDFULWLFDOSURFHVVIRUUHFHLYLQJDQGXQGHUVWDQGLQJIHHGEDFNRQ VXEMHFWVWKDWPDWWHUPRVWWRRXUVKDUHKROGHUV'XULQJVXFKHQJDJHPHQWRXUVKDUHKROGHUVH[SUHVVHGJHQHUDOVDWLVIDFWLRQZLWK DQGGLGQRWUDLVHDQ\PDWHULDOFRQFHUQVUHJDUGLQJRXUH[HFXWLYHFRPSHQVDWLRQSURJUDP:HZLOOFRQWLQXHRXWUHDFKDQG GLDORJXHZLWKRXUVKDUHKROGHUVLQWKHIXWXUH</w:t>
      </w:r>
    </w:p>
    <w:p>
      <w:pPr>
        <w:spacing w:after="0" w:line="93" w:lineRule="exact"/>
        <w:rPr>
          <w:sz w:val="20"/>
          <w:szCs w:val="20"/>
          <w:color w:val="auto"/>
        </w:rPr>
      </w:pPr>
    </w:p>
    <w:p>
      <w:pPr>
        <w:ind w:right="40"/>
        <w:spacing w:after="0" w:line="342" w:lineRule="auto"/>
        <w:rPr>
          <w:sz w:val="20"/>
          <w:szCs w:val="20"/>
          <w:color w:val="auto"/>
        </w:rPr>
      </w:pPr>
      <w:r>
        <w:rPr>
          <w:rFonts w:ascii="PMingLiU" w:cs="PMingLiU" w:eastAsia="PMingLiU" w:hAnsi="PMingLiU"/>
          <w:sz w:val="14"/>
          <w:szCs w:val="14"/>
          <w:color w:val="auto"/>
        </w:rPr>
        <w:t>2XU&amp;RPSHQVDWLRQ&amp;RPPLWWHHUHYLHZVWKHVD\RQSD\DGYLVRU\YRWHUHVXOWVDQGIHHGEDFNIURPRXUVKDUHKROGHUHQJDJHPHQW DFWLYLWLHVZKHQPDNLQJH[HFXWLYHFRPSHQVDWLRQGHFLVLRQV$IWHUFRQVLGHULQJWKHVWURQJVXSSRUWUHFHLYHGRQWKHVD\RQSD\ SURSRVDOLQDQGLQUHFHQW\HDUVDQDYHUDJHRIDSSUR[LPDWHO\RYHUWKHSDVWWKUHH\HDUVDQGWKHIHHGEDFNIURPRXU VKDUHKROGHUVRXU&amp;RPSHQVDWLRQ&amp;RPPLWWHHFRQFOXGHGWKDWRXUVKDUHKROGHUVFRQWLQXHWRVXSSRUWRXUH[HFXWLYHFRPSHQVDWLRQ</w:t>
      </w:r>
    </w:p>
    <w:p>
      <w:pPr>
        <w:spacing w:after="0" w:line="1"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SURJUDPDQGWKDWLWFRQWLQXHVWRSURYLGHDFRPSHWLWLYHSD\IRUSHUIRUPDQFHSDFNDJHWKDWHIIHFWLYHO\LQFHQWLYL]HVWKH1(2VDQG HQFRXUDJHVORQJWHUPUHWHQWLRQ$FFRUGLQJO\RXU&amp;RPSHQVDWLRQ&amp;RPPLWWHHDQGDGGLWLRQDOO\ZLWKUHVSHFWWRRXU&amp;(2¶V</w:t>
      </w:r>
    </w:p>
    <w:p>
      <w:pPr>
        <w:spacing w:after="0" w:line="345" w:lineRule="auto"/>
        <w:rPr>
          <w:sz w:val="20"/>
          <w:szCs w:val="20"/>
          <w:color w:val="auto"/>
        </w:rPr>
      </w:pPr>
      <w:r>
        <w:rPr>
          <w:rFonts w:ascii="PMingLiU" w:cs="PMingLiU" w:eastAsia="PMingLiU" w:hAnsi="PMingLiU"/>
          <w:sz w:val="15"/>
          <w:szCs w:val="15"/>
          <w:color w:val="auto"/>
        </w:rPr>
        <w:t>FRPSHQVDWLRQRXU%RDUGGHWHUPLQHGQRWWRPDNHDQ\VLJQLILFDQWFKDQJHVWRRXUH[HFXWLYHFRPSHQVDWLRQSROLFLHVRUGHFLVLRQV DVDUHVXOWRIWKHSULRU\HDU¶VVD\RQSD\DGYLVRU\YRWHDQGVKDUHKROGHUIHHGEDFN2XU&amp;RPSHQVDWLRQ&amp;RPPLWWHHDQG DGGLWLRQDOO\ZLWKUHVSHFWWRRXU&amp;(2¶VFRPSHQVDWLRQRXU%RDUGZLOOFRQWLQXHWRFRQVLGHUWKHRXWFRPHRIRXUVD\RQSD\ SURSRVDOVDQGRXUVKDUHKROGHUV¶YLHZVZKHQPDNLQJIXWXUHFRPSHQVDWLRQGHFLVLRQVIRUWKH1(2V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5172075</wp:posOffset>
            </wp:positionV>
            <wp:extent cx="1386840" cy="2336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7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65" w:name="page66"/>
    <w:bookmarkEnd w:id="6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88" o:spid="_x0000_s1413"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0"/>
          <w:szCs w:val="30"/>
          <w:color w:val="5C004D"/>
        </w:rPr>
        <w:t>.H\&amp;RPSRQHQWVDQG'HVLJQRIWKH([HFXWLYH&amp;RPSHQVDWLRQ3URJUDP</w:t>
      </w:r>
    </w:p>
    <w:p>
      <w:pPr>
        <w:spacing w:after="0" w:line="29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7RWDO'LUHFW&amp;RPSHQVDWLRQ</w:t>
      </w:r>
    </w:p>
    <w:p>
      <w:pPr>
        <w:spacing w:after="0" w:line="191" w:lineRule="exact"/>
        <w:rPr>
          <w:sz w:val="20"/>
          <w:szCs w:val="20"/>
          <w:color w:val="auto"/>
        </w:rPr>
      </w:pPr>
    </w:p>
    <w:p>
      <w:pPr>
        <w:ind w:right="360"/>
        <w:spacing w:after="0" w:line="358" w:lineRule="auto"/>
        <w:rPr>
          <w:sz w:val="20"/>
          <w:szCs w:val="20"/>
          <w:color w:val="auto"/>
        </w:rPr>
      </w:pPr>
      <w:r>
        <w:rPr>
          <w:rFonts w:ascii="PMingLiU" w:cs="PMingLiU" w:eastAsia="PMingLiU" w:hAnsi="PMingLiU"/>
          <w:sz w:val="15"/>
          <w:szCs w:val="15"/>
          <w:color w:val="auto"/>
        </w:rPr>
        <w:t>2XUFRPSHQVDWLRQSURJUDPIRFXVHVRQWDUJHWWRWDOGLUHFWFRPSHQVDWLRQZKLFKFRQVLVWVRIEDVHVDODU\WDUJHWSHUIRUPDQFH ERQXVRSSRUWXQLW\ZKLFKWRJHWKHUZLWKEDVHVDODU\ZHUHIHUWRDVWDUJHWWRWDOFDVKFRPSHQVDWLRQDQGWDUJHWORQJWHUP LQFHQWLYHRSSRUWXQLW\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440"/>
        </w:trPr>
        <w:tc>
          <w:tcPr>
            <w:tcW w:w="2080" w:type="dxa"/>
            <w:vAlign w:val="bottom"/>
            <w:vMerge w:val="restart"/>
            <w:shd w:val="clear" w:color="auto" w:fill="F3F3F1"/>
          </w:tcPr>
          <w:p>
            <w:pPr>
              <w:jc w:val="right"/>
              <w:ind w:right="640"/>
              <w:spacing w:after="0"/>
              <w:rPr>
                <w:sz w:val="20"/>
                <w:szCs w:val="20"/>
                <w:color w:val="auto"/>
              </w:rPr>
            </w:pPr>
            <w:r>
              <w:rPr>
                <w:rFonts w:ascii="PMingLiU" w:cs="PMingLiU" w:eastAsia="PMingLiU" w:hAnsi="PMingLiU"/>
                <w:sz w:val="20"/>
                <w:szCs w:val="20"/>
                <w:b w:val="1"/>
                <w:bCs w:val="1"/>
                <w:color w:val="2D2C36"/>
              </w:rPr>
              <w:t>%DVH</w:t>
            </w:r>
          </w:p>
        </w:tc>
        <w:tc>
          <w:tcPr>
            <w:tcW w:w="520" w:type="dxa"/>
            <w:vAlign w:val="bottom"/>
            <w:vMerge w:val="restart"/>
          </w:tcPr>
          <w:p>
            <w:pPr>
              <w:jc w:val="right"/>
              <w:spacing w:after="0"/>
              <w:rPr>
                <w:sz w:val="20"/>
                <w:szCs w:val="20"/>
                <w:color w:val="auto"/>
              </w:rPr>
            </w:pPr>
            <w:r>
              <w:rPr>
                <w:rFonts w:ascii="PMingLiU" w:cs="PMingLiU" w:eastAsia="PMingLiU" w:hAnsi="PMingLiU"/>
                <w:sz w:val="48"/>
                <w:szCs w:val="48"/>
                <w:color w:val="000046"/>
              </w:rPr>
              <w:t/>
            </w:r>
          </w:p>
        </w:tc>
        <w:tc>
          <w:tcPr>
            <w:tcW w:w="2120" w:type="dxa"/>
            <w:vAlign w:val="bottom"/>
            <w:shd w:val="clear" w:color="auto" w:fill="F3F3F1"/>
          </w:tcPr>
          <w:p>
            <w:pPr>
              <w:jc w:val="center"/>
              <w:spacing w:after="0"/>
              <w:rPr>
                <w:sz w:val="20"/>
                <w:szCs w:val="20"/>
                <w:color w:val="auto"/>
              </w:rPr>
            </w:pPr>
            <w:r>
              <w:rPr>
                <w:rFonts w:ascii="PMingLiU" w:cs="PMingLiU" w:eastAsia="PMingLiU" w:hAnsi="PMingLiU"/>
                <w:sz w:val="20"/>
                <w:szCs w:val="20"/>
                <w:b w:val="1"/>
                <w:bCs w:val="1"/>
                <w:color w:val="2D2C36"/>
                <w:w w:val="98"/>
              </w:rPr>
              <w:t>3HUIRUPDQFH</w:t>
            </w:r>
          </w:p>
        </w:tc>
        <w:tc>
          <w:tcPr>
            <w:tcW w:w="520" w:type="dxa"/>
            <w:vAlign w:val="bottom"/>
            <w:vMerge w:val="restart"/>
          </w:tcPr>
          <w:p>
            <w:pPr>
              <w:jc w:val="right"/>
              <w:spacing w:after="0"/>
              <w:rPr>
                <w:sz w:val="20"/>
                <w:szCs w:val="20"/>
                <w:color w:val="auto"/>
              </w:rPr>
            </w:pPr>
            <w:r>
              <w:rPr>
                <w:rFonts w:ascii="PMingLiU" w:cs="PMingLiU" w:eastAsia="PMingLiU" w:hAnsi="PMingLiU"/>
                <w:sz w:val="48"/>
                <w:szCs w:val="48"/>
                <w:color w:val="000046"/>
              </w:rPr>
              <w:t/>
            </w:r>
          </w:p>
        </w:tc>
        <w:tc>
          <w:tcPr>
            <w:tcW w:w="2120" w:type="dxa"/>
            <w:vAlign w:val="bottom"/>
            <w:shd w:val="clear" w:color="auto" w:fill="F3F3F1"/>
          </w:tcPr>
          <w:p>
            <w:pPr>
              <w:jc w:val="right"/>
              <w:ind w:right="380"/>
              <w:spacing w:after="0"/>
              <w:rPr>
                <w:sz w:val="20"/>
                <w:szCs w:val="20"/>
                <w:color w:val="auto"/>
              </w:rPr>
            </w:pPr>
            <w:r>
              <w:rPr>
                <w:rFonts w:ascii="PMingLiU" w:cs="PMingLiU" w:eastAsia="PMingLiU" w:hAnsi="PMingLiU"/>
                <w:sz w:val="20"/>
                <w:szCs w:val="20"/>
                <w:b w:val="1"/>
                <w:bCs w:val="1"/>
                <w:color w:val="2D2C36"/>
              </w:rPr>
              <w:t>/RQJ7HUP</w:t>
            </w:r>
          </w:p>
        </w:tc>
        <w:tc>
          <w:tcPr>
            <w:tcW w:w="520" w:type="dxa"/>
            <w:vAlign w:val="bottom"/>
          </w:tcPr>
          <w:p>
            <w:pPr>
              <w:spacing w:after="0"/>
              <w:rPr>
                <w:sz w:val="24"/>
                <w:szCs w:val="24"/>
                <w:color w:val="auto"/>
              </w:rPr>
            </w:pPr>
          </w:p>
        </w:tc>
        <w:tc>
          <w:tcPr>
            <w:tcW w:w="2200" w:type="dxa"/>
            <w:vAlign w:val="bottom"/>
            <w:vMerge w:val="restart"/>
            <w:shd w:val="clear" w:color="auto" w:fill="5C004D"/>
          </w:tcPr>
          <w:p>
            <w:pPr>
              <w:jc w:val="center"/>
              <w:spacing w:after="0"/>
              <w:rPr>
                <w:sz w:val="20"/>
                <w:szCs w:val="20"/>
                <w:color w:val="auto"/>
              </w:rPr>
            </w:pPr>
            <w:r>
              <w:rPr>
                <w:rFonts w:ascii="PMingLiU" w:cs="PMingLiU" w:eastAsia="PMingLiU" w:hAnsi="PMingLiU"/>
                <w:sz w:val="20"/>
                <w:szCs w:val="20"/>
                <w:b w:val="1"/>
                <w:bCs w:val="1"/>
                <w:color w:val="FFFFFF"/>
                <w:w w:val="83"/>
              </w:rPr>
              <w:t>7RWDO'LUHFW</w:t>
            </w:r>
          </w:p>
        </w:tc>
        <w:tc>
          <w:tcPr>
            <w:tcW w:w="0" w:type="dxa"/>
            <w:vAlign w:val="bottom"/>
          </w:tcPr>
          <w:p>
            <w:pPr>
              <w:spacing w:after="0"/>
              <w:rPr>
                <w:sz w:val="1"/>
                <w:szCs w:val="1"/>
                <w:color w:val="auto"/>
              </w:rPr>
            </w:pPr>
          </w:p>
        </w:tc>
      </w:tr>
      <w:tr>
        <w:trPr>
          <w:trHeight w:val="120"/>
        </w:trPr>
        <w:tc>
          <w:tcPr>
            <w:tcW w:w="2080" w:type="dxa"/>
            <w:vAlign w:val="bottom"/>
            <w:vMerge w:val="continue"/>
            <w:shd w:val="clear" w:color="auto" w:fill="F3F3F1"/>
          </w:tcPr>
          <w:p>
            <w:pPr>
              <w:spacing w:after="0"/>
              <w:rPr>
                <w:sz w:val="10"/>
                <w:szCs w:val="10"/>
                <w:color w:val="auto"/>
              </w:rPr>
            </w:pPr>
          </w:p>
        </w:tc>
        <w:tc>
          <w:tcPr>
            <w:tcW w:w="520" w:type="dxa"/>
            <w:vAlign w:val="bottom"/>
            <w:vMerge w:val="continue"/>
          </w:tcPr>
          <w:p>
            <w:pPr>
              <w:spacing w:after="0"/>
              <w:rPr>
                <w:sz w:val="10"/>
                <w:szCs w:val="10"/>
                <w:color w:val="auto"/>
              </w:rPr>
            </w:pPr>
          </w:p>
        </w:tc>
        <w:tc>
          <w:tcPr>
            <w:tcW w:w="2120" w:type="dxa"/>
            <w:vAlign w:val="bottom"/>
            <w:vMerge w:val="restart"/>
            <w:shd w:val="clear" w:color="auto" w:fill="F3F3F1"/>
          </w:tcPr>
          <w:p>
            <w:pPr>
              <w:jc w:val="center"/>
              <w:spacing w:after="0"/>
              <w:rPr>
                <w:sz w:val="20"/>
                <w:szCs w:val="20"/>
                <w:color w:val="auto"/>
              </w:rPr>
            </w:pPr>
            <w:r>
              <w:rPr>
                <w:rFonts w:ascii="PMingLiU" w:cs="PMingLiU" w:eastAsia="PMingLiU" w:hAnsi="PMingLiU"/>
                <w:sz w:val="20"/>
                <w:szCs w:val="20"/>
                <w:b w:val="1"/>
                <w:bCs w:val="1"/>
                <w:color w:val="2D2C36"/>
                <w:w w:val="98"/>
              </w:rPr>
              <w:t>%RQXV</w:t>
            </w:r>
          </w:p>
        </w:tc>
        <w:tc>
          <w:tcPr>
            <w:tcW w:w="520" w:type="dxa"/>
            <w:vAlign w:val="bottom"/>
            <w:vMerge w:val="continue"/>
          </w:tcPr>
          <w:p>
            <w:pPr>
              <w:spacing w:after="0"/>
              <w:rPr>
                <w:sz w:val="10"/>
                <w:szCs w:val="10"/>
                <w:color w:val="auto"/>
              </w:rPr>
            </w:pPr>
          </w:p>
        </w:tc>
        <w:tc>
          <w:tcPr>
            <w:tcW w:w="2120" w:type="dxa"/>
            <w:vAlign w:val="bottom"/>
            <w:vMerge w:val="restart"/>
            <w:shd w:val="clear" w:color="auto" w:fill="F3F3F1"/>
          </w:tcPr>
          <w:p>
            <w:pPr>
              <w:jc w:val="right"/>
              <w:ind w:right="460"/>
              <w:spacing w:after="0"/>
              <w:rPr>
                <w:sz w:val="20"/>
                <w:szCs w:val="20"/>
                <w:color w:val="auto"/>
              </w:rPr>
            </w:pPr>
            <w:r>
              <w:rPr>
                <w:rFonts w:ascii="PMingLiU" w:cs="PMingLiU" w:eastAsia="PMingLiU" w:hAnsi="PMingLiU"/>
                <w:sz w:val="20"/>
                <w:szCs w:val="20"/>
                <w:b w:val="1"/>
                <w:bCs w:val="1"/>
                <w:color w:val="2D2C36"/>
              </w:rPr>
              <w:t>,QFHQWLYH</w:t>
            </w:r>
          </w:p>
        </w:tc>
        <w:tc>
          <w:tcPr>
            <w:tcW w:w="520" w:type="dxa"/>
            <w:vAlign w:val="bottom"/>
          </w:tcPr>
          <w:p>
            <w:pPr>
              <w:spacing w:after="0"/>
              <w:rPr>
                <w:sz w:val="10"/>
                <w:szCs w:val="10"/>
                <w:color w:val="auto"/>
              </w:rPr>
            </w:pPr>
          </w:p>
        </w:tc>
        <w:tc>
          <w:tcPr>
            <w:tcW w:w="2200" w:type="dxa"/>
            <w:vAlign w:val="bottom"/>
            <w:vMerge w:val="continue"/>
            <w:shd w:val="clear" w:color="auto" w:fill="5C004D"/>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80" w:type="dxa"/>
            <w:vAlign w:val="bottom"/>
            <w:vMerge w:val="restart"/>
            <w:shd w:val="clear" w:color="auto" w:fill="F3F3F1"/>
          </w:tcPr>
          <w:p>
            <w:pPr>
              <w:jc w:val="right"/>
              <w:ind w:right="640"/>
              <w:spacing w:after="0"/>
              <w:rPr>
                <w:sz w:val="20"/>
                <w:szCs w:val="20"/>
                <w:color w:val="auto"/>
              </w:rPr>
            </w:pPr>
            <w:r>
              <w:rPr>
                <w:rFonts w:ascii="PMingLiU" w:cs="PMingLiU" w:eastAsia="PMingLiU" w:hAnsi="PMingLiU"/>
                <w:sz w:val="20"/>
                <w:szCs w:val="20"/>
                <w:b w:val="1"/>
                <w:bCs w:val="1"/>
                <w:color w:val="2D2C36"/>
              </w:rPr>
              <w:t>6DODU\</w:t>
            </w:r>
          </w:p>
        </w:tc>
        <w:tc>
          <w:tcPr>
            <w:tcW w:w="520" w:type="dxa"/>
            <w:vAlign w:val="bottom"/>
            <w:vMerge w:val="continue"/>
          </w:tcPr>
          <w:p>
            <w:pPr>
              <w:spacing w:after="0"/>
              <w:rPr>
                <w:sz w:val="10"/>
                <w:szCs w:val="10"/>
                <w:color w:val="auto"/>
              </w:rPr>
            </w:pPr>
          </w:p>
        </w:tc>
        <w:tc>
          <w:tcPr>
            <w:tcW w:w="2120" w:type="dxa"/>
            <w:vAlign w:val="bottom"/>
            <w:vMerge w:val="continue"/>
            <w:shd w:val="clear" w:color="auto" w:fill="F3F3F1"/>
          </w:tcPr>
          <w:p>
            <w:pPr>
              <w:spacing w:after="0"/>
              <w:rPr>
                <w:sz w:val="10"/>
                <w:szCs w:val="10"/>
                <w:color w:val="auto"/>
              </w:rPr>
            </w:pPr>
          </w:p>
        </w:tc>
        <w:tc>
          <w:tcPr>
            <w:tcW w:w="520" w:type="dxa"/>
            <w:vAlign w:val="bottom"/>
            <w:vMerge w:val="continue"/>
          </w:tcPr>
          <w:p>
            <w:pPr>
              <w:spacing w:after="0"/>
              <w:rPr>
                <w:sz w:val="10"/>
                <w:szCs w:val="10"/>
                <w:color w:val="auto"/>
              </w:rPr>
            </w:pPr>
          </w:p>
        </w:tc>
        <w:tc>
          <w:tcPr>
            <w:tcW w:w="2120" w:type="dxa"/>
            <w:vAlign w:val="bottom"/>
            <w:vMerge w:val="continue"/>
            <w:shd w:val="clear" w:color="auto" w:fill="F3F3F1"/>
          </w:tcPr>
          <w:p>
            <w:pPr>
              <w:spacing w:after="0"/>
              <w:rPr>
                <w:sz w:val="10"/>
                <w:szCs w:val="10"/>
                <w:color w:val="auto"/>
              </w:rPr>
            </w:pPr>
          </w:p>
        </w:tc>
        <w:tc>
          <w:tcPr>
            <w:tcW w:w="520" w:type="dxa"/>
            <w:vAlign w:val="bottom"/>
          </w:tcPr>
          <w:p>
            <w:pPr>
              <w:spacing w:after="0"/>
              <w:rPr>
                <w:sz w:val="10"/>
                <w:szCs w:val="10"/>
                <w:color w:val="auto"/>
              </w:rPr>
            </w:pPr>
          </w:p>
        </w:tc>
        <w:tc>
          <w:tcPr>
            <w:tcW w:w="2200" w:type="dxa"/>
            <w:vAlign w:val="bottom"/>
            <w:vMerge w:val="restart"/>
            <w:shd w:val="clear" w:color="auto" w:fill="5C004D"/>
          </w:tcPr>
          <w:p>
            <w:pPr>
              <w:jc w:val="center"/>
              <w:spacing w:after="0"/>
              <w:rPr>
                <w:sz w:val="20"/>
                <w:szCs w:val="20"/>
                <w:color w:val="auto"/>
              </w:rPr>
            </w:pPr>
            <w:r>
              <w:rPr>
                <w:rFonts w:ascii="PMingLiU" w:cs="PMingLiU" w:eastAsia="PMingLiU" w:hAnsi="PMingLiU"/>
                <w:sz w:val="20"/>
                <w:szCs w:val="20"/>
                <w:b w:val="1"/>
                <w:bCs w:val="1"/>
                <w:color w:val="FFFFFF"/>
                <w:w w:val="88"/>
              </w:rPr>
              <w:t>&amp;RPSHQVDWLRQ</w:t>
            </w:r>
          </w:p>
        </w:tc>
        <w:tc>
          <w:tcPr>
            <w:tcW w:w="0" w:type="dxa"/>
            <w:vAlign w:val="bottom"/>
          </w:tcPr>
          <w:p>
            <w:pPr>
              <w:spacing w:after="0"/>
              <w:rPr>
                <w:sz w:val="1"/>
                <w:szCs w:val="1"/>
                <w:color w:val="auto"/>
              </w:rPr>
            </w:pPr>
          </w:p>
        </w:tc>
      </w:tr>
      <w:tr>
        <w:trPr>
          <w:trHeight w:val="189"/>
        </w:trPr>
        <w:tc>
          <w:tcPr>
            <w:tcW w:w="2080" w:type="dxa"/>
            <w:vAlign w:val="bottom"/>
            <w:vMerge w:val="continue"/>
            <w:shd w:val="clear" w:color="auto" w:fill="F3F3F1"/>
          </w:tcPr>
          <w:p>
            <w:pPr>
              <w:spacing w:after="0"/>
              <w:rPr>
                <w:sz w:val="16"/>
                <w:szCs w:val="16"/>
                <w:color w:val="auto"/>
              </w:rPr>
            </w:pPr>
          </w:p>
        </w:tc>
        <w:tc>
          <w:tcPr>
            <w:tcW w:w="520" w:type="dxa"/>
            <w:vAlign w:val="bottom"/>
            <w:vMerge w:val="continue"/>
          </w:tcPr>
          <w:p>
            <w:pPr>
              <w:spacing w:after="0"/>
              <w:rPr>
                <w:sz w:val="16"/>
                <w:szCs w:val="16"/>
                <w:color w:val="auto"/>
              </w:rPr>
            </w:pPr>
          </w:p>
        </w:tc>
        <w:tc>
          <w:tcPr>
            <w:tcW w:w="2120" w:type="dxa"/>
            <w:vAlign w:val="bottom"/>
            <w:vMerge w:val="restart"/>
            <w:shd w:val="clear" w:color="auto" w:fill="F3F3F1"/>
          </w:tcPr>
          <w:p>
            <w:pPr>
              <w:jc w:val="center"/>
              <w:spacing w:after="0"/>
              <w:rPr>
                <w:sz w:val="20"/>
                <w:szCs w:val="20"/>
                <w:color w:val="auto"/>
              </w:rPr>
            </w:pPr>
            <w:r>
              <w:rPr>
                <w:rFonts w:ascii="PMingLiU" w:cs="PMingLiU" w:eastAsia="PMingLiU" w:hAnsi="PMingLiU"/>
                <w:sz w:val="20"/>
                <w:szCs w:val="20"/>
                <w:b w:val="1"/>
                <w:bCs w:val="1"/>
                <w:color w:val="2D2C36"/>
                <w:w w:val="83"/>
              </w:rPr>
              <w:t>2SSRUWXQLW\</w:t>
            </w:r>
          </w:p>
        </w:tc>
        <w:tc>
          <w:tcPr>
            <w:tcW w:w="520" w:type="dxa"/>
            <w:vAlign w:val="bottom"/>
            <w:vMerge w:val="continue"/>
          </w:tcPr>
          <w:p>
            <w:pPr>
              <w:spacing w:after="0"/>
              <w:rPr>
                <w:sz w:val="16"/>
                <w:szCs w:val="16"/>
                <w:color w:val="auto"/>
              </w:rPr>
            </w:pPr>
          </w:p>
        </w:tc>
        <w:tc>
          <w:tcPr>
            <w:tcW w:w="2120" w:type="dxa"/>
            <w:vAlign w:val="bottom"/>
            <w:vMerge w:val="restart"/>
            <w:shd w:val="clear" w:color="auto" w:fill="F3F3F1"/>
          </w:tcPr>
          <w:p>
            <w:pPr>
              <w:jc w:val="right"/>
              <w:ind w:right="380"/>
              <w:spacing w:after="0"/>
              <w:rPr>
                <w:sz w:val="20"/>
                <w:szCs w:val="20"/>
                <w:color w:val="auto"/>
              </w:rPr>
            </w:pPr>
            <w:r>
              <w:rPr>
                <w:rFonts w:ascii="PMingLiU" w:cs="PMingLiU" w:eastAsia="PMingLiU" w:hAnsi="PMingLiU"/>
                <w:sz w:val="20"/>
                <w:szCs w:val="20"/>
                <w:b w:val="1"/>
                <w:bCs w:val="1"/>
                <w:color w:val="2D2C36"/>
              </w:rPr>
              <w:t>2SSRUWXQLW\</w:t>
            </w:r>
          </w:p>
        </w:tc>
        <w:tc>
          <w:tcPr>
            <w:tcW w:w="520" w:type="dxa"/>
            <w:vAlign w:val="bottom"/>
          </w:tcPr>
          <w:p>
            <w:pPr>
              <w:spacing w:after="0"/>
              <w:rPr>
                <w:sz w:val="16"/>
                <w:szCs w:val="16"/>
                <w:color w:val="auto"/>
              </w:rPr>
            </w:pPr>
          </w:p>
        </w:tc>
        <w:tc>
          <w:tcPr>
            <w:tcW w:w="2200" w:type="dxa"/>
            <w:vAlign w:val="bottom"/>
            <w:vMerge w:val="continue"/>
            <w:shd w:val="clear" w:color="auto" w:fill="5C004D"/>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F3F3F1"/>
          </w:tcPr>
          <w:p>
            <w:pPr>
              <w:spacing w:after="0"/>
              <w:rPr>
                <w:sz w:val="7"/>
                <w:szCs w:val="7"/>
                <w:color w:val="auto"/>
              </w:rPr>
            </w:pPr>
          </w:p>
        </w:tc>
        <w:tc>
          <w:tcPr>
            <w:tcW w:w="520" w:type="dxa"/>
            <w:vAlign w:val="bottom"/>
          </w:tcPr>
          <w:p>
            <w:pPr>
              <w:spacing w:after="0"/>
              <w:rPr>
                <w:sz w:val="7"/>
                <w:szCs w:val="7"/>
                <w:color w:val="auto"/>
              </w:rPr>
            </w:pPr>
          </w:p>
        </w:tc>
        <w:tc>
          <w:tcPr>
            <w:tcW w:w="2120" w:type="dxa"/>
            <w:vAlign w:val="bottom"/>
            <w:vMerge w:val="continue"/>
            <w:shd w:val="clear" w:color="auto" w:fill="F3F3F1"/>
          </w:tcPr>
          <w:p>
            <w:pPr>
              <w:spacing w:after="0"/>
              <w:rPr>
                <w:sz w:val="7"/>
                <w:szCs w:val="7"/>
                <w:color w:val="auto"/>
              </w:rPr>
            </w:pPr>
          </w:p>
        </w:tc>
        <w:tc>
          <w:tcPr>
            <w:tcW w:w="520" w:type="dxa"/>
            <w:vAlign w:val="bottom"/>
          </w:tcPr>
          <w:p>
            <w:pPr>
              <w:spacing w:after="0"/>
              <w:rPr>
                <w:sz w:val="7"/>
                <w:szCs w:val="7"/>
                <w:color w:val="auto"/>
              </w:rPr>
            </w:pPr>
          </w:p>
        </w:tc>
        <w:tc>
          <w:tcPr>
            <w:tcW w:w="2120" w:type="dxa"/>
            <w:vAlign w:val="bottom"/>
            <w:vMerge w:val="continue"/>
            <w:shd w:val="clear" w:color="auto" w:fill="F3F3F1"/>
          </w:tcPr>
          <w:p>
            <w:pPr>
              <w:spacing w:after="0"/>
              <w:rPr>
                <w:sz w:val="7"/>
                <w:szCs w:val="7"/>
                <w:color w:val="auto"/>
              </w:rPr>
            </w:pPr>
          </w:p>
        </w:tc>
        <w:tc>
          <w:tcPr>
            <w:tcW w:w="520" w:type="dxa"/>
            <w:vAlign w:val="bottom"/>
          </w:tcPr>
          <w:p>
            <w:pPr>
              <w:spacing w:after="0"/>
              <w:rPr>
                <w:sz w:val="7"/>
                <w:szCs w:val="7"/>
                <w:color w:val="auto"/>
              </w:rPr>
            </w:pPr>
          </w:p>
        </w:tc>
        <w:tc>
          <w:tcPr>
            <w:tcW w:w="2200" w:type="dxa"/>
            <w:vAlign w:val="bottom"/>
            <w:shd w:val="clear" w:color="auto" w:fill="5C004D"/>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80" w:type="dxa"/>
            <w:vAlign w:val="bottom"/>
            <w:shd w:val="clear" w:color="auto" w:fill="F3F3F1"/>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F3F3F1"/>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F3F3F1"/>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shd w:val="clear" w:color="auto" w:fill="5C004D"/>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60"/>
        <w:spacing w:after="0" w:line="368" w:lineRule="auto"/>
        <w:rPr>
          <w:sz w:val="20"/>
          <w:szCs w:val="20"/>
          <w:color w:val="auto"/>
        </w:rPr>
      </w:pPr>
      <w:r>
        <w:rPr>
          <w:rFonts w:ascii="PMingLiU" w:cs="PMingLiU" w:eastAsia="PMingLiU" w:hAnsi="PMingLiU"/>
          <w:sz w:val="13"/>
          <w:szCs w:val="13"/>
          <w:color w:val="auto"/>
        </w:rPr>
        <w:t>$VLOOXVWUDWHGLQWKHFKDUWVEHORZDVXEVWDQWLDOPDMRULW\RIWDUJHWWRWDOGLUHFWFRPSHQVDWLRQWKDWLVEDVHVDODU\WDUJHWDQQXDO ERQXVDQGWDUJHWDQQXDOHTXLW\JUDQWIRURXU&amp;(2DQGRWKHU1(2VLVVWUXFWXUHGLQWKHIRUPRIYDULDEOHRU³DWULVN´</w:t>
      </w:r>
    </w:p>
    <w:p>
      <w:pPr>
        <w:spacing w:after="0" w:line="1" w:lineRule="exact"/>
        <w:rPr>
          <w:sz w:val="20"/>
          <w:szCs w:val="20"/>
          <w:color w:val="auto"/>
        </w:rPr>
      </w:pPr>
    </w:p>
    <w:p>
      <w:pPr>
        <w:ind w:right="240"/>
        <w:spacing w:after="0" w:line="342" w:lineRule="auto"/>
        <w:rPr>
          <w:sz w:val="20"/>
          <w:szCs w:val="20"/>
          <w:color w:val="auto"/>
        </w:rPr>
      </w:pPr>
      <w:r>
        <w:rPr>
          <w:rFonts w:ascii="PMingLiU" w:cs="PMingLiU" w:eastAsia="PMingLiU" w:hAnsi="PMingLiU"/>
          <w:sz w:val="14"/>
          <w:szCs w:val="14"/>
          <w:color w:val="auto"/>
        </w:rPr>
        <w:t>FRPSHQVDWLRQWKDWLVGHSHQGHQWXSRQWKHSHUIRUPDQFHRIRXUVKDUHSULFHDQGRUWKHDFKLHYHPHQWRIILQDQFLDODQGVWUDWHJLF REMHFWLYHV7KLVDOLJQVRXUH[HFXWLYHRIILFHUV¶LQWHUHVWVZLWKWKRVHRIRXUVKDUHKROGHUVIRUQHDUDQGORQJWHUPSHUIRUPDQFH</w:t>
      </w:r>
    </w:p>
    <w:p>
      <w:pPr>
        <w:ind w:right="80"/>
        <w:spacing w:after="0" w:line="398" w:lineRule="auto"/>
        <w:rPr>
          <w:sz w:val="20"/>
          <w:szCs w:val="20"/>
          <w:color w:val="auto"/>
        </w:rPr>
      </w:pPr>
      <w:r>
        <w:rPr>
          <w:rFonts w:ascii="PMingLiU" w:cs="PMingLiU" w:eastAsia="PMingLiU" w:hAnsi="PMingLiU"/>
          <w:sz w:val="15"/>
          <w:szCs w:val="15"/>
          <w:color w:val="auto"/>
        </w:rPr>
        <w:t>7KHSLHFKDUWVEHORZUHIOHFWWKHFRPSRQHQWVRIWDUJHWWRWDOGLUHFWFRPSHQVDWLRQIRUIRU0V*DODRXU3UHVLGHQWDQG&amp;(2 WLWOHG³&amp;(23D\0L[´DQGIRURWKHU1(2VRWKHUWKDQ0U&amp;R]DGGWLWOHG³2WKHU1(2$YHUDJH3D\0L[´</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1280" w:type="dxa"/>
            <w:vAlign w:val="bottom"/>
          </w:tcPr>
          <w:p>
            <w:pPr>
              <w:spacing w:after="0"/>
              <w:rPr>
                <w:sz w:val="23"/>
                <w:szCs w:val="23"/>
                <w:color w:val="auto"/>
              </w:rPr>
            </w:pPr>
          </w:p>
        </w:tc>
        <w:tc>
          <w:tcPr>
            <w:tcW w:w="1760" w:type="dxa"/>
            <w:vAlign w:val="bottom"/>
          </w:tcPr>
          <w:p>
            <w:pPr>
              <w:jc w:val="right"/>
              <w:ind w:right="12"/>
              <w:spacing w:after="0"/>
              <w:rPr>
                <w:sz w:val="20"/>
                <w:szCs w:val="20"/>
                <w:color w:val="auto"/>
              </w:rPr>
            </w:pPr>
            <w:r>
              <w:rPr>
                <w:rFonts w:ascii="PMingLiU" w:cs="PMingLiU" w:eastAsia="PMingLiU" w:hAnsi="PMingLiU"/>
                <w:sz w:val="20"/>
                <w:szCs w:val="20"/>
                <w:b w:val="1"/>
                <w:bCs w:val="1"/>
                <w:color w:val="000046"/>
              </w:rPr>
              <w:t>&amp;(23$&lt;0,;</w:t>
            </w:r>
          </w:p>
        </w:tc>
        <w:tc>
          <w:tcPr>
            <w:tcW w:w="1760" w:type="dxa"/>
            <w:vAlign w:val="bottom"/>
          </w:tcPr>
          <w:p>
            <w:pPr>
              <w:spacing w:after="0"/>
              <w:rPr>
                <w:sz w:val="23"/>
                <w:szCs w:val="23"/>
                <w:color w:val="auto"/>
              </w:rPr>
            </w:pPr>
          </w:p>
        </w:tc>
        <w:tc>
          <w:tcPr>
            <w:tcW w:w="4820" w:type="dxa"/>
            <w:vAlign w:val="bottom"/>
            <w:gridSpan w:val="3"/>
          </w:tcPr>
          <w:p>
            <w:pPr>
              <w:jc w:val="right"/>
              <w:ind w:right="683"/>
              <w:spacing w:after="0"/>
              <w:rPr>
                <w:sz w:val="20"/>
                <w:szCs w:val="20"/>
                <w:color w:val="auto"/>
              </w:rPr>
            </w:pPr>
            <w:r>
              <w:rPr>
                <w:rFonts w:ascii="PMingLiU" w:cs="PMingLiU" w:eastAsia="PMingLiU" w:hAnsi="PMingLiU"/>
                <w:sz w:val="20"/>
                <w:szCs w:val="20"/>
                <w:b w:val="1"/>
                <w:bCs w:val="1"/>
                <w:color w:val="000046"/>
              </w:rPr>
              <w:t>27+(51(2$9(5$*(3$&lt;0,;</w:t>
            </w:r>
          </w:p>
        </w:tc>
        <w:tc>
          <w:tcPr>
            <w:tcW w:w="0" w:type="dxa"/>
            <w:vAlign w:val="bottom"/>
          </w:tcPr>
          <w:p>
            <w:pPr>
              <w:spacing w:after="0"/>
              <w:rPr>
                <w:sz w:val="1"/>
                <w:szCs w:val="1"/>
                <w:color w:val="auto"/>
              </w:rPr>
            </w:pPr>
          </w:p>
        </w:tc>
      </w:tr>
      <w:tr>
        <w:trPr>
          <w:trHeight w:val="663"/>
        </w:trPr>
        <w:tc>
          <w:tcPr>
            <w:tcW w:w="1280" w:type="dxa"/>
            <w:vAlign w:val="bottom"/>
          </w:tcPr>
          <w:p>
            <w:pPr>
              <w:spacing w:after="0"/>
              <w:rPr>
                <w:sz w:val="24"/>
                <w:szCs w:val="24"/>
                <w:color w:val="auto"/>
              </w:rPr>
            </w:pPr>
          </w:p>
        </w:tc>
        <w:tc>
          <w:tcPr>
            <w:tcW w:w="1760" w:type="dxa"/>
            <w:vAlign w:val="bottom"/>
          </w:tcPr>
          <w:p>
            <w:pPr>
              <w:ind w:left="1180"/>
              <w:spacing w:after="0"/>
              <w:rPr>
                <w:sz w:val="20"/>
                <w:szCs w:val="20"/>
                <w:color w:val="auto"/>
              </w:rPr>
            </w:pPr>
            <w:r>
              <w:rPr>
                <w:rFonts w:ascii="PMingLiU" w:cs="PMingLiU" w:eastAsia="PMingLiU" w:hAnsi="PMingLiU"/>
                <w:sz w:val="20"/>
                <w:szCs w:val="20"/>
                <w:b w:val="1"/>
                <w:bCs w:val="1"/>
                <w:color w:val="000046"/>
              </w:rPr>
              <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vMerge w:val="restart"/>
          </w:tcPr>
          <w:p>
            <w:pPr>
              <w:ind w:left="1060"/>
              <w:spacing w:after="0"/>
              <w:rPr>
                <w:sz w:val="20"/>
                <w:szCs w:val="20"/>
                <w:color w:val="auto"/>
              </w:rPr>
            </w:pPr>
            <w:r>
              <w:rPr>
                <w:rFonts w:ascii="PMingLiU" w:cs="PMingLiU" w:eastAsia="PMingLiU" w:hAnsi="PMingLiU"/>
                <w:sz w:val="20"/>
                <w:szCs w:val="20"/>
                <w:b w:val="1"/>
                <w:bCs w:val="1"/>
                <w:color w:val="000046"/>
              </w:rPr>
              <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3520" w:type="dxa"/>
            <w:vAlign w:val="bottom"/>
            <w:gridSpan w:val="2"/>
            <w:vMerge w:val="restart"/>
          </w:tcPr>
          <w:p>
            <w:pPr>
              <w:ind w:left="1200"/>
              <w:spacing w:after="0"/>
              <w:rPr>
                <w:sz w:val="20"/>
                <w:szCs w:val="20"/>
                <w:color w:val="auto"/>
              </w:rPr>
            </w:pPr>
            <w:r>
              <w:rPr>
                <w:rFonts w:ascii="PMingLiU" w:cs="PMingLiU" w:eastAsia="PMingLiU" w:hAnsi="PMingLiU"/>
                <w:sz w:val="14"/>
                <w:szCs w:val="14"/>
                <w:color w:val="2D2C36"/>
              </w:rPr>
              <w:t>%$6(6$/$5&lt;</w:t>
            </w:r>
          </w:p>
        </w:tc>
        <w:tc>
          <w:tcPr>
            <w:tcW w:w="168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3140" w:type="dxa"/>
            <w:vAlign w:val="bottom"/>
            <w:gridSpan w:val="2"/>
            <w:vMerge w:val="restart"/>
          </w:tcPr>
          <w:p>
            <w:pPr>
              <w:ind w:left="1100"/>
              <w:spacing w:after="0"/>
              <w:rPr>
                <w:sz w:val="20"/>
                <w:szCs w:val="20"/>
                <w:color w:val="auto"/>
              </w:rPr>
            </w:pPr>
            <w:r>
              <w:rPr>
                <w:rFonts w:ascii="PMingLiU" w:cs="PMingLiU" w:eastAsia="PMingLiU" w:hAnsi="PMingLiU"/>
                <w:sz w:val="14"/>
                <w:szCs w:val="14"/>
                <w:color w:val="2D2C36"/>
              </w:rPr>
              <w:t>%$6(6$/$5&lt;</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760" w:type="dxa"/>
            <w:vAlign w:val="bottom"/>
            <w:vMerge w:val="restart"/>
          </w:tcPr>
          <w:p>
            <w:pPr>
              <w:ind w:left="300"/>
              <w:spacing w:after="0"/>
              <w:rPr>
                <w:sz w:val="20"/>
                <w:szCs w:val="20"/>
                <w:color w:val="auto"/>
              </w:rPr>
            </w:pPr>
            <w:r>
              <w:rPr>
                <w:rFonts w:ascii="PMingLiU" w:cs="PMingLiU" w:eastAsia="PMingLiU" w:hAnsi="PMingLiU"/>
                <w:sz w:val="20"/>
                <w:szCs w:val="20"/>
                <w:b w:val="1"/>
                <w:bCs w:val="1"/>
                <w:color w:val="5C004D"/>
              </w:rPr>
              <w:t/>
            </w:r>
          </w:p>
        </w:tc>
        <w:tc>
          <w:tcPr>
            <w:tcW w:w="1680" w:type="dxa"/>
            <w:vAlign w:val="bottom"/>
          </w:tcPr>
          <w:p>
            <w:pPr>
              <w:spacing w:after="0"/>
              <w:rPr>
                <w:sz w:val="5"/>
                <w:szCs w:val="5"/>
                <w:color w:val="auto"/>
              </w:rPr>
            </w:pPr>
          </w:p>
        </w:tc>
        <w:tc>
          <w:tcPr>
            <w:tcW w:w="3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ind w:left="300"/>
              <w:spacing w:after="0"/>
              <w:rPr>
                <w:sz w:val="20"/>
                <w:szCs w:val="20"/>
                <w:color w:val="auto"/>
              </w:rPr>
            </w:pPr>
            <w:r>
              <w:rPr>
                <w:rFonts w:ascii="PMingLiU" w:cs="PMingLiU" w:eastAsia="PMingLiU" w:hAnsi="PMingLiU"/>
                <w:sz w:val="14"/>
                <w:szCs w:val="14"/>
                <w:color w:val="2D2C36"/>
              </w:rPr>
              <w:t>7$5*(7</w:t>
            </w: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vMerge w:val="restart"/>
          </w:tcPr>
          <w:p>
            <w:pPr>
              <w:ind w:left="420"/>
              <w:spacing w:after="0"/>
              <w:rPr>
                <w:sz w:val="20"/>
                <w:szCs w:val="20"/>
                <w:color w:val="auto"/>
              </w:rPr>
            </w:pPr>
            <w:r>
              <w:rPr>
                <w:rFonts w:ascii="PMingLiU" w:cs="PMingLiU" w:eastAsia="PMingLiU" w:hAnsi="PMingLiU"/>
                <w:sz w:val="20"/>
                <w:szCs w:val="20"/>
                <w:b w:val="1"/>
                <w:bCs w:val="1"/>
                <w:color w:val="5C004D"/>
              </w:rPr>
              <w:t/>
            </w:r>
          </w:p>
        </w:tc>
        <w:tc>
          <w:tcPr>
            <w:tcW w:w="0" w:type="dxa"/>
            <w:vAlign w:val="bottom"/>
          </w:tcPr>
          <w:p>
            <w:pPr>
              <w:spacing w:after="0"/>
              <w:rPr>
                <w:sz w:val="1"/>
                <w:szCs w:val="1"/>
                <w:color w:val="auto"/>
              </w:rPr>
            </w:pPr>
          </w:p>
        </w:tc>
      </w:tr>
      <w:tr>
        <w:trPr>
          <w:trHeight w:val="143"/>
        </w:trPr>
        <w:tc>
          <w:tcPr>
            <w:tcW w:w="1280" w:type="dxa"/>
            <w:vAlign w:val="bottom"/>
            <w:vMerge w:val="restart"/>
          </w:tcPr>
          <w:p>
            <w:pPr>
              <w:jc w:val="right"/>
              <w:ind w:right="243"/>
              <w:spacing w:after="0"/>
              <w:rPr>
                <w:sz w:val="20"/>
                <w:szCs w:val="20"/>
                <w:color w:val="auto"/>
              </w:rPr>
            </w:pPr>
            <w:r>
              <w:rPr>
                <w:rFonts w:ascii="PMingLiU" w:cs="PMingLiU" w:eastAsia="PMingLiU" w:hAnsi="PMingLiU"/>
                <w:sz w:val="20"/>
                <w:szCs w:val="20"/>
                <w:b w:val="1"/>
                <w:bCs w:val="1"/>
                <w:color w:val="5C004D"/>
              </w:rPr>
              <w:t/>
            </w:r>
          </w:p>
        </w:tc>
        <w:tc>
          <w:tcPr>
            <w:tcW w:w="1760" w:type="dxa"/>
            <w:vAlign w:val="bottom"/>
          </w:tcPr>
          <w:p>
            <w:pPr>
              <w:spacing w:after="0"/>
              <w:rPr>
                <w:sz w:val="12"/>
                <w:szCs w:val="12"/>
                <w:color w:val="auto"/>
              </w:rPr>
            </w:pPr>
          </w:p>
        </w:tc>
        <w:tc>
          <w:tcPr>
            <w:tcW w:w="1760" w:type="dxa"/>
            <w:vAlign w:val="bottom"/>
          </w:tcPr>
          <w:p>
            <w:pPr>
              <w:ind w:left="300"/>
              <w:spacing w:after="0" w:line="143" w:lineRule="exact"/>
              <w:rPr>
                <w:sz w:val="20"/>
                <w:szCs w:val="20"/>
                <w:color w:val="auto"/>
              </w:rPr>
            </w:pPr>
            <w:r>
              <w:rPr>
                <w:rFonts w:ascii="PMingLiU" w:cs="PMingLiU" w:eastAsia="PMingLiU" w:hAnsi="PMingLiU"/>
                <w:sz w:val="14"/>
                <w:szCs w:val="14"/>
                <w:color w:val="2D2C36"/>
              </w:rPr>
              <w:t>3(5)250$1&amp;(</w:t>
            </w:r>
          </w:p>
        </w:tc>
        <w:tc>
          <w:tcPr>
            <w:tcW w:w="1680" w:type="dxa"/>
            <w:vAlign w:val="bottom"/>
            <w:vMerge w:val="restart"/>
          </w:tcPr>
          <w:p>
            <w:pPr>
              <w:jc w:val="right"/>
              <w:ind w:right="298"/>
              <w:spacing w:after="0"/>
              <w:rPr>
                <w:sz w:val="20"/>
                <w:szCs w:val="20"/>
                <w:color w:val="auto"/>
              </w:rPr>
            </w:pPr>
            <w:r>
              <w:rPr>
                <w:rFonts w:ascii="PMingLiU" w:cs="PMingLiU" w:eastAsia="PMingLiU" w:hAnsi="PMingLiU"/>
                <w:sz w:val="20"/>
                <w:szCs w:val="20"/>
                <w:b w:val="1"/>
                <w:bCs w:val="1"/>
                <w:color w:val="5C004D"/>
              </w:rPr>
              <w:t/>
            </w:r>
          </w:p>
        </w:tc>
        <w:tc>
          <w:tcPr>
            <w:tcW w:w="16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1760" w:type="dxa"/>
            <w:vAlign w:val="bottom"/>
            <w:vMerge w:val="restart"/>
          </w:tcPr>
          <w:p>
            <w:pPr>
              <w:jc w:val="right"/>
              <w:ind w:right="292"/>
              <w:spacing w:after="0"/>
              <w:rPr>
                <w:sz w:val="20"/>
                <w:szCs w:val="20"/>
                <w:color w:val="auto"/>
              </w:rPr>
            </w:pPr>
            <w:r>
              <w:rPr>
                <w:rFonts w:ascii="PMingLiU" w:cs="PMingLiU" w:eastAsia="PMingLiU" w:hAnsi="PMingLiU"/>
                <w:sz w:val="36"/>
                <w:szCs w:val="36"/>
                <w:b w:val="1"/>
                <w:bCs w:val="1"/>
                <w:color w:val="5C004D"/>
              </w:rPr>
              <w:t/>
            </w:r>
          </w:p>
        </w:tc>
        <w:tc>
          <w:tcPr>
            <w:tcW w:w="1760" w:type="dxa"/>
            <w:vAlign w:val="bottom"/>
          </w:tcPr>
          <w:p>
            <w:pPr>
              <w:ind w:left="300"/>
              <w:spacing w:after="0"/>
              <w:rPr>
                <w:sz w:val="20"/>
                <w:szCs w:val="20"/>
                <w:color w:val="auto"/>
              </w:rPr>
            </w:pPr>
            <w:r>
              <w:rPr>
                <w:rFonts w:ascii="PMingLiU" w:cs="PMingLiU" w:eastAsia="PMingLiU" w:hAnsi="PMingLiU"/>
                <w:sz w:val="14"/>
                <w:szCs w:val="14"/>
                <w:color w:val="2D2C36"/>
              </w:rPr>
              <w:t>%2186</w:t>
            </w:r>
          </w:p>
        </w:tc>
        <w:tc>
          <w:tcPr>
            <w:tcW w:w="1680" w:type="dxa"/>
            <w:vAlign w:val="bottom"/>
            <w:vMerge w:val="continue"/>
          </w:tcPr>
          <w:p>
            <w:pPr>
              <w:spacing w:after="0"/>
              <w:rPr>
                <w:sz w:val="14"/>
                <w:szCs w:val="14"/>
                <w:color w:val="auto"/>
              </w:rPr>
            </w:pPr>
          </w:p>
        </w:tc>
        <w:tc>
          <w:tcPr>
            <w:tcW w:w="1600" w:type="dxa"/>
            <w:vAlign w:val="bottom"/>
            <w:vMerge w:val="restart"/>
          </w:tcPr>
          <w:p>
            <w:pPr>
              <w:jc w:val="right"/>
              <w:ind w:right="230"/>
              <w:spacing w:after="0"/>
              <w:rPr>
                <w:sz w:val="20"/>
                <w:szCs w:val="20"/>
                <w:color w:val="auto"/>
              </w:rPr>
            </w:pPr>
            <w:r>
              <w:rPr>
                <w:rFonts w:ascii="PMingLiU" w:cs="PMingLiU" w:eastAsia="PMingLiU" w:hAnsi="PMingLiU"/>
                <w:sz w:val="36"/>
                <w:szCs w:val="36"/>
                <w:b w:val="1"/>
                <w:bCs w:val="1"/>
                <w:color w:val="5C004D"/>
              </w:rPr>
              <w:t/>
            </w:r>
          </w:p>
        </w:tc>
        <w:tc>
          <w:tcPr>
            <w:tcW w:w="1540" w:type="dxa"/>
            <w:vAlign w:val="bottom"/>
          </w:tcPr>
          <w:p>
            <w:pPr>
              <w:ind w:left="420"/>
              <w:spacing w:after="0"/>
              <w:rPr>
                <w:sz w:val="20"/>
                <w:szCs w:val="20"/>
                <w:color w:val="auto"/>
              </w:rPr>
            </w:pPr>
            <w:r>
              <w:rPr>
                <w:rFonts w:ascii="PMingLiU" w:cs="PMingLiU" w:eastAsia="PMingLiU" w:hAnsi="PMingLiU"/>
                <w:sz w:val="14"/>
                <w:szCs w:val="14"/>
                <w:color w:val="2D2C36"/>
              </w:rPr>
              <w:t>7$5*(7</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20"/>
                <w:szCs w:val="20"/>
                <w:color w:val="auto"/>
              </w:rPr>
            </w:pPr>
            <w:r>
              <w:rPr>
                <w:rFonts w:ascii="PMingLiU" w:cs="PMingLiU" w:eastAsia="PMingLiU" w:hAnsi="PMingLiU"/>
                <w:sz w:val="14"/>
                <w:szCs w:val="14"/>
                <w:color w:val="2D2C36"/>
              </w:rPr>
              <w:t>7,0(%$6('</w:t>
            </w:r>
          </w:p>
        </w:tc>
        <w:tc>
          <w:tcPr>
            <w:tcW w:w="176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PMingLiU" w:cs="PMingLiU" w:eastAsia="PMingLiU" w:hAnsi="PMingLiU"/>
                <w:sz w:val="14"/>
                <w:szCs w:val="14"/>
                <w:color w:val="2D2C36"/>
              </w:rPr>
              <w:t>7,0(%$6('</w:t>
            </w:r>
          </w:p>
        </w:tc>
        <w:tc>
          <w:tcPr>
            <w:tcW w:w="1600" w:type="dxa"/>
            <w:vAlign w:val="bottom"/>
            <w:vMerge w:val="continue"/>
          </w:tcPr>
          <w:p>
            <w:pPr>
              <w:spacing w:after="0"/>
              <w:rPr>
                <w:sz w:val="14"/>
                <w:szCs w:val="14"/>
                <w:color w:val="auto"/>
              </w:rPr>
            </w:pPr>
          </w:p>
        </w:tc>
        <w:tc>
          <w:tcPr>
            <w:tcW w:w="1540" w:type="dxa"/>
            <w:vAlign w:val="bottom"/>
          </w:tcPr>
          <w:p>
            <w:pPr>
              <w:ind w:left="420"/>
              <w:spacing w:after="0"/>
              <w:rPr>
                <w:sz w:val="20"/>
                <w:szCs w:val="20"/>
                <w:color w:val="auto"/>
              </w:rPr>
            </w:pPr>
            <w:r>
              <w:rPr>
                <w:rFonts w:ascii="PMingLiU" w:cs="PMingLiU" w:eastAsia="PMingLiU" w:hAnsi="PMingLiU"/>
                <w:sz w:val="14"/>
                <w:szCs w:val="14"/>
                <w:color w:val="2D2C36"/>
              </w:rPr>
              <w:t>3(5)250$1&amp;(</w:t>
            </w:r>
          </w:p>
        </w:tc>
        <w:tc>
          <w:tcPr>
            <w:tcW w:w="0" w:type="dxa"/>
            <w:vAlign w:val="bottom"/>
          </w:tcPr>
          <w:p>
            <w:pPr>
              <w:spacing w:after="0"/>
              <w:rPr>
                <w:sz w:val="1"/>
                <w:szCs w:val="1"/>
                <w:color w:val="auto"/>
              </w:rPr>
            </w:pPr>
          </w:p>
        </w:tc>
      </w:tr>
      <w:tr>
        <w:trPr>
          <w:trHeight w:val="178"/>
        </w:trPr>
        <w:tc>
          <w:tcPr>
            <w:tcW w:w="1280" w:type="dxa"/>
            <w:vAlign w:val="bottom"/>
          </w:tcPr>
          <w:p>
            <w:pPr>
              <w:spacing w:after="0"/>
              <w:rPr>
                <w:sz w:val="20"/>
                <w:szCs w:val="20"/>
                <w:color w:val="auto"/>
              </w:rPr>
            </w:pPr>
            <w:r>
              <w:rPr>
                <w:rFonts w:ascii="PMingLiU" w:cs="PMingLiU" w:eastAsia="PMingLiU" w:hAnsi="PMingLiU"/>
                <w:sz w:val="14"/>
                <w:szCs w:val="14"/>
                <w:color w:val="2D2C36"/>
              </w:rPr>
              <w:t>5(675,&amp;7('</w:t>
            </w:r>
          </w:p>
        </w:tc>
        <w:tc>
          <w:tcPr>
            <w:tcW w:w="17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PMingLiU" w:cs="PMingLiU" w:eastAsia="PMingLiU" w:hAnsi="PMingLiU"/>
                <w:sz w:val="14"/>
                <w:szCs w:val="14"/>
                <w:color w:val="2D2C36"/>
              </w:rPr>
              <w:t>5(675,&amp;7('</w:t>
            </w:r>
          </w:p>
        </w:tc>
        <w:tc>
          <w:tcPr>
            <w:tcW w:w="1600" w:type="dxa"/>
            <w:vAlign w:val="bottom"/>
            <w:vMerge w:val="continue"/>
          </w:tcPr>
          <w:p>
            <w:pPr>
              <w:spacing w:after="0"/>
              <w:rPr>
                <w:sz w:val="15"/>
                <w:szCs w:val="15"/>
                <w:color w:val="auto"/>
              </w:rPr>
            </w:pPr>
          </w:p>
        </w:tc>
        <w:tc>
          <w:tcPr>
            <w:tcW w:w="1540" w:type="dxa"/>
            <w:vAlign w:val="bottom"/>
          </w:tcPr>
          <w:p>
            <w:pPr>
              <w:ind w:left="420"/>
              <w:spacing w:after="0"/>
              <w:rPr>
                <w:sz w:val="20"/>
                <w:szCs w:val="20"/>
                <w:color w:val="auto"/>
              </w:rPr>
            </w:pPr>
            <w:r>
              <w:rPr>
                <w:rFonts w:ascii="PMingLiU" w:cs="PMingLiU" w:eastAsia="PMingLiU" w:hAnsi="PMingLiU"/>
                <w:sz w:val="14"/>
                <w:szCs w:val="14"/>
                <w:color w:val="2D2C36"/>
              </w:rPr>
              <w:t>%2186</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0"/>
                <w:szCs w:val="20"/>
                <w:color w:val="auto"/>
              </w:rPr>
            </w:pPr>
            <w:r>
              <w:rPr>
                <w:rFonts w:ascii="PMingLiU" w:cs="PMingLiU" w:eastAsia="PMingLiU" w:hAnsi="PMingLiU"/>
                <w:sz w:val="14"/>
                <w:szCs w:val="14"/>
                <w:color w:val="2D2C36"/>
              </w:rPr>
              <w:t>672&amp;.81,76</w:t>
            </w:r>
          </w:p>
        </w:tc>
        <w:tc>
          <w:tcPr>
            <w:tcW w:w="1760" w:type="dxa"/>
            <w:vAlign w:val="bottom"/>
          </w:tcPr>
          <w:p>
            <w:pPr>
              <w:jc w:val="right"/>
              <w:ind w:right="132"/>
              <w:spacing w:after="0"/>
              <w:rPr>
                <w:sz w:val="20"/>
                <w:szCs w:val="20"/>
                <w:color w:val="auto"/>
              </w:rPr>
            </w:pPr>
            <w:r>
              <w:rPr>
                <w:rFonts w:ascii="PMingLiU" w:cs="PMingLiU" w:eastAsia="PMingLiU" w:hAnsi="PMingLiU"/>
                <w:sz w:val="20"/>
                <w:szCs w:val="20"/>
                <w:color w:val="2D2C36"/>
              </w:rPr>
              <w:t>9$5,$%/(</w:t>
            </w:r>
          </w:p>
        </w:tc>
        <w:tc>
          <w:tcPr>
            <w:tcW w:w="1760" w:type="dxa"/>
            <w:vAlign w:val="bottom"/>
          </w:tcPr>
          <w:p>
            <w:pPr>
              <w:spacing w:after="0"/>
              <w:rPr>
                <w:sz w:val="23"/>
                <w:szCs w:val="23"/>
                <w:color w:val="auto"/>
              </w:rPr>
            </w:pPr>
          </w:p>
        </w:tc>
        <w:tc>
          <w:tcPr>
            <w:tcW w:w="1680" w:type="dxa"/>
            <w:vAlign w:val="bottom"/>
          </w:tcPr>
          <w:p>
            <w:pPr>
              <w:ind w:left="340"/>
              <w:spacing w:after="0"/>
              <w:rPr>
                <w:sz w:val="20"/>
                <w:szCs w:val="20"/>
                <w:color w:val="auto"/>
              </w:rPr>
            </w:pPr>
            <w:r>
              <w:rPr>
                <w:rFonts w:ascii="PMingLiU" w:cs="PMingLiU" w:eastAsia="PMingLiU" w:hAnsi="PMingLiU"/>
                <w:sz w:val="14"/>
                <w:szCs w:val="14"/>
                <w:color w:val="2D2C36"/>
              </w:rPr>
              <w:t>672&amp;.81,76</w:t>
            </w:r>
          </w:p>
        </w:tc>
        <w:tc>
          <w:tcPr>
            <w:tcW w:w="1600" w:type="dxa"/>
            <w:vAlign w:val="bottom"/>
          </w:tcPr>
          <w:p>
            <w:pPr>
              <w:jc w:val="right"/>
              <w:ind w:right="90"/>
              <w:spacing w:after="0"/>
              <w:rPr>
                <w:sz w:val="20"/>
                <w:szCs w:val="20"/>
                <w:color w:val="auto"/>
              </w:rPr>
            </w:pPr>
            <w:r>
              <w:rPr>
                <w:rFonts w:ascii="PMingLiU" w:cs="PMingLiU" w:eastAsia="PMingLiU" w:hAnsi="PMingLiU"/>
                <w:sz w:val="20"/>
                <w:szCs w:val="20"/>
                <w:color w:val="2D2C36"/>
              </w:rPr>
              <w:t>9$5,$%/(</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1760" w:type="dxa"/>
            <w:vAlign w:val="bottom"/>
          </w:tcPr>
          <w:p>
            <w:pPr>
              <w:jc w:val="right"/>
              <w:ind w:right="292"/>
              <w:spacing w:after="0"/>
              <w:rPr>
                <w:sz w:val="20"/>
                <w:szCs w:val="20"/>
                <w:color w:val="auto"/>
              </w:rPr>
            </w:pPr>
            <w:r>
              <w:rPr>
                <w:rFonts w:ascii="PMingLiU" w:cs="PMingLiU" w:eastAsia="PMingLiU" w:hAnsi="PMingLiU"/>
                <w:sz w:val="20"/>
                <w:szCs w:val="20"/>
                <w:color w:val="2D2C36"/>
              </w:rPr>
              <w:t>$75,6.</w:t>
            </w:r>
          </w:p>
        </w:tc>
        <w:tc>
          <w:tcPr>
            <w:tcW w:w="17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jc w:val="right"/>
              <w:ind w:right="250"/>
              <w:spacing w:after="0"/>
              <w:rPr>
                <w:sz w:val="20"/>
                <w:szCs w:val="20"/>
                <w:color w:val="auto"/>
              </w:rPr>
            </w:pPr>
            <w:r>
              <w:rPr>
                <w:rFonts w:ascii="PMingLiU" w:cs="PMingLiU" w:eastAsia="PMingLiU" w:hAnsi="PMingLiU"/>
                <w:sz w:val="20"/>
                <w:szCs w:val="20"/>
                <w:color w:val="2D2C36"/>
              </w:rPr>
              <w:t>$75,6.</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2"/>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ind w:left="120"/>
              <w:spacing w:after="0"/>
              <w:rPr>
                <w:sz w:val="20"/>
                <w:szCs w:val="20"/>
                <w:color w:val="auto"/>
              </w:rPr>
            </w:pPr>
            <w:r>
              <w:rPr>
                <w:rFonts w:ascii="PMingLiU" w:cs="PMingLiU" w:eastAsia="PMingLiU" w:hAnsi="PMingLiU"/>
                <w:sz w:val="20"/>
                <w:szCs w:val="20"/>
                <w:b w:val="1"/>
                <w:bCs w:val="1"/>
                <w:color w:val="5C004D"/>
              </w:rPr>
              <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PMingLiU" w:cs="PMingLiU" w:eastAsia="PMingLiU" w:hAnsi="PMingLiU"/>
                <w:sz w:val="20"/>
                <w:szCs w:val="20"/>
                <w:b w:val="1"/>
                <w:bCs w:val="1"/>
                <w:color w:val="5C004D"/>
              </w:rPr>
              <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PMingLiU" w:cs="PMingLiU" w:eastAsia="PMingLiU" w:hAnsi="PMingLiU"/>
                <w:sz w:val="14"/>
                <w:szCs w:val="14"/>
                <w:color w:val="2D2C36"/>
              </w:rPr>
              <w:t>3(5)250$1&amp;(</w:t>
            </w: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PMingLiU" w:cs="PMingLiU" w:eastAsia="PMingLiU" w:hAnsi="PMingLiU"/>
                <w:sz w:val="14"/>
                <w:szCs w:val="14"/>
                <w:color w:val="2D2C36"/>
              </w:rPr>
              <w:t>3(5)250$1&amp;(</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PMingLiU" w:cs="PMingLiU" w:eastAsia="PMingLiU" w:hAnsi="PMingLiU"/>
                <w:sz w:val="14"/>
                <w:szCs w:val="14"/>
                <w:color w:val="2D2C36"/>
              </w:rPr>
              <w:t>9(67,1*</w:t>
            </w: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PMingLiU" w:cs="PMingLiU" w:eastAsia="PMingLiU" w:hAnsi="PMingLiU"/>
                <w:sz w:val="14"/>
                <w:szCs w:val="14"/>
                <w:color w:val="2D2C36"/>
              </w:rPr>
              <w:t>9(67,1*</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PMingLiU" w:cs="PMingLiU" w:eastAsia="PMingLiU" w:hAnsi="PMingLiU"/>
                <w:sz w:val="14"/>
                <w:szCs w:val="14"/>
                <w:color w:val="2D2C36"/>
              </w:rPr>
              <w:t>5(675,&amp;7('</w:t>
            </w: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PMingLiU" w:cs="PMingLiU" w:eastAsia="PMingLiU" w:hAnsi="PMingLiU"/>
                <w:sz w:val="14"/>
                <w:szCs w:val="14"/>
                <w:color w:val="2D2C36"/>
              </w:rPr>
              <w:t>5(675,&amp;7('</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PMingLiU" w:cs="PMingLiU" w:eastAsia="PMingLiU" w:hAnsi="PMingLiU"/>
                <w:sz w:val="14"/>
                <w:szCs w:val="14"/>
                <w:color w:val="2D2C36"/>
              </w:rPr>
              <w:t>672&amp;.81,76</w:t>
            </w: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ind w:left="180"/>
              <w:spacing w:after="0"/>
              <w:rPr>
                <w:sz w:val="20"/>
                <w:szCs w:val="20"/>
                <w:color w:val="auto"/>
              </w:rPr>
            </w:pPr>
            <w:r>
              <w:rPr>
                <w:rFonts w:ascii="PMingLiU" w:cs="PMingLiU" w:eastAsia="PMingLiU" w:hAnsi="PMingLiU"/>
                <w:sz w:val="14"/>
                <w:szCs w:val="14"/>
                <w:color w:val="2D2C36"/>
              </w:rPr>
              <w:t>672&amp;.81,76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-1860550</wp:posOffset>
            </wp:positionV>
            <wp:extent cx="1682750" cy="16211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80">
                      <a:extLst>
                        <a:ext uri="{28A0092B-C50C-407E-A947-70E740481C1C}"/>
                      </a:extLst>
                    </a:blip>
                    <a:srcRect/>
                    <a:stretch>
                      <a:fillRect/>
                    </a:stretch>
                  </pic:blipFill>
                  <pic:spPr bwMode="auto">
                    <a:xfrm>
                      <a:off x="0" y="0"/>
                      <a:ext cx="1682750" cy="1621155"/>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-1861185</wp:posOffset>
            </wp:positionV>
            <wp:extent cx="1621790" cy="15836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81">
                      <a:extLst>
                        <a:ext uri="{28A0092B-C50C-407E-A947-70E740481C1C}"/>
                      </a:extLst>
                    </a:blip>
                    <a:srcRect/>
                    <a:stretch>
                      <a:fillRect/>
                    </a:stretch>
                  </pic:blipFill>
                  <pic:spPr bwMode="auto">
                    <a:xfrm>
                      <a:off x="0" y="0"/>
                      <a:ext cx="1621790" cy="1583690"/>
                    </a:xfrm>
                    <a:prstGeom prst="rect">
                      <a:avLst/>
                    </a:prstGeom>
                    <a:noFill/>
                  </pic:spPr>
                </pic:pic>
              </a:graphicData>
            </a:graphic>
          </wp:anchor>
        </w:drawing>
      </w:r>
    </w:p>
    <w:p>
      <w:pPr>
        <w:spacing w:after="0" w:line="300" w:lineRule="exact"/>
        <w:rPr>
          <w:sz w:val="20"/>
          <w:szCs w:val="20"/>
          <w:color w:val="auto"/>
        </w:rPr>
      </w:pPr>
    </w:p>
    <w:p>
      <w:pPr>
        <w:ind w:left="6160"/>
        <w:spacing w:after="0"/>
        <w:rPr>
          <w:sz w:val="20"/>
          <w:szCs w:val="20"/>
          <w:color w:val="auto"/>
        </w:rPr>
      </w:pPr>
      <w:r>
        <w:rPr>
          <w:rFonts w:ascii="PMingLiU" w:cs="PMingLiU" w:eastAsia="PMingLiU" w:hAnsi="PMingLiU"/>
          <w:sz w:val="16"/>
          <w:szCs w:val="16"/>
          <w:i w:val="1"/>
          <w:iCs w:val="1"/>
          <w:color w:val="auto"/>
        </w:rPr>
        <w:t>35;4:93(?45::5:(2+;,:585;4+04.</w:t>
      </w:r>
    </w:p>
    <w:p>
      <w:pPr>
        <w:spacing w:after="0" w:line="328" w:lineRule="exact"/>
        <w:rPr>
          <w:sz w:val="20"/>
          <w:szCs w:val="20"/>
          <w:color w:val="auto"/>
        </w:rPr>
      </w:pPr>
    </w:p>
    <w:p>
      <w:pPr>
        <w:spacing w:after="0" w:line="319" w:lineRule="auto"/>
        <w:rPr>
          <w:sz w:val="20"/>
          <w:szCs w:val="20"/>
          <w:color w:val="auto"/>
        </w:rPr>
      </w:pPr>
      <w:r>
        <w:rPr>
          <w:rFonts w:ascii="PMingLiU" w:cs="PMingLiU" w:eastAsia="PMingLiU" w:hAnsi="PMingLiU"/>
          <w:sz w:val="15"/>
          <w:szCs w:val="15"/>
          <w:color w:val="auto"/>
        </w:rPr>
        <w:t>:HGHVLJQWKHVHFRPSRQHQWVLQFRPELQDWLRQWRVXSSRUWRXUQHDUDQGORQJWHUPVWUDWHJLFJRDOVIRUWKHEXVLQHVVDQGWRDOLJQ SD\ZLWKRXUSHUIRUPDQFHDQGRXUVKDUHKROGHUV¶LQWHUHVWV7KHVHFRPSRQHQWVLQFOXGHWKHIROORZLQJLDQQXDOEDVHVDODU\UDWH IRULLDQQXDOWDUJHWSHUIRUPDQFHERQXVRSSRUWXQLW\IRUDQGLLLWKHWDUJHWYDOXHRIHTXLW\DZDUGVJUDQWHGLQ 7DUJHWYDOXHRIHTXLW\DZDUGVJUDQWHGIRUSXUSRVHVRIWKHFKDUWDERYHPHDQVWKHWDUJHWGROODUYDOXHDSSURYHGE\RXU</w:t>
      </w:r>
    </w:p>
    <w:p>
      <w:pPr>
        <w:spacing w:after="0" w:line="1" w:lineRule="exact"/>
        <w:rPr>
          <w:sz w:val="20"/>
          <w:szCs w:val="20"/>
          <w:color w:val="auto"/>
        </w:rPr>
      </w:pPr>
    </w:p>
    <w:p>
      <w:pPr>
        <w:ind w:right="80"/>
        <w:spacing w:after="0" w:line="299" w:lineRule="auto"/>
        <w:rPr>
          <w:sz w:val="20"/>
          <w:szCs w:val="20"/>
          <w:color w:val="auto"/>
        </w:rPr>
      </w:pPr>
      <w:r>
        <w:rPr>
          <w:rFonts w:ascii="PMingLiU" w:cs="PMingLiU" w:eastAsia="PMingLiU" w:hAnsi="PMingLiU"/>
          <w:sz w:val="16"/>
          <w:szCs w:val="16"/>
          <w:color w:val="auto"/>
        </w:rPr>
        <w:t xml:space="preserve">&amp;RPSHQVDWLRQ&amp;RPPLWWHHRURXU%RDUGDVDSSOLFDEOHIRUHDFK1(2¶VHTXLW\DZDUGVJUDQWHGLQ7KLVYDOXHGLIIHUVIURP WKHYDOXHVKRZQLQWKH6XPPDU\&amp;RPSHQVDWLRQ7DEOHDVGLVFXVVHGIXUWKHUEHORZXQGHU³ </w:t>
      </w:r>
      <w:r>
        <w:rPr>
          <w:rFonts w:ascii="PMingLiU" w:cs="PMingLiU" w:eastAsia="PMingLiU" w:hAnsi="PMingLiU"/>
          <w:sz w:val="16"/>
          <w:szCs w:val="16"/>
          <w:i w:val="1"/>
          <w:iCs w:val="1"/>
          <w:color w:val="auto"/>
        </w:rPr>
        <w:t> 536,49(:054,*090549-58</w:t>
      </w:r>
    </w:p>
    <w:p>
      <w:pPr>
        <w:spacing w:after="0" w:line="1" w:lineRule="exact"/>
        <w:rPr>
          <w:sz w:val="20"/>
          <w:szCs w:val="20"/>
          <w:color w:val="auto"/>
        </w:rPr>
      </w:pPr>
    </w:p>
    <w:p>
      <w:pPr>
        <w:ind w:left="140"/>
        <w:spacing w:after="0"/>
        <w:tabs>
          <w:tab w:leader="none" w:pos="980" w:val="left"/>
          <w:tab w:leader="none" w:pos="4620" w:val="left"/>
        </w:tabs>
        <w:rPr>
          <w:sz w:val="20"/>
          <w:szCs w:val="20"/>
          <w:color w:val="auto"/>
        </w:rPr>
      </w:pPr>
      <w:r>
        <w:rPr>
          <w:rFonts w:ascii="PMingLiU" w:cs="PMingLiU" w:eastAsia="PMingLiU" w:hAnsi="PMingLiU"/>
          <w:sz w:val="18"/>
          <w:szCs w:val="18"/>
          <w:i w:val="1"/>
          <w:iCs w:val="1"/>
          <w:color w:val="auto"/>
        </w:rPr>
        <w:t>;8  9</w:t>
        <w:tab/>
        <w:t>#;33(8?5-  536,49(:054,*090549</w:t>
        <w:tab/>
        <w:t>54.$,834*,4:0&lt;,!85.8(3</w:t>
      </w:r>
      <w:r>
        <w:rPr>
          <w:rFonts w:ascii="PMingLiU" w:cs="PMingLiU" w:eastAsia="PMingLiU" w:hAnsi="PMingLiU"/>
          <w:sz w:val="18"/>
          <w:szCs w:val="18"/>
          <w:color w:val="auto"/>
        </w:rPr>
        <w:t>´</w:t>
      </w:r>
    </w:p>
    <w:p>
      <w:pPr>
        <w:spacing w:after="0" w:line="204" w:lineRule="exact"/>
        <w:rPr>
          <w:sz w:val="20"/>
          <w:szCs w:val="20"/>
          <w:color w:val="auto"/>
        </w:rPr>
      </w:pPr>
    </w:p>
    <w:p>
      <w:pPr>
        <w:ind w:right="60"/>
        <w:spacing w:after="0" w:line="362" w:lineRule="auto"/>
        <w:rPr>
          <w:sz w:val="20"/>
          <w:szCs w:val="20"/>
          <w:color w:val="auto"/>
        </w:rPr>
      </w:pPr>
      <w:r>
        <w:rPr>
          <w:rFonts w:ascii="PMingLiU" w:cs="PMingLiU" w:eastAsia="PMingLiU" w:hAnsi="PMingLiU"/>
          <w:sz w:val="14"/>
          <w:szCs w:val="14"/>
          <w:color w:val="auto"/>
        </w:rPr>
        <w:t>%HFDXVHZHEHOLHYHLWLVLPSRUWDQWWRRXUVXFFHVVWRSXUVXHERWKVKRUWDQGORQJWHUPREMHFWLYHVWKDWGULYHVXVWDLQDEOH VKDUHKROGHUYDOXHFUHDWLRQWRDYRLGH[FHVVLYHULVNWDNLQJDQGWRSUHVHUYHRXUFDVKUHVRXUFHVWKHPDMRULW\RIWKH1(2V¶WRWDO GLUHFWFRPSHQVDWLRQLVFRPSULVHGRIYDULDEOHRU³DWULVN´FRPSHQVDWLRQFRQVLVWLQJRISHUIRUPDQFHEDVHGERQXVRSSRUWXQLWLHV DQGORQJWHUPLQFHQWLYHVLQWKHIRUPRI368VDQG568VZKLFKDOLJQWKHH[HFXWLYHRIILFHUV¶LQFHQWLYHVZLWKWKHLQWHUHVWVRIRXU VKDUHKROGHUV7KLVDOORFDWLRQEHWZHHQYDULDEOHRU³DWULVN´DQGIL[HGFRPSHQVDWLRQLVFRQVLVWHQWZLWKRXUSD\IRUSHUIRUPDQFH SKLORVRSK\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171450</wp:posOffset>
            </wp:positionV>
            <wp:extent cx="1389380" cy="2343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82">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49"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66" w:name="page67"/>
    <w:bookmarkEnd w:id="66"/>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92" o:spid="_x0000_s1417"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560"/>
        <w:spacing w:after="0" w:line="342" w:lineRule="auto"/>
        <w:rPr>
          <w:sz w:val="20"/>
          <w:szCs w:val="20"/>
          <w:color w:val="auto"/>
        </w:rPr>
      </w:pPr>
      <w:r>
        <w:rPr>
          <w:rFonts w:ascii="PMingLiU" w:cs="PMingLiU" w:eastAsia="PMingLiU" w:hAnsi="PMingLiU"/>
          <w:sz w:val="14"/>
          <w:szCs w:val="14"/>
          <w:color w:val="auto"/>
        </w:rPr>
        <w:t>$VQRWHGDERYHRXU&amp;RPSHQVDWLRQ&amp;RPPLWWHHWDNHVDKROLVWLFDSSURDFKWRFRPSHQVDWLRQDQGVHHNVWRHQVXUHWKDWWKH DJJUHJDWHOHYHORISD\DFURVVDOOWKHSD\HOHPHQWVVDWLVILHVRXUGHVLUHGREMHFWLYHVIRUHDFKH[HFXWLYHRIILFHU2XU</w:t>
      </w:r>
    </w:p>
    <w:p>
      <w:pPr>
        <w:ind w:right="880"/>
        <w:spacing w:after="0" w:line="398" w:lineRule="auto"/>
        <w:rPr>
          <w:sz w:val="20"/>
          <w:szCs w:val="20"/>
          <w:color w:val="auto"/>
        </w:rPr>
      </w:pPr>
      <w:r>
        <w:rPr>
          <w:rFonts w:ascii="PMingLiU" w:cs="PMingLiU" w:eastAsia="PMingLiU" w:hAnsi="PMingLiU"/>
          <w:sz w:val="15"/>
          <w:szCs w:val="15"/>
          <w:color w:val="auto"/>
        </w:rPr>
        <w:t>&amp;RPSHQVDWLRQ&amp;RPPLWWHHGRHVQRWKDYHDQ\IRUPDOSROLFLHVIRUDOORFDWLQJFRPSHQVDWLRQDPRQJEDVHVDODU\WDUJHW SHUIRUPDQFHERQXVRSSRUWXQLW\DQGORQJWHUPLQFHQWLYHDZDUGV</w:t>
      </w:r>
    </w:p>
    <w:p>
      <w:pPr>
        <w:spacing w:after="0" w:line="62" w:lineRule="exact"/>
        <w:rPr>
          <w:sz w:val="20"/>
          <w:szCs w:val="20"/>
          <w:color w:val="auto"/>
        </w:rPr>
      </w:pPr>
    </w:p>
    <w:p>
      <w:pPr>
        <w:ind w:right="60"/>
        <w:spacing w:after="0" w:line="392" w:lineRule="auto"/>
        <w:rPr>
          <w:sz w:val="20"/>
          <w:szCs w:val="20"/>
          <w:color w:val="auto"/>
        </w:rPr>
      </w:pPr>
      <w:r>
        <w:rPr>
          <w:rFonts w:ascii="PMingLiU" w:cs="PMingLiU" w:eastAsia="PMingLiU" w:hAnsi="PMingLiU"/>
          <w:sz w:val="14"/>
          <w:szCs w:val="14"/>
          <w:color w:val="auto"/>
        </w:rPr>
        <w:t>,QVWHDGRXU&amp;RPSHQVDWLRQ&amp;RPPLWWHHXVHVLWVH[SHULHQFHDQGEXVLQHVVMXGJPHQWWRHVWDEOLVKDWRWDOFRPSHQVDWLRQSURJUDP IRUHDFK1(2WKDWLVDPL[RIFXUUHQWVKRUWDQGORQJWHUPLQFHQWLYHFRPSHQVDWLRQDQGFDVKDQGQRQFDVKFRPSHQVDWLRQ ZKLFKLWEHOLHYHVLVDSSURSULDWHWRDFKLHYHWKHJRDOVRIRXUH[HFXWLYHFRPSHQVDWLRQSURJUDPDQGRXUFRUSRUDWHJRDOV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&amp;RPSRQHQWVRI7RWDO'LUHFW&amp;RPSHQVDWLRQ</w:t>
      </w:r>
    </w:p>
    <w:p>
      <w:pPr>
        <w:spacing w:after="0" w:line="191" w:lineRule="exact"/>
        <w:rPr>
          <w:sz w:val="20"/>
          <w:szCs w:val="20"/>
          <w:color w:val="auto"/>
        </w:rPr>
      </w:pPr>
    </w:p>
    <w:p>
      <w:pPr>
        <w:ind w:right="40"/>
        <w:spacing w:after="0" w:line="398" w:lineRule="auto"/>
        <w:rPr>
          <w:sz w:val="20"/>
          <w:szCs w:val="20"/>
          <w:color w:val="auto"/>
        </w:rPr>
      </w:pPr>
      <w:r>
        <w:rPr>
          <w:rFonts w:ascii="PMingLiU" w:cs="PMingLiU" w:eastAsia="PMingLiU" w:hAnsi="PMingLiU"/>
          <w:sz w:val="15"/>
          <w:szCs w:val="15"/>
          <w:color w:val="auto"/>
        </w:rPr>
        <w:t>7KHWDEOHEHORZGHVFULEHVNH\IHDWXUHVRIHDFKSULPDU\FRPSRQHQWRIRXUH[HFXWLYHFRPSHQVDWLRQSURJUDPDQGH[SODLQVZK\ ZHSURYLGHDSDUWLFXODUFRPSHQVDWLRQFRPSRQHQW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3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&amp;RPSRQHQW</w:t>
            </w:r>
          </w:p>
        </w:tc>
        <w:tc>
          <w:tcPr>
            <w:tcW w:w="4800" w:type="dxa"/>
            <w:vAlign w:val="bottom"/>
            <w:gridSpan w:val="2"/>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.H\)HDWXUHV</w:t>
            </w:r>
          </w:p>
        </w:tc>
        <w:tc>
          <w:tcPr>
            <w:tcW w:w="3940" w:type="dxa"/>
            <w:vAlign w:val="bottom"/>
            <w:gridSpan w:val="2"/>
            <w:shd w:val="clear" w:color="auto" w:fill="000046"/>
          </w:tcPr>
          <w:p>
            <w:pPr>
              <w:ind w:left="80"/>
              <w:spacing w:after="0"/>
              <w:rPr>
                <w:sz w:val="20"/>
                <w:szCs w:val="20"/>
                <w:color w:val="auto"/>
              </w:rPr>
            </w:pPr>
            <w:r>
              <w:rPr>
                <w:rFonts w:ascii="PMingLiU" w:cs="PMingLiU" w:eastAsia="PMingLiU" w:hAnsi="PMingLiU"/>
                <w:sz w:val="16"/>
                <w:szCs w:val="16"/>
                <w:b w:val="1"/>
                <w:bCs w:val="1"/>
                <w:color w:val="FFFFFF"/>
              </w:rPr>
              <w:t>3XUSRVH</w:t>
            </w:r>
          </w:p>
        </w:tc>
        <w:tc>
          <w:tcPr>
            <w:tcW w:w="0" w:type="dxa"/>
            <w:vAlign w:val="bottom"/>
          </w:tcPr>
          <w:p>
            <w:pPr>
              <w:spacing w:after="0"/>
              <w:rPr>
                <w:sz w:val="1"/>
                <w:szCs w:val="1"/>
                <w:color w:val="auto"/>
              </w:rPr>
            </w:pPr>
          </w:p>
        </w:tc>
      </w:tr>
      <w:tr>
        <w:trPr>
          <w:trHeight w:val="64"/>
        </w:trPr>
        <w:tc>
          <w:tcPr>
            <w:tcW w:w="1340" w:type="dxa"/>
            <w:vAlign w:val="bottom"/>
            <w:shd w:val="clear" w:color="auto" w:fill="000046"/>
          </w:tcPr>
          <w:p>
            <w:pPr>
              <w:spacing w:after="0"/>
              <w:rPr>
                <w:sz w:val="5"/>
                <w:szCs w:val="5"/>
                <w:color w:val="auto"/>
              </w:rPr>
            </w:pPr>
          </w:p>
        </w:tc>
        <w:tc>
          <w:tcPr>
            <w:tcW w:w="220" w:type="dxa"/>
            <w:vAlign w:val="bottom"/>
            <w:shd w:val="clear" w:color="auto" w:fill="000046"/>
          </w:tcPr>
          <w:p>
            <w:pPr>
              <w:spacing w:after="0"/>
              <w:rPr>
                <w:sz w:val="5"/>
                <w:szCs w:val="5"/>
                <w:color w:val="auto"/>
              </w:rPr>
            </w:pPr>
          </w:p>
        </w:tc>
        <w:tc>
          <w:tcPr>
            <w:tcW w:w="4580" w:type="dxa"/>
            <w:vAlign w:val="bottom"/>
            <w:shd w:val="clear" w:color="auto" w:fill="000046"/>
          </w:tcPr>
          <w:p>
            <w:pPr>
              <w:spacing w:after="0"/>
              <w:rPr>
                <w:sz w:val="5"/>
                <w:szCs w:val="5"/>
                <w:color w:val="auto"/>
              </w:rPr>
            </w:pPr>
          </w:p>
        </w:tc>
        <w:tc>
          <w:tcPr>
            <w:tcW w:w="200" w:type="dxa"/>
            <w:vAlign w:val="bottom"/>
            <w:shd w:val="clear" w:color="auto" w:fill="000046"/>
          </w:tcPr>
          <w:p>
            <w:pPr>
              <w:spacing w:after="0"/>
              <w:rPr>
                <w:sz w:val="5"/>
                <w:szCs w:val="5"/>
                <w:color w:val="auto"/>
              </w:rPr>
            </w:pPr>
          </w:p>
        </w:tc>
        <w:tc>
          <w:tcPr>
            <w:tcW w:w="374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340" w:type="dxa"/>
            <w:vAlign w:val="bottom"/>
          </w:tcPr>
          <w:p>
            <w:pPr>
              <w:ind w:left="100"/>
              <w:spacing w:after="0"/>
              <w:rPr>
                <w:sz w:val="20"/>
                <w:szCs w:val="20"/>
                <w:color w:val="auto"/>
              </w:rPr>
            </w:pPr>
            <w:r>
              <w:rPr>
                <w:rFonts w:ascii="PMingLiU" w:cs="PMingLiU" w:eastAsia="PMingLiU" w:hAnsi="PMingLiU"/>
                <w:sz w:val="16"/>
                <w:szCs w:val="16"/>
                <w:b w:val="1"/>
                <w:bCs w:val="1"/>
                <w:color w:val="5C004D"/>
              </w:rPr>
              <w:t>%DVH6DODU\</w:t>
            </w: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)L[HGOHYHORIFDVKFRPSHQVDWLRQ</w:t>
            </w:r>
          </w:p>
        </w:tc>
        <w:tc>
          <w:tcPr>
            <w:tcW w:w="200" w:type="dxa"/>
            <w:vAlign w:val="bottom"/>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95"/>
              </w:rPr>
              <w:t>3URYLGHVIL[HGOHYHORIFRPSHQVDWLRQWKDWLV</w:t>
            </w: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rPr>
              <w:t>1RDPRXQWLVFRQWUDFWXDOO\JXDUDQWHHG</w:t>
            </w:r>
          </w:p>
        </w:tc>
        <w:tc>
          <w:tcPr>
            <w:tcW w:w="200" w:type="dxa"/>
            <w:vAlign w:val="bottom"/>
          </w:tcPr>
          <w:p>
            <w:pPr>
              <w:spacing w:after="0"/>
              <w:rPr>
                <w:sz w:val="16"/>
                <w:szCs w:val="16"/>
                <w:color w:val="auto"/>
              </w:rPr>
            </w:pP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83"/>
              </w:rPr>
              <w:t>FRPSHWLWLYHZLWKLQRXULQGXVWU\DQGUHIOHFWLYHRI</w:t>
            </w:r>
          </w:p>
        </w:tc>
        <w:tc>
          <w:tcPr>
            <w:tcW w:w="0" w:type="dxa"/>
            <w:vAlign w:val="bottom"/>
          </w:tcPr>
          <w:p>
            <w:pPr>
              <w:spacing w:after="0"/>
              <w:rPr>
                <w:sz w:val="1"/>
                <w:szCs w:val="1"/>
                <w:color w:val="auto"/>
              </w:rPr>
            </w:pPr>
          </w:p>
        </w:tc>
      </w:tr>
      <w:tr>
        <w:trPr>
          <w:trHeight w:val="89"/>
        </w:trPr>
        <w:tc>
          <w:tcPr>
            <w:tcW w:w="13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WKHVNLOOVDQGH[SHULHQFHUHTXLUHGWREH</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22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w w:val="85"/>
              </w:rPr>
              <w:t>$PRXQWVUHYLHZHGDQGGHWHUPLQHGDQQXDOO\DQGDUHJHQHUDOO\</w:t>
            </w:r>
          </w:p>
        </w:tc>
        <w:tc>
          <w:tcPr>
            <w:tcW w:w="20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4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VXFFHVVIXOLQIXOILOOLQJWKHUROH</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rPr>
              <w:t>HIIHFWLYHRQRUDURXQG0DUFKHDFK\HDU</w:t>
            </w:r>
          </w:p>
        </w:tc>
        <w:tc>
          <w:tcPr>
            <w:tcW w:w="20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40" w:type="dxa"/>
            <w:vAlign w:val="bottom"/>
            <w:tcBorders>
              <w:bottom w:val="single" w:sz="8" w:color="4454A7"/>
            </w:tcBorders>
          </w:tcPr>
          <w:p>
            <w:pPr>
              <w:spacing w:after="0"/>
              <w:rPr>
                <w:sz w:val="7"/>
                <w:szCs w:val="7"/>
                <w:color w:val="auto"/>
              </w:rPr>
            </w:pPr>
          </w:p>
        </w:tc>
        <w:tc>
          <w:tcPr>
            <w:tcW w:w="220" w:type="dxa"/>
            <w:vAlign w:val="bottom"/>
            <w:tcBorders>
              <w:bottom w:val="single" w:sz="8" w:color="4454A7"/>
            </w:tcBorders>
          </w:tcPr>
          <w:p>
            <w:pPr>
              <w:spacing w:after="0"/>
              <w:rPr>
                <w:sz w:val="7"/>
                <w:szCs w:val="7"/>
                <w:color w:val="auto"/>
              </w:rPr>
            </w:pPr>
          </w:p>
        </w:tc>
        <w:tc>
          <w:tcPr>
            <w:tcW w:w="4580" w:type="dxa"/>
            <w:vAlign w:val="bottom"/>
            <w:tcBorders>
              <w:bottom w:val="single" w:sz="8" w:color="4454A7"/>
            </w:tcBorders>
          </w:tcPr>
          <w:p>
            <w:pPr>
              <w:spacing w:after="0"/>
              <w:rPr>
                <w:sz w:val="7"/>
                <w:szCs w:val="7"/>
                <w:color w:val="auto"/>
              </w:rPr>
            </w:pPr>
          </w:p>
        </w:tc>
        <w:tc>
          <w:tcPr>
            <w:tcW w:w="200" w:type="dxa"/>
            <w:vAlign w:val="bottom"/>
            <w:tcBorders>
              <w:bottom w:val="single" w:sz="8" w:color="4454A7"/>
            </w:tcBorders>
          </w:tcPr>
          <w:p>
            <w:pPr>
              <w:spacing w:after="0"/>
              <w:rPr>
                <w:sz w:val="7"/>
                <w:szCs w:val="7"/>
                <w:color w:val="auto"/>
              </w:rPr>
            </w:pPr>
          </w:p>
        </w:tc>
        <w:tc>
          <w:tcPr>
            <w:tcW w:w="374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100"/>
              <w:spacing w:after="0"/>
              <w:rPr>
                <w:sz w:val="20"/>
                <w:szCs w:val="20"/>
                <w:color w:val="auto"/>
              </w:rPr>
            </w:pPr>
            <w:r>
              <w:rPr>
                <w:rFonts w:ascii="PMingLiU" w:cs="PMingLiU" w:eastAsia="PMingLiU" w:hAnsi="PMingLiU"/>
                <w:sz w:val="16"/>
                <w:szCs w:val="16"/>
                <w:b w:val="1"/>
                <w:bCs w:val="1"/>
                <w:color w:val="5C004D"/>
              </w:rPr>
              <w:t>3HUIRUPDQFH</w:t>
            </w: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89"/>
              </w:rPr>
              <w:t>&amp;DVKFRPSHQVDWLRQXQGHUWKHSHUIRUPDQFHERQXVSODQZKLFK</w:t>
            </w:r>
          </w:p>
        </w:tc>
        <w:tc>
          <w:tcPr>
            <w:tcW w:w="200" w:type="dxa"/>
            <w:vAlign w:val="bottom"/>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92"/>
              </w:rPr>
              <w:t>3URYLGHVILQDQFLDOLQFHQWLYHVWRDFKLHYHNH\</w:t>
            </w:r>
          </w:p>
        </w:tc>
        <w:tc>
          <w:tcPr>
            <w:tcW w:w="0" w:type="dxa"/>
            <w:vAlign w:val="bottom"/>
          </w:tcPr>
          <w:p>
            <w:pPr>
              <w:spacing w:after="0"/>
              <w:rPr>
                <w:sz w:val="1"/>
                <w:szCs w:val="1"/>
                <w:color w:val="auto"/>
              </w:rPr>
            </w:pPr>
          </w:p>
        </w:tc>
      </w:tr>
      <w:tr>
        <w:trPr>
          <w:trHeight w:val="192"/>
        </w:trPr>
        <w:tc>
          <w:tcPr>
            <w:tcW w:w="1340" w:type="dxa"/>
            <w:vAlign w:val="bottom"/>
          </w:tcPr>
          <w:p>
            <w:pPr>
              <w:ind w:left="100"/>
              <w:spacing w:after="0"/>
              <w:rPr>
                <w:sz w:val="20"/>
                <w:szCs w:val="20"/>
                <w:color w:val="auto"/>
              </w:rPr>
            </w:pPr>
            <w:r>
              <w:rPr>
                <w:rFonts w:ascii="PMingLiU" w:cs="PMingLiU" w:eastAsia="PMingLiU" w:hAnsi="PMingLiU"/>
                <w:sz w:val="16"/>
                <w:szCs w:val="16"/>
                <w:b w:val="1"/>
                <w:bCs w:val="1"/>
                <w:color w:val="5C004D"/>
              </w:rPr>
              <w:t>%RQXV$ZDUG</w:t>
            </w: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6"/>
              </w:rPr>
              <w:t>LVYDULDEOHDQG³DWULVN´EHFDXVHLWLVGHSHQGHQWXSRQ</w:t>
            </w:r>
          </w:p>
        </w:tc>
        <w:tc>
          <w:tcPr>
            <w:tcW w:w="200" w:type="dxa"/>
            <w:vAlign w:val="bottom"/>
          </w:tcPr>
          <w:p>
            <w:pPr>
              <w:spacing w:after="0"/>
              <w:rPr>
                <w:sz w:val="16"/>
                <w:szCs w:val="16"/>
                <w:color w:val="auto"/>
              </w:rPr>
            </w:pP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85"/>
              </w:rPr>
              <w:t>FRUSRUDWHREMHFWLYHVWKDWDUHDOLJQHGZLWKRXU</w:t>
            </w: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1"/>
              </w:rPr>
              <w:t>DFKLHYHPHQWRISUHHVWDEOLVKHGILQDQFLDODQGVWUDWHJLF</w:t>
            </w:r>
          </w:p>
        </w:tc>
        <w:tc>
          <w:tcPr>
            <w:tcW w:w="200" w:type="dxa"/>
            <w:vAlign w:val="bottom"/>
          </w:tcPr>
          <w:p>
            <w:pPr>
              <w:spacing w:after="0"/>
              <w:rPr>
                <w:sz w:val="16"/>
                <w:szCs w:val="16"/>
                <w:color w:val="auto"/>
              </w:rPr>
            </w:pPr>
          </w:p>
        </w:tc>
        <w:tc>
          <w:tcPr>
            <w:tcW w:w="3740" w:type="dxa"/>
            <w:vAlign w:val="bottom"/>
          </w:tcPr>
          <w:p>
            <w:pPr>
              <w:ind w:left="60"/>
              <w:spacing w:after="0"/>
              <w:rPr>
                <w:sz w:val="20"/>
                <w:szCs w:val="20"/>
                <w:color w:val="auto"/>
              </w:rPr>
            </w:pPr>
            <w:r>
              <w:rPr>
                <w:rFonts w:ascii="PMingLiU" w:cs="PMingLiU" w:eastAsia="PMingLiU" w:hAnsi="PMingLiU"/>
                <w:sz w:val="16"/>
                <w:szCs w:val="16"/>
                <w:color w:val="auto"/>
              </w:rPr>
              <w:t>EXVLQHVVVWUDWHJ\</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REMHFWLYHV</w:t>
            </w:r>
          </w:p>
        </w:tc>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81"/>
              </w:rPr>
              <w:t>7DUJHWERQXVRSSRUWXQLWLHVUHYLHZHGDQGGHWHUPLQHGDQQXDOO\</w:t>
            </w:r>
          </w:p>
        </w:tc>
        <w:tc>
          <w:tcPr>
            <w:tcW w:w="2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1"/>
              </w:rPr>
              <w:t>$FWXDOERQXVHVSDLGVKRUWO\DIWHUWKHHQGRIHDFK\HDUDUH</w:t>
            </w:r>
          </w:p>
        </w:tc>
        <w:tc>
          <w:tcPr>
            <w:tcW w:w="2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6"/>
              </w:rPr>
              <w:t>EDVHGRQWKHH[WHQWFRUSRUDWHJRDOVDUHDWWDLQHGDV</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GHWHUPLQHGE\RXU&amp;RPSHQVDWLRQ&amp;RPPLWWHHDQGIRU</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5"/>
              </w:rPr>
              <w:t>H[HFXWLYHRIILFHUVRWKHUWKDQRXU&amp;(2PD\UHIOHFWWKHLU</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4"/>
              </w:rPr>
              <w:t>LQGLYLGXDOFRQWULEXWLRQVWRZDUGVXFKDFKLHYHPHQWV</w:t>
            </w:r>
          </w:p>
        </w:tc>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2XU&amp;(2ERQXVLVFDSSHGDWRIKHUWDUJHWERQXVDZDUG</w:t>
            </w:r>
          </w:p>
        </w:tc>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1"/>
              </w:rPr>
              <w:t>EDVHGVROHO\RQDFKLHYHPHQWRIFRUSRUDWHREMHFWLYHV7KH</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VDPH&amp;(2ERQXVFDSZDVDSSOLHGWRRXUIRUPHU&amp;(20U</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&amp;R]DGG2XURWKHU1(2V¶ERQXVHVDUHFDSSHGDWRIWKH</w:t>
            </w: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H[HFXWLYHRIILFHU¶VWDUJHWDZDUG</w:t>
            </w:r>
          </w:p>
        </w:tc>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340" w:type="dxa"/>
            <w:vAlign w:val="bottom"/>
            <w:tcBorders>
              <w:bottom w:val="single" w:sz="8" w:color="4454A7"/>
            </w:tcBorders>
          </w:tcPr>
          <w:p>
            <w:pPr>
              <w:spacing w:after="0"/>
              <w:rPr>
                <w:sz w:val="6"/>
                <w:szCs w:val="6"/>
                <w:color w:val="auto"/>
              </w:rPr>
            </w:pPr>
          </w:p>
        </w:tc>
        <w:tc>
          <w:tcPr>
            <w:tcW w:w="220" w:type="dxa"/>
            <w:vAlign w:val="bottom"/>
            <w:tcBorders>
              <w:bottom w:val="single" w:sz="8" w:color="4454A7"/>
            </w:tcBorders>
          </w:tcPr>
          <w:p>
            <w:pPr>
              <w:spacing w:after="0"/>
              <w:rPr>
                <w:sz w:val="6"/>
                <w:szCs w:val="6"/>
                <w:color w:val="auto"/>
              </w:rPr>
            </w:pPr>
          </w:p>
        </w:tc>
        <w:tc>
          <w:tcPr>
            <w:tcW w:w="4580" w:type="dxa"/>
            <w:vAlign w:val="bottom"/>
            <w:tcBorders>
              <w:bottom w:val="single" w:sz="8" w:color="4454A7"/>
            </w:tcBorders>
          </w:tcPr>
          <w:p>
            <w:pPr>
              <w:spacing w:after="0"/>
              <w:rPr>
                <w:sz w:val="6"/>
                <w:szCs w:val="6"/>
                <w:color w:val="auto"/>
              </w:rPr>
            </w:pPr>
          </w:p>
        </w:tc>
        <w:tc>
          <w:tcPr>
            <w:tcW w:w="200" w:type="dxa"/>
            <w:vAlign w:val="bottom"/>
            <w:tcBorders>
              <w:bottom w:val="single" w:sz="8" w:color="4454A7"/>
            </w:tcBorders>
          </w:tcPr>
          <w:p>
            <w:pPr>
              <w:spacing w:after="0"/>
              <w:rPr>
                <w:sz w:val="6"/>
                <w:szCs w:val="6"/>
                <w:color w:val="auto"/>
              </w:rPr>
            </w:pPr>
          </w:p>
        </w:tc>
        <w:tc>
          <w:tcPr>
            <w:tcW w:w="374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100"/>
              <w:spacing w:after="0"/>
              <w:rPr>
                <w:sz w:val="20"/>
                <w:szCs w:val="20"/>
                <w:color w:val="auto"/>
              </w:rPr>
            </w:pPr>
            <w:r>
              <w:rPr>
                <w:rFonts w:ascii="PMingLiU" w:cs="PMingLiU" w:eastAsia="PMingLiU" w:hAnsi="PMingLiU"/>
                <w:sz w:val="16"/>
                <w:szCs w:val="16"/>
                <w:b w:val="1"/>
                <w:bCs w:val="1"/>
                <w:color w:val="5C004D"/>
              </w:rPr>
              <w:t>/RQJ7HUP</w:t>
            </w:r>
          </w:p>
        </w:tc>
        <w:tc>
          <w:tcPr>
            <w:tcW w:w="220" w:type="dxa"/>
            <w:vAlign w:val="bottom"/>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6"/>
              </w:rPr>
              <w:t>368VYHVWLIDWDOODWWKHHQGRIDPXOWL\HDUSHUIRUPDQFH</w:t>
            </w:r>
          </w:p>
        </w:tc>
        <w:tc>
          <w:tcPr>
            <w:tcW w:w="200" w:type="dxa"/>
            <w:vAlign w:val="bottom"/>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tcPr>
          <w:p>
            <w:pPr>
              <w:ind w:left="60"/>
              <w:spacing w:after="0"/>
              <w:rPr>
                <w:sz w:val="20"/>
                <w:szCs w:val="20"/>
                <w:color w:val="auto"/>
              </w:rPr>
            </w:pPr>
            <w:r>
              <w:rPr>
                <w:rFonts w:ascii="PMingLiU" w:cs="PMingLiU" w:eastAsia="PMingLiU" w:hAnsi="PMingLiU"/>
                <w:sz w:val="16"/>
                <w:szCs w:val="16"/>
                <w:color w:val="auto"/>
              </w:rPr>
              <w:t>)RVWHUVRZQHUVKLSFXOWXUH</w:t>
            </w:r>
          </w:p>
        </w:tc>
        <w:tc>
          <w:tcPr>
            <w:tcW w:w="0" w:type="dxa"/>
            <w:vAlign w:val="bottom"/>
          </w:tcPr>
          <w:p>
            <w:pPr>
              <w:spacing w:after="0"/>
              <w:rPr>
                <w:sz w:val="1"/>
                <w:szCs w:val="1"/>
                <w:color w:val="auto"/>
              </w:rPr>
            </w:pPr>
          </w:p>
        </w:tc>
      </w:tr>
      <w:tr>
        <w:trPr>
          <w:trHeight w:val="192"/>
        </w:trPr>
        <w:tc>
          <w:tcPr>
            <w:tcW w:w="1340" w:type="dxa"/>
            <w:vAlign w:val="bottom"/>
          </w:tcPr>
          <w:p>
            <w:pPr>
              <w:ind w:left="100"/>
              <w:spacing w:after="0"/>
              <w:rPr>
                <w:sz w:val="20"/>
                <w:szCs w:val="20"/>
                <w:color w:val="auto"/>
              </w:rPr>
            </w:pPr>
            <w:r>
              <w:rPr>
                <w:rFonts w:ascii="PMingLiU" w:cs="PMingLiU" w:eastAsia="PMingLiU" w:hAnsi="PMingLiU"/>
                <w:sz w:val="16"/>
                <w:szCs w:val="16"/>
                <w:b w:val="1"/>
                <w:bCs w:val="1"/>
                <w:color w:val="5C004D"/>
              </w:rPr>
              <w:t>,QFHQWLYH</w:t>
            </w: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w w:val="99"/>
              </w:rPr>
              <w:t>SHULRGDQGUHSUHVHQWRIWKH1(2WDUJHWDQQXDOHTXLW\</w:t>
            </w:r>
          </w:p>
        </w:tc>
        <w:tc>
          <w:tcPr>
            <w:tcW w:w="200" w:type="dxa"/>
            <w:vAlign w:val="bottom"/>
            <w:vMerge w:val="restart"/>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/LQNVFRPSHQVDWLRQWRORQJWHUPVXFFHVV</w:t>
            </w:r>
          </w:p>
        </w:tc>
        <w:tc>
          <w:tcPr>
            <w:tcW w:w="0" w:type="dxa"/>
            <w:vAlign w:val="bottom"/>
          </w:tcPr>
          <w:p>
            <w:pPr>
              <w:spacing w:after="0"/>
              <w:rPr>
                <w:sz w:val="1"/>
                <w:szCs w:val="1"/>
                <w:color w:val="auto"/>
              </w:rPr>
            </w:pPr>
          </w:p>
        </w:tc>
      </w:tr>
      <w:tr>
        <w:trPr>
          <w:trHeight w:val="89"/>
        </w:trPr>
        <w:tc>
          <w:tcPr>
            <w:tcW w:w="134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w w:val="96"/>
              </w:rPr>
              <w:t>&amp;RPSHQVDWLRQ</w:t>
            </w:r>
          </w:p>
        </w:tc>
        <w:tc>
          <w:tcPr>
            <w:tcW w:w="220" w:type="dxa"/>
            <w:vAlign w:val="bottom"/>
          </w:tcPr>
          <w:p>
            <w:pPr>
              <w:spacing w:after="0"/>
              <w:rPr>
                <w:sz w:val="7"/>
                <w:szCs w:val="7"/>
                <w:color w:val="auto"/>
              </w:rPr>
            </w:pP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rPr>
              <w:t>JUDQWIRU368VJUDQWHGLQWKHSHUIRUPDQFHSHULRGZDV</w:t>
            </w:r>
          </w:p>
        </w:tc>
        <w:tc>
          <w:tcPr>
            <w:tcW w:w="200" w:type="dxa"/>
            <w:vAlign w:val="bottom"/>
            <w:vMerge w:val="continue"/>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580" w:type="dxa"/>
            <w:vAlign w:val="bottom"/>
            <w:vMerge w:val="continue"/>
          </w:tcPr>
          <w:p>
            <w:pPr>
              <w:spacing w:after="0"/>
              <w:rPr>
                <w:sz w:val="8"/>
                <w:szCs w:val="8"/>
                <w:color w:val="auto"/>
              </w:rPr>
            </w:pPr>
          </w:p>
        </w:tc>
        <w:tc>
          <w:tcPr>
            <w:tcW w:w="200" w:type="dxa"/>
            <w:vAlign w:val="bottom"/>
            <w:vMerge w:val="restart"/>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368VDOLJQFRPSHQVDWLRQHDUQHGWRWKH</w:t>
            </w: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rPr>
              <w:t>\HDUV</w:t>
            </w:r>
          </w:p>
        </w:tc>
        <w:tc>
          <w:tcPr>
            <w:tcW w:w="20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w w:val="80"/>
              </w:rPr>
              <w:t>DFKLHYHPHQWRIPXOWL\HDUVWUDWHJLFREMHFWLYHVDQG</w:t>
            </w:r>
          </w:p>
        </w:tc>
        <w:tc>
          <w:tcPr>
            <w:tcW w:w="0" w:type="dxa"/>
            <w:vAlign w:val="bottom"/>
          </w:tcPr>
          <w:p>
            <w:pPr>
              <w:spacing w:after="0"/>
              <w:rPr>
                <w:sz w:val="1"/>
                <w:szCs w:val="1"/>
                <w:color w:val="auto"/>
              </w:rPr>
            </w:pPr>
          </w:p>
        </w:tc>
      </w:tr>
      <w:tr>
        <w:trPr>
          <w:trHeight w:val="101"/>
        </w:trPr>
        <w:tc>
          <w:tcPr>
            <w:tcW w:w="1340" w:type="dxa"/>
            <w:vAlign w:val="bottom"/>
          </w:tcPr>
          <w:p>
            <w:pPr>
              <w:spacing w:after="0"/>
              <w:rPr>
                <w:sz w:val="8"/>
                <w:szCs w:val="8"/>
                <w:color w:val="auto"/>
              </w:rPr>
            </w:pPr>
          </w:p>
        </w:tc>
        <w:tc>
          <w:tcPr>
            <w:tcW w:w="22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w w:val="88"/>
              </w:rPr>
              <w:t>568VJHQHUDOO\YHVWRYHUD\HDUSHULRGVXEMHFWWRH[HFXWLYH</w:t>
            </w:r>
          </w:p>
        </w:tc>
        <w:tc>
          <w:tcPr>
            <w:tcW w:w="20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Pr>
          <w:p>
            <w:pPr>
              <w:ind w:left="60"/>
              <w:spacing w:after="0" w:line="161" w:lineRule="exact"/>
              <w:rPr>
                <w:sz w:val="20"/>
                <w:szCs w:val="20"/>
                <w:color w:val="auto"/>
              </w:rPr>
            </w:pPr>
            <w:r>
              <w:rPr>
                <w:rFonts w:ascii="PMingLiU" w:cs="PMingLiU" w:eastAsia="PMingLiU" w:hAnsi="PMingLiU"/>
                <w:sz w:val="16"/>
                <w:szCs w:val="16"/>
                <w:color w:val="auto"/>
                <w:w w:val="91"/>
              </w:rPr>
              <w:t>VKDUHSULFHSHUIRUPDQFHYHUVXVSHHUFRPSDQLHV</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RIILFHU¶VFRQWLQXHGVHUYLFHIRUUHWHQWLRQ</w:t>
            </w:r>
          </w:p>
        </w:tc>
        <w:tc>
          <w:tcPr>
            <w:tcW w:w="200" w:type="dxa"/>
            <w:vAlign w:val="bottom"/>
            <w:vMerge w:val="restart"/>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568VDVVLVWZLWKPDQDJLQJGLOXWLRQIRURXU</w:t>
            </w:r>
          </w:p>
        </w:tc>
        <w:tc>
          <w:tcPr>
            <w:tcW w:w="0" w:type="dxa"/>
            <w:vAlign w:val="bottom"/>
          </w:tcPr>
          <w:p>
            <w:pPr>
              <w:spacing w:after="0"/>
              <w:rPr>
                <w:sz w:val="1"/>
                <w:szCs w:val="1"/>
                <w:color w:val="auto"/>
              </w:rPr>
            </w:pPr>
          </w:p>
        </w:tc>
      </w:tr>
      <w:tr>
        <w:trPr>
          <w:trHeight w:val="70"/>
        </w:trPr>
        <w:tc>
          <w:tcPr>
            <w:tcW w:w="1340" w:type="dxa"/>
            <w:vAlign w:val="bottom"/>
          </w:tcPr>
          <w:p>
            <w:pPr>
              <w:spacing w:after="0"/>
              <w:rPr>
                <w:sz w:val="6"/>
                <w:szCs w:val="6"/>
                <w:color w:val="auto"/>
              </w:rPr>
            </w:pPr>
          </w:p>
        </w:tc>
        <w:tc>
          <w:tcPr>
            <w:tcW w:w="22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4454A7"/>
              </w:rPr>
              <w:t></w:t>
            </w:r>
          </w:p>
        </w:tc>
        <w:tc>
          <w:tcPr>
            <w:tcW w:w="4580" w:type="dxa"/>
            <w:vAlign w:val="bottom"/>
            <w:vMerge w:val="restart"/>
          </w:tcPr>
          <w:p>
            <w:pPr>
              <w:ind w:left="60"/>
              <w:spacing w:after="0"/>
              <w:rPr>
                <w:sz w:val="20"/>
                <w:szCs w:val="20"/>
                <w:color w:val="auto"/>
              </w:rPr>
            </w:pPr>
            <w:r>
              <w:rPr>
                <w:rFonts w:ascii="PMingLiU" w:cs="PMingLiU" w:eastAsia="PMingLiU" w:hAnsi="PMingLiU"/>
                <w:sz w:val="16"/>
                <w:szCs w:val="16"/>
                <w:color w:val="auto"/>
                <w:w w:val="86"/>
              </w:rPr>
              <w:t>$ZDUGVUHYLHZHGDQGJHQHUDOO\JUDQWHGDQQXDOO\LQWKHILUVW</w:t>
            </w:r>
          </w:p>
        </w:tc>
        <w:tc>
          <w:tcPr>
            <w:tcW w:w="200" w:type="dxa"/>
            <w:vAlign w:val="bottom"/>
            <w:vMerge w:val="continue"/>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Pr>
          <w:p>
            <w:pPr>
              <w:ind w:left="60"/>
              <w:spacing w:after="0" w:line="161" w:lineRule="exact"/>
              <w:rPr>
                <w:sz w:val="20"/>
                <w:szCs w:val="20"/>
                <w:color w:val="auto"/>
              </w:rPr>
            </w:pPr>
            <w:r>
              <w:rPr>
                <w:rFonts w:ascii="PMingLiU" w:cs="PMingLiU" w:eastAsia="PMingLiU" w:hAnsi="PMingLiU"/>
                <w:sz w:val="16"/>
                <w:szCs w:val="16"/>
                <w:color w:val="auto"/>
                <w:w w:val="84"/>
              </w:rPr>
              <w:t>VKDUHKROGHUVZKLOHUHLQIRUFLQJWKHLPSRUWDQFHRI</w:t>
            </w: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PMingLiU" w:cs="PMingLiU" w:eastAsia="PMingLiU" w:hAnsi="PMingLiU"/>
                <w:sz w:val="16"/>
                <w:szCs w:val="16"/>
                <w:color w:val="auto"/>
              </w:rPr>
              <w:t>TXDUWHURUDWWKHWLPHRIKLUHRUSURPRWLRQ</w:t>
            </w:r>
          </w:p>
        </w:tc>
        <w:tc>
          <w:tcPr>
            <w:tcW w:w="200" w:type="dxa"/>
            <w:vAlign w:val="bottom"/>
          </w:tcPr>
          <w:p>
            <w:pPr>
              <w:spacing w:after="0"/>
              <w:rPr>
                <w:sz w:val="16"/>
                <w:szCs w:val="16"/>
                <w:color w:val="auto"/>
              </w:rPr>
            </w:pPr>
          </w:p>
        </w:tc>
        <w:tc>
          <w:tcPr>
            <w:tcW w:w="3740" w:type="dxa"/>
            <w:vAlign w:val="bottom"/>
            <w:vMerge w:val="restart"/>
          </w:tcPr>
          <w:p>
            <w:pPr>
              <w:ind w:left="60"/>
              <w:spacing w:after="0"/>
              <w:rPr>
                <w:sz w:val="20"/>
                <w:szCs w:val="20"/>
                <w:color w:val="auto"/>
              </w:rPr>
            </w:pPr>
            <w:r>
              <w:rPr>
                <w:rFonts w:ascii="PMingLiU" w:cs="PMingLiU" w:eastAsia="PMingLiU" w:hAnsi="PMingLiU"/>
                <w:sz w:val="16"/>
                <w:szCs w:val="16"/>
                <w:color w:val="auto"/>
              </w:rPr>
              <w:t>VKDUHKROGHUYDOXHFUHDWLRQRYHUWLPH</w:t>
            </w: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PMingLiU" w:cs="PMingLiU" w:eastAsia="PMingLiU" w:hAnsi="PMingLiU"/>
                <w:sz w:val="16"/>
                <w:szCs w:val="16"/>
                <w:b w:val="1"/>
                <w:bCs w:val="1"/>
                <w:color w:val="4454A7"/>
              </w:rPr>
              <w:t></w:t>
            </w: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85"/>
              </w:rPr>
              <w:t>([HFXWLYHVKDUHRZQHUVKLSJXLGHOLQHVWRIXUWKHU</w:t>
            </w: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94"/>
              </w:rPr>
              <w:t>VXSSRUWRXURZQHUVKLSFXOWXUHDQGDOLJQWKH</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PMingLiU" w:cs="PMingLiU" w:eastAsia="PMingLiU" w:hAnsi="PMingLiU"/>
                <w:sz w:val="16"/>
                <w:szCs w:val="16"/>
                <w:color w:val="auto"/>
                <w:w w:val="83"/>
              </w:rPr>
              <w:t>LQWHUHVWVRIH[HFXWLYHRIILFHUVDQGVKDUHKROGHUV</w:t>
            </w:r>
          </w:p>
        </w:tc>
        <w:tc>
          <w:tcPr>
            <w:tcW w:w="0" w:type="dxa"/>
            <w:vAlign w:val="bottom"/>
          </w:tcPr>
          <w:p>
            <w:pPr>
              <w:spacing w:after="0"/>
              <w:rPr>
                <w:sz w:val="1"/>
                <w:szCs w:val="1"/>
                <w:color w:val="auto"/>
              </w:rPr>
            </w:pPr>
          </w:p>
        </w:tc>
      </w:tr>
      <w:tr>
        <w:trPr>
          <w:trHeight w:val="69"/>
        </w:trPr>
        <w:tc>
          <w:tcPr>
            <w:tcW w:w="1340" w:type="dxa"/>
            <w:vAlign w:val="bottom"/>
            <w:tcBorders>
              <w:bottom w:val="single" w:sz="8" w:color="5C004D"/>
            </w:tcBorders>
          </w:tcPr>
          <w:p>
            <w:pPr>
              <w:spacing w:after="0"/>
              <w:rPr>
                <w:sz w:val="5"/>
                <w:szCs w:val="5"/>
                <w:color w:val="auto"/>
              </w:rPr>
            </w:pPr>
          </w:p>
        </w:tc>
        <w:tc>
          <w:tcPr>
            <w:tcW w:w="220" w:type="dxa"/>
            <w:vAlign w:val="bottom"/>
            <w:tcBorders>
              <w:bottom w:val="single" w:sz="8" w:color="5C004D"/>
            </w:tcBorders>
          </w:tcPr>
          <w:p>
            <w:pPr>
              <w:spacing w:after="0"/>
              <w:rPr>
                <w:sz w:val="5"/>
                <w:szCs w:val="5"/>
                <w:color w:val="auto"/>
              </w:rPr>
            </w:pPr>
          </w:p>
        </w:tc>
        <w:tc>
          <w:tcPr>
            <w:tcW w:w="4580" w:type="dxa"/>
            <w:vAlign w:val="bottom"/>
            <w:tcBorders>
              <w:bottom w:val="single" w:sz="8" w:color="5C004D"/>
            </w:tcBorders>
          </w:tcPr>
          <w:p>
            <w:pPr>
              <w:spacing w:after="0"/>
              <w:rPr>
                <w:sz w:val="5"/>
                <w:szCs w:val="5"/>
                <w:color w:val="auto"/>
              </w:rPr>
            </w:pPr>
          </w:p>
        </w:tc>
        <w:tc>
          <w:tcPr>
            <w:tcW w:w="200" w:type="dxa"/>
            <w:vAlign w:val="bottom"/>
            <w:tcBorders>
              <w:bottom w:val="single" w:sz="8" w:color="5C004D"/>
            </w:tcBorders>
          </w:tcPr>
          <w:p>
            <w:pPr>
              <w:spacing w:after="0"/>
              <w:rPr>
                <w:sz w:val="5"/>
                <w:szCs w:val="5"/>
                <w:color w:val="auto"/>
              </w:rPr>
            </w:pPr>
          </w:p>
        </w:tc>
        <w:tc>
          <w:tcPr>
            <w:tcW w:w="3740" w:type="dxa"/>
            <w:vAlign w:val="bottom"/>
            <w:tcBorders>
              <w:bottom w:val="single" w:sz="8" w:color="5C004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2WKHU%HQHILWV</w:t>
      </w:r>
    </w:p>
    <w:p>
      <w:pPr>
        <w:spacing w:after="0" w:line="171" w:lineRule="exact"/>
        <w:rPr>
          <w:sz w:val="20"/>
          <w:szCs w:val="20"/>
          <w:color w:val="auto"/>
        </w:rPr>
      </w:pPr>
    </w:p>
    <w:p>
      <w:pPr>
        <w:spacing w:after="0" w:line="356" w:lineRule="auto"/>
        <w:rPr>
          <w:sz w:val="20"/>
          <w:szCs w:val="20"/>
          <w:color w:val="auto"/>
        </w:rPr>
      </w:pPr>
      <w:r>
        <w:rPr>
          <w:rFonts w:ascii="PMingLiU" w:cs="PMingLiU" w:eastAsia="PMingLiU" w:hAnsi="PMingLiU"/>
          <w:sz w:val="14"/>
          <w:szCs w:val="14"/>
          <w:color w:val="auto"/>
        </w:rPr>
        <w:t>:HDOVRRIIHURXUH[HFXWLYHRIILFHUVVHYHUDQFHEHQHILWVXSRQFHUWDLQW\SHVRILQYROXQWDU\WHUPLQDWLRQVDVGHVFULEHGEHORZ ([HFXWLYHRIILFHUVEDVHGLQWKH86DUHHOLJLEOHWRSDUWLFLSDWHLQDOORXUHPSOR\HHEHQHILWSODQVVXFKDVWKHN3ODQVHH WKHVHFWLRQEHORZWLWOHG³</w:t>
      </w:r>
      <w:r>
        <w:rPr>
          <w:rFonts w:ascii="PMingLiU" w:cs="PMingLiU" w:eastAsia="PMingLiU" w:hAnsi="PMingLiU"/>
          <w:sz w:val="14"/>
          <w:szCs w:val="14"/>
          <w:i w:val="1"/>
          <w:iCs w:val="1"/>
          <w:color w:val="auto"/>
        </w:rPr>
        <w:t>,9*806:0545-536,49(:05488(4.,3,4:9A1!2(4</w:t>
      </w:r>
      <w:r>
        <w:rPr>
          <w:rFonts w:ascii="PMingLiU" w:cs="PMingLiU" w:eastAsia="PMingLiU" w:hAnsi="PMingLiU"/>
          <w:sz w:val="14"/>
          <w:szCs w:val="14"/>
          <w:color w:val="auto"/>
        </w:rPr>
        <w:t>´RXUPHGLFDOGHQWDOYLVLRQVKRUWWHUP GLVDELOLW\ORQJWHUPGLVDELOLW\JURXSOLIHLQVXUDQFHSODQVDQGRWKHUWD[TXDOLILHGUHLPEXUVHPHQWSODQVLQHDFKFDVHRQWKH VDPHEDVLVDVRWKHUHPSOR\HHV([HFXWLYHRIILFHUVDUHHOLJLEOHWRSDUWLFLSDWHLQRXU(633RQWKHVDPHEDVLVDVRWKHU HPSOR\HHV:HGRQRWFXUUHQWO\RIIHUGHILQHGEHQHILWSHQVLRQRURWKHUUHWLUHPHQWEHQHILWVLQWKH86IRUH[HFXWLYHRIILFHUV EDVHGRXWVLGHWKH86ZHRIIHUSHQVLRQRURWKHUUHWLUHPHQWEHQHILWVWKDWDUHFRQVLVWHQWZLWKORFDOUHJXODWLRQVDQGRQWKHVDPH EDVLVDVRWKHUHPSOR\HHVLQVXFKMXULVGLFWLRQV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389255</wp:posOffset>
            </wp:positionV>
            <wp:extent cx="1389380" cy="2343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83">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67" w:name="page68"/>
    <w:bookmarkEnd w:id="6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94" o:spid="_x0000_s1419"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6HYHUDQFH%HQHILWV</w:t>
      </w:r>
    </w:p>
    <w:p>
      <w:pPr>
        <w:spacing w:after="0" w:line="171" w:lineRule="exact"/>
        <w:rPr>
          <w:sz w:val="20"/>
          <w:szCs w:val="20"/>
          <w:color w:val="auto"/>
        </w:rPr>
      </w:pPr>
    </w:p>
    <w:p>
      <w:pPr>
        <w:ind w:right="40"/>
        <w:spacing w:after="0" w:line="411" w:lineRule="auto"/>
        <w:rPr>
          <w:sz w:val="20"/>
          <w:szCs w:val="20"/>
          <w:color w:val="auto"/>
        </w:rPr>
      </w:pPr>
      <w:r>
        <w:rPr>
          <w:rFonts w:ascii="PMingLiU" w:cs="PMingLiU" w:eastAsia="PMingLiU" w:hAnsi="PMingLiU"/>
          <w:sz w:val="13"/>
          <w:szCs w:val="13"/>
          <w:color w:val="auto"/>
        </w:rPr>
        <w:t>([HFXWLYHRIILFHUVDUHDOVRHOLJLEOHWRSDUWLFLSDWHLQWKH&amp;,&amp;3ODQZKLFKLVGHVFULEHGEHORZXQGHUWKHKHDGLQJV³</w:t>
      </w:r>
      <w:r>
        <w:rPr>
          <w:rFonts w:ascii="PMingLiU" w:cs="PMingLiU" w:eastAsia="PMingLiU" w:hAnsi="PMingLiU"/>
          <w:sz w:val="13"/>
          <w:szCs w:val="13"/>
          <w:i w:val="1"/>
          <w:iCs w:val="1"/>
          <w:color w:val="auto"/>
        </w:rPr>
        <w:t>++0:054(2</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536,49(:0544-583(:054 /(4.,0454:852!2(4(4+#,&lt;,8(4*,!2(4</w:t>
      </w:r>
      <w:r>
        <w:rPr>
          <w:rFonts w:ascii="PMingLiU" w:cs="PMingLiU" w:eastAsia="PMingLiU" w:hAnsi="PMingLiU"/>
          <w:sz w:val="13"/>
          <w:szCs w:val="13"/>
          <w:color w:val="auto"/>
        </w:rPr>
        <w:t>´DQG³</w:t>
      </w:r>
      <w:r>
        <w:rPr>
          <w:rFonts w:ascii="PMingLiU" w:cs="PMingLiU" w:eastAsia="PMingLiU" w:hAnsi="PMingLiU"/>
          <w:sz w:val="13"/>
          <w:szCs w:val="13"/>
          <w:i w:val="1"/>
          <w:iCs w:val="1"/>
          <w:color w:val="auto"/>
        </w:rPr>
        <w:t>!5:,4:0(2!(?3,4:9;654$,8304(:05458 /(4.,0454:852 /(4.,0454:852!2(4</w:t>
      </w:r>
      <w:r>
        <w:rPr>
          <w:rFonts w:ascii="PMingLiU" w:cs="PMingLiU" w:eastAsia="PMingLiU" w:hAnsi="PMingLiU"/>
          <w:sz w:val="13"/>
          <w:szCs w:val="13"/>
          <w:color w:val="auto"/>
        </w:rPr>
        <w:t>´7KH&amp;,&amp;3ODQSURYLGHVFHUWDLQVHYHUDQFHEHQHILWVWRSDUWLFLSDQWVLQFRQQHFWLRQ</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ZLWKVSHFLILHGLQYROXQWDU\WHUPLQDWLRQHYHQWVLQFOXGLQJWHUPLQDWLRQZLWKRXWFDXVHDQGFRQVWUXFWLYHWHUPLQDWLRQIROORZLQJD&amp;,&amp;</w:t>
      </w:r>
    </w:p>
    <w:p>
      <w:pPr>
        <w:spacing w:after="0" w:line="50" w:lineRule="exact"/>
        <w:rPr>
          <w:sz w:val="20"/>
          <w:szCs w:val="20"/>
          <w:color w:val="auto"/>
        </w:rPr>
      </w:pPr>
    </w:p>
    <w:p>
      <w:pPr>
        <w:ind w:right="100"/>
        <w:spacing w:after="0" w:line="368" w:lineRule="auto"/>
        <w:rPr>
          <w:sz w:val="20"/>
          <w:szCs w:val="20"/>
          <w:color w:val="auto"/>
        </w:rPr>
      </w:pPr>
      <w:r>
        <w:rPr>
          <w:rFonts w:ascii="PMingLiU" w:cs="PMingLiU" w:eastAsia="PMingLiU" w:hAnsi="PMingLiU"/>
          <w:sz w:val="13"/>
          <w:szCs w:val="13"/>
          <w:color w:val="auto"/>
        </w:rPr>
        <w:t>*LYHQWKHIUHTXHQF\RIFRQVROLGDWLRQLQWKHELRSKDUPDFHXWLFDOLQGXVWU\RXU&amp;RPSHQVDWLRQ&amp;RPPLWWHHEHOLHYHVWKHVH VHYHUDQFHEHQHILWVDUHLPSRUWDQWIURPDUHWHQWLRQSHUVSHFWLYHWRSURYLGHVRPHOHYHORISURWHFWLRQWRRXUH[HFXWLYHVZKRPLJKW EHWHUPLQDWHGIROORZLQJD&amp;,&amp;DQGWKDWWKHDPRXQWVDUHUHDVRQDEOHDQGPDLQWDLQWKHFRPSHWLWLYHQHVVRIRXUH[HFXWLYH FRPSHQVDWLRQDQGUHWHQWLRQSURJUDP2XU&amp;RPSHQVDWLRQ&amp;RPPLWWHHEHOLHYHVWKLVVWUXFWXUHVHUYHVWRPLWLJDWHWKHGLVWUDFWLRQ DQGORVVRINH\H[HFXWLYHRIILFHUVWKDWPD\RFFXULQFRQQHFWLRQZLWKUXPRUHGRUDFWXDOIXQGDPHQWDOFRUSRUDWHFKDQJHV6XFK SD\PHQWVSURWHFWWKHLQWHUHVWVRIRXUVKDUHKROGHUVE\HQKDQFLQJH[HFXWLYHIRFXVGXULQJUXPRUHGRUDFWXDO&amp;,&amp;DFWLYLW\ UHWDLQLQJH[HFXWLYHVGHVSLWHWKHXQFHUWDLQW\WKDWJHQHUDOO\H[LVWVZKLOHDWUDQVDFWLRQLVXQGHUFRQVLGHUDWLRQDQGHQFRXUDJLQJ WKHH[HFXWLYHVUHVSRQVLEOHIRUQHJRWLDWLQJSRWHQWLDOWUDQVDFWLRQVWRGRVRZLWKLQGHSHQGHQFHDQGREMHFWLYLW\,QDGGLWLRQLQ</w:t>
      </w:r>
    </w:p>
    <w:p>
      <w:pPr>
        <w:spacing w:after="0" w:line="3" w:lineRule="exact"/>
        <w:rPr>
          <w:sz w:val="20"/>
          <w:szCs w:val="20"/>
          <w:color w:val="auto"/>
        </w:rPr>
      </w:pPr>
    </w:p>
    <w:p>
      <w:pPr>
        <w:jc w:val="both"/>
        <w:ind w:right="60"/>
        <w:spacing w:after="0" w:line="376" w:lineRule="auto"/>
        <w:rPr>
          <w:sz w:val="20"/>
          <w:szCs w:val="20"/>
          <w:color w:val="auto"/>
        </w:rPr>
      </w:pPr>
      <w:r>
        <w:rPr>
          <w:rFonts w:ascii="PMingLiU" w:cs="PMingLiU" w:eastAsia="PMingLiU" w:hAnsi="PMingLiU"/>
          <w:sz w:val="14"/>
          <w:szCs w:val="14"/>
          <w:color w:val="auto"/>
        </w:rPr>
        <w:t>$SULOZHDGRSWHGD6HYHUDQFH3ODQZKLFKSURYLGHVH[HFXWLYHRIILFHUVZKRVHUYHRQRXU(&amp;RWKHUWKDQRXU&amp;(2FHUWDLQ VHYHUDQFHEHQHILWVXSRQDWHUPLQDWLRQZLWKRXWFDXVHWKDWLVQRWLQFRQQHFWLRQZLWKD&amp;,&amp;ZKLFKLVGHVFULEHGEHORZXQGHUWKH KHDGLQJV³</w:t>
      </w:r>
      <w:r>
        <w:rPr>
          <w:rFonts w:ascii="PMingLiU" w:cs="PMingLiU" w:eastAsia="PMingLiU" w:hAnsi="PMingLiU"/>
          <w:sz w:val="14"/>
          <w:szCs w:val="14"/>
          <w:i w:val="1"/>
          <w:iCs w:val="1"/>
          <w:color w:val="auto"/>
        </w:rPr>
        <w:t>++0:054(2536,49(:0544-583(:054 /(4.,0454:852!2(4(4+#,&lt;,8(4*,!2(4F</w:t>
      </w:r>
      <w:r>
        <w:rPr>
          <w:rFonts w:ascii="PMingLiU" w:cs="PMingLiU" w:eastAsia="PMingLiU" w:hAnsi="PMingLiU"/>
          <w:sz w:val="14"/>
          <w:szCs w:val="14"/>
          <w:color w:val="auto"/>
        </w:rPr>
        <w:t>DQG³</w:t>
      </w:r>
      <w:r>
        <w:rPr>
          <w:rFonts w:ascii="PMingLiU" w:cs="PMingLiU" w:eastAsia="PMingLiU" w:hAnsi="PMingLiU"/>
          <w:sz w:val="14"/>
          <w:szCs w:val="14"/>
          <w:i w:val="1"/>
          <w:iCs w:val="1"/>
          <w:color w:val="auto"/>
        </w:rPr>
        <w:t>!5:,4:0(2!(?3,4:9;654</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$,8304(:05458/(4.,0454:852 #,&lt;,8(4*,!2(4</w:t>
      </w:r>
      <w:r>
        <w:rPr>
          <w:rFonts w:ascii="PMingLiU" w:cs="PMingLiU" w:eastAsia="PMingLiU" w:hAnsi="PMingLiU"/>
          <w:sz w:val="14"/>
          <w:szCs w:val="14"/>
          <w:color w:val="auto"/>
        </w:rPr>
        <w:t>´:HGRQRWSURYLGHDQ\WD[JURVVXSSD\PHQWVRQVHYHUDQFHEHQHILWV</w:t>
      </w:r>
    </w:p>
    <w:p>
      <w:pPr>
        <w:spacing w:after="0" w:line="87" w:lineRule="exact"/>
        <w:rPr>
          <w:sz w:val="20"/>
          <w:szCs w:val="20"/>
          <w:color w:val="auto"/>
        </w:rPr>
      </w:pPr>
    </w:p>
    <w:p>
      <w:pPr>
        <w:spacing w:after="0"/>
        <w:rPr>
          <w:sz w:val="20"/>
          <w:szCs w:val="20"/>
          <w:color w:val="auto"/>
        </w:rPr>
      </w:pPr>
      <w:r>
        <w:rPr>
          <w:rFonts w:ascii="PMingLiU" w:cs="PMingLiU" w:eastAsia="PMingLiU" w:hAnsi="PMingLiU"/>
          <w:sz w:val="30"/>
          <w:szCs w:val="30"/>
          <w:color w:val="5C004D"/>
        </w:rPr>
        <w:t>*RDOVIRUDQG$FKLHYHPHQWRI3HUIRUPDQFH%DVHG&amp;RPSHQVDWLRQ</w:t>
      </w:r>
    </w:p>
    <w:p>
      <w:pPr>
        <w:spacing w:after="0" w:line="223"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)RURXUDQQXDOSHUIRUPDQFHERQXVRSSRUWXQLW\DQGWKH368DZDUGVZHUHDOLJQHGZLWKWKHDQQXDODQGORQJWHUP SHUIRUPDQFHREMHFWLYHVDQGPHWKRGRORJ\HVWDEOLVKHGE\RXU&amp;RPSHQVDWLRQ&amp;RPPLWWHH7KHIROORZLQJVHFWLRQGHVFULEHVWKH SHUIRUPDQFHREMHFWLYHVGLVFUHWHJRDOVSD\RXWUDQJHVDQGZLWKUHVSHFWWRWKHDQQXDOSHUIRUPDQFHERQXVSURJUDPRXUDFWXDO SHUIRUPDQFHDFKLHYHPHQW</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3HUIRUPDQFH%RQXV3URJUDP</w:t>
      </w:r>
    </w:p>
    <w:p>
      <w:pPr>
        <w:spacing w:after="0" w:line="171" w:lineRule="exact"/>
        <w:rPr>
          <w:sz w:val="20"/>
          <w:szCs w:val="20"/>
          <w:color w:val="auto"/>
        </w:rPr>
      </w:pPr>
    </w:p>
    <w:p>
      <w:pPr>
        <w:ind w:right="160"/>
        <w:spacing w:after="0" w:line="332" w:lineRule="auto"/>
        <w:rPr>
          <w:sz w:val="20"/>
          <w:szCs w:val="20"/>
          <w:color w:val="auto"/>
        </w:rPr>
      </w:pPr>
      <w:r>
        <w:rPr>
          <w:rFonts w:ascii="PMingLiU" w:cs="PMingLiU" w:eastAsia="PMingLiU" w:hAnsi="PMingLiU"/>
          <w:sz w:val="15"/>
          <w:szCs w:val="15"/>
          <w:color w:val="auto"/>
        </w:rPr>
        <w:t>7KHFRUSRUDWHREMHFWLYHVDQGUHODWLYHZHLJKWLQJVHVWDEOLVKHGE\RXU&amp;RPSHQVDWLRQ&amp;RPPLWWHHIRUWKHSHUIRUPDQFH ERQXVSURJUDPDQGFRPPXQLFDWHGWRWKH1(2VLQHDUO\FRQVLVWHGRIWKUHHSLOODUVRIFRUSRUDWHREMHFWLYHVZLWKPXOWLSOH GLVFUHWHJRDOVDVGHVFULEHGLQWKHWDEOHEHORZ2YHUDOODFKLHYHPHQWFRXOGUDQJHIURPWRLQDJJUHJDWHIRUWKH FRUSRUDWHREMHFWLYHVZLWKWKHLQGLYLGXDOWRWDODZDUGVXQGHUWKHSHUIRUPDQFHERQXVSURJUDPFDSSHGDWRIWKH 1(2¶VWDUJHWDZDUGIRURXU1(2VRWKHUWKDQRXU&amp;(2)RUWKH&amp;(2WKHDFWXDOERQXVLVGHWHUPLQHGEDVHGVROHO\RQWKH DFKLHYHPHQWRIWKHSUHHVWDEOLVKHGFRUSRUDWHREMHFWLYHVZLWKWKHDZDUGFDSSHGDWRIWDUJHWZKLFKZDVDOVRDSSOLFDEOH IRURXUIRUPHU&amp;(20U&amp;R]DGG</w:t>
      </w:r>
    </w:p>
    <w:p>
      <w:pPr>
        <w:spacing w:after="0" w:line="94" w:lineRule="exact"/>
        <w:rPr>
          <w:sz w:val="20"/>
          <w:szCs w:val="20"/>
          <w:color w:val="auto"/>
        </w:rPr>
      </w:pPr>
    </w:p>
    <w:p>
      <w:pPr>
        <w:ind w:right="200"/>
        <w:spacing w:after="0" w:line="359" w:lineRule="auto"/>
        <w:rPr>
          <w:sz w:val="20"/>
          <w:szCs w:val="20"/>
          <w:color w:val="auto"/>
        </w:rPr>
      </w:pPr>
      <w:r>
        <w:rPr>
          <w:rFonts w:ascii="PMingLiU" w:cs="PMingLiU" w:eastAsia="PMingLiU" w:hAnsi="PMingLiU"/>
          <w:sz w:val="14"/>
          <w:szCs w:val="14"/>
          <w:color w:val="auto"/>
        </w:rPr>
        <w:t>,QDSSURYLQJLQGLYLGXDOERQXVDZDUGVRXU&amp;RPSHQVDWLRQ&amp;RPPLWWHHVXEMHFWLYHO\FRQVLGHUHGWKHLQGLYLGXDOFRQWULEXWLRQ WRZDUGVRXUDFKLHYHPHQWRIWKHFRUSRUDWHREMHFWLYHVE\HDFKH[HFXWLYHRIILFHURWKHUWKDQRXU&amp;(2,QDSSURYLQJLQGLYLGXDO ERQXVDZDUGVIRU1(2VRWKHUWKDQRXU&amp;(2RXU&amp;RPSHQVDWLRQ&amp;RPPLWWHHFRQVLGHULQJUHFRPPHQGDWLRQVIURPRXU&amp;(2 FRQVLGHUHGHDFKH[HFXWLYH¶VFRQWULEXWLRQVWRNH\EXVLQHVVREMHFWLYHVOHDGHUVKLSHIIHFWLYHQHVVDQGSHUIRUPDQFHUHODWLYHWR WKHLUIXQFWLRQDOUHVSRQVLELOLWLHV2XU&amp;RPSHQVDWLRQ&amp;RPPLWWHHDSSOLHGDFRQVLVWHQWHYDOXDWLYHIUDPHZRUNWRDVVHVV SHUIRUPDQFHDFURVVDUHDVVXFKDVRSHUDWLRQDOH[HFXWLRQVWUDWHJLFLQLWLDWLYHVWDOHQWGHYHORSPHQWDQGFURVVIXQFWLRQDO FROODERUDWLRQ</w:t>
      </w:r>
    </w:p>
    <w:p>
      <w:pPr>
        <w:spacing w:after="0" w:line="98" w:lineRule="exact"/>
        <w:rPr>
          <w:sz w:val="20"/>
          <w:szCs w:val="20"/>
          <w:color w:val="auto"/>
        </w:rPr>
      </w:pPr>
    </w:p>
    <w:p>
      <w:pPr>
        <w:spacing w:after="0"/>
        <w:rPr>
          <w:sz w:val="20"/>
          <w:szCs w:val="20"/>
          <w:color w:val="auto"/>
        </w:rPr>
      </w:pPr>
      <w:r>
        <w:rPr>
          <w:rFonts w:ascii="PMingLiU" w:cs="PMingLiU" w:eastAsia="PMingLiU" w:hAnsi="PMingLiU"/>
          <w:sz w:val="18"/>
          <w:szCs w:val="18"/>
          <w:color w:val="auto"/>
        </w:rPr>
        <w:t>,QGLYLGXDOERQXVDZDUGVDUHGHWHUPLQHGLQDFFRUGDQFHZLWKWKHIROORZLQJPHWKRGRORJ\</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440" w:type="dxa"/>
            <w:vAlign w:val="bottom"/>
            <w:shd w:val="clear" w:color="auto" w:fill="F3F3F1"/>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48"/>
                <w:szCs w:val="48"/>
                <w:color w:val="000046"/>
              </w:rPr>
              <w:t>[</w:t>
            </w:r>
          </w:p>
        </w:tc>
        <w:tc>
          <w:tcPr>
            <w:tcW w:w="1260" w:type="dxa"/>
            <w:vAlign w:val="bottom"/>
            <w:vMerge w:val="restart"/>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79"/>
              </w:rPr>
              <w:t>7DUJHW</w:t>
            </w:r>
          </w:p>
        </w:tc>
        <w:tc>
          <w:tcPr>
            <w:tcW w:w="520" w:type="dxa"/>
            <w:vAlign w:val="bottom"/>
            <w:vMerge w:val="restart"/>
          </w:tcPr>
          <w:p>
            <w:pPr>
              <w:jc w:val="right"/>
              <w:spacing w:after="0"/>
              <w:rPr>
                <w:sz w:val="20"/>
                <w:szCs w:val="20"/>
                <w:color w:val="auto"/>
              </w:rPr>
            </w:pPr>
            <w:r>
              <w:rPr>
                <w:rFonts w:ascii="Arial" w:cs="Arial" w:eastAsia="Arial" w:hAnsi="Arial"/>
                <w:sz w:val="48"/>
                <w:szCs w:val="48"/>
                <w:color w:val="000046"/>
              </w:rPr>
              <w:t>[</w:t>
            </w:r>
          </w:p>
        </w:tc>
        <w:tc>
          <w:tcPr>
            <w:tcW w:w="1920" w:type="dxa"/>
            <w:vAlign w:val="bottom"/>
            <w:shd w:val="clear" w:color="auto" w:fill="F3F3F1"/>
          </w:tcPr>
          <w:p>
            <w:pPr>
              <w:jc w:val="center"/>
              <w:spacing w:after="0"/>
              <w:rPr>
                <w:sz w:val="20"/>
                <w:szCs w:val="20"/>
                <w:color w:val="auto"/>
              </w:rPr>
            </w:pPr>
            <w:r>
              <w:rPr>
                <w:rFonts w:ascii="PMingLiU" w:cs="PMingLiU" w:eastAsia="PMingLiU" w:hAnsi="PMingLiU"/>
                <w:sz w:val="18"/>
                <w:szCs w:val="18"/>
                <w:b w:val="1"/>
                <w:bCs w:val="1"/>
                <w:color w:val="2D2C36"/>
              </w:rPr>
              <w:t>&amp;RPSDQ\</w:t>
            </w:r>
          </w:p>
        </w:tc>
        <w:tc>
          <w:tcPr>
            <w:tcW w:w="520" w:type="dxa"/>
            <w:vAlign w:val="bottom"/>
            <w:vMerge w:val="restart"/>
          </w:tcPr>
          <w:p>
            <w:pPr>
              <w:jc w:val="right"/>
              <w:spacing w:after="0"/>
              <w:rPr>
                <w:sz w:val="20"/>
                <w:szCs w:val="20"/>
                <w:color w:val="auto"/>
              </w:rPr>
            </w:pPr>
            <w:r>
              <w:rPr>
                <w:rFonts w:ascii="Arial" w:cs="Arial" w:eastAsia="Arial" w:hAnsi="Arial"/>
                <w:sz w:val="48"/>
                <w:szCs w:val="48"/>
                <w:color w:val="000046"/>
              </w:rPr>
              <w:t>[</w:t>
            </w:r>
          </w:p>
        </w:tc>
        <w:tc>
          <w:tcPr>
            <w:tcW w:w="1780" w:type="dxa"/>
            <w:vAlign w:val="bottom"/>
            <w:vMerge w:val="restart"/>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76"/>
              </w:rPr>
              <w:t>,QGLYLGXDO</w:t>
            </w:r>
          </w:p>
        </w:tc>
        <w:tc>
          <w:tcPr>
            <w:tcW w:w="520" w:type="dxa"/>
            <w:vAlign w:val="bottom"/>
          </w:tcPr>
          <w:p>
            <w:pPr>
              <w:spacing w:after="0"/>
              <w:rPr>
                <w:sz w:val="24"/>
                <w:szCs w:val="24"/>
                <w:color w:val="auto"/>
              </w:rPr>
            </w:pPr>
          </w:p>
        </w:tc>
        <w:tc>
          <w:tcPr>
            <w:tcW w:w="1600" w:type="dxa"/>
            <w:vAlign w:val="bottom"/>
            <w:vMerge w:val="restart"/>
            <w:shd w:val="clear" w:color="auto" w:fill="5C004D"/>
          </w:tcPr>
          <w:p>
            <w:pPr>
              <w:jc w:val="center"/>
              <w:spacing w:after="0"/>
              <w:rPr>
                <w:sz w:val="20"/>
                <w:szCs w:val="20"/>
                <w:color w:val="auto"/>
              </w:rPr>
            </w:pPr>
            <w:r>
              <w:rPr>
                <w:rFonts w:ascii="PMingLiU" w:cs="PMingLiU" w:eastAsia="PMingLiU" w:hAnsi="PMingLiU"/>
                <w:sz w:val="18"/>
                <w:szCs w:val="18"/>
                <w:b w:val="1"/>
                <w:bCs w:val="1"/>
                <w:color w:val="FFFFFF"/>
                <w:w w:val="79"/>
              </w:rPr>
              <w:t>)LQDO</w:t>
            </w:r>
          </w:p>
        </w:tc>
        <w:tc>
          <w:tcPr>
            <w:tcW w:w="0" w:type="dxa"/>
            <w:vAlign w:val="bottom"/>
          </w:tcPr>
          <w:p>
            <w:pPr>
              <w:spacing w:after="0"/>
              <w:rPr>
                <w:sz w:val="1"/>
                <w:szCs w:val="1"/>
                <w:color w:val="auto"/>
              </w:rPr>
            </w:pPr>
          </w:p>
        </w:tc>
      </w:tr>
      <w:tr>
        <w:trPr>
          <w:trHeight w:val="108"/>
        </w:trPr>
        <w:tc>
          <w:tcPr>
            <w:tcW w:w="1440" w:type="dxa"/>
            <w:vAlign w:val="bottom"/>
            <w:vMerge w:val="restart"/>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86"/>
              </w:rPr>
              <w:t>$QQXDO</w:t>
            </w:r>
          </w:p>
        </w:tc>
        <w:tc>
          <w:tcPr>
            <w:tcW w:w="520" w:type="dxa"/>
            <w:vAlign w:val="bottom"/>
            <w:vMerge w:val="continue"/>
          </w:tcPr>
          <w:p>
            <w:pPr>
              <w:spacing w:after="0"/>
              <w:rPr>
                <w:sz w:val="9"/>
                <w:szCs w:val="9"/>
                <w:color w:val="auto"/>
              </w:rPr>
            </w:pPr>
          </w:p>
        </w:tc>
        <w:tc>
          <w:tcPr>
            <w:tcW w:w="1260" w:type="dxa"/>
            <w:vAlign w:val="bottom"/>
            <w:vMerge w:val="continue"/>
            <w:shd w:val="clear" w:color="auto" w:fill="F3F3F1"/>
          </w:tcPr>
          <w:p>
            <w:pPr>
              <w:spacing w:after="0"/>
              <w:rPr>
                <w:sz w:val="9"/>
                <w:szCs w:val="9"/>
                <w:color w:val="auto"/>
              </w:rPr>
            </w:pPr>
          </w:p>
        </w:tc>
        <w:tc>
          <w:tcPr>
            <w:tcW w:w="520" w:type="dxa"/>
            <w:vAlign w:val="bottom"/>
            <w:vMerge w:val="continue"/>
          </w:tcPr>
          <w:p>
            <w:pPr>
              <w:spacing w:after="0"/>
              <w:rPr>
                <w:sz w:val="9"/>
                <w:szCs w:val="9"/>
                <w:color w:val="auto"/>
              </w:rPr>
            </w:pPr>
          </w:p>
        </w:tc>
        <w:tc>
          <w:tcPr>
            <w:tcW w:w="1920" w:type="dxa"/>
            <w:vAlign w:val="bottom"/>
            <w:vMerge w:val="restart"/>
            <w:shd w:val="clear" w:color="auto" w:fill="F3F3F1"/>
          </w:tcPr>
          <w:p>
            <w:pPr>
              <w:jc w:val="center"/>
              <w:spacing w:after="0"/>
              <w:rPr>
                <w:sz w:val="20"/>
                <w:szCs w:val="20"/>
                <w:color w:val="auto"/>
              </w:rPr>
            </w:pPr>
            <w:r>
              <w:rPr>
                <w:rFonts w:ascii="PMingLiU" w:cs="PMingLiU" w:eastAsia="PMingLiU" w:hAnsi="PMingLiU"/>
                <w:sz w:val="18"/>
                <w:szCs w:val="18"/>
                <w:b w:val="1"/>
                <w:bCs w:val="1"/>
                <w:color w:val="2D2C36"/>
              </w:rPr>
              <w:t>3HUIRUPDQFH</w:t>
            </w:r>
          </w:p>
        </w:tc>
        <w:tc>
          <w:tcPr>
            <w:tcW w:w="520" w:type="dxa"/>
            <w:vAlign w:val="bottom"/>
            <w:vMerge w:val="continue"/>
          </w:tcPr>
          <w:p>
            <w:pPr>
              <w:spacing w:after="0"/>
              <w:rPr>
                <w:sz w:val="9"/>
                <w:szCs w:val="9"/>
                <w:color w:val="auto"/>
              </w:rPr>
            </w:pPr>
          </w:p>
        </w:tc>
        <w:tc>
          <w:tcPr>
            <w:tcW w:w="1780" w:type="dxa"/>
            <w:vAlign w:val="bottom"/>
            <w:vMerge w:val="continue"/>
            <w:shd w:val="clear" w:color="auto" w:fill="F3F3F1"/>
          </w:tcPr>
          <w:p>
            <w:pPr>
              <w:spacing w:after="0"/>
              <w:rPr>
                <w:sz w:val="9"/>
                <w:szCs w:val="9"/>
                <w:color w:val="auto"/>
              </w:rPr>
            </w:pPr>
          </w:p>
        </w:tc>
        <w:tc>
          <w:tcPr>
            <w:tcW w:w="520" w:type="dxa"/>
            <w:vAlign w:val="bottom"/>
          </w:tcPr>
          <w:p>
            <w:pPr>
              <w:spacing w:after="0"/>
              <w:rPr>
                <w:sz w:val="9"/>
                <w:szCs w:val="9"/>
                <w:color w:val="auto"/>
              </w:rPr>
            </w:pPr>
          </w:p>
        </w:tc>
        <w:tc>
          <w:tcPr>
            <w:tcW w:w="1600" w:type="dxa"/>
            <w:vAlign w:val="bottom"/>
            <w:vMerge w:val="continue"/>
            <w:shd w:val="clear" w:color="auto" w:fill="5C004D"/>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shd w:val="clear" w:color="auto" w:fill="F3F3F1"/>
          </w:tcPr>
          <w:p>
            <w:pPr>
              <w:spacing w:after="0"/>
              <w:rPr>
                <w:sz w:val="9"/>
                <w:szCs w:val="9"/>
                <w:color w:val="auto"/>
              </w:rPr>
            </w:pPr>
          </w:p>
        </w:tc>
        <w:tc>
          <w:tcPr>
            <w:tcW w:w="520" w:type="dxa"/>
            <w:vAlign w:val="bottom"/>
            <w:vMerge w:val="continue"/>
          </w:tcPr>
          <w:p>
            <w:pPr>
              <w:spacing w:after="0"/>
              <w:rPr>
                <w:sz w:val="9"/>
                <w:szCs w:val="9"/>
                <w:color w:val="auto"/>
              </w:rPr>
            </w:pPr>
          </w:p>
        </w:tc>
        <w:tc>
          <w:tcPr>
            <w:tcW w:w="1260" w:type="dxa"/>
            <w:vAlign w:val="bottom"/>
            <w:vMerge w:val="continue"/>
            <w:shd w:val="clear" w:color="auto" w:fill="F3F3F1"/>
          </w:tcPr>
          <w:p>
            <w:pPr>
              <w:spacing w:after="0"/>
              <w:rPr>
                <w:sz w:val="9"/>
                <w:szCs w:val="9"/>
                <w:color w:val="auto"/>
              </w:rPr>
            </w:pPr>
          </w:p>
        </w:tc>
        <w:tc>
          <w:tcPr>
            <w:tcW w:w="520" w:type="dxa"/>
            <w:vAlign w:val="bottom"/>
            <w:vMerge w:val="continue"/>
          </w:tcPr>
          <w:p>
            <w:pPr>
              <w:spacing w:after="0"/>
              <w:rPr>
                <w:sz w:val="9"/>
                <w:szCs w:val="9"/>
                <w:color w:val="auto"/>
              </w:rPr>
            </w:pPr>
          </w:p>
        </w:tc>
        <w:tc>
          <w:tcPr>
            <w:tcW w:w="1920" w:type="dxa"/>
            <w:vAlign w:val="bottom"/>
            <w:vMerge w:val="continue"/>
            <w:shd w:val="clear" w:color="auto" w:fill="F3F3F1"/>
          </w:tcPr>
          <w:p>
            <w:pPr>
              <w:spacing w:after="0"/>
              <w:rPr>
                <w:sz w:val="9"/>
                <w:szCs w:val="9"/>
                <w:color w:val="auto"/>
              </w:rPr>
            </w:pPr>
          </w:p>
        </w:tc>
        <w:tc>
          <w:tcPr>
            <w:tcW w:w="520" w:type="dxa"/>
            <w:vAlign w:val="bottom"/>
            <w:vMerge w:val="continue"/>
          </w:tcPr>
          <w:p>
            <w:pPr>
              <w:spacing w:after="0"/>
              <w:rPr>
                <w:sz w:val="9"/>
                <w:szCs w:val="9"/>
                <w:color w:val="auto"/>
              </w:rPr>
            </w:pPr>
          </w:p>
        </w:tc>
        <w:tc>
          <w:tcPr>
            <w:tcW w:w="1780" w:type="dxa"/>
            <w:vAlign w:val="bottom"/>
            <w:vMerge w:val="restart"/>
            <w:shd w:val="clear" w:color="auto" w:fill="F3F3F1"/>
          </w:tcPr>
          <w:p>
            <w:pPr>
              <w:jc w:val="center"/>
              <w:spacing w:after="0"/>
              <w:rPr>
                <w:sz w:val="20"/>
                <w:szCs w:val="20"/>
                <w:color w:val="auto"/>
              </w:rPr>
            </w:pPr>
            <w:r>
              <w:rPr>
                <w:rFonts w:ascii="PMingLiU" w:cs="PMingLiU" w:eastAsia="PMingLiU" w:hAnsi="PMingLiU"/>
                <w:sz w:val="21"/>
                <w:szCs w:val="21"/>
                <w:b w:val="1"/>
                <w:bCs w:val="1"/>
                <w:color w:val="2D2C36"/>
                <w:w w:val="71"/>
                <w:vertAlign w:val="superscript"/>
              </w:rPr>
              <w:t>3HUIRUPDQFH</w:t>
            </w:r>
            <w:r>
              <w:rPr>
                <w:rFonts w:ascii="PMingLiU" w:cs="PMingLiU" w:eastAsia="PMingLiU" w:hAnsi="PMingLiU"/>
                <w:sz w:val="13"/>
                <w:szCs w:val="13"/>
                <w:b w:val="1"/>
                <w:bCs w:val="1"/>
                <w:color w:val="2D2C36"/>
                <w:w w:val="71"/>
              </w:rPr>
              <w:t>LIDSSOLFDEOH</w:t>
            </w:r>
          </w:p>
        </w:tc>
        <w:tc>
          <w:tcPr>
            <w:tcW w:w="520" w:type="dxa"/>
            <w:vAlign w:val="bottom"/>
          </w:tcPr>
          <w:p>
            <w:pPr>
              <w:spacing w:after="0"/>
              <w:rPr>
                <w:sz w:val="9"/>
                <w:szCs w:val="9"/>
                <w:color w:val="auto"/>
              </w:rPr>
            </w:pPr>
          </w:p>
        </w:tc>
        <w:tc>
          <w:tcPr>
            <w:tcW w:w="1600" w:type="dxa"/>
            <w:vAlign w:val="bottom"/>
            <w:vMerge w:val="continue"/>
            <w:shd w:val="clear" w:color="auto" w:fill="5C004D"/>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440" w:type="dxa"/>
            <w:vAlign w:val="bottom"/>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90"/>
              </w:rPr>
              <w:t>%DVH6DODU\</w:t>
            </w:r>
          </w:p>
        </w:tc>
        <w:tc>
          <w:tcPr>
            <w:tcW w:w="520" w:type="dxa"/>
            <w:vAlign w:val="bottom"/>
            <w:vMerge w:val="continue"/>
          </w:tcPr>
          <w:p>
            <w:pPr>
              <w:spacing w:after="0"/>
              <w:rPr>
                <w:sz w:val="24"/>
                <w:szCs w:val="24"/>
                <w:color w:val="auto"/>
              </w:rPr>
            </w:pPr>
          </w:p>
        </w:tc>
        <w:tc>
          <w:tcPr>
            <w:tcW w:w="1260" w:type="dxa"/>
            <w:vAlign w:val="bottom"/>
            <w:shd w:val="clear" w:color="auto" w:fill="F3F3F1"/>
          </w:tcPr>
          <w:p>
            <w:pPr>
              <w:jc w:val="center"/>
              <w:spacing w:after="0"/>
              <w:rPr>
                <w:sz w:val="20"/>
                <w:szCs w:val="20"/>
                <w:color w:val="auto"/>
              </w:rPr>
            </w:pPr>
            <w:r>
              <w:rPr>
                <w:rFonts w:ascii="PMingLiU" w:cs="PMingLiU" w:eastAsia="PMingLiU" w:hAnsi="PMingLiU"/>
                <w:sz w:val="18"/>
                <w:szCs w:val="18"/>
                <w:b w:val="1"/>
                <w:bCs w:val="1"/>
                <w:color w:val="2D2C36"/>
              </w:rPr>
              <w:t>%RQXV</w:t>
            </w:r>
          </w:p>
        </w:tc>
        <w:tc>
          <w:tcPr>
            <w:tcW w:w="520" w:type="dxa"/>
            <w:vAlign w:val="bottom"/>
            <w:vMerge w:val="continue"/>
          </w:tcPr>
          <w:p>
            <w:pPr>
              <w:spacing w:after="0"/>
              <w:rPr>
                <w:sz w:val="24"/>
                <w:szCs w:val="24"/>
                <w:color w:val="auto"/>
              </w:rPr>
            </w:pPr>
          </w:p>
        </w:tc>
        <w:tc>
          <w:tcPr>
            <w:tcW w:w="1920" w:type="dxa"/>
            <w:vAlign w:val="bottom"/>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89"/>
              </w:rPr>
              <w:t>&amp;RUSRUDWH</w:t>
            </w:r>
          </w:p>
        </w:tc>
        <w:tc>
          <w:tcPr>
            <w:tcW w:w="520" w:type="dxa"/>
            <w:vAlign w:val="bottom"/>
            <w:vMerge w:val="continue"/>
          </w:tcPr>
          <w:p>
            <w:pPr>
              <w:spacing w:after="0"/>
              <w:rPr>
                <w:sz w:val="24"/>
                <w:szCs w:val="24"/>
                <w:color w:val="auto"/>
              </w:rPr>
            </w:pPr>
          </w:p>
        </w:tc>
        <w:tc>
          <w:tcPr>
            <w:tcW w:w="1780" w:type="dxa"/>
            <w:vAlign w:val="bottom"/>
            <w:vMerge w:val="continue"/>
            <w:shd w:val="clear" w:color="auto" w:fill="F3F3F1"/>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shd w:val="clear" w:color="auto" w:fill="5C004D"/>
          </w:tcPr>
          <w:p>
            <w:pPr>
              <w:jc w:val="center"/>
              <w:spacing w:after="0"/>
              <w:rPr>
                <w:sz w:val="20"/>
                <w:szCs w:val="20"/>
                <w:color w:val="auto"/>
              </w:rPr>
            </w:pPr>
            <w:r>
              <w:rPr>
                <w:rFonts w:ascii="PMingLiU" w:cs="PMingLiU" w:eastAsia="PMingLiU" w:hAnsi="PMingLiU"/>
                <w:sz w:val="18"/>
                <w:szCs w:val="18"/>
                <w:b w:val="1"/>
                <w:bCs w:val="1"/>
                <w:color w:val="FFFFFF"/>
                <w:w w:val="98"/>
              </w:rPr>
              <w:t>%RQXV$ZDUG</w:t>
            </w:r>
          </w:p>
        </w:tc>
        <w:tc>
          <w:tcPr>
            <w:tcW w:w="0" w:type="dxa"/>
            <w:vAlign w:val="bottom"/>
          </w:tcPr>
          <w:p>
            <w:pPr>
              <w:spacing w:after="0"/>
              <w:rPr>
                <w:sz w:val="1"/>
                <w:szCs w:val="1"/>
                <w:color w:val="auto"/>
              </w:rPr>
            </w:pPr>
          </w:p>
        </w:tc>
      </w:tr>
      <w:tr>
        <w:trPr>
          <w:trHeight w:val="247"/>
        </w:trPr>
        <w:tc>
          <w:tcPr>
            <w:tcW w:w="1440" w:type="dxa"/>
            <w:vAlign w:val="bottom"/>
            <w:shd w:val="clear" w:color="auto" w:fill="F3F3F1"/>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shd w:val="clear" w:color="auto" w:fill="F3F3F1"/>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shd w:val="clear" w:color="auto" w:fill="F3F3F1"/>
          </w:tcPr>
          <w:p>
            <w:pPr>
              <w:jc w:val="center"/>
              <w:spacing w:after="0"/>
              <w:rPr>
                <w:sz w:val="20"/>
                <w:szCs w:val="20"/>
                <w:color w:val="auto"/>
              </w:rPr>
            </w:pPr>
            <w:r>
              <w:rPr>
                <w:rFonts w:ascii="PMingLiU" w:cs="PMingLiU" w:eastAsia="PMingLiU" w:hAnsi="PMingLiU"/>
                <w:sz w:val="18"/>
                <w:szCs w:val="18"/>
                <w:b w:val="1"/>
                <w:bCs w:val="1"/>
                <w:color w:val="2D2C36"/>
                <w:w w:val="81"/>
              </w:rPr>
              <w:t>2EMHFWLYHV</w:t>
            </w:r>
          </w:p>
        </w:tc>
        <w:tc>
          <w:tcPr>
            <w:tcW w:w="520" w:type="dxa"/>
            <w:vAlign w:val="bottom"/>
          </w:tcPr>
          <w:p>
            <w:pPr>
              <w:spacing w:after="0"/>
              <w:rPr>
                <w:sz w:val="21"/>
                <w:szCs w:val="21"/>
                <w:color w:val="auto"/>
              </w:rPr>
            </w:pPr>
          </w:p>
        </w:tc>
        <w:tc>
          <w:tcPr>
            <w:tcW w:w="1780" w:type="dxa"/>
            <w:vAlign w:val="bottom"/>
            <w:shd w:val="clear" w:color="auto" w:fill="F3F3F1"/>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shd w:val="clear" w:color="auto" w:fill="5C004D"/>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F3F3F1"/>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shd w:val="clear" w:color="auto" w:fill="F3F3F1"/>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shd w:val="clear" w:color="auto" w:fill="F3F3F1"/>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shd w:val="clear" w:color="auto" w:fill="F3F3F1"/>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shd w:val="clear" w:color="auto" w:fill="5C004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1090930</wp:posOffset>
            </wp:positionV>
            <wp:extent cx="1386840" cy="2336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8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68" w:name="page69"/>
    <w:bookmarkEnd w:id="68"/>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96" o:spid="_x0000_s1421"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&amp;RUSRUDWH2EMHFWLYHV</w:t>
      </w:r>
    </w:p>
    <w:p>
      <w:pPr>
        <w:spacing w:after="0" w:line="191" w:lineRule="exact"/>
        <w:rPr>
          <w:sz w:val="20"/>
          <w:szCs w:val="20"/>
          <w:color w:val="auto"/>
        </w:rPr>
      </w:pPr>
    </w:p>
    <w:p>
      <w:pPr>
        <w:ind w:right="140"/>
        <w:spacing w:after="0" w:line="342" w:lineRule="auto"/>
        <w:rPr>
          <w:sz w:val="20"/>
          <w:szCs w:val="20"/>
          <w:color w:val="auto"/>
        </w:rPr>
      </w:pPr>
      <w:r>
        <w:rPr>
          <w:rFonts w:ascii="PMingLiU" w:cs="PMingLiU" w:eastAsia="PMingLiU" w:hAnsi="PMingLiU"/>
          <w:sz w:val="14"/>
          <w:szCs w:val="14"/>
          <w:color w:val="auto"/>
        </w:rPr>
        <w:t>(DFKRIWKHWKUHHREMHFWLYHVLVGHVFULEHGLQWKHWDEOHDQGDFFRPSDQ\LQJIRRWQRWHVEHORZLQFOXGLQJWKHJRDOVZLWKLQHDFK REMHFWLYHHDFKJRDOZHLJKWLQJDFWXDOUHVXOWVDQGSHUIRUPDQFHPXOWLSOLHUVDVZHOODVWKHWRWDOFRUSRUDWHDFKLHYHPHQW SHUFHQWDJHUHVXOWLQJIURPWKHOHYHORIDFKLHYHPHQWRIWKHREMHFWLYHV2XU&amp;RPSHQVDWLRQ&amp;RPPLWWHHDSSURYHGDWWKHVWDUWRI</w:t>
      </w:r>
    </w:p>
    <w:p>
      <w:pPr>
        <w:spacing w:after="0" w:line="367" w:lineRule="auto"/>
        <w:rPr>
          <w:sz w:val="20"/>
          <w:szCs w:val="20"/>
          <w:color w:val="auto"/>
        </w:rPr>
      </w:pPr>
      <w:r>
        <w:rPr>
          <w:rFonts w:ascii="PMingLiU" w:cs="PMingLiU" w:eastAsia="PMingLiU" w:hAnsi="PMingLiU"/>
          <w:sz w:val="14"/>
          <w:szCs w:val="14"/>
          <w:color w:val="auto"/>
        </w:rPr>
        <w:t>WKHSHUIRUPDQFH\HDUDQDOJRULWKPZLWKUHVSHFWWRHDFKRIWKHWKUHHREMHFWLYHVIRUFDOFXODWLQJWKHFRUSRUDWHDFKLHYHPHQW SHUFHQWDJHDWWULEXWDEOHWRWKHH[WHQWRIDFKLHYHPHQWIRUHDFKVXFKREMHFWLYH$VIXUWKHUGHVFULEHGLQWKHIRRWQRWHVWRWKHWDEOH EHORZRXU&amp;RPSHQVDWLRQ&amp;RPPLWWHHHVWDEOLVKHGPXOWLSOHGLVFUHWHJRDOVZLWKLQHDFKRIWKHWKUHHPDLQREMHFWLYHVZLWK REMHFWLYHO\PHDVXUDEOHWDUJHWVDQGVHWVSHFLILFWKUHVKROGDQGPD[LPXPOHYHOVRIDFKLHYHPHQWIRUWKHFRPPHUFLDOREMHFWLYHDV ZHOODVWKHQRQ*$$3DGMXVWHGRSHUDWLQJPDUJLQHOHPHQWRIWKHWUDQVIRUPDWLRQREMHFWLYH</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40" w:type="dxa"/>
            <w:vAlign w:val="bottom"/>
            <w:shd w:val="clear" w:color="auto" w:fill="000046"/>
          </w:tcPr>
          <w:p>
            <w:pPr>
              <w:spacing w:after="0"/>
              <w:rPr>
                <w:sz w:val="23"/>
                <w:szCs w:val="23"/>
                <w:color w:val="auto"/>
              </w:rPr>
            </w:pPr>
          </w:p>
        </w:tc>
        <w:tc>
          <w:tcPr>
            <w:tcW w:w="180" w:type="dxa"/>
            <w:vAlign w:val="bottom"/>
            <w:shd w:val="clear" w:color="auto" w:fill="000046"/>
          </w:tcPr>
          <w:p>
            <w:pPr>
              <w:spacing w:after="0"/>
              <w:rPr>
                <w:sz w:val="23"/>
                <w:szCs w:val="23"/>
                <w:color w:val="auto"/>
              </w:rPr>
            </w:pPr>
          </w:p>
        </w:tc>
        <w:tc>
          <w:tcPr>
            <w:tcW w:w="3780" w:type="dxa"/>
            <w:vAlign w:val="bottom"/>
            <w:shd w:val="clear" w:color="auto" w:fill="000046"/>
          </w:tcPr>
          <w:p>
            <w:pPr>
              <w:spacing w:after="0"/>
              <w:rPr>
                <w:sz w:val="23"/>
                <w:szCs w:val="23"/>
                <w:color w:val="auto"/>
              </w:rPr>
            </w:pPr>
          </w:p>
        </w:tc>
        <w:tc>
          <w:tcPr>
            <w:tcW w:w="160" w:type="dxa"/>
            <w:vAlign w:val="bottom"/>
            <w:shd w:val="clear" w:color="auto" w:fill="000046"/>
          </w:tcPr>
          <w:p>
            <w:pPr>
              <w:spacing w:after="0"/>
              <w:rPr>
                <w:sz w:val="23"/>
                <w:szCs w:val="23"/>
                <w:color w:val="auto"/>
              </w:rPr>
            </w:pPr>
          </w:p>
        </w:tc>
        <w:tc>
          <w:tcPr>
            <w:tcW w:w="780" w:type="dxa"/>
            <w:vAlign w:val="bottom"/>
            <w:shd w:val="clear" w:color="auto" w:fill="000046"/>
          </w:tcPr>
          <w:p>
            <w:pPr>
              <w:spacing w:after="0"/>
              <w:rPr>
                <w:sz w:val="23"/>
                <w:szCs w:val="23"/>
                <w:color w:val="auto"/>
              </w:rPr>
            </w:pPr>
          </w:p>
        </w:tc>
        <w:tc>
          <w:tcPr>
            <w:tcW w:w="2740" w:type="dxa"/>
            <w:vAlign w:val="bottom"/>
            <w:shd w:val="clear" w:color="auto" w:fill="000046"/>
          </w:tcPr>
          <w:p>
            <w:pPr>
              <w:spacing w:after="0"/>
              <w:rPr>
                <w:sz w:val="23"/>
                <w:szCs w:val="23"/>
                <w:color w:val="auto"/>
              </w:rPr>
            </w:pPr>
          </w:p>
        </w:tc>
        <w:tc>
          <w:tcPr>
            <w:tcW w:w="800" w:type="dxa"/>
            <w:vAlign w:val="bottom"/>
            <w:shd w:val="clear" w:color="auto" w:fill="000046"/>
          </w:tcPr>
          <w:p>
            <w:pPr>
              <w:spacing w:after="0"/>
              <w:rPr>
                <w:sz w:val="23"/>
                <w:szCs w:val="23"/>
                <w:color w:val="auto"/>
              </w:rPr>
            </w:pPr>
          </w:p>
        </w:tc>
        <w:tc>
          <w:tcPr>
            <w:tcW w:w="130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&amp;RUSRUDWH</w:t>
            </w:r>
          </w:p>
        </w:tc>
      </w:tr>
      <w:tr>
        <w:trPr>
          <w:trHeight w:val="224"/>
        </w:trPr>
        <w:tc>
          <w:tcPr>
            <w:tcW w:w="4300" w:type="dxa"/>
            <w:vAlign w:val="bottom"/>
            <w:gridSpan w:val="3"/>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&amp;RUSRUDWH2EMHFWLYHV</w:t>
            </w:r>
          </w:p>
        </w:tc>
        <w:tc>
          <w:tcPr>
            <w:tcW w:w="940" w:type="dxa"/>
            <w:vAlign w:val="bottom"/>
            <w:gridSpan w:val="2"/>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:HLJKWLQJ</w:t>
            </w:r>
          </w:p>
        </w:tc>
        <w:tc>
          <w:tcPr>
            <w:tcW w:w="2740" w:type="dxa"/>
            <w:vAlign w:val="bottom"/>
            <w:shd w:val="clear" w:color="auto" w:fill="000046"/>
          </w:tcPr>
          <w:p>
            <w:pPr>
              <w:ind w:left="260"/>
              <w:spacing w:after="0"/>
              <w:rPr>
                <w:sz w:val="20"/>
                <w:szCs w:val="20"/>
                <w:color w:val="auto"/>
              </w:rPr>
            </w:pPr>
            <w:r>
              <w:rPr>
                <w:rFonts w:ascii="PMingLiU" w:cs="PMingLiU" w:eastAsia="PMingLiU" w:hAnsi="PMingLiU"/>
                <w:sz w:val="16"/>
                <w:szCs w:val="16"/>
                <w:b w:val="1"/>
                <w:bCs w:val="1"/>
                <w:color w:val="FFFFFF"/>
              </w:rPr>
              <w:t>$FWXDO5HVXOWV</w:t>
            </w:r>
          </w:p>
        </w:tc>
        <w:tc>
          <w:tcPr>
            <w:tcW w:w="80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w w:val="72"/>
              </w:rPr>
              <w:t>0XOWLSOLHU</w:t>
            </w:r>
          </w:p>
        </w:tc>
        <w:tc>
          <w:tcPr>
            <w:tcW w:w="1300" w:type="dxa"/>
            <w:vAlign w:val="bottom"/>
            <w:shd w:val="clear" w:color="auto" w:fill="000046"/>
          </w:tcPr>
          <w:p>
            <w:pPr>
              <w:jc w:val="right"/>
              <w:ind w:right="40"/>
              <w:spacing w:after="0" w:line="224" w:lineRule="exact"/>
              <w:rPr>
                <w:sz w:val="20"/>
                <w:szCs w:val="20"/>
                <w:color w:val="auto"/>
              </w:rPr>
            </w:pPr>
            <w:r>
              <w:rPr>
                <w:rFonts w:ascii="PMingLiU" w:cs="PMingLiU" w:eastAsia="PMingLiU" w:hAnsi="PMingLiU"/>
                <w:sz w:val="16"/>
                <w:szCs w:val="16"/>
                <w:b w:val="1"/>
                <w:bCs w:val="1"/>
                <w:color w:val="FFFFFF"/>
              </w:rPr>
              <w:t>$FKLHYHPHQW</w:t>
            </w:r>
            <w:r>
              <w:rPr>
                <w:rFonts w:ascii="PMingLiU" w:cs="PMingLiU" w:eastAsia="PMingLiU" w:hAnsi="PMingLiU"/>
                <w:sz w:val="20"/>
                <w:szCs w:val="20"/>
                <w:b w:val="1"/>
                <w:bCs w:val="1"/>
                <w:color w:val="FFFFFF"/>
                <w:vertAlign w:val="superscript"/>
              </w:rPr>
              <w:t/>
            </w:r>
          </w:p>
        </w:tc>
      </w:tr>
      <w:tr>
        <w:trPr>
          <w:trHeight w:val="60"/>
        </w:trPr>
        <w:tc>
          <w:tcPr>
            <w:tcW w:w="340" w:type="dxa"/>
            <w:vAlign w:val="bottom"/>
            <w:shd w:val="clear" w:color="auto" w:fill="000046"/>
          </w:tcPr>
          <w:p>
            <w:pPr>
              <w:spacing w:after="0"/>
              <w:rPr>
                <w:sz w:val="5"/>
                <w:szCs w:val="5"/>
                <w:color w:val="auto"/>
              </w:rPr>
            </w:pPr>
          </w:p>
        </w:tc>
        <w:tc>
          <w:tcPr>
            <w:tcW w:w="180" w:type="dxa"/>
            <w:vAlign w:val="bottom"/>
            <w:shd w:val="clear" w:color="auto" w:fill="000046"/>
          </w:tcPr>
          <w:p>
            <w:pPr>
              <w:spacing w:after="0"/>
              <w:rPr>
                <w:sz w:val="5"/>
                <w:szCs w:val="5"/>
                <w:color w:val="auto"/>
              </w:rPr>
            </w:pPr>
          </w:p>
        </w:tc>
        <w:tc>
          <w:tcPr>
            <w:tcW w:w="3780" w:type="dxa"/>
            <w:vAlign w:val="bottom"/>
            <w:shd w:val="clear" w:color="auto" w:fill="000046"/>
          </w:tcPr>
          <w:p>
            <w:pPr>
              <w:spacing w:after="0"/>
              <w:rPr>
                <w:sz w:val="5"/>
                <w:szCs w:val="5"/>
                <w:color w:val="auto"/>
              </w:rPr>
            </w:pPr>
          </w:p>
        </w:tc>
        <w:tc>
          <w:tcPr>
            <w:tcW w:w="160" w:type="dxa"/>
            <w:vAlign w:val="bottom"/>
            <w:shd w:val="clear" w:color="auto" w:fill="000046"/>
          </w:tcPr>
          <w:p>
            <w:pPr>
              <w:spacing w:after="0"/>
              <w:rPr>
                <w:sz w:val="5"/>
                <w:szCs w:val="5"/>
                <w:color w:val="auto"/>
              </w:rPr>
            </w:pPr>
          </w:p>
        </w:tc>
        <w:tc>
          <w:tcPr>
            <w:tcW w:w="780" w:type="dxa"/>
            <w:vAlign w:val="bottom"/>
            <w:shd w:val="clear" w:color="auto" w:fill="000046"/>
          </w:tcPr>
          <w:p>
            <w:pPr>
              <w:spacing w:after="0"/>
              <w:rPr>
                <w:sz w:val="5"/>
                <w:szCs w:val="5"/>
                <w:color w:val="auto"/>
              </w:rPr>
            </w:pPr>
          </w:p>
        </w:tc>
        <w:tc>
          <w:tcPr>
            <w:tcW w:w="2740" w:type="dxa"/>
            <w:vAlign w:val="bottom"/>
            <w:shd w:val="clear" w:color="auto" w:fill="000046"/>
          </w:tcPr>
          <w:p>
            <w:pPr>
              <w:spacing w:after="0"/>
              <w:rPr>
                <w:sz w:val="5"/>
                <w:szCs w:val="5"/>
                <w:color w:val="auto"/>
              </w:rPr>
            </w:pPr>
          </w:p>
        </w:tc>
        <w:tc>
          <w:tcPr>
            <w:tcW w:w="800" w:type="dxa"/>
            <w:vAlign w:val="bottom"/>
            <w:shd w:val="clear" w:color="auto" w:fill="000046"/>
          </w:tcPr>
          <w:p>
            <w:pPr>
              <w:spacing w:after="0"/>
              <w:rPr>
                <w:sz w:val="5"/>
                <w:szCs w:val="5"/>
                <w:color w:val="auto"/>
              </w:rPr>
            </w:pPr>
          </w:p>
        </w:tc>
        <w:tc>
          <w:tcPr>
            <w:tcW w:w="1300" w:type="dxa"/>
            <w:vAlign w:val="bottom"/>
            <w:shd w:val="clear" w:color="auto" w:fill="000046"/>
          </w:tcPr>
          <w:p>
            <w:pPr>
              <w:spacing w:after="0"/>
              <w:rPr>
                <w:sz w:val="5"/>
                <w:szCs w:val="5"/>
                <w:color w:val="auto"/>
              </w:rPr>
            </w:pPr>
          </w:p>
        </w:tc>
      </w:tr>
      <w:tr>
        <w:trPr>
          <w:trHeight w:val="293"/>
        </w:trPr>
        <w:tc>
          <w:tcPr>
            <w:tcW w:w="340" w:type="dxa"/>
            <w:vAlign w:val="bottom"/>
            <w:shd w:val="clear" w:color="auto" w:fill="F3F3F1"/>
          </w:tcPr>
          <w:p>
            <w:pPr>
              <w:ind w:left="100"/>
              <w:spacing w:after="0"/>
              <w:rPr>
                <w:sz w:val="20"/>
                <w:szCs w:val="20"/>
                <w:color w:val="auto"/>
              </w:rPr>
            </w:pPr>
            <w:r>
              <w:rPr>
                <w:rFonts w:ascii="PMingLiU" w:cs="PMingLiU" w:eastAsia="PMingLiU" w:hAnsi="PMingLiU"/>
                <w:sz w:val="16"/>
                <w:szCs w:val="16"/>
                <w:b w:val="1"/>
                <w:bCs w:val="1"/>
                <w:color w:val="4454A7"/>
              </w:rPr>
              <w:t/>
            </w:r>
          </w:p>
        </w:tc>
        <w:tc>
          <w:tcPr>
            <w:tcW w:w="3960" w:type="dxa"/>
            <w:vAlign w:val="bottom"/>
            <w:gridSpan w:val="2"/>
            <w:shd w:val="clear" w:color="auto" w:fill="F3F3F1"/>
          </w:tcPr>
          <w:p>
            <w:pPr>
              <w:ind w:left="60"/>
              <w:spacing w:after="0"/>
              <w:rPr>
                <w:sz w:val="20"/>
                <w:szCs w:val="20"/>
                <w:color w:val="auto"/>
              </w:rPr>
            </w:pPr>
            <w:r>
              <w:rPr>
                <w:rFonts w:ascii="PMingLiU" w:cs="PMingLiU" w:eastAsia="PMingLiU" w:hAnsi="PMingLiU"/>
                <w:sz w:val="16"/>
                <w:szCs w:val="16"/>
                <w:b w:val="1"/>
                <w:bCs w:val="1"/>
                <w:color w:val="4454A7"/>
              </w:rPr>
              <w:t>&amp;200(5&amp;,$/</w:t>
            </w:r>
          </w:p>
        </w:tc>
        <w:tc>
          <w:tcPr>
            <w:tcW w:w="160" w:type="dxa"/>
            <w:vAlign w:val="bottom"/>
            <w:shd w:val="clear" w:color="auto" w:fill="F3F3F1"/>
          </w:tcPr>
          <w:p>
            <w:pPr>
              <w:spacing w:after="0"/>
              <w:rPr>
                <w:sz w:val="24"/>
                <w:szCs w:val="24"/>
                <w:color w:val="auto"/>
              </w:rPr>
            </w:pPr>
          </w:p>
        </w:tc>
        <w:tc>
          <w:tcPr>
            <w:tcW w:w="780" w:type="dxa"/>
            <w:vAlign w:val="bottom"/>
            <w:shd w:val="clear" w:color="auto" w:fill="F3F3F1"/>
          </w:tcPr>
          <w:p>
            <w:pPr>
              <w:spacing w:after="0"/>
              <w:rPr>
                <w:sz w:val="24"/>
                <w:szCs w:val="24"/>
                <w:color w:val="auto"/>
              </w:rPr>
            </w:pPr>
          </w:p>
        </w:tc>
        <w:tc>
          <w:tcPr>
            <w:tcW w:w="2740" w:type="dxa"/>
            <w:vAlign w:val="bottom"/>
            <w:shd w:val="clear" w:color="auto" w:fill="F3F3F1"/>
          </w:tcPr>
          <w:p>
            <w:pPr>
              <w:spacing w:after="0"/>
              <w:rPr>
                <w:sz w:val="24"/>
                <w:szCs w:val="24"/>
                <w:color w:val="auto"/>
              </w:rPr>
            </w:pPr>
          </w:p>
        </w:tc>
        <w:tc>
          <w:tcPr>
            <w:tcW w:w="800" w:type="dxa"/>
            <w:vAlign w:val="bottom"/>
            <w:shd w:val="clear" w:color="auto" w:fill="F3F3F1"/>
          </w:tcPr>
          <w:p>
            <w:pPr>
              <w:spacing w:after="0"/>
              <w:rPr>
                <w:sz w:val="24"/>
                <w:szCs w:val="24"/>
                <w:color w:val="auto"/>
              </w:rPr>
            </w:pPr>
          </w:p>
        </w:tc>
        <w:tc>
          <w:tcPr>
            <w:tcW w:w="1300" w:type="dxa"/>
            <w:vAlign w:val="bottom"/>
            <w:shd w:val="clear" w:color="auto" w:fill="F3F3F1"/>
          </w:tcPr>
          <w:p>
            <w:pPr>
              <w:spacing w:after="0"/>
              <w:rPr>
                <w:sz w:val="24"/>
                <w:szCs w:val="24"/>
                <w:color w:val="auto"/>
              </w:rPr>
            </w:pPr>
          </w:p>
        </w:tc>
      </w:tr>
      <w:tr>
        <w:trPr>
          <w:trHeight w:val="67"/>
        </w:trPr>
        <w:tc>
          <w:tcPr>
            <w:tcW w:w="340" w:type="dxa"/>
            <w:vAlign w:val="bottom"/>
            <w:shd w:val="clear" w:color="auto" w:fill="F3F3F1"/>
          </w:tcPr>
          <w:p>
            <w:pPr>
              <w:spacing w:after="0"/>
              <w:rPr>
                <w:sz w:val="5"/>
                <w:szCs w:val="5"/>
                <w:color w:val="auto"/>
              </w:rPr>
            </w:pPr>
          </w:p>
        </w:tc>
        <w:tc>
          <w:tcPr>
            <w:tcW w:w="180" w:type="dxa"/>
            <w:vAlign w:val="bottom"/>
            <w:shd w:val="clear" w:color="auto" w:fill="F3F3F1"/>
          </w:tcPr>
          <w:p>
            <w:pPr>
              <w:spacing w:after="0"/>
              <w:rPr>
                <w:sz w:val="5"/>
                <w:szCs w:val="5"/>
                <w:color w:val="auto"/>
              </w:rPr>
            </w:pPr>
          </w:p>
        </w:tc>
        <w:tc>
          <w:tcPr>
            <w:tcW w:w="378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780" w:type="dxa"/>
            <w:vAlign w:val="bottom"/>
            <w:shd w:val="clear" w:color="auto" w:fill="F3F3F1"/>
          </w:tcPr>
          <w:p>
            <w:pPr>
              <w:spacing w:after="0"/>
              <w:rPr>
                <w:sz w:val="5"/>
                <w:szCs w:val="5"/>
                <w:color w:val="auto"/>
              </w:rPr>
            </w:pPr>
          </w:p>
        </w:tc>
        <w:tc>
          <w:tcPr>
            <w:tcW w:w="2740" w:type="dxa"/>
            <w:vAlign w:val="bottom"/>
            <w:shd w:val="clear" w:color="auto" w:fill="F3F3F1"/>
          </w:tcPr>
          <w:p>
            <w:pPr>
              <w:spacing w:after="0"/>
              <w:rPr>
                <w:sz w:val="5"/>
                <w:szCs w:val="5"/>
                <w:color w:val="auto"/>
              </w:rPr>
            </w:pPr>
          </w:p>
        </w:tc>
        <w:tc>
          <w:tcPr>
            <w:tcW w:w="800" w:type="dxa"/>
            <w:vAlign w:val="bottom"/>
            <w:shd w:val="clear" w:color="auto" w:fill="F3F3F1"/>
          </w:tcPr>
          <w:p>
            <w:pPr>
              <w:spacing w:after="0"/>
              <w:rPr>
                <w:sz w:val="5"/>
                <w:szCs w:val="5"/>
                <w:color w:val="auto"/>
              </w:rPr>
            </w:pPr>
          </w:p>
        </w:tc>
        <w:tc>
          <w:tcPr>
            <w:tcW w:w="1300" w:type="dxa"/>
            <w:vAlign w:val="bottom"/>
            <w:shd w:val="clear" w:color="auto" w:fill="F3F3F1"/>
          </w:tcPr>
          <w:p>
            <w:pPr>
              <w:spacing w:after="0"/>
              <w:rPr>
                <w:sz w:val="5"/>
                <w:szCs w:val="5"/>
                <w:color w:val="auto"/>
              </w:rPr>
            </w:pPr>
          </w:p>
        </w:tc>
      </w:tr>
      <w:tr>
        <w:trPr>
          <w:trHeight w:val="260"/>
        </w:trPr>
        <w:tc>
          <w:tcPr>
            <w:tcW w:w="340" w:type="dxa"/>
            <w:vAlign w:val="bottom"/>
          </w:tcPr>
          <w:p>
            <w:pPr>
              <w:spacing w:after="0"/>
              <w:rPr>
                <w:sz w:val="22"/>
                <w:szCs w:val="22"/>
                <w:color w:val="auto"/>
              </w:rPr>
            </w:pPr>
          </w:p>
        </w:tc>
        <w:tc>
          <w:tcPr>
            <w:tcW w:w="180" w:type="dxa"/>
            <w:vAlign w:val="bottom"/>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$FKLHYH;\ZDYQHWSURGXFWVDOHVLQRI</w:t>
            </w:r>
          </w:p>
        </w:tc>
        <w:tc>
          <w:tcPr>
            <w:tcW w:w="9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Pr>
          <w:p>
            <w:pPr>
              <w:ind w:left="260"/>
              <w:spacing w:after="0"/>
              <w:rPr>
                <w:sz w:val="20"/>
                <w:szCs w:val="20"/>
                <w:color w:val="auto"/>
              </w:rPr>
            </w:pPr>
            <w:r>
              <w:rPr>
                <w:rFonts w:ascii="PMingLiU" w:cs="PMingLiU" w:eastAsia="PMingLiU" w:hAnsi="PMingLiU"/>
                <w:sz w:val="16"/>
                <w:szCs w:val="16"/>
                <w:color w:val="auto"/>
                <w:w w:val="83"/>
              </w:rPr>
              <w:t>$ERYHWDUJHWQHWSURGXFWVDOHVRI</w:t>
            </w:r>
          </w:p>
        </w:tc>
        <w:tc>
          <w:tcPr>
            <w:tcW w:w="8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88"/>
        </w:trPr>
        <w:tc>
          <w:tcPr>
            <w:tcW w:w="340" w:type="dxa"/>
            <w:vAlign w:val="bottom"/>
            <w:tcBorders>
              <w:bottom w:val="single" w:sz="8" w:color="4454A7"/>
            </w:tcBorders>
          </w:tcPr>
          <w:p>
            <w:pPr>
              <w:spacing w:after="0"/>
              <w:rPr>
                <w:sz w:val="24"/>
                <w:szCs w:val="24"/>
                <w:color w:val="auto"/>
              </w:rPr>
            </w:pPr>
          </w:p>
        </w:tc>
        <w:tc>
          <w:tcPr>
            <w:tcW w:w="180" w:type="dxa"/>
            <w:vAlign w:val="bottom"/>
            <w:tcBorders>
              <w:bottom w:val="single" w:sz="8" w:color="4454A7"/>
            </w:tcBorders>
          </w:tcPr>
          <w:p>
            <w:pPr>
              <w:spacing w:after="0"/>
              <w:rPr>
                <w:sz w:val="24"/>
                <w:szCs w:val="24"/>
                <w:color w:val="auto"/>
              </w:rPr>
            </w:pPr>
          </w:p>
        </w:tc>
        <w:tc>
          <w:tcPr>
            <w:tcW w:w="3780" w:type="dxa"/>
            <w:vAlign w:val="bottom"/>
            <w:tcBorders>
              <w:bottom w:val="single" w:sz="8" w:color="4454A7"/>
            </w:tcBorders>
          </w:tcPr>
          <w:p>
            <w:pPr>
              <w:ind w:left="60"/>
              <w:spacing w:after="0"/>
              <w:rPr>
                <w:sz w:val="20"/>
                <w:szCs w:val="20"/>
                <w:color w:val="auto"/>
              </w:rPr>
            </w:pPr>
            <w:r>
              <w:rPr>
                <w:rFonts w:ascii="PMingLiU" w:cs="PMingLiU" w:eastAsia="PMingLiU" w:hAnsi="PMingLiU"/>
                <w:sz w:val="16"/>
                <w:szCs w:val="16"/>
                <w:color w:val="auto"/>
              </w:rPr>
              <w:t>PLOOLRQ</w:t>
            </w:r>
            <w:r>
              <w:rPr>
                <w:rFonts w:ascii="PMingLiU" w:cs="PMingLiU" w:eastAsia="PMingLiU" w:hAnsi="PMingLiU"/>
                <w:sz w:val="20"/>
                <w:szCs w:val="20"/>
                <w:color w:val="auto"/>
                <w:vertAlign w:val="superscript"/>
              </w:rPr>
              <w:t/>
            </w:r>
          </w:p>
        </w:tc>
        <w:tc>
          <w:tcPr>
            <w:tcW w:w="160" w:type="dxa"/>
            <w:vAlign w:val="bottom"/>
            <w:tcBorders>
              <w:bottom w:val="single" w:sz="8" w:color="4454A7"/>
            </w:tcBorders>
          </w:tcPr>
          <w:p>
            <w:pPr>
              <w:spacing w:after="0"/>
              <w:rPr>
                <w:sz w:val="24"/>
                <w:szCs w:val="24"/>
                <w:color w:val="auto"/>
              </w:rPr>
            </w:pPr>
          </w:p>
        </w:tc>
        <w:tc>
          <w:tcPr>
            <w:tcW w:w="780" w:type="dxa"/>
            <w:vAlign w:val="bottom"/>
            <w:tcBorders>
              <w:bottom w:val="single" w:sz="8" w:color="4454A7"/>
            </w:tcBorders>
          </w:tcPr>
          <w:p>
            <w:pPr>
              <w:spacing w:after="0"/>
              <w:rPr>
                <w:sz w:val="24"/>
                <w:szCs w:val="24"/>
                <w:color w:val="auto"/>
              </w:rPr>
            </w:pPr>
          </w:p>
        </w:tc>
        <w:tc>
          <w:tcPr>
            <w:tcW w:w="2740" w:type="dxa"/>
            <w:vAlign w:val="bottom"/>
            <w:tcBorders>
              <w:bottom w:val="single" w:sz="8" w:color="4454A7"/>
            </w:tcBorders>
          </w:tcPr>
          <w:p>
            <w:pPr>
              <w:ind w:left="260"/>
              <w:spacing w:after="0"/>
              <w:rPr>
                <w:sz w:val="20"/>
                <w:szCs w:val="20"/>
                <w:color w:val="auto"/>
              </w:rPr>
            </w:pPr>
            <w:r>
              <w:rPr>
                <w:rFonts w:ascii="PMingLiU" w:cs="PMingLiU" w:eastAsia="PMingLiU" w:hAnsi="PMingLiU"/>
                <w:sz w:val="16"/>
                <w:szCs w:val="16"/>
                <w:color w:val="auto"/>
              </w:rPr>
              <w:t>PLOOLRQ</w:t>
            </w:r>
            <w:r>
              <w:rPr>
                <w:rFonts w:ascii="PMingLiU" w:cs="PMingLiU" w:eastAsia="PMingLiU" w:hAnsi="PMingLiU"/>
                <w:sz w:val="20"/>
                <w:szCs w:val="20"/>
                <w:color w:val="auto"/>
                <w:vertAlign w:val="superscript"/>
              </w:rPr>
              <w:t/>
            </w:r>
          </w:p>
        </w:tc>
        <w:tc>
          <w:tcPr>
            <w:tcW w:w="800" w:type="dxa"/>
            <w:vAlign w:val="bottom"/>
            <w:tcBorders>
              <w:bottom w:val="single" w:sz="8" w:color="4454A7"/>
            </w:tcBorders>
          </w:tcPr>
          <w:p>
            <w:pPr>
              <w:spacing w:after="0"/>
              <w:rPr>
                <w:sz w:val="24"/>
                <w:szCs w:val="24"/>
                <w:color w:val="auto"/>
              </w:rPr>
            </w:pPr>
          </w:p>
        </w:tc>
        <w:tc>
          <w:tcPr>
            <w:tcW w:w="1300" w:type="dxa"/>
            <w:vAlign w:val="bottom"/>
            <w:tcBorders>
              <w:bottom w:val="single" w:sz="8" w:color="4454A7"/>
            </w:tcBorders>
          </w:tcPr>
          <w:p>
            <w:pPr>
              <w:spacing w:after="0"/>
              <w:rPr>
                <w:sz w:val="24"/>
                <w:szCs w:val="24"/>
                <w:color w:val="auto"/>
              </w:rPr>
            </w:pPr>
          </w:p>
        </w:tc>
      </w:tr>
      <w:tr>
        <w:trPr>
          <w:trHeight w:val="247"/>
        </w:trPr>
        <w:tc>
          <w:tcPr>
            <w:tcW w:w="34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$FKLHYHFRPELQHG(SLGLROH[(SLG\ROH[DQG</w:t>
            </w:r>
          </w:p>
        </w:tc>
        <w:tc>
          <w:tcPr>
            <w:tcW w:w="9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Pr>
          <w:p>
            <w:pPr>
              <w:ind w:left="260"/>
              <w:spacing w:after="0"/>
              <w:rPr>
                <w:sz w:val="20"/>
                <w:szCs w:val="20"/>
                <w:color w:val="auto"/>
              </w:rPr>
            </w:pPr>
            <w:r>
              <w:rPr>
                <w:rFonts w:ascii="PMingLiU" w:cs="PMingLiU" w:eastAsia="PMingLiU" w:hAnsi="PMingLiU"/>
                <w:sz w:val="16"/>
                <w:szCs w:val="16"/>
                <w:color w:val="auto"/>
                <w:w w:val="78"/>
              </w:rPr>
              <w:t>%HWZHHQWKUHVKROGDQGWDUJHWQHW</w:t>
            </w:r>
          </w:p>
        </w:tc>
        <w:tc>
          <w:tcPr>
            <w:tcW w:w="8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192"/>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RQFRORJ\QHWSURGXFWVDOHVLQRI</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40" w:type="dxa"/>
            <w:vAlign w:val="bottom"/>
          </w:tcPr>
          <w:p>
            <w:pPr>
              <w:ind w:left="260"/>
              <w:spacing w:after="0"/>
              <w:rPr>
                <w:sz w:val="20"/>
                <w:szCs w:val="20"/>
                <w:color w:val="auto"/>
              </w:rPr>
            </w:pPr>
            <w:r>
              <w:rPr>
                <w:rFonts w:ascii="PMingLiU" w:cs="PMingLiU" w:eastAsia="PMingLiU" w:hAnsi="PMingLiU"/>
                <w:sz w:val="16"/>
                <w:szCs w:val="16"/>
                <w:color w:val="auto"/>
              </w:rPr>
              <w:t>SURGXFWVDOHVRIPLOOLRQ</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83"/>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PLOOLRQ</w:t>
            </w:r>
            <w:r>
              <w:rPr>
                <w:rFonts w:ascii="PMingLiU" w:cs="PMingLiU" w:eastAsia="PMingLiU" w:hAnsi="PMingLiU"/>
                <w:sz w:val="20"/>
                <w:szCs w:val="20"/>
                <w:color w:val="auto"/>
                <w:vertAlign w:val="superscript"/>
              </w:rPr>
              <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ind w:left="260"/>
              <w:spacing w:after="0"/>
              <w:rPr>
                <w:sz w:val="20"/>
                <w:szCs w:val="20"/>
                <w:color w:val="auto"/>
              </w:rPr>
            </w:pPr>
            <w:r>
              <w:rPr>
                <w:rFonts w:ascii="PMingLiU" w:cs="PMingLiU" w:eastAsia="PMingLiU" w:hAnsi="PMingLiU"/>
                <w:sz w:val="16"/>
                <w:szCs w:val="16"/>
                <w:color w:val="auto"/>
              </w:rPr>
              <w:t>DVDGMXVWHG</w:t>
            </w:r>
            <w:r>
              <w:rPr>
                <w:rFonts w:ascii="PMingLiU" w:cs="PMingLiU" w:eastAsia="PMingLiU" w:hAnsi="PMingLiU"/>
                <w:sz w:val="20"/>
                <w:szCs w:val="20"/>
                <w:color w:val="auto"/>
                <w:vertAlign w:val="superscript"/>
              </w:rPr>
              <w:t/>
            </w: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
        </w:trPr>
        <w:tc>
          <w:tcPr>
            <w:tcW w:w="34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3"/>
        </w:trPr>
        <w:tc>
          <w:tcPr>
            <w:tcW w:w="340" w:type="dxa"/>
            <w:vAlign w:val="bottom"/>
            <w:shd w:val="clear" w:color="auto" w:fill="F3F3F1"/>
          </w:tcPr>
          <w:p>
            <w:pPr>
              <w:ind w:left="100"/>
              <w:spacing w:after="0"/>
              <w:rPr>
                <w:sz w:val="20"/>
                <w:szCs w:val="20"/>
                <w:color w:val="auto"/>
              </w:rPr>
            </w:pPr>
            <w:r>
              <w:rPr>
                <w:rFonts w:ascii="PMingLiU" w:cs="PMingLiU" w:eastAsia="PMingLiU" w:hAnsi="PMingLiU"/>
                <w:sz w:val="16"/>
                <w:szCs w:val="16"/>
                <w:b w:val="1"/>
                <w:bCs w:val="1"/>
                <w:color w:val="4454A7"/>
              </w:rPr>
              <w:t/>
            </w:r>
          </w:p>
        </w:tc>
        <w:tc>
          <w:tcPr>
            <w:tcW w:w="3960" w:type="dxa"/>
            <w:vAlign w:val="bottom"/>
            <w:gridSpan w:val="2"/>
            <w:shd w:val="clear" w:color="auto" w:fill="F3F3F1"/>
          </w:tcPr>
          <w:p>
            <w:pPr>
              <w:ind w:left="60"/>
              <w:spacing w:after="0"/>
              <w:rPr>
                <w:sz w:val="20"/>
                <w:szCs w:val="20"/>
                <w:color w:val="auto"/>
              </w:rPr>
            </w:pPr>
            <w:r>
              <w:rPr>
                <w:rFonts w:ascii="PMingLiU" w:cs="PMingLiU" w:eastAsia="PMingLiU" w:hAnsi="PMingLiU"/>
                <w:sz w:val="16"/>
                <w:szCs w:val="16"/>
                <w:b w:val="1"/>
                <w:bCs w:val="1"/>
                <w:color w:val="4454A7"/>
              </w:rPr>
              <w:t>3,3(/,1(</w:t>
            </w:r>
          </w:p>
        </w:tc>
        <w:tc>
          <w:tcPr>
            <w:tcW w:w="160" w:type="dxa"/>
            <w:vAlign w:val="bottom"/>
            <w:shd w:val="clear" w:color="auto" w:fill="F3F3F1"/>
          </w:tcPr>
          <w:p>
            <w:pPr>
              <w:spacing w:after="0"/>
              <w:rPr>
                <w:sz w:val="24"/>
                <w:szCs w:val="24"/>
                <w:color w:val="auto"/>
              </w:rPr>
            </w:pPr>
          </w:p>
        </w:tc>
        <w:tc>
          <w:tcPr>
            <w:tcW w:w="780" w:type="dxa"/>
            <w:vAlign w:val="bottom"/>
            <w:shd w:val="clear" w:color="auto" w:fill="F3F3F1"/>
          </w:tcPr>
          <w:p>
            <w:pPr>
              <w:spacing w:after="0"/>
              <w:rPr>
                <w:sz w:val="24"/>
                <w:szCs w:val="24"/>
                <w:color w:val="auto"/>
              </w:rPr>
            </w:pPr>
          </w:p>
        </w:tc>
        <w:tc>
          <w:tcPr>
            <w:tcW w:w="2740" w:type="dxa"/>
            <w:vAlign w:val="bottom"/>
            <w:shd w:val="clear" w:color="auto" w:fill="F3F3F1"/>
          </w:tcPr>
          <w:p>
            <w:pPr>
              <w:spacing w:after="0"/>
              <w:rPr>
                <w:sz w:val="24"/>
                <w:szCs w:val="24"/>
                <w:color w:val="auto"/>
              </w:rPr>
            </w:pPr>
          </w:p>
        </w:tc>
        <w:tc>
          <w:tcPr>
            <w:tcW w:w="800" w:type="dxa"/>
            <w:vAlign w:val="bottom"/>
            <w:shd w:val="clear" w:color="auto" w:fill="F3F3F1"/>
          </w:tcPr>
          <w:p>
            <w:pPr>
              <w:spacing w:after="0"/>
              <w:rPr>
                <w:sz w:val="24"/>
                <w:szCs w:val="24"/>
                <w:color w:val="auto"/>
              </w:rPr>
            </w:pPr>
          </w:p>
        </w:tc>
        <w:tc>
          <w:tcPr>
            <w:tcW w:w="1300" w:type="dxa"/>
            <w:vAlign w:val="bottom"/>
            <w:shd w:val="clear" w:color="auto" w:fill="F3F3F1"/>
          </w:tcPr>
          <w:p>
            <w:pPr>
              <w:spacing w:after="0"/>
              <w:rPr>
                <w:sz w:val="24"/>
                <w:szCs w:val="24"/>
                <w:color w:val="auto"/>
              </w:rPr>
            </w:pPr>
          </w:p>
        </w:tc>
      </w:tr>
      <w:tr>
        <w:trPr>
          <w:trHeight w:val="67"/>
        </w:trPr>
        <w:tc>
          <w:tcPr>
            <w:tcW w:w="340" w:type="dxa"/>
            <w:vAlign w:val="bottom"/>
            <w:tcBorders>
              <w:bottom w:val="single" w:sz="8" w:color="F3F3F1"/>
            </w:tcBorders>
            <w:shd w:val="clear" w:color="auto" w:fill="F3F3F1"/>
          </w:tcPr>
          <w:p>
            <w:pPr>
              <w:spacing w:after="0"/>
              <w:rPr>
                <w:sz w:val="5"/>
                <w:szCs w:val="5"/>
                <w:color w:val="auto"/>
              </w:rPr>
            </w:pPr>
          </w:p>
        </w:tc>
        <w:tc>
          <w:tcPr>
            <w:tcW w:w="180" w:type="dxa"/>
            <w:vAlign w:val="bottom"/>
            <w:shd w:val="clear" w:color="auto" w:fill="F3F3F1"/>
          </w:tcPr>
          <w:p>
            <w:pPr>
              <w:spacing w:after="0"/>
              <w:rPr>
                <w:sz w:val="5"/>
                <w:szCs w:val="5"/>
                <w:color w:val="auto"/>
              </w:rPr>
            </w:pPr>
          </w:p>
        </w:tc>
        <w:tc>
          <w:tcPr>
            <w:tcW w:w="3780" w:type="dxa"/>
            <w:vAlign w:val="bottom"/>
            <w:shd w:val="clear" w:color="auto" w:fill="F3F3F1"/>
          </w:tcPr>
          <w:p>
            <w:pPr>
              <w:spacing w:after="0"/>
              <w:rPr>
                <w:sz w:val="5"/>
                <w:szCs w:val="5"/>
                <w:color w:val="auto"/>
              </w:rPr>
            </w:pPr>
          </w:p>
        </w:tc>
        <w:tc>
          <w:tcPr>
            <w:tcW w:w="160" w:type="dxa"/>
            <w:vAlign w:val="bottom"/>
            <w:shd w:val="clear" w:color="auto" w:fill="F3F3F1"/>
          </w:tcPr>
          <w:p>
            <w:pPr>
              <w:spacing w:after="0"/>
              <w:rPr>
                <w:sz w:val="5"/>
                <w:szCs w:val="5"/>
                <w:color w:val="auto"/>
              </w:rPr>
            </w:pPr>
          </w:p>
        </w:tc>
        <w:tc>
          <w:tcPr>
            <w:tcW w:w="780" w:type="dxa"/>
            <w:vAlign w:val="bottom"/>
            <w:tcBorders>
              <w:bottom w:val="single" w:sz="8" w:color="F3F3F1"/>
            </w:tcBorders>
            <w:shd w:val="clear" w:color="auto" w:fill="F3F3F1"/>
          </w:tcPr>
          <w:p>
            <w:pPr>
              <w:spacing w:after="0"/>
              <w:rPr>
                <w:sz w:val="5"/>
                <w:szCs w:val="5"/>
                <w:color w:val="auto"/>
              </w:rPr>
            </w:pPr>
          </w:p>
        </w:tc>
        <w:tc>
          <w:tcPr>
            <w:tcW w:w="2740" w:type="dxa"/>
            <w:vAlign w:val="bottom"/>
            <w:tcBorders>
              <w:bottom w:val="single" w:sz="8" w:color="F3F3F1"/>
            </w:tcBorders>
            <w:shd w:val="clear" w:color="auto" w:fill="F3F3F1"/>
          </w:tcPr>
          <w:p>
            <w:pPr>
              <w:spacing w:after="0"/>
              <w:rPr>
                <w:sz w:val="5"/>
                <w:szCs w:val="5"/>
                <w:color w:val="auto"/>
              </w:rPr>
            </w:pPr>
          </w:p>
        </w:tc>
        <w:tc>
          <w:tcPr>
            <w:tcW w:w="800" w:type="dxa"/>
            <w:vAlign w:val="bottom"/>
            <w:tcBorders>
              <w:bottom w:val="single" w:sz="8" w:color="F3F3F1"/>
            </w:tcBorders>
            <w:shd w:val="clear" w:color="auto" w:fill="F3F3F1"/>
          </w:tcPr>
          <w:p>
            <w:pPr>
              <w:spacing w:after="0"/>
              <w:rPr>
                <w:sz w:val="5"/>
                <w:szCs w:val="5"/>
                <w:color w:val="auto"/>
              </w:rPr>
            </w:pPr>
          </w:p>
        </w:tc>
        <w:tc>
          <w:tcPr>
            <w:tcW w:w="1300" w:type="dxa"/>
            <w:vAlign w:val="bottom"/>
            <w:tcBorders>
              <w:bottom w:val="single" w:sz="8" w:color="F3F3F1"/>
            </w:tcBorders>
            <w:shd w:val="clear" w:color="auto" w:fill="F3F3F1"/>
          </w:tcPr>
          <w:p>
            <w:pPr>
              <w:spacing w:after="0"/>
              <w:rPr>
                <w:sz w:val="5"/>
                <w:szCs w:val="5"/>
                <w:color w:val="auto"/>
              </w:rPr>
            </w:pPr>
          </w:p>
        </w:tc>
      </w:tr>
      <w:tr>
        <w:trPr>
          <w:trHeight w:val="240"/>
        </w:trPr>
        <w:tc>
          <w:tcPr>
            <w:tcW w:w="34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7RSSULRULW\SURJUDPV</w:t>
            </w:r>
            <w:r>
              <w:rPr>
                <w:rFonts w:ascii="PMingLiU" w:cs="PMingLiU" w:eastAsia="PMingLiU" w:hAnsi="PMingLiU"/>
                <w:sz w:val="20"/>
                <w:szCs w:val="20"/>
                <w:color w:val="auto"/>
                <w:vertAlign w:val="superscript"/>
              </w:rPr>
              <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Pr>
          <w:p>
            <w:pPr>
              <w:ind w:left="260"/>
              <w:spacing w:after="0"/>
              <w:rPr>
                <w:sz w:val="20"/>
                <w:szCs w:val="20"/>
                <w:color w:val="auto"/>
              </w:rPr>
            </w:pPr>
            <w:r>
              <w:rPr>
                <w:rFonts w:ascii="PMingLiU" w:cs="PMingLiU" w:eastAsia="PMingLiU" w:hAnsi="PMingLiU"/>
                <w:sz w:val="16"/>
                <w:szCs w:val="16"/>
                <w:color w:val="auto"/>
              </w:rPr>
              <w:t>$ERYHWDUJHWDFKLHYHGRI</w:t>
            </w:r>
          </w:p>
        </w:tc>
        <w:tc>
          <w:tcPr>
            <w:tcW w:w="8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88"/>
        </w:trPr>
        <w:tc>
          <w:tcPr>
            <w:tcW w:w="340" w:type="dxa"/>
            <w:vAlign w:val="bottom"/>
            <w:tcBorders>
              <w:bottom w:val="single" w:sz="8" w:color="4454A7"/>
            </w:tcBorders>
          </w:tcPr>
          <w:p>
            <w:pPr>
              <w:spacing w:after="0"/>
              <w:rPr>
                <w:sz w:val="24"/>
                <w:szCs w:val="24"/>
                <w:color w:val="auto"/>
              </w:rPr>
            </w:pPr>
          </w:p>
        </w:tc>
        <w:tc>
          <w:tcPr>
            <w:tcW w:w="180" w:type="dxa"/>
            <w:vAlign w:val="bottom"/>
            <w:tcBorders>
              <w:bottom w:val="single" w:sz="8" w:color="4454A7"/>
            </w:tcBorders>
          </w:tcPr>
          <w:p>
            <w:pPr>
              <w:spacing w:after="0"/>
              <w:rPr>
                <w:sz w:val="24"/>
                <w:szCs w:val="24"/>
                <w:color w:val="auto"/>
              </w:rPr>
            </w:pPr>
          </w:p>
        </w:tc>
        <w:tc>
          <w:tcPr>
            <w:tcW w:w="3780" w:type="dxa"/>
            <w:vAlign w:val="bottom"/>
            <w:tcBorders>
              <w:bottom w:val="single" w:sz="8" w:color="4454A7"/>
            </w:tcBorders>
          </w:tcPr>
          <w:p>
            <w:pPr>
              <w:spacing w:after="0"/>
              <w:rPr>
                <w:sz w:val="24"/>
                <w:szCs w:val="24"/>
                <w:color w:val="auto"/>
              </w:rPr>
            </w:pPr>
          </w:p>
        </w:tc>
        <w:tc>
          <w:tcPr>
            <w:tcW w:w="160" w:type="dxa"/>
            <w:vAlign w:val="bottom"/>
            <w:tcBorders>
              <w:bottom w:val="single" w:sz="8" w:color="4454A7"/>
            </w:tcBorders>
          </w:tcPr>
          <w:p>
            <w:pPr>
              <w:spacing w:after="0"/>
              <w:rPr>
                <w:sz w:val="24"/>
                <w:szCs w:val="24"/>
                <w:color w:val="auto"/>
              </w:rPr>
            </w:pPr>
          </w:p>
        </w:tc>
        <w:tc>
          <w:tcPr>
            <w:tcW w:w="780" w:type="dxa"/>
            <w:vAlign w:val="bottom"/>
            <w:tcBorders>
              <w:bottom w:val="single" w:sz="8" w:color="4454A7"/>
            </w:tcBorders>
          </w:tcPr>
          <w:p>
            <w:pPr>
              <w:spacing w:after="0"/>
              <w:rPr>
                <w:sz w:val="24"/>
                <w:szCs w:val="24"/>
                <w:color w:val="auto"/>
              </w:rPr>
            </w:pPr>
          </w:p>
        </w:tc>
        <w:tc>
          <w:tcPr>
            <w:tcW w:w="2740" w:type="dxa"/>
            <w:vAlign w:val="bottom"/>
            <w:tcBorders>
              <w:bottom w:val="single" w:sz="8" w:color="4454A7"/>
            </w:tcBorders>
          </w:tcPr>
          <w:p>
            <w:pPr>
              <w:ind w:left="260"/>
              <w:spacing w:after="0"/>
              <w:rPr>
                <w:sz w:val="20"/>
                <w:szCs w:val="20"/>
                <w:color w:val="auto"/>
              </w:rPr>
            </w:pPr>
            <w:r>
              <w:rPr>
                <w:rFonts w:ascii="PMingLiU" w:cs="PMingLiU" w:eastAsia="PMingLiU" w:hAnsi="PMingLiU"/>
                <w:sz w:val="16"/>
                <w:szCs w:val="16"/>
                <w:color w:val="auto"/>
              </w:rPr>
              <w:t>WDUJHWV</w:t>
            </w:r>
            <w:r>
              <w:rPr>
                <w:rFonts w:ascii="PMingLiU" w:cs="PMingLiU" w:eastAsia="PMingLiU" w:hAnsi="PMingLiU"/>
                <w:sz w:val="20"/>
                <w:szCs w:val="20"/>
                <w:color w:val="auto"/>
                <w:vertAlign w:val="superscript"/>
              </w:rPr>
              <w:t/>
            </w:r>
          </w:p>
        </w:tc>
        <w:tc>
          <w:tcPr>
            <w:tcW w:w="800" w:type="dxa"/>
            <w:vAlign w:val="bottom"/>
            <w:tcBorders>
              <w:bottom w:val="single" w:sz="8" w:color="4454A7"/>
            </w:tcBorders>
          </w:tcPr>
          <w:p>
            <w:pPr>
              <w:spacing w:after="0"/>
              <w:rPr>
                <w:sz w:val="24"/>
                <w:szCs w:val="24"/>
                <w:color w:val="auto"/>
              </w:rPr>
            </w:pPr>
          </w:p>
        </w:tc>
        <w:tc>
          <w:tcPr>
            <w:tcW w:w="1300" w:type="dxa"/>
            <w:vAlign w:val="bottom"/>
            <w:tcBorders>
              <w:bottom w:val="single" w:sz="8" w:color="4454A7"/>
            </w:tcBorders>
          </w:tcPr>
          <w:p>
            <w:pPr>
              <w:spacing w:after="0"/>
              <w:rPr>
                <w:sz w:val="24"/>
                <w:szCs w:val="24"/>
                <w:color w:val="auto"/>
              </w:rPr>
            </w:pPr>
          </w:p>
        </w:tc>
      </w:tr>
      <w:tr>
        <w:trPr>
          <w:trHeight w:val="247"/>
        </w:trPr>
        <w:tc>
          <w:tcPr>
            <w:tcW w:w="34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Pr>
          <w:p>
            <w:pPr>
              <w:ind w:left="60"/>
              <w:spacing w:after="0"/>
              <w:rPr>
                <w:sz w:val="20"/>
                <w:szCs w:val="20"/>
                <w:color w:val="auto"/>
              </w:rPr>
            </w:pPr>
            <w:r>
              <w:rPr>
                <w:rFonts w:ascii="PMingLiU" w:cs="PMingLiU" w:eastAsia="PMingLiU" w:hAnsi="PMingLiU"/>
                <w:sz w:val="16"/>
                <w:szCs w:val="16"/>
                <w:color w:val="auto"/>
              </w:rPr>
              <w:t>2WKHUSURJUDPV</w:t>
            </w:r>
            <w:r>
              <w:rPr>
                <w:rFonts w:ascii="PMingLiU" w:cs="PMingLiU" w:eastAsia="PMingLiU" w:hAnsi="PMingLiU"/>
                <w:sz w:val="20"/>
                <w:szCs w:val="20"/>
                <w:color w:val="auto"/>
                <w:vertAlign w:val="superscript"/>
              </w:rPr>
              <w:t/>
            </w:r>
          </w:p>
        </w:tc>
        <w:tc>
          <w:tcPr>
            <w:tcW w:w="9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Pr>
          <w:p>
            <w:pPr>
              <w:ind w:left="260"/>
              <w:spacing w:after="0"/>
              <w:rPr>
                <w:sz w:val="20"/>
                <w:szCs w:val="20"/>
                <w:color w:val="auto"/>
              </w:rPr>
            </w:pPr>
            <w:r>
              <w:rPr>
                <w:rFonts w:ascii="PMingLiU" w:cs="PMingLiU" w:eastAsia="PMingLiU" w:hAnsi="PMingLiU"/>
                <w:sz w:val="16"/>
                <w:szCs w:val="16"/>
                <w:color w:val="auto"/>
              </w:rPr>
              <w:t>0D[LPXPWDUJHWDFKLHYHGRI</w:t>
            </w:r>
          </w:p>
        </w:tc>
        <w:tc>
          <w:tcPr>
            <w:tcW w:w="8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89"/>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ind w:left="260"/>
              <w:spacing w:after="0"/>
              <w:rPr>
                <w:sz w:val="20"/>
                <w:szCs w:val="20"/>
                <w:color w:val="auto"/>
              </w:rPr>
            </w:pPr>
            <w:r>
              <w:rPr>
                <w:rFonts w:ascii="PMingLiU" w:cs="PMingLiU" w:eastAsia="PMingLiU" w:hAnsi="PMingLiU"/>
                <w:sz w:val="16"/>
                <w:szCs w:val="16"/>
                <w:color w:val="auto"/>
              </w:rPr>
              <w:t>WDUJHWV</w:t>
            </w:r>
            <w:r>
              <w:rPr>
                <w:rFonts w:ascii="PMingLiU" w:cs="PMingLiU" w:eastAsia="PMingLiU" w:hAnsi="PMingLiU"/>
                <w:sz w:val="20"/>
                <w:szCs w:val="20"/>
                <w:color w:val="auto"/>
                <w:vertAlign w:val="superscript"/>
              </w:rPr>
              <w:t/>
            </w: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8"/>
        </w:trPr>
        <w:tc>
          <w:tcPr>
            <w:tcW w:w="4300" w:type="dxa"/>
            <w:vAlign w:val="bottom"/>
            <w:gridSpan w:val="3"/>
            <w:shd w:val="clear" w:color="auto" w:fill="F3F3F1"/>
          </w:tcPr>
          <w:p>
            <w:pPr>
              <w:ind w:left="100"/>
              <w:spacing w:after="0"/>
              <w:rPr>
                <w:sz w:val="20"/>
                <w:szCs w:val="20"/>
                <w:color w:val="auto"/>
              </w:rPr>
            </w:pPr>
            <w:r>
              <w:rPr>
                <w:rFonts w:ascii="PMingLiU" w:cs="PMingLiU" w:eastAsia="PMingLiU" w:hAnsi="PMingLiU"/>
                <w:sz w:val="16"/>
                <w:szCs w:val="16"/>
                <w:b w:val="1"/>
                <w:bCs w:val="1"/>
                <w:color w:val="4454A7"/>
              </w:rPr>
              <w:t>  75$16)250$7,21</w:t>
            </w:r>
          </w:p>
        </w:tc>
        <w:tc>
          <w:tcPr>
            <w:tcW w:w="160" w:type="dxa"/>
            <w:vAlign w:val="bottom"/>
            <w:shd w:val="clear" w:color="auto" w:fill="F3F3F1"/>
          </w:tcPr>
          <w:p>
            <w:pPr>
              <w:spacing w:after="0"/>
              <w:rPr>
                <w:sz w:val="24"/>
                <w:szCs w:val="24"/>
                <w:color w:val="auto"/>
              </w:rPr>
            </w:pPr>
          </w:p>
        </w:tc>
        <w:tc>
          <w:tcPr>
            <w:tcW w:w="780" w:type="dxa"/>
            <w:vAlign w:val="bottom"/>
            <w:shd w:val="clear" w:color="auto" w:fill="F3F3F1"/>
          </w:tcPr>
          <w:p>
            <w:pPr>
              <w:spacing w:after="0"/>
              <w:rPr>
                <w:sz w:val="24"/>
                <w:szCs w:val="24"/>
                <w:color w:val="auto"/>
              </w:rPr>
            </w:pPr>
          </w:p>
        </w:tc>
        <w:tc>
          <w:tcPr>
            <w:tcW w:w="2740" w:type="dxa"/>
            <w:vAlign w:val="bottom"/>
            <w:shd w:val="clear" w:color="auto" w:fill="F3F3F1"/>
          </w:tcPr>
          <w:p>
            <w:pPr>
              <w:spacing w:after="0"/>
              <w:rPr>
                <w:sz w:val="24"/>
                <w:szCs w:val="24"/>
                <w:color w:val="auto"/>
              </w:rPr>
            </w:pPr>
          </w:p>
        </w:tc>
        <w:tc>
          <w:tcPr>
            <w:tcW w:w="800" w:type="dxa"/>
            <w:vAlign w:val="bottom"/>
            <w:shd w:val="clear" w:color="auto" w:fill="F3F3F1"/>
          </w:tcPr>
          <w:p>
            <w:pPr>
              <w:spacing w:after="0"/>
              <w:rPr>
                <w:sz w:val="24"/>
                <w:szCs w:val="24"/>
                <w:color w:val="auto"/>
              </w:rPr>
            </w:pPr>
          </w:p>
        </w:tc>
        <w:tc>
          <w:tcPr>
            <w:tcW w:w="1300" w:type="dxa"/>
            <w:vAlign w:val="bottom"/>
            <w:shd w:val="clear" w:color="auto" w:fill="F3F3F1"/>
          </w:tcPr>
          <w:p>
            <w:pPr>
              <w:spacing w:after="0"/>
              <w:rPr>
                <w:sz w:val="24"/>
                <w:szCs w:val="24"/>
                <w:color w:val="auto"/>
              </w:rPr>
            </w:pPr>
          </w:p>
        </w:tc>
      </w:tr>
      <w:tr>
        <w:trPr>
          <w:trHeight w:val="67"/>
        </w:trPr>
        <w:tc>
          <w:tcPr>
            <w:tcW w:w="340" w:type="dxa"/>
            <w:vAlign w:val="bottom"/>
            <w:shd w:val="clear" w:color="auto" w:fill="F3F3F1"/>
          </w:tcPr>
          <w:p>
            <w:pPr>
              <w:spacing w:after="0"/>
              <w:rPr>
                <w:sz w:val="5"/>
                <w:szCs w:val="5"/>
                <w:color w:val="auto"/>
              </w:rPr>
            </w:pPr>
          </w:p>
        </w:tc>
        <w:tc>
          <w:tcPr>
            <w:tcW w:w="180" w:type="dxa"/>
            <w:vAlign w:val="bottom"/>
            <w:shd w:val="clear" w:color="auto" w:fill="F3F3F1"/>
          </w:tcPr>
          <w:p>
            <w:pPr>
              <w:spacing w:after="0"/>
              <w:rPr>
                <w:sz w:val="5"/>
                <w:szCs w:val="5"/>
                <w:color w:val="auto"/>
              </w:rPr>
            </w:pPr>
          </w:p>
        </w:tc>
        <w:tc>
          <w:tcPr>
            <w:tcW w:w="3780" w:type="dxa"/>
            <w:vAlign w:val="bottom"/>
            <w:shd w:val="clear" w:color="auto" w:fill="F3F3F1"/>
          </w:tcPr>
          <w:p>
            <w:pPr>
              <w:spacing w:after="0"/>
              <w:rPr>
                <w:sz w:val="5"/>
                <w:szCs w:val="5"/>
                <w:color w:val="auto"/>
              </w:rPr>
            </w:pPr>
          </w:p>
        </w:tc>
        <w:tc>
          <w:tcPr>
            <w:tcW w:w="940" w:type="dxa"/>
            <w:vAlign w:val="bottom"/>
            <w:gridSpan w:val="2"/>
            <w:shd w:val="clear" w:color="auto" w:fill="F3F3F1"/>
          </w:tcPr>
          <w:p>
            <w:pPr>
              <w:spacing w:after="0"/>
              <w:rPr>
                <w:sz w:val="5"/>
                <w:szCs w:val="5"/>
                <w:color w:val="auto"/>
              </w:rPr>
            </w:pPr>
          </w:p>
        </w:tc>
        <w:tc>
          <w:tcPr>
            <w:tcW w:w="2740" w:type="dxa"/>
            <w:vAlign w:val="bottom"/>
            <w:shd w:val="clear" w:color="auto" w:fill="F3F3F1"/>
          </w:tcPr>
          <w:p>
            <w:pPr>
              <w:spacing w:after="0"/>
              <w:rPr>
                <w:sz w:val="5"/>
                <w:szCs w:val="5"/>
                <w:color w:val="auto"/>
              </w:rPr>
            </w:pPr>
          </w:p>
        </w:tc>
        <w:tc>
          <w:tcPr>
            <w:tcW w:w="800" w:type="dxa"/>
            <w:vAlign w:val="bottom"/>
            <w:shd w:val="clear" w:color="auto" w:fill="F3F3F1"/>
          </w:tcPr>
          <w:p>
            <w:pPr>
              <w:spacing w:after="0"/>
              <w:rPr>
                <w:sz w:val="5"/>
                <w:szCs w:val="5"/>
                <w:color w:val="auto"/>
              </w:rPr>
            </w:pPr>
          </w:p>
        </w:tc>
        <w:tc>
          <w:tcPr>
            <w:tcW w:w="1300" w:type="dxa"/>
            <w:vAlign w:val="bottom"/>
            <w:shd w:val="clear" w:color="auto" w:fill="F3F3F1"/>
          </w:tcPr>
          <w:p>
            <w:pPr>
              <w:spacing w:after="0"/>
              <w:rPr>
                <w:sz w:val="5"/>
                <w:szCs w:val="5"/>
                <w:color w:val="auto"/>
              </w:rPr>
            </w:pPr>
          </w:p>
        </w:tc>
      </w:tr>
      <w:tr>
        <w:trPr>
          <w:trHeight w:val="354"/>
        </w:trPr>
        <w:tc>
          <w:tcPr>
            <w:tcW w:w="340" w:type="dxa"/>
            <w:vAlign w:val="bottom"/>
            <w:tcBorders>
              <w:bottom w:val="single" w:sz="8" w:color="4454A7"/>
            </w:tcBorders>
          </w:tcPr>
          <w:p>
            <w:pPr>
              <w:spacing w:after="0"/>
              <w:rPr>
                <w:sz w:val="24"/>
                <w:szCs w:val="24"/>
                <w:color w:val="auto"/>
              </w:rPr>
            </w:pPr>
          </w:p>
        </w:tc>
        <w:tc>
          <w:tcPr>
            <w:tcW w:w="180" w:type="dxa"/>
            <w:vAlign w:val="bottom"/>
            <w:tcBorders>
              <w:bottom w:val="single" w:sz="8" w:color="4454A7"/>
            </w:tcBorders>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Borders>
              <w:bottom w:val="single" w:sz="8" w:color="4454A7"/>
            </w:tcBorders>
          </w:tcPr>
          <w:p>
            <w:pPr>
              <w:ind w:left="60"/>
              <w:spacing w:after="0"/>
              <w:rPr>
                <w:sz w:val="20"/>
                <w:szCs w:val="20"/>
                <w:color w:val="auto"/>
              </w:rPr>
            </w:pPr>
            <w:r>
              <w:rPr>
                <w:rFonts w:ascii="PMingLiU" w:cs="PMingLiU" w:eastAsia="PMingLiU" w:hAnsi="PMingLiU"/>
                <w:sz w:val="16"/>
                <w:szCs w:val="16"/>
                <w:color w:val="auto"/>
              </w:rPr>
              <w:t>&amp;RUSRUDWHGHYHORSPHQWDFWLYLWLHV</w:t>
            </w:r>
            <w:r>
              <w:rPr>
                <w:rFonts w:ascii="PMingLiU" w:cs="PMingLiU" w:eastAsia="PMingLiU" w:hAnsi="PMingLiU"/>
                <w:sz w:val="20"/>
                <w:szCs w:val="20"/>
                <w:color w:val="auto"/>
                <w:vertAlign w:val="superscript"/>
              </w:rPr>
              <w:t/>
            </w:r>
          </w:p>
        </w:tc>
        <w:tc>
          <w:tcPr>
            <w:tcW w:w="940" w:type="dxa"/>
            <w:vAlign w:val="bottom"/>
            <w:tcBorders>
              <w:bottom w:val="single" w:sz="8" w:color="4454A7"/>
            </w:tcBorders>
            <w:gridSpan w:val="2"/>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Borders>
              <w:bottom w:val="single" w:sz="8" w:color="4454A7"/>
            </w:tcBorders>
          </w:tcPr>
          <w:p>
            <w:pPr>
              <w:ind w:left="260"/>
              <w:spacing w:after="0"/>
              <w:rPr>
                <w:sz w:val="20"/>
                <w:szCs w:val="20"/>
                <w:color w:val="auto"/>
              </w:rPr>
            </w:pPr>
            <w:r>
              <w:rPr>
                <w:rFonts w:ascii="PMingLiU" w:cs="PMingLiU" w:eastAsia="PMingLiU" w:hAnsi="PMingLiU"/>
                <w:sz w:val="16"/>
                <w:szCs w:val="16"/>
                <w:color w:val="auto"/>
              </w:rPr>
              <w:t>$ERYHWDUJHW</w:t>
            </w:r>
            <w:r>
              <w:rPr>
                <w:rFonts w:ascii="PMingLiU" w:cs="PMingLiU" w:eastAsia="PMingLiU" w:hAnsi="PMingLiU"/>
                <w:sz w:val="20"/>
                <w:szCs w:val="20"/>
                <w:color w:val="auto"/>
                <w:vertAlign w:val="superscript"/>
              </w:rPr>
              <w:t/>
            </w:r>
          </w:p>
        </w:tc>
        <w:tc>
          <w:tcPr>
            <w:tcW w:w="80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color w:val="auto"/>
              </w:rPr>
              <w:t/>
            </w:r>
          </w:p>
        </w:tc>
      </w:tr>
      <w:tr>
        <w:trPr>
          <w:trHeight w:val="336"/>
        </w:trPr>
        <w:tc>
          <w:tcPr>
            <w:tcW w:w="340" w:type="dxa"/>
            <w:vAlign w:val="bottom"/>
            <w:tcBorders>
              <w:bottom w:val="single" w:sz="8" w:color="5C004D"/>
            </w:tcBorders>
          </w:tcPr>
          <w:p>
            <w:pPr>
              <w:spacing w:after="0"/>
              <w:rPr>
                <w:sz w:val="24"/>
                <w:szCs w:val="24"/>
                <w:color w:val="auto"/>
              </w:rPr>
            </w:pPr>
          </w:p>
        </w:tc>
        <w:tc>
          <w:tcPr>
            <w:tcW w:w="180" w:type="dxa"/>
            <w:vAlign w:val="bottom"/>
            <w:tcBorders>
              <w:bottom w:val="single" w:sz="8" w:color="5C004D"/>
            </w:tcBorders>
          </w:tcPr>
          <w:p>
            <w:pPr>
              <w:ind w:left="60"/>
              <w:spacing w:after="0"/>
              <w:rPr>
                <w:sz w:val="20"/>
                <w:szCs w:val="20"/>
                <w:color w:val="auto"/>
              </w:rPr>
            </w:pPr>
            <w:r>
              <w:rPr>
                <w:rFonts w:ascii="PMingLiU" w:cs="PMingLiU" w:eastAsia="PMingLiU" w:hAnsi="PMingLiU"/>
                <w:sz w:val="16"/>
                <w:szCs w:val="16"/>
                <w:b w:val="1"/>
                <w:bCs w:val="1"/>
                <w:color w:val="4454A7"/>
              </w:rPr>
              <w:t></w:t>
            </w:r>
          </w:p>
        </w:tc>
        <w:tc>
          <w:tcPr>
            <w:tcW w:w="3780" w:type="dxa"/>
            <w:vAlign w:val="bottom"/>
            <w:tcBorders>
              <w:bottom w:val="single" w:sz="8" w:color="5C004D"/>
            </w:tcBorders>
          </w:tcPr>
          <w:p>
            <w:pPr>
              <w:ind w:left="60"/>
              <w:spacing w:after="0"/>
              <w:rPr>
                <w:sz w:val="20"/>
                <w:szCs w:val="20"/>
                <w:color w:val="auto"/>
              </w:rPr>
            </w:pPr>
            <w:r>
              <w:rPr>
                <w:rFonts w:ascii="PMingLiU" w:cs="PMingLiU" w:eastAsia="PMingLiU" w:hAnsi="PMingLiU"/>
                <w:sz w:val="16"/>
                <w:szCs w:val="16"/>
                <w:color w:val="auto"/>
              </w:rPr>
              <w:t>+LJKSHUIRUPDQFHRUJDQL]DWLRQPHWULFV</w:t>
            </w:r>
            <w:r>
              <w:rPr>
                <w:rFonts w:ascii="PMingLiU" w:cs="PMingLiU" w:eastAsia="PMingLiU" w:hAnsi="PMingLiU"/>
                <w:sz w:val="20"/>
                <w:szCs w:val="20"/>
                <w:color w:val="auto"/>
                <w:vertAlign w:val="superscript"/>
              </w:rPr>
              <w:t/>
            </w:r>
          </w:p>
        </w:tc>
        <w:tc>
          <w:tcPr>
            <w:tcW w:w="940" w:type="dxa"/>
            <w:vAlign w:val="bottom"/>
            <w:tcBorders>
              <w:bottom w:val="single" w:sz="8" w:color="5C004D"/>
            </w:tcBorders>
            <w:gridSpan w:val="2"/>
          </w:tcPr>
          <w:p>
            <w:pPr>
              <w:jc w:val="right"/>
              <w:spacing w:after="0"/>
              <w:rPr>
                <w:sz w:val="20"/>
                <w:szCs w:val="20"/>
                <w:color w:val="auto"/>
              </w:rPr>
            </w:pPr>
            <w:r>
              <w:rPr>
                <w:rFonts w:ascii="PMingLiU" w:cs="PMingLiU" w:eastAsia="PMingLiU" w:hAnsi="PMingLiU"/>
                <w:sz w:val="16"/>
                <w:szCs w:val="16"/>
                <w:color w:val="auto"/>
              </w:rPr>
              <w:t/>
            </w:r>
          </w:p>
        </w:tc>
        <w:tc>
          <w:tcPr>
            <w:tcW w:w="2740" w:type="dxa"/>
            <w:vAlign w:val="bottom"/>
            <w:tcBorders>
              <w:bottom w:val="single" w:sz="8" w:color="5C004D"/>
            </w:tcBorders>
          </w:tcPr>
          <w:p>
            <w:pPr>
              <w:ind w:left="260"/>
              <w:spacing w:after="0"/>
              <w:rPr>
                <w:sz w:val="20"/>
                <w:szCs w:val="20"/>
                <w:color w:val="auto"/>
              </w:rPr>
            </w:pPr>
            <w:r>
              <w:rPr>
                <w:rFonts w:ascii="PMingLiU" w:cs="PMingLiU" w:eastAsia="PMingLiU" w:hAnsi="PMingLiU"/>
                <w:sz w:val="16"/>
                <w:szCs w:val="16"/>
                <w:color w:val="auto"/>
              </w:rPr>
              <w:t>$FKLHYHGWDUJHW</w:t>
            </w:r>
            <w:r>
              <w:rPr>
                <w:rFonts w:ascii="PMingLiU" w:cs="PMingLiU" w:eastAsia="PMingLiU" w:hAnsi="PMingLiU"/>
                <w:sz w:val="20"/>
                <w:szCs w:val="20"/>
                <w:color w:val="auto"/>
                <w:vertAlign w:val="superscript"/>
              </w:rPr>
              <w:t/>
            </w:r>
          </w:p>
        </w:tc>
        <w:tc>
          <w:tcPr>
            <w:tcW w:w="800" w:type="dxa"/>
            <w:vAlign w:val="bottom"/>
            <w:tcBorders>
              <w:bottom w:val="single" w:sz="8" w:color="5C004D"/>
            </w:tcBorders>
          </w:tcPr>
          <w:p>
            <w:pPr>
              <w:jc w:val="right"/>
              <w:spacing w:after="0"/>
              <w:rPr>
                <w:sz w:val="20"/>
                <w:szCs w:val="20"/>
                <w:color w:val="auto"/>
              </w:rPr>
            </w:pPr>
            <w:r>
              <w:rPr>
                <w:rFonts w:ascii="PMingLiU" w:cs="PMingLiU" w:eastAsia="PMingLiU" w:hAnsi="PMingLiU"/>
                <w:sz w:val="16"/>
                <w:szCs w:val="16"/>
                <w:color w:val="auto"/>
              </w:rPr>
              <w:t/>
            </w:r>
          </w:p>
        </w:tc>
        <w:tc>
          <w:tcPr>
            <w:tcW w:w="130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color w:val="auto"/>
              </w:rPr>
              <w:t/>
            </w:r>
          </w:p>
        </w:tc>
      </w:tr>
      <w:tr>
        <w:trPr>
          <w:trHeight w:val="283"/>
        </w:trPr>
        <w:tc>
          <w:tcPr>
            <w:tcW w:w="4300" w:type="dxa"/>
            <w:vAlign w:val="bottom"/>
            <w:gridSpan w:val="3"/>
          </w:tcPr>
          <w:p>
            <w:pPr>
              <w:ind w:left="100"/>
              <w:spacing w:after="0"/>
              <w:rPr>
                <w:sz w:val="20"/>
                <w:szCs w:val="20"/>
                <w:color w:val="auto"/>
              </w:rPr>
            </w:pPr>
            <w:r>
              <w:rPr>
                <w:rFonts w:ascii="PMingLiU" w:cs="PMingLiU" w:eastAsia="PMingLiU" w:hAnsi="PMingLiU"/>
                <w:sz w:val="16"/>
                <w:szCs w:val="16"/>
                <w:b w:val="1"/>
                <w:bCs w:val="1"/>
                <w:color w:val="5C004D"/>
              </w:rPr>
              <w:t>727$/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PMingLiU" w:cs="PMingLiU" w:eastAsia="PMingLiU" w:hAnsi="PMingLiU"/>
                <w:sz w:val="16"/>
                <w:szCs w:val="16"/>
                <w:b w:val="1"/>
                <w:bCs w:val="1"/>
                <w:color w:val="5C004D"/>
              </w:rPr>
              <w:t/>
            </w:r>
          </w:p>
        </w:tc>
      </w:tr>
      <w:tr>
        <w:trPr>
          <w:trHeight w:val="57"/>
        </w:trPr>
        <w:tc>
          <w:tcPr>
            <w:tcW w:w="340" w:type="dxa"/>
            <w:vAlign w:val="bottom"/>
            <w:tcBorders>
              <w:bottom w:val="single" w:sz="8" w:color="5C004D"/>
            </w:tcBorders>
          </w:tcPr>
          <w:p>
            <w:pPr>
              <w:spacing w:after="0"/>
              <w:rPr>
                <w:sz w:val="4"/>
                <w:szCs w:val="4"/>
                <w:color w:val="auto"/>
              </w:rPr>
            </w:pPr>
          </w:p>
        </w:tc>
        <w:tc>
          <w:tcPr>
            <w:tcW w:w="180" w:type="dxa"/>
            <w:vAlign w:val="bottom"/>
            <w:tcBorders>
              <w:bottom w:val="single" w:sz="8" w:color="5C004D"/>
            </w:tcBorders>
          </w:tcPr>
          <w:p>
            <w:pPr>
              <w:spacing w:after="0"/>
              <w:rPr>
                <w:sz w:val="4"/>
                <w:szCs w:val="4"/>
                <w:color w:val="auto"/>
              </w:rPr>
            </w:pPr>
          </w:p>
        </w:tc>
        <w:tc>
          <w:tcPr>
            <w:tcW w:w="3780" w:type="dxa"/>
            <w:vAlign w:val="bottom"/>
            <w:tcBorders>
              <w:bottom w:val="single" w:sz="8" w:color="5C004D"/>
            </w:tcBorders>
          </w:tcPr>
          <w:p>
            <w:pPr>
              <w:spacing w:after="0"/>
              <w:rPr>
                <w:sz w:val="4"/>
                <w:szCs w:val="4"/>
                <w:color w:val="auto"/>
              </w:rPr>
            </w:pPr>
          </w:p>
        </w:tc>
        <w:tc>
          <w:tcPr>
            <w:tcW w:w="160" w:type="dxa"/>
            <w:vAlign w:val="bottom"/>
            <w:tcBorders>
              <w:bottom w:val="single" w:sz="8" w:color="5C004D"/>
            </w:tcBorders>
          </w:tcPr>
          <w:p>
            <w:pPr>
              <w:spacing w:after="0"/>
              <w:rPr>
                <w:sz w:val="4"/>
                <w:szCs w:val="4"/>
                <w:color w:val="auto"/>
              </w:rPr>
            </w:pPr>
          </w:p>
        </w:tc>
        <w:tc>
          <w:tcPr>
            <w:tcW w:w="780" w:type="dxa"/>
            <w:vAlign w:val="bottom"/>
            <w:tcBorders>
              <w:bottom w:val="single" w:sz="8" w:color="5C004D"/>
            </w:tcBorders>
          </w:tcPr>
          <w:p>
            <w:pPr>
              <w:spacing w:after="0"/>
              <w:rPr>
                <w:sz w:val="4"/>
                <w:szCs w:val="4"/>
                <w:color w:val="auto"/>
              </w:rPr>
            </w:pPr>
          </w:p>
        </w:tc>
        <w:tc>
          <w:tcPr>
            <w:tcW w:w="2740" w:type="dxa"/>
            <w:vAlign w:val="bottom"/>
            <w:tcBorders>
              <w:bottom w:val="single" w:sz="8" w:color="5C004D"/>
            </w:tcBorders>
          </w:tcPr>
          <w:p>
            <w:pPr>
              <w:spacing w:after="0"/>
              <w:rPr>
                <w:sz w:val="4"/>
                <w:szCs w:val="4"/>
                <w:color w:val="auto"/>
              </w:rPr>
            </w:pPr>
          </w:p>
        </w:tc>
        <w:tc>
          <w:tcPr>
            <w:tcW w:w="800" w:type="dxa"/>
            <w:vAlign w:val="bottom"/>
            <w:tcBorders>
              <w:bottom w:val="single" w:sz="8" w:color="5C004D"/>
            </w:tcBorders>
          </w:tcPr>
          <w:p>
            <w:pPr>
              <w:spacing w:after="0"/>
              <w:rPr>
                <w:sz w:val="4"/>
                <w:szCs w:val="4"/>
                <w:color w:val="auto"/>
              </w:rPr>
            </w:pPr>
          </w:p>
        </w:tc>
        <w:tc>
          <w:tcPr>
            <w:tcW w:w="1300" w:type="dxa"/>
            <w:vAlign w:val="bottom"/>
            <w:tcBorders>
              <w:bottom w:val="single" w:sz="8" w:color="5C004D"/>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-1278890</wp:posOffset>
            </wp:positionV>
            <wp:extent cx="6413500" cy="127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85">
                      <a:extLst>
                        <a:ext uri="{28A0092B-C50C-407E-A947-70E740481C1C}"/>
                      </a:extLst>
                    </a:blip>
                    <a:srcRect/>
                    <a:stretch>
                      <a:fillRect/>
                    </a:stretch>
                  </pic:blipFill>
                  <pic:spPr bwMode="auto">
                    <a:xfrm>
                      <a:off x="0" y="0"/>
                      <a:ext cx="6413500" cy="1270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5:,35;4:93(?45::5:(2+;,:585;4+04.</w:t>
      </w:r>
    </w:p>
    <w:p>
      <w:pPr>
        <w:spacing w:after="0" w:line="74" w:lineRule="exact"/>
        <w:rPr>
          <w:sz w:val="20"/>
          <w:szCs w:val="20"/>
          <w:color w:val="auto"/>
        </w:rPr>
      </w:pPr>
    </w:p>
    <w:p>
      <w:pPr>
        <w:ind w:left="360" w:right="340" w:hanging="359"/>
        <w:spacing w:after="0" w:line="307" w:lineRule="auto"/>
        <w:tabs>
          <w:tab w:leader="none" w:pos="340" w:val="left"/>
        </w:tabs>
        <w:rPr>
          <w:sz w:val="20"/>
          <w:szCs w:val="20"/>
          <w:color w:val="auto"/>
        </w:rPr>
      </w:pPr>
      <w:r>
        <w:rPr>
          <w:rFonts w:ascii="PMingLiU" w:cs="PMingLiU" w:eastAsia="PMingLiU" w:hAnsi="PMingLiU"/>
          <w:sz w:val="13"/>
          <w:szCs w:val="13"/>
          <w:color w:val="auto"/>
        </w:rPr>
        <w:t/>
        <w:tab/>
        <w:t>,IWKHVSHFLILHGWKUHVKROGDQQXDOSHUIRUPDQFHOHYHOZDVPHWRIWDUJHWWKHQDSUHHVWDEOLVKHGVFDOHGSHUIRUPDQFHPXOWLSOLHU UDQJLQJIURPWRRIWDUJHWZRXOGEHXVHGWRFDOFXODWHWKHDSSOLFDEOHFRUSRUDWHDFKLHYHPHQWSHUFHQWDJHDWWULEXWDEOHWRVXFK</w:t>
      </w:r>
    </w:p>
    <w:p>
      <w:pPr>
        <w:spacing w:after="0" w:line="1" w:lineRule="exact"/>
        <w:rPr>
          <w:sz w:val="20"/>
          <w:szCs w:val="20"/>
          <w:color w:val="auto"/>
        </w:rPr>
      </w:pPr>
    </w:p>
    <w:p>
      <w:pPr>
        <w:ind w:left="360" w:right="140"/>
        <w:spacing w:after="0" w:line="316" w:lineRule="auto"/>
        <w:rPr>
          <w:sz w:val="20"/>
          <w:szCs w:val="20"/>
          <w:color w:val="auto"/>
        </w:rPr>
      </w:pPr>
      <w:r>
        <w:rPr>
          <w:rFonts w:ascii="PMingLiU" w:cs="PMingLiU" w:eastAsia="PMingLiU" w:hAnsi="PMingLiU"/>
          <w:sz w:val="13"/>
          <w:szCs w:val="13"/>
          <w:color w:val="auto"/>
        </w:rPr>
        <w:t>REMHFWLYH7KHSHUIRUPDQFHPXOWLSOLHUZRXOGEH]HURLISHUIRUPDQFHZDVEHORZWKHDSSOLFDEOHWKUHVKROGOHYHODQGLISHUIRUPDQFH H[FHHGHGWKHDSSOLFDEOHWKUHVKROGOHYHOWKHSHUIRUPDQFHPXOWLSOLHUVFDOHGXVLQJWKHSUHHVWDEOLVKHGSHUIRUPDQFHFXUYHXSWRWKH DSSOLFDEOHPD[LPXPOHYHO7KHSHUIRUPDQFHPXOWLSOLHUZDVFDSSHGDERYHWKHVSHFLILHGPD[LPXPSHUIRUPDQFHOHYHORIWDUJHWIRU HDFKJRDO7KHFDSSHGSD\RXWIRUFRPPHUFLDOJRDOVLQWRWDOLW\ZDV</w:t>
      </w:r>
    </w:p>
    <w:p>
      <w:pPr>
        <w:spacing w:after="0" w:line="21" w:lineRule="exact"/>
        <w:rPr>
          <w:sz w:val="20"/>
          <w:szCs w:val="20"/>
          <w:color w:val="auto"/>
        </w:rPr>
      </w:pPr>
    </w:p>
    <w:p>
      <w:pPr>
        <w:jc w:val="both"/>
        <w:ind w:left="360" w:right="40" w:hanging="359"/>
        <w:spacing w:after="0" w:line="339" w:lineRule="auto"/>
        <w:tabs>
          <w:tab w:leader="none" w:pos="340" w:val="left"/>
        </w:tabs>
        <w:rPr>
          <w:sz w:val="20"/>
          <w:szCs w:val="20"/>
          <w:color w:val="auto"/>
        </w:rPr>
      </w:pPr>
      <w:r>
        <w:rPr>
          <w:rFonts w:ascii="PMingLiU" w:cs="PMingLiU" w:eastAsia="PMingLiU" w:hAnsi="PMingLiU"/>
          <w:sz w:val="13"/>
          <w:szCs w:val="13"/>
          <w:color w:val="auto"/>
        </w:rPr>
        <w:t/>
        <w:tab/>
        <w:t>;\ZDYQHWSURGXFWVDOHVZHUHXQDIIHFWHGE\IRUHLJQFXUUHQF\H[FKDQJHUDWHVDQGZHUHRWKHUZLVHQRWDGMXVWHGIRUSXUSRVHVRIFDOFXODWLQJ WKHSHUIRUPDQFHDFKLHYHPHQWOHYHODQGWKHSHUIRUPDQFHPXOWLSOLHU7KH;\ZDYQHWSURGXFWVDOHVREMHFWLYHKDGDILQDOPXOWLSOLHURI ZLWKDSD\RXWRI</w:t>
      </w:r>
    </w:p>
    <w:p>
      <w:pPr>
        <w:spacing w:after="0" w:line="5" w:lineRule="exact"/>
        <w:rPr>
          <w:sz w:val="20"/>
          <w:szCs w:val="20"/>
          <w:color w:val="auto"/>
        </w:rPr>
      </w:pPr>
    </w:p>
    <w:p>
      <w:pPr>
        <w:ind w:left="360" w:right="40" w:hanging="359"/>
        <w:spacing w:after="0" w:line="323" w:lineRule="auto"/>
        <w:tabs>
          <w:tab w:leader="none" w:pos="340" w:val="left"/>
        </w:tabs>
        <w:rPr>
          <w:sz w:val="20"/>
          <w:szCs w:val="20"/>
          <w:color w:val="auto"/>
        </w:rPr>
      </w:pPr>
      <w:r>
        <w:rPr>
          <w:rFonts w:ascii="PMingLiU" w:cs="PMingLiU" w:eastAsia="PMingLiU" w:hAnsi="PMingLiU"/>
          <w:sz w:val="13"/>
          <w:szCs w:val="13"/>
          <w:color w:val="auto"/>
        </w:rPr>
        <w:t/>
        <w:tab/>
        <w:t>7RFDOFXODWHWKHSHUIRUPDQFHDFKLHYHPHQWOHYHODQGWKHSHUIRUPDQFHPXOWLSOLHURXU*$$3UHSRUWHGFRPELQHG(SLGLROH[(SLG\ROH[DQG RQFRORJ\QHWSURGXFWVDOHVRIPLOOLRQZHUHDGMXVWHGWRPLOOLRQZKLFKERWKH[FOXGHGQHWSURGXFWVDOHVIURPRQFRORJ\DVVHWV DFTXLUHGLQDQGDFFRXQWHGIRUFKDQJHVLQIRUHLJQFXUUHQF\H[FKDQJHUDWHVVLQFHWKHREMHFWLYHZDVEDVHGRQEXGJHWHGIRUHLJQ FXUUHQF\H[FKDQJHUDWHV7KLVUHVXOWHGLQDILQDOPXOWLSOLHURIZLWKDSD\RXWRI</w:t>
      </w:r>
    </w:p>
    <w:p>
      <w:pPr>
        <w:spacing w:after="0" w:line="19" w:lineRule="exact"/>
        <w:rPr>
          <w:sz w:val="20"/>
          <w:szCs w:val="20"/>
          <w:color w:val="auto"/>
        </w:rPr>
      </w:pPr>
    </w:p>
    <w:p>
      <w:pPr>
        <w:ind w:left="360" w:right="40" w:hanging="359"/>
        <w:spacing w:after="0" w:line="282" w:lineRule="auto"/>
        <w:tabs>
          <w:tab w:leader="none" w:pos="340" w:val="left"/>
        </w:tabs>
        <w:rPr>
          <w:sz w:val="20"/>
          <w:szCs w:val="20"/>
          <w:color w:val="auto"/>
        </w:rPr>
      </w:pPr>
      <w:r>
        <w:rPr>
          <w:rFonts w:ascii="PMingLiU" w:cs="PMingLiU" w:eastAsia="PMingLiU" w:hAnsi="PMingLiU"/>
          <w:sz w:val="14"/>
          <w:szCs w:val="14"/>
          <w:color w:val="auto"/>
        </w:rPr>
        <w:t/>
        <w:tab/>
        <w:t>7RSSULRULW\SURJUDPJRDOVFRQVLVWHGRIWKHIROORZLQJILYHJRDOVLREWDLQLQJSRVLWLYHWRSOLQHUHVXOWVIRU]DQLGDWDPDE-=3LQ*($LL DFFHSWDQFHE\)'$RIWKH=HS]HOFDOXUELQHFWHGLQ-=3V1'$VXEPLVVLRQLLLDFKLHYLQJHQUROOPHQWWDUJHWVIRUWKH]DQLGDWDPDE -=33KDVHWULDOWRHYDOXDWH]DQLGDWDPDESOXVFKHPRWKHUDS\RUWUDVWX]XPDESOXVFKHPRWKHUDS\LQSDWLHQWVZLWK+(5</w:t>
      </w:r>
    </w:p>
    <w:p>
      <w:pPr>
        <w:ind w:left="360" w:right="540"/>
        <w:spacing w:after="0" w:line="348" w:lineRule="auto"/>
        <w:rPr>
          <w:sz w:val="20"/>
          <w:szCs w:val="20"/>
          <w:color w:val="auto"/>
        </w:rPr>
      </w:pPr>
      <w:r>
        <w:rPr>
          <w:rFonts w:ascii="PMingLiU" w:cs="PMingLiU" w:eastAsia="PMingLiU" w:hAnsi="PMingLiU"/>
          <w:sz w:val="12"/>
          <w:szCs w:val="12"/>
          <w:color w:val="auto"/>
        </w:rPr>
        <w:t>SRVLWLYHEUHDVWFDQFHUZKRVHGLVHDVHKDVSURJUHVVHGRQSUHYLRXV7';GWUHDWPHQWLYFRPSOHWLQJHQUROOPHQWRIILUVWSDWLHQWLQ ]DQLGDWDPDE-=33KDVHWULDOWRHYDOXDWH]DQLGDWDPDELQSDWLHQWVZLWK+(5SRVLWLYHQHRDGMXYDQWDQGDGMXYDQWEUHDVW FDQFHUYFRPSOHWLQJHQUROOPHQWWDUJHWVRIILUVWGRVLQJFRKRUWLQ]DQLGDWDPDE-=33KDVHWULDOHYDOXDWLQJ]DQLGDWDPDE PRQRWKHUDS\LQSUHYLRXVO\WUHDWHGSDWLHQWVZLWKYDULRXV+(5SRVLWLYH,+&amp;FDQFHUV</w:t>
      </w:r>
    </w:p>
    <w:p>
      <w:pPr>
        <w:spacing w:after="0" w:line="7" w:lineRule="exact"/>
        <w:rPr>
          <w:sz w:val="20"/>
          <w:szCs w:val="20"/>
          <w:color w:val="auto"/>
        </w:rPr>
      </w:pPr>
    </w:p>
    <w:p>
      <w:pPr>
        <w:ind w:left="360" w:right="60"/>
        <w:spacing w:after="0" w:line="372" w:lineRule="auto"/>
        <w:rPr>
          <w:sz w:val="20"/>
          <w:szCs w:val="20"/>
          <w:color w:val="auto"/>
        </w:rPr>
      </w:pPr>
      <w:r>
        <w:rPr>
          <w:rFonts w:ascii="PMingLiU" w:cs="PMingLiU" w:eastAsia="PMingLiU" w:hAnsi="PMingLiU"/>
          <w:sz w:val="12"/>
          <w:szCs w:val="12"/>
          <w:color w:val="auto"/>
        </w:rPr>
        <w:t>,QVHWWLQJWKHREMHFWLYHVRXU&amp;RPSHQVDWLRQ&amp;RPPLWWHHLQFRUSRUDWHGNH\LQIOHFWLRQSRLQWVLQDQGLQWHULPJRDOVZKHUHSURJUDPVZHUH DFURVVPXOWLSOH\HDUVWRLQFHQWLYL]HLQ\HDUSHUIRUPDQFHDQGUHTXLUHGWKDWWKUHHRIWKHILYHJRDOVEHPHWDWWDUJHWOHYHORUDERYHLQRUGHU WRUHFHLYHDFKLHYHPHQWRIWKHJRDOV2XU&amp;RPSHQVDWLRQ&amp;RPPLWWHHGHWHUPLQHGWKDWZHKDGPHWJRDOVLLLLLLDQGLYDQGZH KDGQRWDFKLHYHGJRDOY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486410</wp:posOffset>
            </wp:positionV>
            <wp:extent cx="1389380" cy="2343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86">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00"/>
          </w:cols>
          <w:pgMar w:left="900" w:top="377" w:right="879" w:bottom="0" w:gutter="0" w:footer="0" w:header="0"/>
        </w:sectPr>
      </w:pPr>
    </w:p>
    <w:bookmarkStart w:id="69" w:name="page70"/>
    <w:bookmarkEnd w:id="6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399" o:spid="_x0000_s1424"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8" w:lineRule="exact"/>
        <w:rPr>
          <w:sz w:val="20"/>
          <w:szCs w:val="20"/>
          <w:color w:val="auto"/>
        </w:rPr>
      </w:pPr>
    </w:p>
    <w:p>
      <w:pPr>
        <w:ind w:left="360" w:right="240" w:hanging="359"/>
        <w:spacing w:after="0" w:line="316" w:lineRule="auto"/>
        <w:tabs>
          <w:tab w:leader="none" w:pos="340" w:val="left"/>
        </w:tabs>
        <w:rPr>
          <w:sz w:val="20"/>
          <w:szCs w:val="20"/>
          <w:color w:val="auto"/>
        </w:rPr>
      </w:pPr>
      <w:r>
        <w:rPr>
          <w:rFonts w:ascii="PMingLiU" w:cs="PMingLiU" w:eastAsia="PMingLiU" w:hAnsi="PMingLiU"/>
          <w:sz w:val="13"/>
          <w:szCs w:val="13"/>
          <w:color w:val="auto"/>
        </w:rPr>
        <w:t/>
        <w:tab/>
        <w:t>2WKHUSURJUDPVJRDOVFRQVLVWHGRIWKHIROORZLQJILYHJRDOVLJUDQWRIPDUNHWLQJDXWKRUL]DWLRQIURP(XURSHDQ&amp;RPPLVVLRQIRU=LLKHUD ]DQLGDWDPDE-=3LQ%7&amp;LLFRPSOHWLQJHQUROOPHQWRIILUVWSDWLHQWLQSLYRWDOUHODWLYHELRDYDLODELOLW\VWXG\RI(SLGLROH[(SLG\ROH[ -=3RUDOVROLGGRVHIRUPLLLREWDLQLQJSRVLWLYHGDWDIURPGDWDFXWIURP(SL&amp;20SURJUDPLYFRPSOHWLQJHQUROOPHQWRIILUVW SDWLHQWLQ-=33KDVH%VWXG\DQGYGHFLVLRQWRSURFHHGWRLQLWLDWHFRPELQDWLRQGRVLQJ3KDVH$LQ-=3LQWHUIHURQDOSKD DJRQLVW2XU&amp;RPSHQVDWLRQ&amp;RPPLWWHHGHWHUPLQHGWKDWDOOJRDOVZHUHDFKLHYHG</w:t>
      </w:r>
    </w:p>
    <w:p>
      <w:pPr>
        <w:spacing w:after="0" w:line="24" w:lineRule="exact"/>
        <w:rPr>
          <w:sz w:val="20"/>
          <w:szCs w:val="20"/>
          <w:color w:val="auto"/>
        </w:rPr>
      </w:pPr>
    </w:p>
    <w:p>
      <w:pPr>
        <w:jc w:val="both"/>
        <w:ind w:left="360" w:right="300" w:hanging="359"/>
        <w:spacing w:after="0" w:line="370" w:lineRule="auto"/>
        <w:tabs>
          <w:tab w:leader="none" w:pos="340" w:val="left"/>
        </w:tabs>
        <w:rPr>
          <w:sz w:val="20"/>
          <w:szCs w:val="20"/>
          <w:color w:val="auto"/>
        </w:rPr>
      </w:pPr>
      <w:r>
        <w:rPr>
          <w:rFonts w:ascii="PMingLiU" w:cs="PMingLiU" w:eastAsia="PMingLiU" w:hAnsi="PMingLiU"/>
          <w:sz w:val="12"/>
          <w:szCs w:val="12"/>
          <w:color w:val="auto"/>
        </w:rPr>
        <w:t/>
        <w:tab/>
        <w:t>,QFRQVLGHUDWLRQRIERWKWRSSULRULW\DQGRWKHUSURJUDPJRDOVRXU&amp;RPSHQVDWLRQ&amp;RPPLWWHHGHWHUPLQHGWKDWWKHDFKLHYHPHQWRIWKHVH JRDOVZDVLQDJJUHJDWHDQGWKHUHIRUHDFRUSRUDWHDFKLHYHPHQWSHUFHQWDJHZDVDWWULEXWDEOHWRERWKLQWKHDJJUHJDWH7KH FDSSHGSD\RXWIRUSLSHOLQHJRDOVLQWRWDOZDV</w:t>
      </w:r>
    </w:p>
    <w:p>
      <w:pPr>
        <w:ind w:left="360" w:hanging="359"/>
        <w:spacing w:after="0" w:line="357" w:lineRule="auto"/>
        <w:tabs>
          <w:tab w:leader="none" w:pos="340" w:val="left"/>
        </w:tabs>
        <w:rPr>
          <w:sz w:val="20"/>
          <w:szCs w:val="20"/>
          <w:color w:val="auto"/>
        </w:rPr>
      </w:pPr>
      <w:r>
        <w:rPr>
          <w:rFonts w:ascii="PMingLiU" w:cs="PMingLiU" w:eastAsia="PMingLiU" w:hAnsi="PMingLiU"/>
          <w:sz w:val="12"/>
          <w:szCs w:val="12"/>
          <w:color w:val="auto"/>
        </w:rPr>
        <w:t/>
        <w:tab/>
        <w:t>&amp;RUSRUDWHGHYHORSPHQWDFWLYLWLHVFRQVLVWHGRIWKHIROORZLQJJRDOFRPSOHWLQJDWOHDVWWZRSLSHOLQHHQKDQFLQJGHDOVRURQHJURZWKGHDO 2XU&amp;RPSHQVDWLRQ&amp;RPPLWWHHGHWHUPLQHGWKDWWKH&amp;KLPHUL[$FTXLVLWLRQLQ$SULOPHWWKHUHTXLUHPHQWVRIDJURZWKGHDO$GGLWLRQDOO\ RXU&amp;RPSHQVDWLRQ&amp;RPPLWWHHKDGWKHGLVFUHWLRQWRDGMXVWWKHSD\RXWOHYHORUFDOFXODWLRQLIGHWHUPLQHGDSSURSULDWH2XU&amp;RPSHQVDWLRQ &amp;RPPLWWHHDVVHVVHGWKHSHUIRUPDQFHRQWKHJRDODWDQGWKHUHIRUHDFRUSRUDWHDFKLHYHPHQWSHUFHQWDJHZDVDWWULEXWDEOH</w:t>
      </w:r>
    </w:p>
    <w:p>
      <w:pPr>
        <w:spacing w:after="0" w:line="2" w:lineRule="exact"/>
        <w:rPr>
          <w:sz w:val="20"/>
          <w:szCs w:val="20"/>
          <w:color w:val="auto"/>
        </w:rPr>
      </w:pPr>
    </w:p>
    <w:p>
      <w:pPr>
        <w:ind w:left="360" w:hanging="359"/>
        <w:spacing w:after="0" w:line="333" w:lineRule="auto"/>
        <w:tabs>
          <w:tab w:leader="none" w:pos="340" w:val="left"/>
        </w:tabs>
        <w:rPr>
          <w:sz w:val="20"/>
          <w:szCs w:val="20"/>
          <w:color w:val="auto"/>
        </w:rPr>
      </w:pPr>
      <w:r>
        <w:rPr>
          <w:rFonts w:ascii="PMingLiU" w:cs="PMingLiU" w:eastAsia="PMingLiU" w:hAnsi="PMingLiU"/>
          <w:sz w:val="12"/>
          <w:szCs w:val="12"/>
          <w:color w:val="auto"/>
        </w:rPr>
        <w:t/>
        <w:tab/>
        <w:t>+LJKSHUIRUPDQFHRUJDQL]DWLRQPHWULFVFRQVLVWHGRIWKHIROORZLQJJRDOVLPDLQWDLQLQJDYROXQWDU\DWWULWLRQUDWHEHORZOLIHVFLHQFHLQGXVWU\ DYHUDJHLLPDLQWDLQLQJRULPSURYLQJRXUKLJKHUSHUIRUPDQFHSUDFWLFHLQGH[LLLDFKLHYLQJFHUWDLQRSHUDWLQJHIIHFWLYHQHVVJRDOVDQGLY</w:t>
      </w:r>
    </w:p>
    <w:p>
      <w:pPr>
        <w:spacing w:after="0" w:line="1" w:lineRule="exact"/>
        <w:rPr>
          <w:sz w:val="20"/>
          <w:szCs w:val="20"/>
          <w:color w:val="auto"/>
        </w:rPr>
      </w:pPr>
    </w:p>
    <w:p>
      <w:pPr>
        <w:ind w:left="360" w:right="520"/>
        <w:spacing w:after="0" w:line="352" w:lineRule="auto"/>
        <w:rPr>
          <w:sz w:val="20"/>
          <w:szCs w:val="20"/>
          <w:color w:val="auto"/>
        </w:rPr>
      </w:pPr>
      <w:r>
        <w:rPr>
          <w:rFonts w:ascii="PMingLiU" w:cs="PMingLiU" w:eastAsia="PMingLiU" w:hAnsi="PMingLiU"/>
          <w:sz w:val="13"/>
          <w:szCs w:val="13"/>
          <w:color w:val="auto"/>
        </w:rPr>
        <w:t>DFKLHYLQJFHUWDLQSDWLHQWH[SHULHQFHJRDOV2XU&amp;RPSHQVDWLRQ&amp;RPPLWWHHGHWHUPLQHGWKDWZHKDGVXIILFLHQWO\DFKLHYHGWKHJRDOV WKHUHIRUHDFRUSRUDWHDFKLHYHPHQWSHUFHQWDJHZDVDWWULEXWHG</w:t>
      </w:r>
    </w:p>
    <w:p>
      <w:pPr>
        <w:spacing w:after="0" w:line="1" w:lineRule="exact"/>
        <w:rPr>
          <w:sz w:val="20"/>
          <w:szCs w:val="20"/>
          <w:color w:val="auto"/>
        </w:rPr>
      </w:pPr>
    </w:p>
    <w:p>
      <w:pPr>
        <w:ind w:left="360" w:right="340" w:hanging="359"/>
        <w:spacing w:after="0" w:line="435" w:lineRule="auto"/>
        <w:tabs>
          <w:tab w:leader="none" w:pos="340" w:val="left"/>
        </w:tabs>
        <w:rPr>
          <w:sz w:val="20"/>
          <w:szCs w:val="20"/>
          <w:color w:val="auto"/>
        </w:rPr>
      </w:pPr>
      <w:r>
        <w:rPr>
          <w:rFonts w:ascii="PMingLiU" w:cs="PMingLiU" w:eastAsia="PMingLiU" w:hAnsi="PMingLiU"/>
          <w:sz w:val="12"/>
          <w:szCs w:val="12"/>
          <w:color w:val="auto"/>
        </w:rPr>
        <w:t/>
        <w:tab/>
        <w:t>7KHSHUFHQWDJHVLQWKLVFROXPQUHSUHVHQWIRUHDFKREMHFWLYHWKHZHLJKWRIWKHREMHFWLYHPXOWLSOLHGE\WKHSHUIRUPDQFHPXOWLSOLHUWKDW FRUUHVSRQGVWRWKHDFWXDODFKLHYHPHQWRIVXFKREMHFWLYH</w:t>
      </w:r>
    </w:p>
    <w:p>
      <w:pPr>
        <w:spacing w:after="0" w:line="157" w:lineRule="exact"/>
        <w:rPr>
          <w:sz w:val="20"/>
          <w:szCs w:val="20"/>
          <w:color w:val="auto"/>
        </w:rPr>
      </w:pPr>
    </w:p>
    <w:p>
      <w:pPr>
        <w:spacing w:after="0" w:line="319" w:lineRule="auto"/>
        <w:rPr>
          <w:sz w:val="20"/>
          <w:szCs w:val="20"/>
          <w:color w:val="auto"/>
        </w:rPr>
      </w:pPr>
      <w:r>
        <w:rPr>
          <w:rFonts w:ascii="PMingLiU" w:cs="PMingLiU" w:eastAsia="PMingLiU" w:hAnsi="PMingLiU"/>
          <w:sz w:val="15"/>
          <w:szCs w:val="15"/>
          <w:color w:val="auto"/>
        </w:rPr>
        <w:t>)ROORZLQJWKHHQGRIWKHILVFDO\HDURXU&amp;RPSHQVDWLRQ&amp;RPPLWWHHUHYLHZHGRXU&amp;RPSDQ\¶VSHUIRUPDQFHDJDLQVWWKH FRUSRUDWHREMHFWLYHVDQGDSSURYHGDQRYHUDOOFRUSRUDWHDFKLHYHPHQWSHUFHQWDJHRIRIWKHWDUJHWFRUSRUDWHSHUIRUPDQFH</w:t>
      </w:r>
    </w:p>
    <w:p>
      <w:pPr>
        <w:spacing w:after="0" w:line="1" w:lineRule="exact"/>
        <w:rPr>
          <w:sz w:val="20"/>
          <w:szCs w:val="20"/>
          <w:color w:val="auto"/>
        </w:rPr>
      </w:pPr>
    </w:p>
    <w:p>
      <w:pPr>
        <w:ind w:right="120"/>
        <w:spacing w:after="0" w:line="302" w:lineRule="auto"/>
        <w:rPr>
          <w:sz w:val="20"/>
          <w:szCs w:val="20"/>
          <w:color w:val="auto"/>
        </w:rPr>
      </w:pPr>
      <w:r>
        <w:rPr>
          <w:rFonts w:ascii="PMingLiU" w:cs="PMingLiU" w:eastAsia="PMingLiU" w:hAnsi="PMingLiU"/>
          <w:sz w:val="17"/>
          <w:szCs w:val="17"/>
          <w:color w:val="auto"/>
        </w:rPr>
        <w:t xml:space="preserve">IRUWKHSODQ\HDU7KHDFWXDOERQXVDPRXQWVSD\DEOHWRFHUWDLQRIWKH1(2VZHUHDGMXVWHGE\RXU&amp;RPSHQVDWLRQ &amp;RPPLWWHHLQOLJKWRIWKHLQGLYLGXDOFRQVLGHUDWLRQVDVGHVFULEHGEHORZXQGHU³ </w:t>
      </w:r>
      <w:r>
        <w:rPr>
          <w:rFonts w:ascii="PMingLiU" w:cs="PMingLiU" w:eastAsia="PMingLiU" w:hAnsi="PMingLiU"/>
          <w:sz w:val="17"/>
          <w:szCs w:val="17"/>
          <w:i w:val="1"/>
          <w:iCs w:val="1"/>
          <w:color w:val="auto"/>
        </w:rPr>
        <w:t> 536,49(:054,*090549-58 ;8 9</w:t>
      </w:r>
      <w:r>
        <w:rPr>
          <w:rFonts w:ascii="PMingLiU" w:cs="PMingLiU" w:eastAsia="PMingLiU" w:hAnsi="PMingLiU"/>
          <w:sz w:val="17"/>
          <w:szCs w:val="17"/>
          <w:color w:val="auto"/>
        </w:rPr>
        <w:t>´ 7KHDFWXDOERQXVSD\PHQWVDSSURYHGIRUHDFKRIWKH1(2VIRUDUHGHVFULEHGEHORZLQWKDWVHFWLRQ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5327650</wp:posOffset>
            </wp:positionV>
            <wp:extent cx="1386840" cy="2336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8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60"/>
          </w:cols>
          <w:pgMar w:left="900" w:top="377" w:right="919" w:bottom="0" w:gutter="0" w:footer="0" w:header="0"/>
        </w:sectPr>
      </w:pPr>
    </w:p>
    <w:bookmarkStart w:id="70" w:name="page71"/>
    <w:bookmarkEnd w:id="70"/>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01" o:spid="_x0000_s1426"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±3683URJUDP</w:t>
      </w:r>
    </w:p>
    <w:p>
      <w:pPr>
        <w:spacing w:after="0" w:line="191" w:lineRule="exact"/>
        <w:rPr>
          <w:sz w:val="20"/>
          <w:szCs w:val="20"/>
          <w:color w:val="auto"/>
        </w:rPr>
      </w:pPr>
    </w:p>
    <w:p>
      <w:pPr>
        <w:ind w:right="380"/>
        <w:spacing w:after="0" w:line="358" w:lineRule="auto"/>
        <w:rPr>
          <w:sz w:val="20"/>
          <w:szCs w:val="20"/>
          <w:color w:val="auto"/>
        </w:rPr>
      </w:pPr>
      <w:r>
        <w:rPr>
          <w:rFonts w:ascii="PMingLiU" w:cs="PMingLiU" w:eastAsia="PMingLiU" w:hAnsi="PMingLiU"/>
          <w:sz w:val="15"/>
          <w:szCs w:val="15"/>
          <w:color w:val="auto"/>
        </w:rPr>
        <w:t>2XU&amp;RPSHQVDWLRQ&amp;RPPLWWHHGHVLJQHGWKH±3683URJUDPWRDOLJQFORVHO\WRRXUVWUDWHJ\IRUORQJWHUP VXVWDLQDEOHJURZWKDQGVKDUHKROGHUYDOXHFUHDWLRQ7KH368VDUHLQWHQGHGWRLQFHQWLYL]HDQGUHZDUGRXUH[HFXWLYH RIILFHUVIRUGHPRQVWUDWLQJVWURQJSURJUHVVWRZDUGVWKHVHREMHFWLYHV</w:t>
      </w:r>
    </w:p>
    <w:p>
      <w:pPr>
        <w:spacing w:after="0" w:line="93" w:lineRule="exact"/>
        <w:rPr>
          <w:sz w:val="20"/>
          <w:szCs w:val="20"/>
          <w:color w:val="auto"/>
        </w:rPr>
      </w:pPr>
    </w:p>
    <w:p>
      <w:pPr>
        <w:ind w:right="220"/>
        <w:spacing w:after="0" w:line="358" w:lineRule="auto"/>
        <w:rPr>
          <w:sz w:val="20"/>
          <w:szCs w:val="20"/>
          <w:color w:val="auto"/>
        </w:rPr>
      </w:pPr>
      <w:r>
        <w:rPr>
          <w:rFonts w:ascii="PMingLiU" w:cs="PMingLiU" w:eastAsia="PMingLiU" w:hAnsi="PMingLiU"/>
          <w:sz w:val="15"/>
          <w:szCs w:val="15"/>
          <w:color w:val="auto"/>
        </w:rPr>
        <w:t>7KH368VDUHHOLJLEOHWRYHVWEDVHGRQDFKLHYHPHQWRIREMHFWLYHSHUIRUPDQFHPHWULFVRYHUDWKUHH\HDUSHUIRUPDQFH SHULRGLQFOXGLQJRXUUHODWLYH765%HORZLVDVXPPDU\RIWKHSHUIRUPDQFHPHWULFVDQGDVVRFLDWHGZHLJKWLQJVDQGWDUJHWV DSSOLFDEOHWRWKH368V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32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3HUIRUPDQFH*RDOV</w:t>
            </w:r>
          </w:p>
        </w:tc>
        <w:tc>
          <w:tcPr>
            <w:tcW w:w="3040" w:type="dxa"/>
            <w:vAlign w:val="bottom"/>
            <w:shd w:val="clear" w:color="auto" w:fill="000046"/>
          </w:tcPr>
          <w:p>
            <w:pPr>
              <w:spacing w:after="0"/>
              <w:rPr>
                <w:sz w:val="24"/>
                <w:szCs w:val="24"/>
                <w:color w:val="auto"/>
              </w:rPr>
            </w:pPr>
          </w:p>
        </w:tc>
        <w:tc>
          <w:tcPr>
            <w:tcW w:w="2080" w:type="dxa"/>
            <w:vAlign w:val="bottom"/>
            <w:shd w:val="clear" w:color="auto" w:fill="000046"/>
          </w:tcPr>
          <w:p>
            <w:pPr>
              <w:jc w:val="right"/>
              <w:ind w:right="540"/>
              <w:spacing w:after="0"/>
              <w:rPr>
                <w:sz w:val="20"/>
                <w:szCs w:val="20"/>
                <w:color w:val="auto"/>
              </w:rPr>
            </w:pPr>
            <w:r>
              <w:rPr>
                <w:rFonts w:ascii="PMingLiU" w:cs="PMingLiU" w:eastAsia="PMingLiU" w:hAnsi="PMingLiU"/>
                <w:sz w:val="16"/>
                <w:szCs w:val="16"/>
                <w:b w:val="1"/>
                <w:bCs w:val="1"/>
                <w:color w:val="FFFFFF"/>
              </w:rPr>
              <w:t>:HLJKWLQJ</w:t>
            </w:r>
          </w:p>
        </w:tc>
        <w:tc>
          <w:tcPr>
            <w:tcW w:w="17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7DUJHW</w:t>
            </w:r>
          </w:p>
        </w:tc>
      </w:tr>
      <w:tr>
        <w:trPr>
          <w:trHeight w:val="64"/>
        </w:trPr>
        <w:tc>
          <w:tcPr>
            <w:tcW w:w="3240" w:type="dxa"/>
            <w:vAlign w:val="bottom"/>
            <w:shd w:val="clear" w:color="auto" w:fill="000046"/>
          </w:tcPr>
          <w:p>
            <w:pPr>
              <w:spacing w:after="0"/>
              <w:rPr>
                <w:sz w:val="5"/>
                <w:szCs w:val="5"/>
                <w:color w:val="auto"/>
              </w:rPr>
            </w:pPr>
          </w:p>
        </w:tc>
        <w:tc>
          <w:tcPr>
            <w:tcW w:w="3040" w:type="dxa"/>
            <w:vAlign w:val="bottom"/>
            <w:shd w:val="clear" w:color="auto" w:fill="000046"/>
          </w:tcPr>
          <w:p>
            <w:pPr>
              <w:spacing w:after="0"/>
              <w:rPr>
                <w:sz w:val="5"/>
                <w:szCs w:val="5"/>
                <w:color w:val="auto"/>
              </w:rPr>
            </w:pPr>
          </w:p>
        </w:tc>
        <w:tc>
          <w:tcPr>
            <w:tcW w:w="2080" w:type="dxa"/>
            <w:vAlign w:val="bottom"/>
            <w:shd w:val="clear" w:color="auto" w:fill="000046"/>
          </w:tcPr>
          <w:p>
            <w:pPr>
              <w:spacing w:after="0"/>
              <w:rPr>
                <w:sz w:val="5"/>
                <w:szCs w:val="5"/>
                <w:color w:val="auto"/>
              </w:rPr>
            </w:pPr>
          </w:p>
        </w:tc>
        <w:tc>
          <w:tcPr>
            <w:tcW w:w="1720" w:type="dxa"/>
            <w:vAlign w:val="bottom"/>
            <w:shd w:val="clear" w:color="auto" w:fill="000046"/>
          </w:tcPr>
          <w:p>
            <w:pPr>
              <w:spacing w:after="0"/>
              <w:rPr>
                <w:sz w:val="5"/>
                <w:szCs w:val="5"/>
                <w:color w:val="auto"/>
              </w:rPr>
            </w:pPr>
          </w:p>
        </w:tc>
      </w:tr>
      <w:tr>
        <w:trPr>
          <w:trHeight w:val="319"/>
        </w:trPr>
        <w:tc>
          <w:tcPr>
            <w:tcW w:w="3240" w:type="dxa"/>
            <w:vAlign w:val="bottom"/>
          </w:tcPr>
          <w:p>
            <w:pPr>
              <w:spacing w:after="0"/>
              <w:rPr>
                <w:sz w:val="24"/>
                <w:szCs w:val="24"/>
                <w:color w:val="auto"/>
              </w:rPr>
            </w:pPr>
          </w:p>
        </w:tc>
        <w:tc>
          <w:tcPr>
            <w:tcW w:w="3040" w:type="dxa"/>
            <w:vAlign w:val="bottom"/>
          </w:tcPr>
          <w:p>
            <w:pPr>
              <w:ind w:left="700"/>
              <w:spacing w:after="0"/>
              <w:rPr>
                <w:sz w:val="20"/>
                <w:szCs w:val="20"/>
                <w:color w:val="auto"/>
              </w:rPr>
            </w:pPr>
            <w:r>
              <w:rPr>
                <w:rFonts w:ascii="PMingLiU" w:cs="PMingLiU" w:eastAsia="PMingLiU" w:hAnsi="PMingLiU"/>
                <w:sz w:val="16"/>
                <w:szCs w:val="16"/>
                <w:color w:val="auto"/>
              </w:rPr>
              <w:t>&amp;RPPHUFLDO</w:t>
            </w: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2"/>
        </w:trPr>
        <w:tc>
          <w:tcPr>
            <w:tcW w:w="3240" w:type="dxa"/>
            <w:vAlign w:val="bottom"/>
          </w:tcPr>
          <w:p>
            <w:pPr>
              <w:ind w:left="100"/>
              <w:spacing w:after="0" w:line="192" w:lineRule="exact"/>
              <w:rPr>
                <w:sz w:val="20"/>
                <w:szCs w:val="20"/>
                <w:color w:val="auto"/>
              </w:rPr>
            </w:pPr>
            <w:r>
              <w:rPr>
                <w:rFonts w:ascii="PMingLiU" w:cs="PMingLiU" w:eastAsia="PMingLiU" w:hAnsi="PMingLiU"/>
                <w:sz w:val="16"/>
                <w:szCs w:val="16"/>
                <w:color w:val="auto"/>
              </w:rPr>
              <w:t>2SHUDWLRQDOH[HFXWLRQVFRUHFDUG</w:t>
            </w:r>
            <w:r>
              <w:rPr>
                <w:rFonts w:ascii="PMingLiU" w:cs="PMingLiU" w:eastAsia="PMingLiU" w:hAnsi="PMingLiU"/>
                <w:sz w:val="20"/>
                <w:szCs w:val="20"/>
                <w:color w:val="auto"/>
                <w:vertAlign w:val="superscript"/>
              </w:rPr>
              <w:t/>
            </w:r>
          </w:p>
        </w:tc>
        <w:tc>
          <w:tcPr>
            <w:tcW w:w="3040" w:type="dxa"/>
            <w:vAlign w:val="bottom"/>
          </w:tcPr>
          <w:p>
            <w:pPr>
              <w:ind w:left="700"/>
              <w:spacing w:after="0"/>
              <w:rPr>
                <w:sz w:val="20"/>
                <w:szCs w:val="20"/>
                <w:color w:val="auto"/>
              </w:rPr>
            </w:pPr>
            <w:r>
              <w:rPr>
                <w:rFonts w:ascii="PMingLiU" w:cs="PMingLiU" w:eastAsia="PMingLiU" w:hAnsi="PMingLiU"/>
                <w:sz w:val="16"/>
                <w:szCs w:val="16"/>
                <w:color w:val="auto"/>
              </w:rPr>
              <w:t>3LSHOLQH</w:t>
            </w:r>
          </w:p>
        </w:tc>
        <w:tc>
          <w:tcPr>
            <w:tcW w:w="2080" w:type="dxa"/>
            <w:vAlign w:val="bottom"/>
          </w:tcPr>
          <w:p>
            <w:pPr>
              <w:jc w:val="right"/>
              <w:ind w:right="560"/>
              <w:spacing w:after="0"/>
              <w:rPr>
                <w:sz w:val="20"/>
                <w:szCs w:val="20"/>
                <w:color w:val="auto"/>
              </w:rPr>
            </w:pPr>
            <w:r>
              <w:rPr>
                <w:rFonts w:ascii="PMingLiU" w:cs="PMingLiU" w:eastAsia="PMingLiU" w:hAnsi="PMingLiU"/>
                <w:sz w:val="16"/>
                <w:szCs w:val="16"/>
                <w:color w:val="auto"/>
              </w:rPr>
              <w:t/>
            </w:r>
          </w:p>
        </w:tc>
        <w:tc>
          <w:tcPr>
            <w:tcW w:w="1720" w:type="dxa"/>
            <w:vAlign w:val="bottom"/>
          </w:tcPr>
          <w:p>
            <w:pPr>
              <w:jc w:val="right"/>
              <w:ind w:right="40"/>
              <w:spacing w:after="0"/>
              <w:rPr>
                <w:sz w:val="20"/>
                <w:szCs w:val="20"/>
                <w:color w:val="auto"/>
              </w:rPr>
            </w:pPr>
            <w:r>
              <w:rPr>
                <w:rFonts w:ascii="PMingLiU" w:cs="PMingLiU" w:eastAsia="PMingLiU" w:hAnsi="PMingLiU"/>
                <w:sz w:val="16"/>
                <w:szCs w:val="16"/>
                <w:color w:val="auto"/>
              </w:rPr>
              <w:t>SRLQWV</w:t>
            </w:r>
          </w:p>
        </w:tc>
      </w:tr>
      <w:tr>
        <w:trPr>
          <w:trHeight w:val="211"/>
        </w:trPr>
        <w:tc>
          <w:tcPr>
            <w:tcW w:w="3240" w:type="dxa"/>
            <w:vAlign w:val="bottom"/>
          </w:tcPr>
          <w:p>
            <w:pPr>
              <w:spacing w:after="0"/>
              <w:rPr>
                <w:sz w:val="18"/>
                <w:szCs w:val="18"/>
                <w:color w:val="auto"/>
              </w:rPr>
            </w:pPr>
          </w:p>
        </w:tc>
        <w:tc>
          <w:tcPr>
            <w:tcW w:w="3040" w:type="dxa"/>
            <w:vAlign w:val="bottom"/>
          </w:tcPr>
          <w:p>
            <w:pPr>
              <w:ind w:left="700"/>
              <w:spacing w:after="0"/>
              <w:rPr>
                <w:sz w:val="20"/>
                <w:szCs w:val="20"/>
                <w:color w:val="auto"/>
              </w:rPr>
            </w:pPr>
            <w:r>
              <w:rPr>
                <w:rFonts w:ascii="PMingLiU" w:cs="PMingLiU" w:eastAsia="PMingLiU" w:hAnsi="PMingLiU"/>
                <w:sz w:val="16"/>
                <w:szCs w:val="16"/>
                <w:color w:val="auto"/>
              </w:rPr>
              <w:t>&amp;RUSRUDWHGHYHORSPHQW</w:t>
            </w:r>
          </w:p>
        </w:tc>
        <w:tc>
          <w:tcPr>
            <w:tcW w:w="20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30"/>
        </w:trPr>
        <w:tc>
          <w:tcPr>
            <w:tcW w:w="3240" w:type="dxa"/>
            <w:vAlign w:val="bottom"/>
            <w:tcBorders>
              <w:bottom w:val="single" w:sz="8" w:color="4454A7"/>
            </w:tcBorders>
          </w:tcPr>
          <w:p>
            <w:pPr>
              <w:spacing w:after="0"/>
              <w:rPr>
                <w:sz w:val="11"/>
                <w:szCs w:val="11"/>
                <w:color w:val="auto"/>
              </w:rPr>
            </w:pPr>
          </w:p>
        </w:tc>
        <w:tc>
          <w:tcPr>
            <w:tcW w:w="3040" w:type="dxa"/>
            <w:vAlign w:val="bottom"/>
            <w:tcBorders>
              <w:bottom w:val="single" w:sz="8" w:color="4454A7"/>
            </w:tcBorders>
          </w:tcPr>
          <w:p>
            <w:pPr>
              <w:spacing w:after="0"/>
              <w:rPr>
                <w:sz w:val="11"/>
                <w:szCs w:val="11"/>
                <w:color w:val="auto"/>
              </w:rPr>
            </w:pPr>
          </w:p>
        </w:tc>
        <w:tc>
          <w:tcPr>
            <w:tcW w:w="2080" w:type="dxa"/>
            <w:vAlign w:val="bottom"/>
            <w:tcBorders>
              <w:bottom w:val="single" w:sz="8" w:color="4454A7"/>
            </w:tcBorders>
          </w:tcPr>
          <w:p>
            <w:pPr>
              <w:spacing w:after="0"/>
              <w:rPr>
                <w:sz w:val="11"/>
                <w:szCs w:val="11"/>
                <w:color w:val="auto"/>
              </w:rPr>
            </w:pPr>
          </w:p>
        </w:tc>
        <w:tc>
          <w:tcPr>
            <w:tcW w:w="1720" w:type="dxa"/>
            <w:vAlign w:val="bottom"/>
            <w:tcBorders>
              <w:bottom w:val="single" w:sz="8" w:color="4454A7"/>
            </w:tcBorders>
          </w:tcPr>
          <w:p>
            <w:pPr>
              <w:spacing w:after="0"/>
              <w:rPr>
                <w:sz w:val="11"/>
                <w:szCs w:val="11"/>
                <w:color w:val="auto"/>
              </w:rPr>
            </w:pPr>
          </w:p>
        </w:tc>
      </w:tr>
      <w:tr>
        <w:trPr>
          <w:trHeight w:val="378"/>
        </w:trPr>
        <w:tc>
          <w:tcPr>
            <w:tcW w:w="324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color w:val="auto"/>
              </w:rPr>
              <w:t>3HUIRUPDQFH</w:t>
            </w:r>
          </w:p>
        </w:tc>
        <w:tc>
          <w:tcPr>
            <w:tcW w:w="3040" w:type="dxa"/>
            <w:vAlign w:val="bottom"/>
            <w:tcBorders>
              <w:bottom w:val="single" w:sz="8" w:color="5C004D"/>
            </w:tcBorders>
          </w:tcPr>
          <w:p>
            <w:pPr>
              <w:ind w:left="700"/>
              <w:spacing w:after="0"/>
              <w:rPr>
                <w:sz w:val="20"/>
                <w:szCs w:val="20"/>
                <w:color w:val="auto"/>
              </w:rPr>
            </w:pPr>
            <w:r>
              <w:rPr>
                <w:rFonts w:ascii="PMingLiU" w:cs="PMingLiU" w:eastAsia="PMingLiU" w:hAnsi="PMingLiU"/>
                <w:sz w:val="16"/>
                <w:szCs w:val="16"/>
                <w:color w:val="auto"/>
              </w:rPr>
              <w:t>5HODWLYH765</w:t>
            </w:r>
            <w:r>
              <w:rPr>
                <w:rFonts w:ascii="PMingLiU" w:cs="PMingLiU" w:eastAsia="PMingLiU" w:hAnsi="PMingLiU"/>
                <w:sz w:val="20"/>
                <w:szCs w:val="20"/>
                <w:color w:val="auto"/>
                <w:vertAlign w:val="superscript"/>
              </w:rPr>
              <w:t/>
            </w:r>
          </w:p>
        </w:tc>
        <w:tc>
          <w:tcPr>
            <w:tcW w:w="2080" w:type="dxa"/>
            <w:vAlign w:val="bottom"/>
            <w:tcBorders>
              <w:bottom w:val="single" w:sz="8" w:color="5C004D"/>
            </w:tcBorders>
          </w:tcPr>
          <w:p>
            <w:pPr>
              <w:jc w:val="right"/>
              <w:ind w:right="560"/>
              <w:spacing w:after="0"/>
              <w:rPr>
                <w:sz w:val="20"/>
                <w:szCs w:val="20"/>
                <w:color w:val="auto"/>
              </w:rPr>
            </w:pPr>
            <w:r>
              <w:rPr>
                <w:rFonts w:ascii="PMingLiU" w:cs="PMingLiU" w:eastAsia="PMingLiU" w:hAnsi="PMingLiU"/>
                <w:sz w:val="16"/>
                <w:szCs w:val="16"/>
                <w:color w:val="auto"/>
              </w:rPr>
              <w:t/>
            </w:r>
          </w:p>
        </w:tc>
        <w:tc>
          <w:tcPr>
            <w:tcW w:w="172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vertAlign w:val="superscript"/>
              </w:rPr>
              <w:t>WK</w:t>
            </w:r>
            <w:r>
              <w:rPr>
                <w:rFonts w:ascii="PMingLiU" w:cs="PMingLiU" w:eastAsia="PMingLiU" w:hAnsi="PMingLiU"/>
                <w:sz w:val="16"/>
                <w:szCs w:val="16"/>
                <w:color w:val="auto"/>
              </w:rPr>
              <w:t>SHUFHQWLOH</w:t>
            </w:r>
          </w:p>
        </w:tc>
      </w:tr>
      <w:tr>
        <w:trPr>
          <w:trHeight w:val="305"/>
        </w:trPr>
        <w:tc>
          <w:tcPr>
            <w:tcW w:w="3240" w:type="dxa"/>
            <w:vAlign w:val="bottom"/>
          </w:tcPr>
          <w:p>
            <w:pPr>
              <w:ind w:left="100"/>
              <w:spacing w:after="0"/>
              <w:rPr>
                <w:sz w:val="20"/>
                <w:szCs w:val="20"/>
                <w:color w:val="auto"/>
              </w:rPr>
            </w:pPr>
            <w:r>
              <w:rPr>
                <w:rFonts w:ascii="PMingLiU" w:cs="PMingLiU" w:eastAsia="PMingLiU" w:hAnsi="PMingLiU"/>
                <w:sz w:val="16"/>
                <w:szCs w:val="16"/>
                <w:b w:val="1"/>
                <w:bCs w:val="1"/>
                <w:color w:val="5C004D"/>
              </w:rPr>
              <w:t>727$/</w:t>
            </w:r>
          </w:p>
        </w:tc>
        <w:tc>
          <w:tcPr>
            <w:tcW w:w="3040" w:type="dxa"/>
            <w:vAlign w:val="bottom"/>
          </w:tcPr>
          <w:p>
            <w:pPr>
              <w:spacing w:after="0"/>
              <w:rPr>
                <w:sz w:val="24"/>
                <w:szCs w:val="24"/>
                <w:color w:val="auto"/>
              </w:rPr>
            </w:pPr>
          </w:p>
        </w:tc>
        <w:tc>
          <w:tcPr>
            <w:tcW w:w="2080" w:type="dxa"/>
            <w:vAlign w:val="bottom"/>
          </w:tcPr>
          <w:p>
            <w:pPr>
              <w:jc w:val="right"/>
              <w:ind w:right="520"/>
              <w:spacing w:after="0"/>
              <w:rPr>
                <w:sz w:val="20"/>
                <w:szCs w:val="20"/>
                <w:color w:val="auto"/>
              </w:rPr>
            </w:pPr>
            <w:r>
              <w:rPr>
                <w:rFonts w:ascii="PMingLiU" w:cs="PMingLiU" w:eastAsia="PMingLiU" w:hAnsi="PMingLiU"/>
                <w:sz w:val="16"/>
                <w:szCs w:val="16"/>
                <w:b w:val="1"/>
                <w:bCs w:val="1"/>
                <w:color w:val="5C004D"/>
              </w:rPr>
              <w:t/>
            </w:r>
          </w:p>
        </w:tc>
        <w:tc>
          <w:tcPr>
            <w:tcW w:w="1720" w:type="dxa"/>
            <w:vAlign w:val="bottom"/>
          </w:tcPr>
          <w:p>
            <w:pPr>
              <w:spacing w:after="0"/>
              <w:rPr>
                <w:sz w:val="24"/>
                <w:szCs w:val="24"/>
                <w:color w:val="auto"/>
              </w:rPr>
            </w:pPr>
          </w:p>
        </w:tc>
      </w:tr>
      <w:tr>
        <w:trPr>
          <w:trHeight w:val="80"/>
        </w:trPr>
        <w:tc>
          <w:tcPr>
            <w:tcW w:w="3240" w:type="dxa"/>
            <w:vAlign w:val="bottom"/>
            <w:tcBorders>
              <w:bottom w:val="single" w:sz="8" w:color="5C004D"/>
            </w:tcBorders>
          </w:tcPr>
          <w:p>
            <w:pPr>
              <w:spacing w:after="0"/>
              <w:rPr>
                <w:sz w:val="6"/>
                <w:szCs w:val="6"/>
                <w:color w:val="auto"/>
              </w:rPr>
            </w:pPr>
          </w:p>
        </w:tc>
        <w:tc>
          <w:tcPr>
            <w:tcW w:w="3040" w:type="dxa"/>
            <w:vAlign w:val="bottom"/>
            <w:tcBorders>
              <w:bottom w:val="single" w:sz="8" w:color="5C004D"/>
            </w:tcBorders>
          </w:tcPr>
          <w:p>
            <w:pPr>
              <w:spacing w:after="0"/>
              <w:rPr>
                <w:sz w:val="6"/>
                <w:szCs w:val="6"/>
                <w:color w:val="auto"/>
              </w:rPr>
            </w:pPr>
          </w:p>
        </w:tc>
        <w:tc>
          <w:tcPr>
            <w:tcW w:w="2080" w:type="dxa"/>
            <w:vAlign w:val="bottom"/>
            <w:tcBorders>
              <w:bottom w:val="single" w:sz="8" w:color="5C004D"/>
            </w:tcBorders>
          </w:tcPr>
          <w:p>
            <w:pPr>
              <w:spacing w:after="0"/>
              <w:rPr>
                <w:sz w:val="6"/>
                <w:szCs w:val="6"/>
                <w:color w:val="auto"/>
              </w:rPr>
            </w:pPr>
          </w:p>
        </w:tc>
        <w:tc>
          <w:tcPr>
            <w:tcW w:w="1720" w:type="dxa"/>
            <w:vAlign w:val="bottom"/>
            <w:tcBorders>
              <w:bottom w:val="single" w:sz="8" w:color="5C004D"/>
            </w:tcBorders>
          </w:tcPr>
          <w:p>
            <w:pPr>
              <w:spacing w:after="0"/>
              <w:rPr>
                <w:sz w:val="6"/>
                <w:szCs w:val="6"/>
                <w:color w:val="auto"/>
              </w:rPr>
            </w:pPr>
          </w:p>
        </w:tc>
      </w:tr>
    </w:tbl>
    <w:p>
      <w:pPr>
        <w:spacing w:after="0" w:line="106" w:lineRule="exact"/>
        <w:rPr>
          <w:sz w:val="20"/>
          <w:szCs w:val="20"/>
          <w:color w:val="auto"/>
        </w:rPr>
      </w:pPr>
    </w:p>
    <w:p>
      <w:pPr>
        <w:ind w:left="360" w:right="140" w:hanging="359"/>
        <w:spacing w:after="0" w:line="307" w:lineRule="auto"/>
        <w:tabs>
          <w:tab w:leader="none" w:pos="340" w:val="left"/>
        </w:tabs>
        <w:rPr>
          <w:sz w:val="20"/>
          <w:szCs w:val="20"/>
          <w:color w:val="auto"/>
        </w:rPr>
      </w:pPr>
      <w:r>
        <w:rPr>
          <w:rFonts w:ascii="PMingLiU" w:cs="PMingLiU" w:eastAsia="PMingLiU" w:hAnsi="PMingLiU"/>
          <w:sz w:val="13"/>
          <w:szCs w:val="13"/>
          <w:color w:val="auto"/>
        </w:rPr>
        <w:t/>
        <w:tab/>
        <w:t>7KHHOHPHQWVRIWKHRSHUDWLRQDOH[HFXWLRQVFRUHFDUGDUHVHWIRUWKEHORZ7KHRSHUDWLRQDOH[HFXWLRQVFRUHFDUGFDQEHHDUQHGDWRI WDUJHWDWWKHWKUHVKROGSHUIRUPDQFHSRLQWVDQGXSWRRIWDUJHWDWVWUHWFKSHUIRUPDQFHSRLQWVZLWKOLQHDULQWHUSRODWLRQ</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XVHGEHWZHHQSHUIRUPDQFHOHYHOV</w:t>
      </w:r>
    </w:p>
    <w:p>
      <w:pPr>
        <w:spacing w:after="0" w:line="74" w:lineRule="exact"/>
        <w:rPr>
          <w:sz w:val="20"/>
          <w:szCs w:val="20"/>
          <w:color w:val="auto"/>
        </w:rPr>
      </w:pPr>
    </w:p>
    <w:p>
      <w:pPr>
        <w:ind w:left="360" w:right="40" w:hanging="359"/>
        <w:spacing w:after="0" w:line="324" w:lineRule="auto"/>
        <w:tabs>
          <w:tab w:leader="none" w:pos="340" w:val="left"/>
        </w:tabs>
        <w:rPr>
          <w:sz w:val="20"/>
          <w:szCs w:val="20"/>
          <w:color w:val="auto"/>
        </w:rPr>
      </w:pPr>
      <w:r>
        <w:rPr>
          <w:rFonts w:ascii="PMingLiU" w:cs="PMingLiU" w:eastAsia="PMingLiU" w:hAnsi="PMingLiU"/>
          <w:sz w:val="13"/>
          <w:szCs w:val="13"/>
          <w:color w:val="auto"/>
        </w:rPr>
        <w:t/>
        <w:tab/>
        <w:t>7KHSHHUJURXSXVHGLVWKH1DVGDT%LRWHFKQRORJ\,QGH[DVH[SODLQHGIXUWKHUEHORZ7KH765SD\RXWSHUFHQWDJHFDQEHHDUQHGDW RIWDUJHWLQWKHHYHQWWKH765SHUFHQWLOHUDQNLVDWWKSHUFHQWLOHRUEHORZDQGXSWRRIWDUJHWLQWKHHYHQWWKH765SHUFHQWLOHUDQN LVDWWKSHUFHQWLOHDQGDERYHZLWKOLQHDULQWHUSRODWLRQXVHGEHWZHHQSHUIRUPDQFHOHYHOV7KHRYHUDOODZDUGSD\RXWZLOOEHFDSSHGDW LILWKH765SHUFHQWLOHUDQNLVLQWKHERWWRPTXDUWLOHRULLDEVROXWH765IRUWKHSHUIRUPDQFHSHULRGLVQHJDWLYH</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356"/>
        </w:trPr>
        <w:tc>
          <w:tcPr>
            <w:tcW w:w="386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2SHUDWLRQDO([HFXWLRQ6FRUHFDUG$UHD</w:t>
            </w:r>
          </w:p>
        </w:tc>
        <w:tc>
          <w:tcPr>
            <w:tcW w:w="3860" w:type="dxa"/>
            <w:vAlign w:val="bottom"/>
            <w:shd w:val="clear" w:color="auto" w:fill="000046"/>
          </w:tcPr>
          <w:p>
            <w:pPr>
              <w:ind w:left="40"/>
              <w:spacing w:after="0"/>
              <w:rPr>
                <w:sz w:val="20"/>
                <w:szCs w:val="20"/>
                <w:color w:val="auto"/>
              </w:rPr>
            </w:pPr>
            <w:r>
              <w:rPr>
                <w:rFonts w:ascii="PMingLiU" w:cs="PMingLiU" w:eastAsia="PMingLiU" w:hAnsi="PMingLiU"/>
                <w:sz w:val="16"/>
                <w:szCs w:val="16"/>
                <w:b w:val="1"/>
                <w:bCs w:val="1"/>
                <w:color w:val="FFFFFF"/>
              </w:rPr>
              <w:t>*RDO</w:t>
            </w:r>
          </w:p>
        </w:tc>
        <w:tc>
          <w:tcPr>
            <w:tcW w:w="198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7DUJHW3RLQWV</w:t>
            </w:r>
          </w:p>
        </w:tc>
      </w:tr>
      <w:tr>
        <w:trPr>
          <w:trHeight w:val="64"/>
        </w:trPr>
        <w:tc>
          <w:tcPr>
            <w:tcW w:w="3860" w:type="dxa"/>
            <w:vAlign w:val="bottom"/>
            <w:shd w:val="clear" w:color="auto" w:fill="000046"/>
          </w:tcPr>
          <w:p>
            <w:pPr>
              <w:spacing w:after="0"/>
              <w:rPr>
                <w:sz w:val="5"/>
                <w:szCs w:val="5"/>
                <w:color w:val="auto"/>
              </w:rPr>
            </w:pPr>
          </w:p>
        </w:tc>
        <w:tc>
          <w:tcPr>
            <w:tcW w:w="3860" w:type="dxa"/>
            <w:vAlign w:val="bottom"/>
            <w:shd w:val="clear" w:color="auto" w:fill="000046"/>
          </w:tcPr>
          <w:p>
            <w:pPr>
              <w:spacing w:after="0"/>
              <w:rPr>
                <w:sz w:val="5"/>
                <w:szCs w:val="5"/>
                <w:color w:val="auto"/>
              </w:rPr>
            </w:pPr>
          </w:p>
        </w:tc>
        <w:tc>
          <w:tcPr>
            <w:tcW w:w="1980" w:type="dxa"/>
            <w:vAlign w:val="bottom"/>
            <w:shd w:val="clear" w:color="auto" w:fill="000046"/>
          </w:tcPr>
          <w:p>
            <w:pPr>
              <w:spacing w:after="0"/>
              <w:rPr>
                <w:sz w:val="5"/>
                <w:szCs w:val="5"/>
                <w:color w:val="auto"/>
              </w:rPr>
            </w:pPr>
          </w:p>
        </w:tc>
      </w:tr>
      <w:tr>
        <w:trPr>
          <w:trHeight w:val="307"/>
        </w:trPr>
        <w:tc>
          <w:tcPr>
            <w:tcW w:w="3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PMingLiU" w:cs="PMingLiU" w:eastAsia="PMingLiU" w:hAnsi="PMingLiU"/>
                <w:sz w:val="16"/>
                <w:szCs w:val="16"/>
                <w:color w:val="auto"/>
              </w:rPr>
              <w:t>(SLGLROH[UHYHQXH</w:t>
            </w:r>
          </w:p>
        </w:tc>
        <w:tc>
          <w:tcPr>
            <w:tcW w:w="198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95"/>
        </w:trPr>
        <w:tc>
          <w:tcPr>
            <w:tcW w:w="3860" w:type="dxa"/>
            <w:vAlign w:val="bottom"/>
          </w:tcPr>
          <w:p>
            <w:pPr>
              <w:spacing w:after="0"/>
              <w:rPr>
                <w:sz w:val="8"/>
                <w:szCs w:val="8"/>
                <w:color w:val="auto"/>
              </w:rPr>
            </w:pPr>
          </w:p>
        </w:tc>
        <w:tc>
          <w:tcPr>
            <w:tcW w:w="3860" w:type="dxa"/>
            <w:vAlign w:val="bottom"/>
            <w:tcBorders>
              <w:bottom w:val="single" w:sz="8" w:color="4454A7"/>
            </w:tcBorders>
          </w:tcPr>
          <w:p>
            <w:pPr>
              <w:spacing w:after="0"/>
              <w:rPr>
                <w:sz w:val="8"/>
                <w:szCs w:val="8"/>
                <w:color w:val="auto"/>
              </w:rPr>
            </w:pPr>
          </w:p>
        </w:tc>
        <w:tc>
          <w:tcPr>
            <w:tcW w:w="1980" w:type="dxa"/>
            <w:vAlign w:val="bottom"/>
            <w:tcBorders>
              <w:bottom w:val="single" w:sz="8" w:color="4454A7"/>
            </w:tcBorders>
          </w:tcPr>
          <w:p>
            <w:pPr>
              <w:spacing w:after="0"/>
              <w:rPr>
                <w:sz w:val="8"/>
                <w:szCs w:val="8"/>
                <w:color w:val="auto"/>
              </w:rPr>
            </w:pPr>
          </w:p>
        </w:tc>
      </w:tr>
      <w:tr>
        <w:trPr>
          <w:trHeight w:val="360"/>
        </w:trPr>
        <w:tc>
          <w:tcPr>
            <w:tcW w:w="3860" w:type="dxa"/>
            <w:vAlign w:val="bottom"/>
          </w:tcPr>
          <w:p>
            <w:pPr>
              <w:ind w:left="100"/>
              <w:spacing w:after="0"/>
              <w:rPr>
                <w:sz w:val="20"/>
                <w:szCs w:val="20"/>
                <w:color w:val="auto"/>
              </w:rPr>
            </w:pPr>
            <w:r>
              <w:rPr>
                <w:rFonts w:ascii="PMingLiU" w:cs="PMingLiU" w:eastAsia="PMingLiU" w:hAnsi="PMingLiU"/>
                <w:sz w:val="16"/>
                <w:szCs w:val="16"/>
                <w:color w:val="auto"/>
              </w:rPr>
              <w:t>&amp;RPPHUFLDO</w:t>
            </w:r>
            <w:r>
              <w:rPr>
                <w:rFonts w:ascii="PMingLiU" w:cs="PMingLiU" w:eastAsia="PMingLiU" w:hAnsi="PMingLiU"/>
                <w:sz w:val="20"/>
                <w:szCs w:val="20"/>
                <w:color w:val="auto"/>
                <w:vertAlign w:val="superscript"/>
              </w:rPr>
              <w:t>D</w:t>
            </w:r>
          </w:p>
        </w:tc>
        <w:tc>
          <w:tcPr>
            <w:tcW w:w="3860" w:type="dxa"/>
            <w:vAlign w:val="bottom"/>
          </w:tcPr>
          <w:p>
            <w:pPr>
              <w:ind w:left="40"/>
              <w:spacing w:after="0"/>
              <w:rPr>
                <w:sz w:val="20"/>
                <w:szCs w:val="20"/>
                <w:color w:val="auto"/>
              </w:rPr>
            </w:pPr>
            <w:r>
              <w:rPr>
                <w:rFonts w:ascii="PMingLiU" w:cs="PMingLiU" w:eastAsia="PMingLiU" w:hAnsi="PMingLiU"/>
                <w:sz w:val="16"/>
                <w:szCs w:val="16"/>
                <w:color w:val="auto"/>
              </w:rPr>
              <w:t>=HS]HOFDUHYHQXH</w:t>
            </w:r>
          </w:p>
        </w:tc>
        <w:tc>
          <w:tcPr>
            <w:tcW w:w="198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3860" w:type="dxa"/>
            <w:vAlign w:val="bottom"/>
          </w:tcPr>
          <w:p>
            <w:pPr>
              <w:spacing w:after="0"/>
              <w:rPr>
                <w:sz w:val="2"/>
                <w:szCs w:val="2"/>
                <w:color w:val="auto"/>
              </w:rPr>
            </w:pPr>
          </w:p>
        </w:tc>
        <w:tc>
          <w:tcPr>
            <w:tcW w:w="3860" w:type="dxa"/>
            <w:vAlign w:val="bottom"/>
            <w:tcBorders>
              <w:bottom w:val="single" w:sz="8" w:color="4454A7"/>
            </w:tcBorders>
          </w:tcPr>
          <w:p>
            <w:pPr>
              <w:spacing w:after="0"/>
              <w:rPr>
                <w:sz w:val="2"/>
                <w:szCs w:val="2"/>
                <w:color w:val="auto"/>
              </w:rPr>
            </w:pPr>
          </w:p>
        </w:tc>
        <w:tc>
          <w:tcPr>
            <w:tcW w:w="1980" w:type="dxa"/>
            <w:vAlign w:val="bottom"/>
            <w:tcBorders>
              <w:bottom w:val="single" w:sz="8" w:color="4454A7"/>
            </w:tcBorders>
          </w:tcPr>
          <w:p>
            <w:pPr>
              <w:spacing w:after="0"/>
              <w:rPr>
                <w:sz w:val="2"/>
                <w:szCs w:val="2"/>
                <w:color w:val="auto"/>
              </w:rPr>
            </w:pPr>
          </w:p>
        </w:tc>
      </w:tr>
      <w:tr>
        <w:trPr>
          <w:trHeight w:val="288"/>
        </w:trPr>
        <w:tc>
          <w:tcPr>
            <w:tcW w:w="386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PMingLiU" w:cs="PMingLiU" w:eastAsia="PMingLiU" w:hAnsi="PMingLiU"/>
                <w:sz w:val="16"/>
                <w:szCs w:val="16"/>
                <w:color w:val="auto"/>
              </w:rPr>
              <w:t>;\ZDYSDWLHQWVRQWKHUDS\H[LWLQJ</w:t>
            </w:r>
          </w:p>
        </w:tc>
        <w:tc>
          <w:tcPr>
            <w:tcW w:w="198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97"/>
        </w:trPr>
        <w:tc>
          <w:tcPr>
            <w:tcW w:w="3860" w:type="dxa"/>
            <w:vAlign w:val="bottom"/>
            <w:tcBorders>
              <w:bottom w:val="single" w:sz="8" w:color="4454A7"/>
            </w:tcBorders>
          </w:tcPr>
          <w:p>
            <w:pPr>
              <w:spacing w:after="0"/>
              <w:rPr>
                <w:sz w:val="8"/>
                <w:szCs w:val="8"/>
                <w:color w:val="auto"/>
              </w:rPr>
            </w:pPr>
          </w:p>
        </w:tc>
        <w:tc>
          <w:tcPr>
            <w:tcW w:w="3860" w:type="dxa"/>
            <w:vAlign w:val="bottom"/>
            <w:tcBorders>
              <w:bottom w:val="single" w:sz="8" w:color="4454A7"/>
            </w:tcBorders>
          </w:tcPr>
          <w:p>
            <w:pPr>
              <w:spacing w:after="0"/>
              <w:rPr>
                <w:sz w:val="8"/>
                <w:szCs w:val="8"/>
                <w:color w:val="auto"/>
              </w:rPr>
            </w:pPr>
          </w:p>
        </w:tc>
        <w:tc>
          <w:tcPr>
            <w:tcW w:w="1980" w:type="dxa"/>
            <w:vAlign w:val="bottom"/>
            <w:tcBorders>
              <w:bottom w:val="single" w:sz="8" w:color="4454A7"/>
            </w:tcBorders>
          </w:tcPr>
          <w:p>
            <w:pPr>
              <w:spacing w:after="0"/>
              <w:rPr>
                <w:sz w:val="8"/>
                <w:szCs w:val="8"/>
                <w:color w:val="auto"/>
              </w:rPr>
            </w:pPr>
          </w:p>
        </w:tc>
      </w:tr>
      <w:tr>
        <w:trPr>
          <w:trHeight w:val="376"/>
        </w:trPr>
        <w:tc>
          <w:tcPr>
            <w:tcW w:w="38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7RWDO7DUJHW&amp;RPPHUFLDO3RLQWV</w:t>
            </w:r>
            <w:r>
              <w:rPr>
                <w:rFonts w:ascii="PMingLiU" w:cs="PMingLiU" w:eastAsia="PMingLiU" w:hAnsi="PMingLiU"/>
                <w:sz w:val="20"/>
                <w:szCs w:val="20"/>
                <w:b w:val="1"/>
                <w:bCs w:val="1"/>
                <w:color w:val="000046"/>
                <w:vertAlign w:val="superscript"/>
              </w:rPr>
              <w:t>E</w:t>
            </w:r>
          </w:p>
        </w:tc>
        <w:tc>
          <w:tcPr>
            <w:tcW w:w="3860" w:type="dxa"/>
            <w:vAlign w:val="bottom"/>
            <w:tcBorders>
              <w:bottom w:val="single" w:sz="8" w:color="4454A7"/>
            </w:tcBorders>
          </w:tcPr>
          <w:p>
            <w:pPr>
              <w:spacing w:after="0"/>
              <w:rPr>
                <w:sz w:val="24"/>
                <w:szCs w:val="24"/>
                <w:color w:val="auto"/>
              </w:rPr>
            </w:pPr>
          </w:p>
        </w:tc>
        <w:tc>
          <w:tcPr>
            <w:tcW w:w="198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370"/>
        </w:trPr>
        <w:tc>
          <w:tcPr>
            <w:tcW w:w="3860" w:type="dxa"/>
            <w:vAlign w:val="bottom"/>
          </w:tcPr>
          <w:p>
            <w:pPr>
              <w:ind w:left="100"/>
              <w:spacing w:after="0"/>
              <w:rPr>
                <w:sz w:val="20"/>
                <w:szCs w:val="20"/>
                <w:color w:val="auto"/>
              </w:rPr>
            </w:pPr>
            <w:r>
              <w:rPr>
                <w:rFonts w:ascii="PMingLiU" w:cs="PMingLiU" w:eastAsia="PMingLiU" w:hAnsi="PMingLiU"/>
                <w:sz w:val="16"/>
                <w:szCs w:val="16"/>
                <w:color w:val="auto"/>
              </w:rPr>
              <w:t>3LSHOLQH</w:t>
            </w:r>
            <w:r>
              <w:rPr>
                <w:rFonts w:ascii="PMingLiU" w:cs="PMingLiU" w:eastAsia="PMingLiU" w:hAnsi="PMingLiU"/>
                <w:sz w:val="20"/>
                <w:szCs w:val="20"/>
                <w:color w:val="auto"/>
                <w:vertAlign w:val="superscript"/>
              </w:rPr>
              <w:t>F</w:t>
            </w:r>
          </w:p>
        </w:tc>
        <w:tc>
          <w:tcPr>
            <w:tcW w:w="3860" w:type="dxa"/>
            <w:vAlign w:val="bottom"/>
          </w:tcPr>
          <w:p>
            <w:pPr>
              <w:ind w:left="40"/>
              <w:spacing w:after="0"/>
              <w:rPr>
                <w:sz w:val="20"/>
                <w:szCs w:val="20"/>
                <w:color w:val="auto"/>
              </w:rPr>
            </w:pPr>
            <w:r>
              <w:rPr>
                <w:rFonts w:ascii="PMingLiU" w:cs="PMingLiU" w:eastAsia="PMingLiU" w:hAnsi="PMingLiU"/>
                <w:sz w:val="16"/>
                <w:szCs w:val="16"/>
                <w:color w:val="auto"/>
                <w:w w:val="98"/>
              </w:rPr>
              <w:t>3LYRWDOUHDGRXWVDQGUHJXODWRU\DSSURYDOV</w:t>
            </w:r>
          </w:p>
        </w:tc>
        <w:tc>
          <w:tcPr>
            <w:tcW w:w="198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3860" w:type="dxa"/>
            <w:vAlign w:val="bottom"/>
            <w:tcBorders>
              <w:bottom w:val="single" w:sz="8" w:color="4454A7"/>
            </w:tcBorders>
          </w:tcPr>
          <w:p>
            <w:pPr>
              <w:spacing w:after="0"/>
              <w:rPr>
                <w:sz w:val="2"/>
                <w:szCs w:val="2"/>
                <w:color w:val="auto"/>
              </w:rPr>
            </w:pPr>
          </w:p>
        </w:tc>
        <w:tc>
          <w:tcPr>
            <w:tcW w:w="3860" w:type="dxa"/>
            <w:vAlign w:val="bottom"/>
            <w:tcBorders>
              <w:bottom w:val="single" w:sz="8" w:color="4454A7"/>
            </w:tcBorders>
          </w:tcPr>
          <w:p>
            <w:pPr>
              <w:spacing w:after="0"/>
              <w:rPr>
                <w:sz w:val="2"/>
                <w:szCs w:val="2"/>
                <w:color w:val="auto"/>
              </w:rPr>
            </w:pPr>
          </w:p>
        </w:tc>
        <w:tc>
          <w:tcPr>
            <w:tcW w:w="1980" w:type="dxa"/>
            <w:vAlign w:val="bottom"/>
            <w:tcBorders>
              <w:bottom w:val="single" w:sz="8" w:color="4454A7"/>
            </w:tcBorders>
          </w:tcPr>
          <w:p>
            <w:pPr>
              <w:spacing w:after="0"/>
              <w:rPr>
                <w:sz w:val="2"/>
                <w:szCs w:val="2"/>
                <w:color w:val="auto"/>
              </w:rPr>
            </w:pPr>
          </w:p>
        </w:tc>
      </w:tr>
      <w:tr>
        <w:trPr>
          <w:trHeight w:val="378"/>
        </w:trPr>
        <w:tc>
          <w:tcPr>
            <w:tcW w:w="38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color w:val="auto"/>
              </w:rPr>
              <w:t>&amp;RUSRUDWH'HYHORSPHQW</w:t>
            </w:r>
            <w:r>
              <w:rPr>
                <w:rFonts w:ascii="PMingLiU" w:cs="PMingLiU" w:eastAsia="PMingLiU" w:hAnsi="PMingLiU"/>
                <w:sz w:val="20"/>
                <w:szCs w:val="20"/>
                <w:color w:val="auto"/>
                <w:vertAlign w:val="superscript"/>
              </w:rPr>
              <w:t>G</w:t>
            </w:r>
          </w:p>
        </w:tc>
        <w:tc>
          <w:tcPr>
            <w:tcW w:w="3860" w:type="dxa"/>
            <w:vAlign w:val="bottom"/>
            <w:tcBorders>
              <w:bottom w:val="single" w:sz="8" w:color="5C004D"/>
            </w:tcBorders>
          </w:tcPr>
          <w:p>
            <w:pPr>
              <w:ind w:left="40"/>
              <w:spacing w:after="0"/>
              <w:rPr>
                <w:sz w:val="20"/>
                <w:szCs w:val="20"/>
                <w:color w:val="auto"/>
              </w:rPr>
            </w:pPr>
            <w:r>
              <w:rPr>
                <w:rFonts w:ascii="PMingLiU" w:cs="PMingLiU" w:eastAsia="PMingLiU" w:hAnsi="PMingLiU"/>
                <w:sz w:val="16"/>
                <w:szCs w:val="16"/>
                <w:color w:val="auto"/>
              </w:rPr>
              <w:t>3LSHOLQHGHDOVDQGJURZWKGHDOV</w:t>
            </w:r>
          </w:p>
        </w:tc>
        <w:tc>
          <w:tcPr>
            <w:tcW w:w="198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color w:val="auto"/>
              </w:rPr>
              <w:t/>
            </w:r>
          </w:p>
        </w:tc>
      </w:tr>
      <w:tr>
        <w:trPr>
          <w:trHeight w:val="305"/>
        </w:trPr>
        <w:tc>
          <w:tcPr>
            <w:tcW w:w="3860" w:type="dxa"/>
            <w:vAlign w:val="bottom"/>
          </w:tcPr>
          <w:p>
            <w:pPr>
              <w:ind w:left="100"/>
              <w:spacing w:after="0"/>
              <w:rPr>
                <w:sz w:val="20"/>
                <w:szCs w:val="20"/>
                <w:color w:val="auto"/>
              </w:rPr>
            </w:pPr>
            <w:r>
              <w:rPr>
                <w:rFonts w:ascii="PMingLiU" w:cs="PMingLiU" w:eastAsia="PMingLiU" w:hAnsi="PMingLiU"/>
                <w:sz w:val="16"/>
                <w:szCs w:val="16"/>
                <w:b w:val="1"/>
                <w:bCs w:val="1"/>
                <w:color w:val="5C004D"/>
              </w:rPr>
              <w:t>727$/</w:t>
            </w:r>
          </w:p>
        </w:tc>
        <w:tc>
          <w:tcPr>
            <w:tcW w:w="3860" w:type="dxa"/>
            <w:vAlign w:val="bottom"/>
          </w:tcPr>
          <w:p>
            <w:pPr>
              <w:spacing w:after="0"/>
              <w:rPr>
                <w:sz w:val="24"/>
                <w:szCs w:val="24"/>
                <w:color w:val="auto"/>
              </w:rPr>
            </w:pPr>
          </w:p>
        </w:tc>
        <w:tc>
          <w:tcPr>
            <w:tcW w:w="1980" w:type="dxa"/>
            <w:vAlign w:val="bottom"/>
          </w:tcPr>
          <w:p>
            <w:pPr>
              <w:jc w:val="right"/>
              <w:ind w:right="40"/>
              <w:spacing w:after="0"/>
              <w:rPr>
                <w:sz w:val="20"/>
                <w:szCs w:val="20"/>
                <w:color w:val="auto"/>
              </w:rPr>
            </w:pPr>
            <w:r>
              <w:rPr>
                <w:rFonts w:ascii="PMingLiU" w:cs="PMingLiU" w:eastAsia="PMingLiU" w:hAnsi="PMingLiU"/>
                <w:sz w:val="16"/>
                <w:szCs w:val="16"/>
                <w:b w:val="1"/>
                <w:bCs w:val="1"/>
                <w:color w:val="5C004D"/>
              </w:rPr>
              <w:t/>
            </w:r>
          </w:p>
        </w:tc>
      </w:tr>
      <w:tr>
        <w:trPr>
          <w:trHeight w:val="80"/>
        </w:trPr>
        <w:tc>
          <w:tcPr>
            <w:tcW w:w="3860" w:type="dxa"/>
            <w:vAlign w:val="bottom"/>
            <w:tcBorders>
              <w:bottom w:val="single" w:sz="8" w:color="5C004D"/>
            </w:tcBorders>
          </w:tcPr>
          <w:p>
            <w:pPr>
              <w:spacing w:after="0"/>
              <w:rPr>
                <w:sz w:val="6"/>
                <w:szCs w:val="6"/>
                <w:color w:val="auto"/>
              </w:rPr>
            </w:pPr>
          </w:p>
        </w:tc>
        <w:tc>
          <w:tcPr>
            <w:tcW w:w="3860" w:type="dxa"/>
            <w:vAlign w:val="bottom"/>
            <w:tcBorders>
              <w:bottom w:val="single" w:sz="8" w:color="5C004D"/>
            </w:tcBorders>
          </w:tcPr>
          <w:p>
            <w:pPr>
              <w:spacing w:after="0"/>
              <w:rPr>
                <w:sz w:val="6"/>
                <w:szCs w:val="6"/>
                <w:color w:val="auto"/>
              </w:rPr>
            </w:pPr>
          </w:p>
        </w:tc>
        <w:tc>
          <w:tcPr>
            <w:tcW w:w="1980" w:type="dxa"/>
            <w:vAlign w:val="bottom"/>
            <w:tcBorders>
              <w:bottom w:val="single" w:sz="8" w:color="5C004D"/>
            </w:tcBorders>
          </w:tcPr>
          <w:p>
            <w:pPr>
              <w:spacing w:after="0"/>
              <w:rPr>
                <w:sz w:val="6"/>
                <w:szCs w:val="6"/>
                <w:color w:val="auto"/>
              </w:rPr>
            </w:pPr>
          </w:p>
        </w:tc>
      </w:tr>
    </w:tbl>
    <w:p>
      <w:pPr>
        <w:spacing w:after="0" w:line="10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tab/>
        <w:t>(SLGLROH[DQG=HS]HOFDSURGXFWUHYHQXHVDQG;\ZDYSDWLHQWJRDOVDUHVHWE\RXU&amp;RPSHQVDWLRQ&amp;RPPLWWHHDQGDUHQRWEHLQJ</w:t>
      </w:r>
    </w:p>
    <w:p>
      <w:pPr>
        <w:spacing w:after="0" w:line="40" w:lineRule="exact"/>
        <w:rPr>
          <w:sz w:val="20"/>
          <w:szCs w:val="20"/>
          <w:color w:val="auto"/>
        </w:rPr>
      </w:pPr>
    </w:p>
    <w:p>
      <w:pPr>
        <w:ind w:left="720"/>
        <w:spacing w:after="0"/>
        <w:rPr>
          <w:sz w:val="20"/>
          <w:szCs w:val="20"/>
          <w:color w:val="auto"/>
        </w:rPr>
      </w:pPr>
      <w:r>
        <w:rPr>
          <w:rFonts w:ascii="PMingLiU" w:cs="PMingLiU" w:eastAsia="PMingLiU" w:hAnsi="PMingLiU"/>
          <w:sz w:val="12"/>
          <w:szCs w:val="12"/>
          <w:color w:val="auto"/>
        </w:rPr>
        <w:t>GLVFORVHGDVWKH\UHSUHVHQWFRQILGHQWLDOFRPPHUFLDODQGILQDQFLDOLQIRUPDWLRQWKHGLVFORVXUHRIZKLFKZRXOGUHVXOWLQFRPSHWLWLYH</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3"/>
          <w:szCs w:val="13"/>
          <w:color w:val="auto"/>
        </w:rPr>
        <w:t>KDUPWRRXU&amp;RPSDQ\2XU&amp;RPSHQVDWLRQ&amp;RPPLWWHHEHOLHYHGWKDWLWVHWSHUIRUPDQFHJRDOVDWULJRURXVDQGFKDOOHQJLQJOHYHOVWKDW</w:t>
      </w:r>
    </w:p>
    <w:p>
      <w:pPr>
        <w:spacing w:after="0" w:line="36" w:lineRule="exact"/>
        <w:rPr>
          <w:sz w:val="20"/>
          <w:szCs w:val="20"/>
          <w:color w:val="auto"/>
        </w:rPr>
      </w:pPr>
    </w:p>
    <w:p>
      <w:pPr>
        <w:ind w:left="720"/>
        <w:spacing w:after="0"/>
        <w:rPr>
          <w:sz w:val="20"/>
          <w:szCs w:val="20"/>
          <w:color w:val="auto"/>
        </w:rPr>
      </w:pPr>
      <w:r>
        <w:rPr>
          <w:rFonts w:ascii="PMingLiU" w:cs="PMingLiU" w:eastAsia="PMingLiU" w:hAnsi="PMingLiU"/>
          <w:sz w:val="13"/>
          <w:szCs w:val="13"/>
          <w:color w:val="auto"/>
        </w:rPr>
        <w:t>ZRXOGUHTXLUHVLJQLILFDQWHIIRUWDQGDFKLHYHPHQWE\RXUH[HFXWLYHRIILFHUVWREHDWWDLQHG6XFKJRDOVZHUHHVWDEOLVKHGLQOLJKWRIRXU</w:t>
      </w:r>
    </w:p>
    <w:p>
      <w:pPr>
        <w:spacing w:after="0" w:line="36"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LQWHUQDOIRUHFDVWDWWKHWLPHDVZHOODVPDFURHFRQRPLFDQGLQGXVWU\HQYLURQPHQWV</w:t>
      </w:r>
    </w:p>
    <w:p>
      <w:pPr>
        <w:spacing w:after="0" w:line="7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E</w:t>
        <w:tab/>
        <w:t>:HZLOOGLVFORVHWKHDFKLHYHPHQWVIRURXU±3683URJUDPDWWKHHQGRIWKHSHUIRUPDQFHSHULRG</w:t>
      </w:r>
    </w:p>
    <w:p>
      <w:pPr>
        <w:spacing w:after="0" w:line="90" w:lineRule="exact"/>
        <w:rPr>
          <w:sz w:val="20"/>
          <w:szCs w:val="20"/>
          <w:color w:val="auto"/>
        </w:rPr>
      </w:pPr>
    </w:p>
    <w:p>
      <w:pPr>
        <w:jc w:val="both"/>
        <w:ind w:left="720" w:right="180" w:hanging="359"/>
        <w:spacing w:after="0" w:line="337" w:lineRule="auto"/>
        <w:tabs>
          <w:tab w:leader="none" w:pos="700" w:val="left"/>
        </w:tabs>
        <w:rPr>
          <w:sz w:val="20"/>
          <w:szCs w:val="20"/>
          <w:color w:val="auto"/>
        </w:rPr>
      </w:pPr>
      <w:r>
        <w:rPr>
          <w:rFonts w:ascii="PMingLiU" w:cs="PMingLiU" w:eastAsia="PMingLiU" w:hAnsi="PMingLiU"/>
          <w:sz w:val="13"/>
          <w:szCs w:val="13"/>
          <w:color w:val="auto"/>
        </w:rPr>
        <w:t>F</w:t>
      </w:r>
      <w:r>
        <w:rPr>
          <w:sz w:val="20"/>
          <w:szCs w:val="20"/>
          <w:color w:val="auto"/>
        </w:rPr>
        <w:tab/>
      </w:r>
      <w:r>
        <w:rPr>
          <w:rFonts w:ascii="PMingLiU" w:cs="PMingLiU" w:eastAsia="PMingLiU" w:hAnsi="PMingLiU"/>
          <w:sz w:val="13"/>
          <w:szCs w:val="13"/>
          <w:color w:val="auto"/>
        </w:rPr>
        <w:t>3RLQWVDUHDZDUGHGIRUDFKLHYHPHQWRIWKHIROORZLQJGXULQJWKHSHUIRUPDQFHSHULRGVHYHQSRLQWVIRUHDFKDKXPDQFOLQLFDOVWXG\ WKDWIRUPVWKHEDVLVIRUSURJUHVVLQJDGHYHORSPHQWSURGXFWWRUHJXODWRU\DSSURYDORIDPDUNHWLQJDSSOLFDWLRQDQGRUEUHJXODWRU\ DSSURYDORIDPDUNHWLQJDSSOLFDWLRQ</w:t>
      </w:r>
    </w:p>
    <w:p>
      <w:pPr>
        <w:spacing w:after="0" w:line="9" w:lineRule="exact"/>
        <w:rPr>
          <w:sz w:val="20"/>
          <w:szCs w:val="20"/>
          <w:color w:val="auto"/>
        </w:rPr>
      </w:pPr>
    </w:p>
    <w:p>
      <w:pPr>
        <w:ind w:left="720" w:right="420" w:hanging="359"/>
        <w:spacing w:after="0" w:line="435" w:lineRule="auto"/>
        <w:tabs>
          <w:tab w:leader="none" w:pos="700" w:val="left"/>
        </w:tabs>
        <w:rPr>
          <w:sz w:val="20"/>
          <w:szCs w:val="20"/>
          <w:color w:val="auto"/>
        </w:rPr>
      </w:pPr>
      <w:r>
        <w:rPr>
          <w:rFonts w:ascii="PMingLiU" w:cs="PMingLiU" w:eastAsia="PMingLiU" w:hAnsi="PMingLiU"/>
          <w:sz w:val="12"/>
          <w:szCs w:val="12"/>
          <w:color w:val="auto"/>
        </w:rPr>
        <w:t>G</w:t>
      </w:r>
      <w:r>
        <w:rPr>
          <w:sz w:val="20"/>
          <w:szCs w:val="20"/>
          <w:color w:val="auto"/>
        </w:rPr>
        <w:tab/>
      </w:r>
      <w:r>
        <w:rPr>
          <w:rFonts w:ascii="PMingLiU" w:cs="PMingLiU" w:eastAsia="PMingLiU" w:hAnsi="PMingLiU"/>
          <w:sz w:val="12"/>
          <w:szCs w:val="12"/>
          <w:color w:val="auto"/>
        </w:rPr>
        <w:t>3RLQWVDUHDZDUGHGIRUWKHIROORZLQJFRUSRUDWHGHYHORSPHQWDFWLYLWLHVGXULQJWKHSHUIRUPDQFHSHULRGWHQSRLQWVIRUWKHILUVWWZR TXDOLI\LQJGHDOVZLWKVHYHQSRLQWVIRUHDFKVXEVHTXHQWGHDO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1050290</wp:posOffset>
            </wp:positionV>
            <wp:extent cx="1389380" cy="2343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88">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71" w:name="page72"/>
    <w:bookmarkEnd w:id="7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03" o:spid="_x0000_s1428"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60"/>
        <w:spacing w:after="0" w:line="398" w:lineRule="auto"/>
        <w:rPr>
          <w:sz w:val="20"/>
          <w:szCs w:val="20"/>
          <w:color w:val="auto"/>
        </w:rPr>
      </w:pPr>
      <w:r>
        <w:rPr>
          <w:rFonts w:ascii="PMingLiU" w:cs="PMingLiU" w:eastAsia="PMingLiU" w:hAnsi="PMingLiU"/>
          <w:sz w:val="15"/>
          <w:szCs w:val="15"/>
          <w:color w:val="auto"/>
        </w:rPr>
        <w:t>2XU&amp;RPSHQVDWLRQ&amp;RPPLWWHHVHOHFWHGWKH1DVGDT%LRWHFKQRORJ\,QGH[DVWKHSHHUJURXSIRUWKHSXUSRVHVRIFDOFXODWLQJWKH H[WHQWRIWKHDFKLHYHPHQWRIUHODWLYH765JRDOIRUWKHIROORZLQJUHDVRQV</w:t>
      </w:r>
    </w:p>
    <w:p>
      <w:pPr>
        <w:spacing w:after="0" w:line="6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WKHQXPEHURIFRPSDQLHVLVODUJHHQRXJKWRZLWKVWDQGDQ\SRWHQWLDOLQGXVWU\FRQVROLGDWLRQ</w:t>
      </w:r>
    </w:p>
    <w:p>
      <w:pPr>
        <w:spacing w:after="0" w:line="144" w:lineRule="exact"/>
        <w:rPr>
          <w:sz w:val="20"/>
          <w:szCs w:val="20"/>
          <w:color w:val="auto"/>
        </w:rPr>
      </w:pPr>
    </w:p>
    <w:p>
      <w:pPr>
        <w:ind w:left="360" w:right="260" w:hanging="279"/>
        <w:spacing w:after="0" w:line="524" w:lineRule="auto"/>
        <w:tabs>
          <w:tab w:leader="none" w:pos="34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LWLVWKHPRVWFRPPRQFRPSDUDWRUJURXSXVHGIRU368DZDUGVRIFRPSDQLHVLQRXUH[HFXWLYHFRPSHQVDWLRQSHHUJURXS DERYHXQGHU³</w:t>
      </w:r>
      <w:r>
        <w:rPr>
          <w:rFonts w:ascii="PMingLiU" w:cs="PMingLiU" w:eastAsia="PMingLiU" w:hAnsi="PMingLiU"/>
          <w:sz w:val="16"/>
          <w:szCs w:val="16"/>
          <w:i w:val="1"/>
          <w:iCs w:val="1"/>
          <w:color w:val="auto"/>
        </w:rPr>
        <w:t>5=',,:,8304,&gt;,*;:0&lt;,536,49(:054 536,:0:0&lt;,99,993,4:5-536,49(:054 !,,8</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536(40,9(4+(81,:(:(</w:t>
      </w:r>
      <w:r>
        <w:rPr>
          <w:rFonts w:ascii="PMingLiU" w:cs="PMingLiU" w:eastAsia="PMingLiU" w:hAnsi="PMingLiU"/>
          <w:sz w:val="16"/>
          <w:szCs w:val="16"/>
          <w:color w:val="auto"/>
        </w:rPr>
        <w:t>´DQG</w:t>
      </w:r>
    </w:p>
    <w:p>
      <w:pPr>
        <w:ind w:left="80"/>
        <w:spacing w:after="0"/>
        <w:tabs>
          <w:tab w:leader="none" w:pos="34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WKHUHYHQXHPDUNHWFDSLWDOL]DWLRQDQGYRODWLOLW\RIWKHVHFRPSDQLHVLVPRUHDOLJQHGZLWKRXU&amp;RPSDQ\¶VSURILOH</w:t>
      </w:r>
    </w:p>
    <w:p>
      <w:pPr>
        <w:spacing w:after="0" w:line="228" w:lineRule="exact"/>
        <w:rPr>
          <w:sz w:val="20"/>
          <w:szCs w:val="20"/>
          <w:color w:val="auto"/>
        </w:rPr>
      </w:pPr>
    </w:p>
    <w:p>
      <w:pPr>
        <w:ind w:right="660"/>
        <w:spacing w:after="0" w:line="398" w:lineRule="auto"/>
        <w:rPr>
          <w:sz w:val="20"/>
          <w:szCs w:val="20"/>
          <w:color w:val="auto"/>
        </w:rPr>
      </w:pPr>
      <w:r>
        <w:rPr>
          <w:rFonts w:ascii="PMingLiU" w:cs="PMingLiU" w:eastAsia="PMingLiU" w:hAnsi="PMingLiU"/>
          <w:sz w:val="15"/>
          <w:szCs w:val="15"/>
          <w:color w:val="auto"/>
        </w:rPr>
        <w:t>&amp;RPSDQLHVPXVWUHPDLQLQWKH1DVGDT%LRWHFKQRORJ\,QGH[GXULQJWKHHQWLUHSHUIRUPDQFHSHULRGWREHLQFOXGHGLQWKH FDOFXODWLRQRIUHODWLYH765</w:t>
      </w:r>
    </w:p>
    <w:p>
      <w:pPr>
        <w:spacing w:after="0" w:line="62" w:lineRule="exact"/>
        <w:rPr>
          <w:sz w:val="20"/>
          <w:szCs w:val="20"/>
          <w:color w:val="auto"/>
        </w:rPr>
      </w:pPr>
    </w:p>
    <w:p>
      <w:pPr>
        <w:ind w:right="60"/>
        <w:spacing w:after="0" w:line="319" w:lineRule="auto"/>
        <w:rPr>
          <w:sz w:val="20"/>
          <w:szCs w:val="20"/>
          <w:color w:val="auto"/>
        </w:rPr>
      </w:pPr>
      <w:r>
        <w:rPr>
          <w:rFonts w:ascii="PMingLiU" w:cs="PMingLiU" w:eastAsia="PMingLiU" w:hAnsi="PMingLiU"/>
          <w:sz w:val="15"/>
          <w:szCs w:val="15"/>
          <w:color w:val="auto"/>
        </w:rPr>
        <w:t>7KH368VDUHVXEMHFWWRSRWHQWLDOYHVWLQJDFFHOHUDWLRQXSRQWKH1(2¶VWHUPLQDWLRQLQFRQQHFWLRQZLWKD&amp;,&amp;DVZHOODV XSRQGHDWKGLVDELOLW\RUUHWLUHPHQWSXUVXDQWWRWKH&amp;,&amp;3ODQDQGHDFKRIWKH1(2VRWKHUWKDQ0V*DODDQG0U&amp;R]DGGDUH</w:t>
      </w:r>
    </w:p>
    <w:p>
      <w:pPr>
        <w:spacing w:after="0" w:line="1" w:lineRule="exact"/>
        <w:rPr>
          <w:sz w:val="20"/>
          <w:szCs w:val="20"/>
          <w:color w:val="auto"/>
        </w:rPr>
      </w:pPr>
    </w:p>
    <w:p>
      <w:pPr>
        <w:ind w:right="200"/>
        <w:spacing w:after="0" w:line="392" w:lineRule="auto"/>
        <w:rPr>
          <w:sz w:val="20"/>
          <w:szCs w:val="20"/>
          <w:color w:val="auto"/>
        </w:rPr>
      </w:pPr>
      <w:r>
        <w:rPr>
          <w:rFonts w:ascii="PMingLiU" w:cs="PMingLiU" w:eastAsia="PMingLiU" w:hAnsi="PMingLiU"/>
          <w:sz w:val="14"/>
          <w:szCs w:val="14"/>
          <w:color w:val="auto"/>
        </w:rPr>
        <w:t>HOLJLEOHWRUHFHLYHFHUWDLQVHYHUDQFHEHQHILWVXSRQDQLQYROXQWDU\WHUPLQDWLRQZLWKRXWFDXVHWKDWRFFXUVRQRUDIWHU$SULO DQGWKDWGRHVQRWRFFXUXSRQRUZLWKLQPRQWKVIROORZLQJD&amp;,&amp;SXUVXDQWWRWKH6HYHUDQFH3ODQDVGHVFULEHGEHORZ XQGHUWKHKHDGLQJ³</w:t>
      </w:r>
      <w:r>
        <w:rPr>
          <w:rFonts w:ascii="PMingLiU" w:cs="PMingLiU" w:eastAsia="PMingLiU" w:hAnsi="PMingLiU"/>
          <w:sz w:val="14"/>
          <w:szCs w:val="14"/>
          <w:i w:val="1"/>
          <w:iCs w:val="1"/>
          <w:color w:val="auto"/>
        </w:rPr>
        <w:t>!5:,4:0(2!(?3,4:9;654$,8304(:05458/(4.,0454:852 $8,(:3,4:5-    (4+  !#%9</w:t>
      </w:r>
      <w:r>
        <w:rPr>
          <w:rFonts w:ascii="PMingLiU" w:cs="PMingLiU" w:eastAsia="PMingLiU" w:hAnsi="PMingLiU"/>
          <w:sz w:val="14"/>
          <w:szCs w:val="14"/>
          <w:color w:val="auto"/>
        </w:rPr>
        <w:t>´</w:t>
      </w:r>
    </w:p>
    <w:p>
      <w:pPr>
        <w:spacing w:after="0" w:line="97"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&amp;RPSHQVDWLRQ'HFLVLRQVIRU2XU1(2V</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*HQHUDO$SSURDFK</w:t>
      </w:r>
    </w:p>
    <w:p>
      <w:pPr>
        <w:spacing w:after="0" w:line="191" w:lineRule="exact"/>
        <w:rPr>
          <w:sz w:val="20"/>
          <w:szCs w:val="20"/>
          <w:color w:val="auto"/>
        </w:rPr>
      </w:pPr>
    </w:p>
    <w:p>
      <w:pPr>
        <w:ind w:right="160"/>
        <w:spacing w:after="0" w:line="354" w:lineRule="auto"/>
        <w:rPr>
          <w:sz w:val="20"/>
          <w:szCs w:val="20"/>
          <w:color w:val="auto"/>
        </w:rPr>
      </w:pPr>
      <w:r>
        <w:rPr>
          <w:rFonts w:ascii="PMingLiU" w:cs="PMingLiU" w:eastAsia="PMingLiU" w:hAnsi="PMingLiU"/>
          <w:sz w:val="14"/>
          <w:szCs w:val="14"/>
          <w:color w:val="auto"/>
        </w:rPr>
        <w:t>)RUPDNLQJFRPSHQVDWLRQGHFLVLRQVRXU&amp;RPSHQVDWLRQ&amp;RPPLWWHHFRQVLGHUHGWKHIDFWRUVGLVFXVVHGLQ³</w:t>
      </w:r>
      <w:r>
        <w:rPr>
          <w:rFonts w:ascii="PMingLiU" w:cs="PMingLiU" w:eastAsia="PMingLiU" w:hAnsi="PMingLiU"/>
          <w:sz w:val="14"/>
          <w:szCs w:val="14"/>
          <w:i w:val="1"/>
          <w:iCs w:val="1"/>
          <w:color w:val="auto"/>
        </w:rPr>
        <w:t>5=',</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,:,8304,&gt;,*;:0&lt;,536,49(:054 (*:589%9,+04,:,830404.&gt;,*;:0&lt;,536,49(:054</w:t>
      </w:r>
      <w:r>
        <w:rPr>
          <w:rFonts w:ascii="PMingLiU" w:cs="PMingLiU" w:eastAsia="PMingLiU" w:hAnsi="PMingLiU"/>
          <w:sz w:val="14"/>
          <w:szCs w:val="14"/>
          <w:color w:val="auto"/>
        </w:rPr>
        <w:t>´DERYHDQGRXU&amp;RPSHQVDWLRQ</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&amp;RPPLWWHH¶VVSHFLILFFRPSHQVDWLRQREMHFWLYHVIRU2XU&amp;RPSHQVDWLRQ&amp;RPPLWWHHGLGQRWXVHDIRUPXODRUDVVLJQD SDUWLFXODUZHLJKWWRDQ\RQHIDFWRULQGHWHUPLQLQJHDFK1(2¶VWDUJHWWRWDOGLUHFWFRPSHQVDWLRQ5DWKHURXU&amp;RPSHQVDWLRQ &amp;RPPLWWHH¶VGHWHUPLQDWLRQRIWKHWDUJHWWRWDOGLUHFWFRPSHQVDWLRQPL[RIFDVKDQGHTXLW\DQGIL[HGDQGYDULDEOHRU³DWULVN´ SD\RSSRUWXQLWLHVZDVDVXEMHFWLYHLQGLYLGXDOL]HGGHFLVLRQIRUHDFK1(22XU&amp;RPSHQVDWLRQ&amp;RPPLWWHHUHYLHZHGDQG FRQVLGHUHGHDFKHOHPHQWRISD\LQWKHFRQWH[WRIWKHRYHUDOOWDUJHWWRWDOGLUHFWFRPSHQVDWLRQIRUHDFK1(2:KHQRXU &amp;RPSHQVDWLRQ&amp;RPPLWWHHPDGHFKDQJHVWRRQHHOHPHQWRISD\WKRVHFKDQJHVZHUHPDGHLQWKHFRQWH[WRIWKHOHYHOVRIWKH RWKHUHOHPHQWVRISD\DQGWKHUHVXOWLQJWDUJHWWRWDOGLUHFWFRPSHQVDWLRQIRUHDFK1(2</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6XPPDU\RI&amp;RPSHQVDWLRQ'HFLVLRQV</w:t>
      </w:r>
    </w:p>
    <w:p>
      <w:pPr>
        <w:spacing w:after="0" w:line="18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7DUJHW7RWDO&amp;DVK&amp;RPSHQVDWLRQ</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6"/>
          <w:szCs w:val="16"/>
          <w:color w:val="auto"/>
        </w:rPr>
        <w:t>2XU&amp;RPSHQVDWLRQ&amp;RPPLWWHHDQGRXU%RDUGZLWKUHVSHFWWR0V*DODXSRQKHUDSSRLQWPHQWDV3UHVLGHQWDQG&amp;(2DQG0U</w:t>
      </w:r>
    </w:p>
    <w:p>
      <w:pPr>
        <w:spacing w:after="0" w:line="48" w:lineRule="exact"/>
        <w:rPr>
          <w:sz w:val="20"/>
          <w:szCs w:val="20"/>
          <w:color w:val="auto"/>
        </w:rPr>
      </w:pPr>
    </w:p>
    <w:p>
      <w:pPr>
        <w:ind w:right="40"/>
        <w:spacing w:after="0" w:line="345" w:lineRule="auto"/>
        <w:rPr>
          <w:sz w:val="20"/>
          <w:szCs w:val="20"/>
          <w:color w:val="auto"/>
        </w:rPr>
      </w:pPr>
      <w:r>
        <w:rPr>
          <w:rFonts w:ascii="PMingLiU" w:cs="PMingLiU" w:eastAsia="PMingLiU" w:hAnsi="PMingLiU"/>
          <w:sz w:val="15"/>
          <w:szCs w:val="15"/>
          <w:color w:val="auto"/>
        </w:rPr>
        <w:t>&amp;R]DGGLQFUHDVHGWRWDOWDUJHWFDVKFRPSHQVDWLRQLQYDU\LQJDPRXQWVIRURXU1(2V%DVHVDODU\UDWHLQFUHDVHVZHUHDUHVXOW RIHDFK1(2¶VLQGLYLGXDOSHUIRUPDQFHUHVSRQVLELOLWLHVPDUNHWGDWDUHIHUHQFHSRLQWVDQGWRWDOSD\RSSRUWXQLWLHVDQGZHUH HIIHFWLYHLQ0DUFK0V*DOD¶VWDUJHWWRWDOFDVKFRPSHQVDWLRQZDVVXEVHTXHQWO\LQFUHDVHGLQ$XJXVWDVUHIOHFWHG IXUWKHUEHORZLQFRQQHFWLRQZLWKKHUDSSRLQWPHQWDV3UHVLGHQWDQG&amp;(2</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7DUJHW(TXLW\&amp;RPSHQVDWLRQDQG,PSDFWRQ7DUJHW7RWDO'LUHFW&amp;RPSHQVDWLRQ</w:t>
      </w:r>
    </w:p>
    <w:p>
      <w:pPr>
        <w:spacing w:after="0" w:line="126" w:lineRule="exact"/>
        <w:rPr>
          <w:sz w:val="20"/>
          <w:szCs w:val="20"/>
          <w:color w:val="auto"/>
        </w:rPr>
      </w:pPr>
    </w:p>
    <w:p>
      <w:pPr>
        <w:spacing w:after="0" w:line="384" w:lineRule="auto"/>
        <w:rPr>
          <w:sz w:val="20"/>
          <w:szCs w:val="20"/>
          <w:color w:val="auto"/>
        </w:rPr>
      </w:pPr>
      <w:r>
        <w:rPr>
          <w:rFonts w:ascii="PMingLiU" w:cs="PMingLiU" w:eastAsia="PMingLiU" w:hAnsi="PMingLiU"/>
          <w:sz w:val="13"/>
          <w:szCs w:val="13"/>
          <w:color w:val="auto"/>
        </w:rPr>
        <w:t>7RGHWHUPLQHWKHVL]HRIHTXLW\DZDUGVRXU&amp;RPSHQVDWLRQ&amp;RPPLWWHHFRQVLGHULQJUHFRPPHQGDWLRQVIURPRXU&amp;(2DQG ZLWKUHVSHFWWRWKH&amp;(2WKH%RDUGXSRQWKHUHFRPPHQGDWLRQRIRXU&amp;RPSHQVDWLRQ&amp;RPPLWWHHPDGHLWVGHFLVLRQVDIWHU FDUHIXOFRQVLGHUDWLRQVHHNLQJWRGHOLYHUHTXLW\DZDUGVWRHDFKH[HFXWLYHRIILFHUEDVHGRQRYHUDOOHTXLW\DQGWRWDO FRPSHQVDWLRQFRPSHWLWLYHQHVVWRUHLQIRUFHRXUUHWHQWLRQDQGLQFHQWLYHREMHFWLYHVDQGWRIDFLOLWDWHVWRFNRZQHUVKLS,QDGGLWLRQ WRKHUDQQXDOHTXLW\DZDUG0V*DODUHFHLYHGDRQHWLPHSURPRWLRQJUDQWLQFRQQHFWLRQZLWKKHUDSSRLQWPHQWDV3UHVLGHQW DQG&amp;(27KHVL]HRI0V*DOD¶VRQHWLPHSURPRWLRQJUDQWEDVHZDVGHWHUPLQHGE\WKH%RDUGXSRQWKHUHFRPPHQGDWLRQRI RXU&amp;RPSHQVDWLRQ&amp;RPPLWWHHXVLQJLWVSURIHVVLRQDOMXGJPHQWDQGZDVLQWHQGHGWRUHIOHFWKHUVFRSHRILQFUHDVHGUHVSRQVLELOLW\ DV&amp;(2DVZHOODVWRPDLQWDLQFRPSHWLWLYHSRVLWLRQLQJUHODWLYHWRWKHPDUNHWGDWD&amp;RQVLGHUDWLRQVZLWKUHVSHFWWRWKHVL]HRI 0U&amp;R]DGG¶VHTXLW\DZDUGDVZHOODVWKHVSHFLDO1(2UHWHQWLRQJUDQWVDUHGLVFXVVHGEHORZ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720090</wp:posOffset>
            </wp:positionV>
            <wp:extent cx="1386840" cy="2336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28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72" w:name="page73"/>
    <w:bookmarkEnd w:id="72"/>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05" o:spid="_x0000_s1430"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/RQJ7HUP,QFHQWLYH3URJUDP</w:t>
      </w:r>
    </w:p>
    <w:p>
      <w:pPr>
        <w:spacing w:after="0" w:line="126" w:lineRule="exact"/>
        <w:rPr>
          <w:sz w:val="20"/>
          <w:szCs w:val="20"/>
          <w:color w:val="auto"/>
        </w:rPr>
      </w:pPr>
    </w:p>
    <w:p>
      <w:pPr>
        <w:ind w:right="80"/>
        <w:spacing w:after="0" w:line="319" w:lineRule="auto"/>
        <w:rPr>
          <w:sz w:val="20"/>
          <w:szCs w:val="20"/>
          <w:color w:val="auto"/>
        </w:rPr>
      </w:pPr>
      <w:r>
        <w:rPr>
          <w:rFonts w:ascii="PMingLiU" w:cs="PMingLiU" w:eastAsia="PMingLiU" w:hAnsi="PMingLiU"/>
          <w:sz w:val="15"/>
          <w:szCs w:val="15"/>
          <w:color w:val="auto"/>
        </w:rPr>
        <w:t>2XUORQJWHUPLQFHQWLYHSURJUDPLVGHVLJQHGWRDOLJQWKHLQWHUHVWVRIPDQDJHPHQWZLWKRXUVKDUHKROGHUVDQGIRFXV PDQDJHPHQW¶VDWWHQWLRQRQORQJWHUPVXVWDLQHGJURZWK)RURXU1(2VDQGRWKHUH[HFXWLYHRIILFHUVDQQXDOORQJWHUP LQFHQWLYHVDUHJHQHUDOO\GHOLYHUHGLQDQHTXDOPL[RI368VWKDWYHVWEDVHGRQDFKLHYHPHQWRISUHHVWDEOLVKHGPXOWL\HDU SHUIRUPDQFHJRDOVDQG568V2XU&amp;RPSHQVDWLRQ&amp;RPPLWWHHEHOLHYHVWKLVPL[VWULNHVWKHULJKWEDODQFHEHWZHHQWKHYDULDEOH QDWXUHRI368VDQGWKHUHWHQWLYHQDWXUHRI568V:LWKUHVSHFWWRDZDUGPL[0V*DOD¶VSURPRWLRQJUDQWLQFRQQHFWLRQZLWK KHUDSSRLQWPHQWDV3UHVLGHQWDQG&amp;(2ZDVGHVLJQHGDVDPL[FRPSRVHGRIRQHWKLUG568VDQGWZRWKLUGV368VWRHQVXUH WKDWWKHPL[RIDOOHTXLW\DZDUGVJUDQWHGWR0V*DODGXULQJDOLJQHGZLWKRXU&amp;RPSHQVDWLRQ&amp;RPPLWWHH¶VVWUDWHJ\WR</w:t>
      </w:r>
    </w:p>
    <w:p>
      <w:pPr>
        <w:spacing w:after="0" w:line="2" w:lineRule="exact"/>
        <w:rPr>
          <w:sz w:val="20"/>
          <w:szCs w:val="20"/>
          <w:color w:val="auto"/>
        </w:rPr>
      </w:pPr>
    </w:p>
    <w:p>
      <w:pPr>
        <w:jc w:val="both"/>
        <w:ind w:right="220"/>
        <w:spacing w:after="0" w:line="358" w:lineRule="auto"/>
        <w:rPr>
          <w:sz w:val="20"/>
          <w:szCs w:val="20"/>
          <w:color w:val="auto"/>
        </w:rPr>
      </w:pPr>
      <w:r>
        <w:rPr>
          <w:rFonts w:ascii="PMingLiU" w:cs="PMingLiU" w:eastAsia="PMingLiU" w:hAnsi="PMingLiU"/>
          <w:sz w:val="15"/>
          <w:szCs w:val="15"/>
          <w:color w:val="auto"/>
        </w:rPr>
        <w:t>GHOLYHUDVXEVWDQWLDOO\HTXDOPL[RI368VDQG568VWRRXUH[HFXWLYHRIILFHUV7KHYHVWLQJWHUPVDQGVWUXFWXUHRIWKHDQQXDO 368VJUDQWHGLQDVZHOODVWKH368VJUDQWHGDVDFRPSRQHQWRI0V*DOD¶VSURPRWLRQJUDQWDUHGLVFXVVHGLQ³</w:t>
      </w:r>
      <w:r>
        <w:rPr>
          <w:rFonts w:ascii="PMingLiU" w:cs="PMingLiU" w:eastAsia="PMingLiU" w:hAnsi="PMingLiU"/>
          <w:sz w:val="15"/>
          <w:szCs w:val="15"/>
          <w:i w:val="1"/>
          <w:iCs w:val="1"/>
          <w:color w:val="auto"/>
        </w:rPr>
        <w:t>5(29</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-58(4+*/0,&lt;,3,4:5-  !,8-583(4*,(9,+536,49(:054  A  !#%!85.8(3</w:t>
      </w:r>
      <w:r>
        <w:rPr>
          <w:rFonts w:ascii="PMingLiU" w:cs="PMingLiU" w:eastAsia="PMingLiU" w:hAnsi="PMingLiU"/>
          <w:sz w:val="15"/>
          <w:szCs w:val="15"/>
          <w:color w:val="auto"/>
        </w:rPr>
        <w:t>´DERYH</w:t>
      </w:r>
    </w:p>
    <w:p>
      <w:pPr>
        <w:spacing w:after="0" w:line="93" w:lineRule="exact"/>
        <w:rPr>
          <w:sz w:val="20"/>
          <w:szCs w:val="20"/>
          <w:color w:val="auto"/>
        </w:rPr>
      </w:pPr>
    </w:p>
    <w:p>
      <w:pPr>
        <w:spacing w:after="0" w:line="381" w:lineRule="auto"/>
        <w:rPr>
          <w:sz w:val="20"/>
          <w:szCs w:val="20"/>
          <w:color w:val="auto"/>
        </w:rPr>
      </w:pPr>
      <w:r>
        <w:rPr>
          <w:rFonts w:ascii="PMingLiU" w:cs="PMingLiU" w:eastAsia="PMingLiU" w:hAnsi="PMingLiU"/>
          <w:sz w:val="13"/>
          <w:szCs w:val="13"/>
          <w:color w:val="auto"/>
        </w:rPr>
        <w:t>:KLOHDQQXDOORQJWHUPLQFHQWLYHVDUHJHQHUDOO\GHOLYHUHGLQDQHTXDOPL[RI368VDQG568VLQFRQQHFWLRQZLWK0U&amp;R]DGG¶V SODQQHGUHWLUHPHQWZKLFKZDVDQQRXQFHGLQ'HFHPEHUWKH%RDUGJUDQWHGRQO\568VWR0U&amp;R]DGGLQJLYHQWKDW KLVUHWLUHPHQWZDVWRRFFXUSULRUWRWKHHQGRIWKH368SHUIRUPDQFHSHULRGRU'HFHPEHU,QDGGLWLRQ0U &amp;R]DGG¶VWDUJHWHTXLW\FRPSHQVDWLRQDV&amp;(2ZDVVLJQLILFDQWO\ORZHULQWKDQLQWKHSULRU\HDUVLQFHKLV568VZHUH LQWHQGHGDVFRPSHQVDWLRQIRUKLVVHUYLFHDV&amp;(2SHQGLQJDQGWRLQFHQWLYL]HKLPIRUKLVUROHLQHQVXULQJWKHVXFFHVVIXO WUDQVLWLRQRIKLVUHVSRQVLELOLWLHVWRKLVVXFFHVVRU%HFDXVHWKHWLPLQJRIWKDWWUDQVLWLRQZDVXQFHUWDLQDWWKHWLPHRIJUDQWLWZDV LQLWLDOO\GHWHUPLQHGWKDWWKH568VZRXOGYHVWRQWKHILUVWDQQLYHUVDU\RIWKHJUDQWGDWHLQ0DUFKSURYLGHGWKDWKLV HPSOR\PHQWZDVQRWWHUPLQDWHGIRUFDXVHDQGKHUHPDLQHGDGLUHFWRUWKURXJKWKHDSSOLFDEOHYHVWLQJGDWH8SRQ0V*DOD¶V DSSRLQWPHQWDV&amp;(2DQGZLWKWKHVXFFHVVIXOWUDQVLWLRQRIKLV&amp;(2UHVSRQVLELOLWLHVFRPSOHWHRXU&amp;RPSHQVDWLRQ&amp;RPPLWWHH GHWHUPLQHGWKDW0U&amp;R]DGGKDGIXOO\GLVFKDUJHGWKHODVWRIKLVHPSOR\HHREOLJDWLRQVDQGDVDUHVXOW2XU&amp;RPSHQVDWLRQ &amp;RPPLWWHHDSSURYHGWKHYHVWLQJDQGVHWWOHPHQWRIWKH568VHIIHFWLYH6HSWHPEHU</w:t>
      </w:r>
    </w:p>
    <w:p>
      <w:pPr>
        <w:spacing w:after="0" w:line="91" w:lineRule="exact"/>
        <w:rPr>
          <w:sz w:val="20"/>
          <w:szCs w:val="20"/>
          <w:color w:val="auto"/>
        </w:rPr>
      </w:pPr>
    </w:p>
    <w:p>
      <w:pPr>
        <w:ind w:right="40"/>
        <w:spacing w:after="0" w:line="319" w:lineRule="auto"/>
        <w:rPr>
          <w:sz w:val="20"/>
          <w:szCs w:val="20"/>
          <w:color w:val="auto"/>
        </w:rPr>
      </w:pPr>
      <w:r>
        <w:rPr>
          <w:rFonts w:ascii="PMingLiU" w:cs="PMingLiU" w:eastAsia="PMingLiU" w:hAnsi="PMingLiU"/>
          <w:sz w:val="15"/>
          <w:szCs w:val="15"/>
          <w:color w:val="auto"/>
        </w:rPr>
        <w:t>7KHVKDUHDPRXQWVXQGHUO\LQJWKH368VDQG568VJUDQWHGWRHDFKH[HFXWLYHRIILFHULQZHUHGHWHUPLQHGE\GLYLGLQJWKH WDUJHWIDLUYDOXHRIWKHDZDUGWKDWRXU&amp;RPSHQVDWLRQ&amp;RPPLWWHHDSSURYHGDQGLQWKHFDVHRI0U&amp;R]DGG¶VJUDQWDQG0V *DOD¶VRQHWLPHSURPRWLRQJUDQWLQFRQQHFWLRQZLWKKHUDSSRLQWPHQWDV3UHVLGHQWDQG&amp;(2WKHWDUJHWIDLUYDOXHRIWKHDZDUG WKDWWKH%RDUGDSSURYHGE\RXU&amp;RPSDQ\¶VGD\DYHUDJHVKDUHSULFHLPPHGLDWHO\SUHFHGLQJWKHJUDQWGDWH:HXVHGD GD\DYHUDJHVKDUHSULFHUDWKHUWKDQDVLQJOHGD\VKDUHSULFHWRSURYLGHDPRUHVWDELOL]HGVKDUHYDOXHOHVVVXVFHSWLEOHWR</w:t>
      </w:r>
    </w:p>
    <w:p>
      <w:pPr>
        <w:spacing w:after="0" w:line="2" w:lineRule="exact"/>
        <w:rPr>
          <w:sz w:val="20"/>
          <w:szCs w:val="20"/>
          <w:color w:val="auto"/>
        </w:rPr>
      </w:pPr>
    </w:p>
    <w:p>
      <w:pPr>
        <w:spacing w:after="0" w:line="335" w:lineRule="auto"/>
        <w:rPr>
          <w:sz w:val="20"/>
          <w:szCs w:val="20"/>
          <w:color w:val="auto"/>
        </w:rPr>
      </w:pPr>
      <w:r>
        <w:rPr>
          <w:rFonts w:ascii="PMingLiU" w:cs="PMingLiU" w:eastAsia="PMingLiU" w:hAnsi="PMingLiU"/>
          <w:sz w:val="15"/>
          <w:szCs w:val="15"/>
          <w:color w:val="auto"/>
        </w:rPr>
        <w:t>SRVVLEOHVZLQJVLQWKHPDUNHW7KHJUDQWGDWHIDLUYDOXHRIWKH568VDQG368VDVUHSRUWHGLQWKH6XPPDU\&amp;RPSHQVDWLRQ 7DEOHDQG*UDQWVRI3ODQ%DVHG$ZDUGV7DEOHLQDFFRUGDQFHZLWK6(&amp;UXOHVDQG)$6%$6&amp;LVEDVHGRQWKHFORVLQJSULFH RIRXURUGLQDU\VKDUHVRQWKHJUDQWGDWHZLWKUHVSHFWWR568VDQGDOVREDVHGRQD0RQWH&amp;DUORVLPXODWLRQPRGHOZLWK UHVSHFWWR368V7KHYDOXHVIRUWKH568VDQG368VVKRZQLQWKH6XPPDU\&amp;RPSHQVDWLRQ7DEOHDQG*UDQWVRI3ODQ%DVHG $ZDUGV7DEOHGLIIHUIURPWKHLQWHQGHGWDUJHWYDOXHVDQGGRQRWIXOO\UHIOHFWWKHFRQVLGHUDWLRQVRIDQGGHFLVLRQVPDGHE\RXU &amp;RPSHQVDWLRQ&amp;RPPLWWHHDQGRXU%RDUGLQLWVUHVSHFWLYHGHWHUPLQDWLRQRIWKHHTXLW\JUDQWVLQWKLVUHVSHFW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3367405</wp:posOffset>
            </wp:positionV>
            <wp:extent cx="1386840" cy="2336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9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00"/>
          </w:cols>
          <w:pgMar w:left="900" w:top="377" w:right="879" w:bottom="0" w:gutter="0" w:footer="0" w:header="0"/>
        </w:sectPr>
      </w:pPr>
    </w:p>
    <w:bookmarkStart w:id="73" w:name="page74"/>
    <w:bookmarkEnd w:id="7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07" o:spid="_x0000_s1432"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&amp;RQFOXVLRQRI3HUIRUPDQFH3HULRGIRU368V</w:t>
      </w:r>
    </w:p>
    <w:p>
      <w:pPr>
        <w:spacing w:after="0" w:line="191" w:lineRule="exact"/>
        <w:rPr>
          <w:sz w:val="20"/>
          <w:szCs w:val="20"/>
          <w:color w:val="auto"/>
        </w:rPr>
      </w:pPr>
    </w:p>
    <w:p>
      <w:pPr>
        <w:ind w:right="220"/>
        <w:spacing w:after="0" w:line="319" w:lineRule="auto"/>
        <w:rPr>
          <w:sz w:val="20"/>
          <w:szCs w:val="20"/>
          <w:color w:val="auto"/>
        </w:rPr>
      </w:pPr>
      <w:r>
        <w:rPr>
          <w:rFonts w:ascii="PMingLiU" w:cs="PMingLiU" w:eastAsia="PMingLiU" w:hAnsi="PMingLiU"/>
          <w:sz w:val="16"/>
          <w:szCs w:val="16"/>
          <w:color w:val="auto"/>
        </w:rPr>
        <w:t>,QPHPEHUVRIWKHPDQDJHPHQWWHDPLQFOXGLQJ1(2VZKRZHUHSDUWRIWKHPDQDJHPHQWWHDPDWWKHWLPHZHUH JUDQWHG368V7KHSHUIRUPDQFHSHULRGIRUWKHVH368VFRQFOXGHGRQ'HFHPEHU7KHDZDUGVZHUHVXEMHFWWR YHVWLQJEDVHGXSRQDFKLHYHPHQWRIFRPPHUFLDOGHYHORSPHQWDQGILQDQFLDOJRDOVPRGLILHGE\D765UDQNLQJYHUVXVSHHUV PHDVXUHGGXULQJWKHVDPHSHULRG</w:t>
      </w:r>
    </w:p>
    <w:p>
      <w:pPr>
        <w:spacing w:after="0" w:line="117"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$VVKRZQLQWKHWDEOHDQGDFFRPSDQ\LQJIRRWQRWHVEHORZWKHFRPPHUFLDOGHYHORSPHQWDQGILQDQFLDOREMHFWLYHVZHUH DFKLHYHGDWRIWDUJHW+RZHYHURXU765UDQNHGLQWKHWKSHUFHQWLOHDJDLQVWSHHUVZKLFKUHGXFHGWKHSD\RXWE\ EDVHGRQWKHVFKHGXOHWKDWZDVHVWDEOLVKHGE\RXU&amp;RPSHQVDWLRQ&amp;RPPLWWHHDWWKHWLPHRIJUDQW$VDUHVXOWWKHILQDOSD\RXW RIWKH368DZDUGF\FOHZDVRIWDUJHW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84455</wp:posOffset>
            </wp:positionV>
            <wp:extent cx="1768475" cy="2444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91">
                      <a:extLst>
                        <a:ext uri="{28A0092B-C50C-407E-A947-70E740481C1C}"/>
                      </a:extLst>
                    </a:blip>
                    <a:srcRect/>
                    <a:stretch>
                      <a:fillRect/>
                    </a:stretch>
                  </pic:blipFill>
                  <pic:spPr bwMode="auto">
                    <a:xfrm>
                      <a:off x="0" y="0"/>
                      <a:ext cx="1768475" cy="244475"/>
                    </a:xfrm>
                    <a:prstGeom prst="rect">
                      <a:avLst/>
                    </a:prstGeom>
                    <a:noFill/>
                  </pic:spPr>
                </pic:pic>
              </a:graphicData>
            </a:graphic>
          </wp:anchor>
        </w:drawing>
      </w:r>
    </w:p>
    <w:p>
      <w:pPr>
        <w:spacing w:after="0" w:line="198" w:lineRule="exact"/>
        <w:rPr>
          <w:sz w:val="20"/>
          <w:szCs w:val="20"/>
          <w:color w:val="auto"/>
        </w:rPr>
      </w:pPr>
    </w:p>
    <w:p>
      <w:pPr>
        <w:jc w:val="center"/>
        <w:ind w:right="20"/>
        <w:spacing w:after="0"/>
        <w:rPr>
          <w:sz w:val="20"/>
          <w:szCs w:val="20"/>
          <w:color w:val="auto"/>
        </w:rPr>
      </w:pPr>
      <w:r>
        <w:rPr>
          <w:rFonts w:ascii="PMingLiU" w:cs="PMingLiU" w:eastAsia="PMingLiU" w:hAnsi="PMingLiU"/>
          <w:sz w:val="16"/>
          <w:szCs w:val="16"/>
          <w:b w:val="1"/>
          <w:bCs w:val="1"/>
          <w:color w:val="000046"/>
        </w:rPr>
        <w:t>*RDOV</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200" w:type="dxa"/>
            <w:vAlign w:val="bottom"/>
            <w:shd w:val="clear" w:color="auto" w:fill="000046"/>
          </w:tcPr>
          <w:p>
            <w:pPr>
              <w:spacing w:after="0"/>
              <w:rPr>
                <w:sz w:val="24"/>
                <w:szCs w:val="24"/>
                <w:color w:val="auto"/>
              </w:rPr>
            </w:pPr>
          </w:p>
        </w:tc>
        <w:tc>
          <w:tcPr>
            <w:tcW w:w="1500" w:type="dxa"/>
            <w:vAlign w:val="bottom"/>
            <w:shd w:val="clear" w:color="auto" w:fill="000046"/>
          </w:tcPr>
          <w:p>
            <w:pPr>
              <w:spacing w:after="0"/>
              <w:rPr>
                <w:sz w:val="24"/>
                <w:szCs w:val="24"/>
                <w:color w:val="auto"/>
              </w:rPr>
            </w:pPr>
          </w:p>
        </w:tc>
        <w:tc>
          <w:tcPr>
            <w:tcW w:w="92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w w:val="85"/>
              </w:rPr>
              <w:t>7KUHVKROG</w:t>
            </w:r>
          </w:p>
        </w:tc>
        <w:tc>
          <w:tcPr>
            <w:tcW w:w="92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7DUJHW</w:t>
            </w:r>
          </w:p>
        </w:tc>
        <w:tc>
          <w:tcPr>
            <w:tcW w:w="940" w:type="dxa"/>
            <w:vAlign w:val="bottom"/>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6WUHWFK</w:t>
            </w:r>
          </w:p>
        </w:tc>
        <w:tc>
          <w:tcPr>
            <w:tcW w:w="2480" w:type="dxa"/>
            <w:vAlign w:val="bottom"/>
            <w:shd w:val="clear" w:color="auto" w:fill="000046"/>
          </w:tcPr>
          <w:p>
            <w:pPr>
              <w:spacing w:after="0"/>
              <w:rPr>
                <w:sz w:val="24"/>
                <w:szCs w:val="24"/>
                <w:color w:val="auto"/>
              </w:rPr>
            </w:pPr>
          </w:p>
        </w:tc>
        <w:tc>
          <w:tcPr>
            <w:tcW w:w="1040" w:type="dxa"/>
            <w:vAlign w:val="bottom"/>
            <w:shd w:val="clear" w:color="auto" w:fill="000046"/>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000046"/>
          </w:tcPr>
          <w:p>
            <w:pPr>
              <w:spacing w:after="0"/>
              <w:rPr>
                <w:sz w:val="16"/>
                <w:szCs w:val="16"/>
                <w:color w:val="auto"/>
              </w:rPr>
            </w:pPr>
          </w:p>
        </w:tc>
        <w:tc>
          <w:tcPr>
            <w:tcW w:w="1500" w:type="dxa"/>
            <w:vAlign w:val="bottom"/>
            <w:shd w:val="clear" w:color="auto" w:fill="000046"/>
          </w:tcPr>
          <w:p>
            <w:pPr>
              <w:spacing w:after="0"/>
              <w:rPr>
                <w:sz w:val="16"/>
                <w:szCs w:val="16"/>
                <w:color w:val="auto"/>
              </w:rPr>
            </w:pP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p>
        </w:tc>
        <w:tc>
          <w:tcPr>
            <w:tcW w:w="94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p>
        </w:tc>
        <w:tc>
          <w:tcPr>
            <w:tcW w:w="2480" w:type="dxa"/>
            <w:vAlign w:val="bottom"/>
            <w:shd w:val="clear" w:color="auto" w:fill="000046"/>
          </w:tcPr>
          <w:p>
            <w:pPr>
              <w:spacing w:after="0"/>
              <w:rPr>
                <w:sz w:val="16"/>
                <w:szCs w:val="16"/>
                <w:color w:val="auto"/>
              </w:rPr>
            </w:pPr>
          </w:p>
        </w:tc>
        <w:tc>
          <w:tcPr>
            <w:tcW w:w="104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9HVWLQJ</w:t>
            </w:r>
          </w:p>
        </w:tc>
        <w:tc>
          <w:tcPr>
            <w:tcW w:w="0" w:type="dxa"/>
            <w:vAlign w:val="bottom"/>
          </w:tcPr>
          <w:p>
            <w:pPr>
              <w:spacing w:after="0"/>
              <w:rPr>
                <w:sz w:val="1"/>
                <w:szCs w:val="1"/>
                <w:color w:val="auto"/>
              </w:rPr>
            </w:pPr>
          </w:p>
        </w:tc>
      </w:tr>
      <w:tr>
        <w:trPr>
          <w:trHeight w:val="284"/>
        </w:trPr>
        <w:tc>
          <w:tcPr>
            <w:tcW w:w="220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0HWULF</w:t>
            </w:r>
          </w:p>
        </w:tc>
        <w:tc>
          <w:tcPr>
            <w:tcW w:w="150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:HLJKWLQJ</w:t>
            </w:r>
          </w:p>
        </w:tc>
        <w:tc>
          <w:tcPr>
            <w:tcW w:w="92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SD\RXW</w:t>
            </w:r>
          </w:p>
        </w:tc>
        <w:tc>
          <w:tcPr>
            <w:tcW w:w="92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SD\RXW</w:t>
            </w:r>
          </w:p>
        </w:tc>
        <w:tc>
          <w:tcPr>
            <w:tcW w:w="940" w:type="dxa"/>
            <w:vAlign w:val="bottom"/>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SD\RXW</w:t>
            </w:r>
          </w:p>
        </w:tc>
        <w:tc>
          <w:tcPr>
            <w:tcW w:w="2480" w:type="dxa"/>
            <w:vAlign w:val="bottom"/>
            <w:shd w:val="clear" w:color="auto" w:fill="000046"/>
          </w:tcPr>
          <w:p>
            <w:pPr>
              <w:jc w:val="right"/>
              <w:ind w:right="21"/>
              <w:spacing w:after="0"/>
              <w:rPr>
                <w:sz w:val="20"/>
                <w:szCs w:val="20"/>
                <w:color w:val="auto"/>
              </w:rPr>
            </w:pPr>
            <w:r>
              <w:rPr>
                <w:rFonts w:ascii="PMingLiU" w:cs="PMingLiU" w:eastAsia="PMingLiU" w:hAnsi="PMingLiU"/>
                <w:sz w:val="16"/>
                <w:szCs w:val="16"/>
                <w:b w:val="1"/>
                <w:bCs w:val="1"/>
                <w:color w:val="FFFFFF"/>
              </w:rPr>
              <w:t>$FWXDO3HUIRUPDQFH5HVXOW</w:t>
            </w:r>
            <w:r>
              <w:rPr>
                <w:rFonts w:ascii="PMingLiU" w:cs="PMingLiU" w:eastAsia="PMingLiU" w:hAnsi="PMingLiU"/>
                <w:sz w:val="20"/>
                <w:szCs w:val="20"/>
                <w:b w:val="1"/>
                <w:bCs w:val="1"/>
                <w:color w:val="FFFFFF"/>
                <w:vertAlign w:val="superscript"/>
              </w:rPr>
              <w:t/>
            </w:r>
          </w:p>
        </w:tc>
        <w:tc>
          <w:tcPr>
            <w:tcW w:w="104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w w:val="89"/>
              </w:rPr>
              <w:t>3HUFHQWDJH</w:t>
            </w:r>
          </w:p>
        </w:tc>
        <w:tc>
          <w:tcPr>
            <w:tcW w:w="0" w:type="dxa"/>
            <w:vAlign w:val="bottom"/>
          </w:tcPr>
          <w:p>
            <w:pPr>
              <w:spacing w:after="0"/>
              <w:rPr>
                <w:sz w:val="1"/>
                <w:szCs w:val="1"/>
                <w:color w:val="auto"/>
              </w:rPr>
            </w:pPr>
          </w:p>
        </w:tc>
      </w:tr>
      <w:tr>
        <w:trPr>
          <w:trHeight w:val="295"/>
        </w:trPr>
        <w:tc>
          <w:tcPr>
            <w:tcW w:w="220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000046"/>
              </w:rPr>
              <w:t>7RWDO5HYHQXH</w:t>
            </w:r>
          </w:p>
        </w:tc>
        <w:tc>
          <w:tcPr>
            <w:tcW w:w="150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ELOOLRQ</w:t>
            </w:r>
          </w:p>
        </w:tc>
        <w:tc>
          <w:tcPr>
            <w:tcW w:w="92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ELOOLRQ</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w:t>
            </w:r>
          </w:p>
        </w:tc>
        <w:tc>
          <w:tcPr>
            <w:tcW w:w="24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3"/>
        </w:trPr>
        <w:tc>
          <w:tcPr>
            <w:tcW w:w="220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940" w:type="dxa"/>
            <w:vAlign w:val="bottom"/>
          </w:tcPr>
          <w:p>
            <w:pPr>
              <w:jc w:val="right"/>
              <w:ind w:right="40"/>
              <w:spacing w:after="0"/>
              <w:rPr>
                <w:sz w:val="20"/>
                <w:szCs w:val="20"/>
                <w:color w:val="auto"/>
              </w:rPr>
            </w:pPr>
            <w:r>
              <w:rPr>
                <w:rFonts w:ascii="PMingLiU" w:cs="PMingLiU" w:eastAsia="PMingLiU" w:hAnsi="PMingLiU"/>
                <w:sz w:val="16"/>
                <w:szCs w:val="16"/>
                <w:color w:val="auto"/>
              </w:rPr>
              <w:t>ELOOLRQ</w:t>
            </w:r>
          </w:p>
        </w:tc>
        <w:tc>
          <w:tcPr>
            <w:tcW w:w="2480" w:type="dxa"/>
            <w:vAlign w:val="bottom"/>
          </w:tcPr>
          <w:p>
            <w:pPr>
              <w:jc w:val="right"/>
              <w:ind w:right="21"/>
              <w:spacing w:after="0"/>
              <w:rPr>
                <w:sz w:val="20"/>
                <w:szCs w:val="20"/>
                <w:color w:val="auto"/>
              </w:rPr>
            </w:pPr>
            <w:r>
              <w:rPr>
                <w:rFonts w:ascii="PMingLiU" w:cs="PMingLiU" w:eastAsia="PMingLiU" w:hAnsi="PMingLiU"/>
                <w:sz w:val="16"/>
                <w:szCs w:val="16"/>
                <w:color w:val="auto"/>
              </w:rPr>
              <w:t>ELOOLRQDVDGMXVWHG</w:t>
            </w:r>
            <w:r>
              <w:rPr>
                <w:rFonts w:ascii="PMingLiU" w:cs="PMingLiU" w:eastAsia="PMingLiU" w:hAnsi="PMingLiU"/>
                <w:sz w:val="20"/>
                <w:szCs w:val="20"/>
                <w:color w:val="auto"/>
                <w:vertAlign w:val="superscript"/>
              </w:rPr>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4454A7"/>
            </w:tcBorders>
          </w:tcPr>
          <w:p>
            <w:pPr>
              <w:spacing w:after="0"/>
              <w:rPr>
                <w:sz w:val="2"/>
                <w:szCs w:val="2"/>
                <w:color w:val="auto"/>
              </w:rPr>
            </w:pPr>
          </w:p>
        </w:tc>
        <w:tc>
          <w:tcPr>
            <w:tcW w:w="1500" w:type="dxa"/>
            <w:vAlign w:val="bottom"/>
            <w:tcBorders>
              <w:bottom w:val="single" w:sz="8" w:color="4454A7"/>
            </w:tcBorders>
          </w:tcPr>
          <w:p>
            <w:pPr>
              <w:spacing w:after="0"/>
              <w:rPr>
                <w:sz w:val="2"/>
                <w:szCs w:val="2"/>
                <w:color w:val="auto"/>
              </w:rPr>
            </w:pPr>
          </w:p>
        </w:tc>
        <w:tc>
          <w:tcPr>
            <w:tcW w:w="920" w:type="dxa"/>
            <w:vAlign w:val="bottom"/>
            <w:tcBorders>
              <w:bottom w:val="single" w:sz="8" w:color="4454A7"/>
            </w:tcBorders>
          </w:tcPr>
          <w:p>
            <w:pPr>
              <w:spacing w:after="0"/>
              <w:rPr>
                <w:sz w:val="2"/>
                <w:szCs w:val="2"/>
                <w:color w:val="auto"/>
              </w:rPr>
            </w:pPr>
          </w:p>
        </w:tc>
        <w:tc>
          <w:tcPr>
            <w:tcW w:w="920" w:type="dxa"/>
            <w:vAlign w:val="bottom"/>
            <w:tcBorders>
              <w:bottom w:val="single" w:sz="8" w:color="4454A7"/>
            </w:tcBorders>
          </w:tcPr>
          <w:p>
            <w:pPr>
              <w:spacing w:after="0"/>
              <w:rPr>
                <w:sz w:val="2"/>
                <w:szCs w:val="2"/>
                <w:color w:val="auto"/>
              </w:rPr>
            </w:pPr>
          </w:p>
        </w:tc>
        <w:tc>
          <w:tcPr>
            <w:tcW w:w="940" w:type="dxa"/>
            <w:vAlign w:val="bottom"/>
            <w:tcBorders>
              <w:bottom w:val="single" w:sz="8" w:color="4454A7"/>
            </w:tcBorders>
          </w:tcPr>
          <w:p>
            <w:pPr>
              <w:spacing w:after="0"/>
              <w:rPr>
                <w:sz w:val="2"/>
                <w:szCs w:val="2"/>
                <w:color w:val="auto"/>
              </w:rPr>
            </w:pPr>
          </w:p>
        </w:tc>
        <w:tc>
          <w:tcPr>
            <w:tcW w:w="2480" w:type="dxa"/>
            <w:vAlign w:val="bottom"/>
            <w:tcBorders>
              <w:bottom w:val="single" w:sz="8" w:color="4454A7"/>
            </w:tcBorders>
          </w:tcPr>
          <w:p>
            <w:pPr>
              <w:spacing w:after="0"/>
              <w:rPr>
                <w:sz w:val="2"/>
                <w:szCs w:val="2"/>
                <w:color w:val="auto"/>
              </w:rPr>
            </w:pPr>
          </w:p>
        </w:tc>
        <w:tc>
          <w:tcPr>
            <w:tcW w:w="104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376"/>
        </w:trPr>
        <w:tc>
          <w:tcPr>
            <w:tcW w:w="220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(QKDQFHG3LSHOLQH9DOXH</w:t>
            </w:r>
            <w:r>
              <w:rPr>
                <w:rFonts w:ascii="PMingLiU" w:cs="PMingLiU" w:eastAsia="PMingLiU" w:hAnsi="PMingLiU"/>
                <w:sz w:val="20"/>
                <w:szCs w:val="20"/>
                <w:b w:val="1"/>
                <w:bCs w:val="1"/>
                <w:color w:val="000046"/>
                <w:vertAlign w:val="superscript"/>
              </w:rPr>
              <w:t/>
            </w:r>
          </w:p>
        </w:tc>
        <w:tc>
          <w:tcPr>
            <w:tcW w:w="150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SRLQWV</w:t>
            </w:r>
          </w:p>
        </w:tc>
        <w:tc>
          <w:tcPr>
            <w:tcW w:w="92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SRLQWV</w:t>
            </w:r>
          </w:p>
        </w:tc>
        <w:tc>
          <w:tcPr>
            <w:tcW w:w="940" w:type="dxa"/>
            <w:vAlign w:val="bottom"/>
            <w:tcBorders>
              <w:bottom w:val="single" w:sz="8" w:color="4454A7"/>
            </w:tcBorders>
          </w:tcPr>
          <w:p>
            <w:pPr>
              <w:jc w:val="right"/>
              <w:ind w:right="60"/>
              <w:spacing w:after="0"/>
              <w:rPr>
                <w:sz w:val="20"/>
                <w:szCs w:val="20"/>
                <w:color w:val="auto"/>
              </w:rPr>
            </w:pPr>
            <w:r>
              <w:rPr>
                <w:rFonts w:ascii="PMingLiU" w:cs="PMingLiU" w:eastAsia="PMingLiU" w:hAnsi="PMingLiU"/>
                <w:sz w:val="16"/>
                <w:szCs w:val="16"/>
                <w:color w:val="auto"/>
              </w:rPr>
              <w:t>SRLQWV</w:t>
            </w:r>
          </w:p>
        </w:tc>
        <w:tc>
          <w:tcPr>
            <w:tcW w:w="2480" w:type="dxa"/>
            <w:vAlign w:val="bottom"/>
            <w:tcBorders>
              <w:bottom w:val="single" w:sz="8" w:color="4454A7"/>
            </w:tcBorders>
          </w:tcPr>
          <w:p>
            <w:pPr>
              <w:jc w:val="right"/>
              <w:ind w:right="21"/>
              <w:spacing w:after="0"/>
              <w:rPr>
                <w:sz w:val="20"/>
                <w:szCs w:val="20"/>
                <w:color w:val="auto"/>
              </w:rPr>
            </w:pPr>
            <w:r>
              <w:rPr>
                <w:rFonts w:ascii="PMingLiU" w:cs="PMingLiU" w:eastAsia="PMingLiU" w:hAnsi="PMingLiU"/>
                <w:sz w:val="16"/>
                <w:szCs w:val="16"/>
                <w:color w:val="auto"/>
              </w:rPr>
              <w:t>SRLQWV</w:t>
            </w:r>
          </w:p>
        </w:tc>
        <w:tc>
          <w:tcPr>
            <w:tcW w:w="104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7"/>
        </w:trPr>
        <w:tc>
          <w:tcPr>
            <w:tcW w:w="2200" w:type="dxa"/>
            <w:vAlign w:val="bottom"/>
          </w:tcPr>
          <w:p>
            <w:pPr>
              <w:ind w:left="100"/>
              <w:spacing w:after="0"/>
              <w:rPr>
                <w:sz w:val="20"/>
                <w:szCs w:val="20"/>
                <w:color w:val="auto"/>
              </w:rPr>
            </w:pPr>
            <w:r>
              <w:rPr>
                <w:rFonts w:ascii="PMingLiU" w:cs="PMingLiU" w:eastAsia="PMingLiU" w:hAnsi="PMingLiU"/>
                <w:sz w:val="16"/>
                <w:szCs w:val="16"/>
                <w:b w:val="1"/>
                <w:bCs w:val="1"/>
                <w:color w:val="000046"/>
              </w:rPr>
              <w:t>1RQ*$$3$GMXVWHG</w:t>
            </w:r>
          </w:p>
        </w:tc>
        <w:tc>
          <w:tcPr>
            <w:tcW w:w="150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94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2480" w:type="dxa"/>
            <w:vAlign w:val="bottom"/>
            <w:vMerge w:val="restart"/>
          </w:tcPr>
          <w:p>
            <w:pPr>
              <w:jc w:val="right"/>
              <w:ind w:right="21"/>
              <w:spacing w:after="0"/>
              <w:rPr>
                <w:sz w:val="20"/>
                <w:szCs w:val="20"/>
                <w:color w:val="auto"/>
              </w:rPr>
            </w:pPr>
            <w:r>
              <w:rPr>
                <w:rFonts w:ascii="PMingLiU" w:cs="PMingLiU" w:eastAsia="PMingLiU" w:hAnsi="PMingLiU"/>
                <w:sz w:val="16"/>
                <w:szCs w:val="16"/>
                <w:color w:val="auto"/>
              </w:rPr>
              <w:t/>
            </w:r>
          </w:p>
        </w:tc>
        <w:tc>
          <w:tcPr>
            <w:tcW w:w="1040" w:type="dxa"/>
            <w:vAlign w:val="bottom"/>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17"/>
        </w:trPr>
        <w:tc>
          <w:tcPr>
            <w:tcW w:w="220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000046"/>
              </w:rPr>
              <w:t>2SHUDWLQJ0DUJLQ</w:t>
            </w:r>
            <w:r>
              <w:rPr>
                <w:rFonts w:ascii="PMingLiU" w:cs="PMingLiU" w:eastAsia="PMingLiU" w:hAnsi="PMingLiU"/>
                <w:sz w:val="20"/>
                <w:szCs w:val="20"/>
                <w:b w:val="1"/>
                <w:bCs w:val="1"/>
                <w:color w:val="000046"/>
                <w:vertAlign w:val="superscript"/>
              </w:rPr>
              <w:t/>
            </w:r>
          </w:p>
        </w:tc>
        <w:tc>
          <w:tcPr>
            <w:tcW w:w="15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5C004D"/>
            </w:tcBorders>
            <w:gridSpan w:val="2"/>
          </w:tcPr>
          <w:p>
            <w:pPr>
              <w:spacing w:after="0" w:line="20" w:lineRule="exact"/>
              <w:rPr>
                <w:sz w:val="1"/>
                <w:szCs w:val="1"/>
                <w:color w:val="auto"/>
              </w:rPr>
            </w:pPr>
          </w:p>
        </w:tc>
        <w:tc>
          <w:tcPr>
            <w:tcW w:w="920" w:type="dxa"/>
            <w:vAlign w:val="bottom"/>
            <w:tcBorders>
              <w:bottom w:val="single" w:sz="8" w:color="5C004D"/>
            </w:tcBorders>
          </w:tcPr>
          <w:p>
            <w:pPr>
              <w:spacing w:after="0" w:line="20" w:lineRule="exact"/>
              <w:rPr>
                <w:sz w:val="1"/>
                <w:szCs w:val="1"/>
                <w:color w:val="auto"/>
              </w:rPr>
            </w:pPr>
          </w:p>
        </w:tc>
        <w:tc>
          <w:tcPr>
            <w:tcW w:w="920" w:type="dxa"/>
            <w:vAlign w:val="bottom"/>
            <w:tcBorders>
              <w:bottom w:val="single" w:sz="8" w:color="5C004D"/>
            </w:tcBorders>
          </w:tcPr>
          <w:p>
            <w:pPr>
              <w:spacing w:after="0" w:line="20" w:lineRule="exact"/>
              <w:rPr>
                <w:sz w:val="1"/>
                <w:szCs w:val="1"/>
                <w:color w:val="auto"/>
              </w:rPr>
            </w:pPr>
          </w:p>
        </w:tc>
        <w:tc>
          <w:tcPr>
            <w:tcW w:w="940" w:type="dxa"/>
            <w:vAlign w:val="bottom"/>
            <w:tcBorders>
              <w:bottom w:val="single" w:sz="8" w:color="5C004D"/>
            </w:tcBorders>
          </w:tcPr>
          <w:p>
            <w:pPr>
              <w:spacing w:after="0" w:line="20" w:lineRule="exact"/>
              <w:rPr>
                <w:sz w:val="1"/>
                <w:szCs w:val="1"/>
                <w:color w:val="auto"/>
              </w:rPr>
            </w:pPr>
          </w:p>
        </w:tc>
        <w:tc>
          <w:tcPr>
            <w:tcW w:w="2480" w:type="dxa"/>
            <w:vAlign w:val="bottom"/>
            <w:tcBorders>
              <w:bottom w:val="single" w:sz="8" w:color="5C004D"/>
            </w:tcBorders>
          </w:tcPr>
          <w:p>
            <w:pPr>
              <w:spacing w:after="0" w:line="20" w:lineRule="exact"/>
              <w:rPr>
                <w:sz w:val="1"/>
                <w:szCs w:val="1"/>
                <w:color w:val="auto"/>
              </w:rPr>
            </w:pPr>
          </w:p>
        </w:tc>
        <w:tc>
          <w:tcPr>
            <w:tcW w:w="1040" w:type="dxa"/>
            <w:vAlign w:val="bottom"/>
            <w:tcBorders>
              <w:bottom w:val="single" w:sz="8" w:color="5C004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3700" w:type="dxa"/>
            <w:vAlign w:val="bottom"/>
            <w:gridSpan w:val="2"/>
          </w:tcPr>
          <w:p>
            <w:pPr>
              <w:ind w:left="100"/>
              <w:spacing w:after="0"/>
              <w:rPr>
                <w:sz w:val="20"/>
                <w:szCs w:val="20"/>
                <w:color w:val="auto"/>
              </w:rPr>
            </w:pPr>
            <w:r>
              <w:rPr>
                <w:rFonts w:ascii="PMingLiU" w:cs="PMingLiU" w:eastAsia="PMingLiU" w:hAnsi="PMingLiU"/>
                <w:sz w:val="16"/>
                <w:szCs w:val="16"/>
                <w:b w:val="1"/>
                <w:bCs w:val="1"/>
                <w:color w:val="5C004D"/>
              </w:rPr>
              <w:t>7RWDO2SHUDWLRQDO5HVXOWV:HLJKWHG</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57"/>
        </w:trPr>
        <w:tc>
          <w:tcPr>
            <w:tcW w:w="2200" w:type="dxa"/>
            <w:vAlign w:val="bottom"/>
            <w:tcBorders>
              <w:bottom w:val="single" w:sz="8" w:color="5C004D"/>
            </w:tcBorders>
          </w:tcPr>
          <w:p>
            <w:pPr>
              <w:spacing w:after="0"/>
              <w:rPr>
                <w:sz w:val="4"/>
                <w:szCs w:val="4"/>
                <w:color w:val="auto"/>
              </w:rPr>
            </w:pPr>
          </w:p>
        </w:tc>
        <w:tc>
          <w:tcPr>
            <w:tcW w:w="1500" w:type="dxa"/>
            <w:vAlign w:val="bottom"/>
            <w:tcBorders>
              <w:bottom w:val="single" w:sz="8" w:color="5C004D"/>
            </w:tcBorders>
          </w:tcPr>
          <w:p>
            <w:pPr>
              <w:spacing w:after="0"/>
              <w:rPr>
                <w:sz w:val="4"/>
                <w:szCs w:val="4"/>
                <w:color w:val="auto"/>
              </w:rPr>
            </w:pPr>
          </w:p>
        </w:tc>
        <w:tc>
          <w:tcPr>
            <w:tcW w:w="920" w:type="dxa"/>
            <w:vAlign w:val="bottom"/>
            <w:tcBorders>
              <w:bottom w:val="single" w:sz="8" w:color="5C004D"/>
            </w:tcBorders>
          </w:tcPr>
          <w:p>
            <w:pPr>
              <w:spacing w:after="0"/>
              <w:rPr>
                <w:sz w:val="4"/>
                <w:szCs w:val="4"/>
                <w:color w:val="auto"/>
              </w:rPr>
            </w:pPr>
          </w:p>
        </w:tc>
        <w:tc>
          <w:tcPr>
            <w:tcW w:w="920" w:type="dxa"/>
            <w:vAlign w:val="bottom"/>
            <w:tcBorders>
              <w:bottom w:val="single" w:sz="8" w:color="5C004D"/>
            </w:tcBorders>
          </w:tcPr>
          <w:p>
            <w:pPr>
              <w:spacing w:after="0"/>
              <w:rPr>
                <w:sz w:val="4"/>
                <w:szCs w:val="4"/>
                <w:color w:val="auto"/>
              </w:rPr>
            </w:pPr>
          </w:p>
        </w:tc>
        <w:tc>
          <w:tcPr>
            <w:tcW w:w="940" w:type="dxa"/>
            <w:vAlign w:val="bottom"/>
            <w:tcBorders>
              <w:bottom w:val="single" w:sz="8" w:color="5C004D"/>
            </w:tcBorders>
          </w:tcPr>
          <w:p>
            <w:pPr>
              <w:spacing w:after="0"/>
              <w:rPr>
                <w:sz w:val="4"/>
                <w:szCs w:val="4"/>
                <w:color w:val="auto"/>
              </w:rPr>
            </w:pPr>
          </w:p>
        </w:tc>
        <w:tc>
          <w:tcPr>
            <w:tcW w:w="2480" w:type="dxa"/>
            <w:vAlign w:val="bottom"/>
            <w:tcBorders>
              <w:bottom w:val="single" w:sz="8" w:color="5C004D"/>
            </w:tcBorders>
          </w:tcPr>
          <w:p>
            <w:pPr>
              <w:spacing w:after="0"/>
              <w:rPr>
                <w:sz w:val="4"/>
                <w:szCs w:val="4"/>
                <w:color w:val="auto"/>
              </w:rPr>
            </w:pPr>
          </w:p>
        </w:tc>
        <w:tc>
          <w:tcPr>
            <w:tcW w:w="1040" w:type="dxa"/>
            <w:vAlign w:val="bottom"/>
            <w:tcBorders>
              <w:bottom w:val="single" w:sz="8" w:color="5C004D"/>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2200" w:type="dxa"/>
            <w:vAlign w:val="bottom"/>
            <w:shd w:val="clear" w:color="auto" w:fill="F3F3F1"/>
          </w:tcPr>
          <w:p>
            <w:pPr>
              <w:spacing w:after="0"/>
              <w:rPr>
                <w:sz w:val="24"/>
                <w:szCs w:val="24"/>
                <w:color w:val="auto"/>
              </w:rPr>
            </w:pPr>
          </w:p>
        </w:tc>
        <w:tc>
          <w:tcPr>
            <w:tcW w:w="1500" w:type="dxa"/>
            <w:vAlign w:val="bottom"/>
            <w:shd w:val="clear" w:color="auto" w:fill="F3F3F1"/>
          </w:tcPr>
          <w:p>
            <w:pPr>
              <w:spacing w:after="0"/>
              <w:rPr>
                <w:sz w:val="24"/>
                <w:szCs w:val="24"/>
                <w:color w:val="auto"/>
              </w:rPr>
            </w:pPr>
          </w:p>
        </w:tc>
        <w:tc>
          <w:tcPr>
            <w:tcW w:w="920" w:type="dxa"/>
            <w:vAlign w:val="bottom"/>
            <w:shd w:val="clear" w:color="auto" w:fill="F3F3F1"/>
          </w:tcPr>
          <w:p>
            <w:pPr>
              <w:spacing w:after="0"/>
              <w:rPr>
                <w:sz w:val="24"/>
                <w:szCs w:val="24"/>
                <w:color w:val="auto"/>
              </w:rPr>
            </w:pPr>
          </w:p>
        </w:tc>
        <w:tc>
          <w:tcPr>
            <w:tcW w:w="920" w:type="dxa"/>
            <w:vAlign w:val="bottom"/>
            <w:shd w:val="clear" w:color="auto" w:fill="F3F3F1"/>
          </w:tcPr>
          <w:p>
            <w:pPr>
              <w:spacing w:after="0"/>
              <w:rPr>
                <w:sz w:val="24"/>
                <w:szCs w:val="24"/>
                <w:color w:val="auto"/>
              </w:rPr>
            </w:pPr>
          </w:p>
        </w:tc>
        <w:tc>
          <w:tcPr>
            <w:tcW w:w="940" w:type="dxa"/>
            <w:vAlign w:val="bottom"/>
            <w:shd w:val="clear" w:color="auto" w:fill="F3F3F1"/>
          </w:tcPr>
          <w:p>
            <w:pPr>
              <w:spacing w:after="0"/>
              <w:rPr>
                <w:sz w:val="24"/>
                <w:szCs w:val="24"/>
                <w:color w:val="auto"/>
              </w:rPr>
            </w:pPr>
          </w:p>
        </w:tc>
        <w:tc>
          <w:tcPr>
            <w:tcW w:w="2480" w:type="dxa"/>
            <w:vAlign w:val="bottom"/>
            <w:shd w:val="clear" w:color="auto" w:fill="F3F3F1"/>
          </w:tcPr>
          <w:p>
            <w:pPr>
              <w:jc w:val="right"/>
              <w:ind w:right="21"/>
              <w:spacing w:after="0"/>
              <w:rPr>
                <w:sz w:val="20"/>
                <w:szCs w:val="20"/>
                <w:color w:val="auto"/>
              </w:rPr>
            </w:pPr>
            <w:r>
              <w:rPr>
                <w:rFonts w:ascii="PMingLiU" w:cs="PMingLiU" w:eastAsia="PMingLiU" w:hAnsi="PMingLiU"/>
                <w:sz w:val="14"/>
                <w:szCs w:val="14"/>
                <w:b w:val="1"/>
                <w:bCs w:val="1"/>
                <w:color w:val="4454A7"/>
              </w:rPr>
              <w:t>$&amp;78$/3(5)250$1&amp;(5(68/7</w:t>
            </w:r>
          </w:p>
        </w:tc>
        <w:tc>
          <w:tcPr>
            <w:tcW w:w="1040" w:type="dxa"/>
            <w:vAlign w:val="bottom"/>
            <w:shd w:val="clear" w:color="auto" w:fill="F3F3F1"/>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200" w:type="dxa"/>
            <w:vAlign w:val="bottom"/>
            <w:shd w:val="clear" w:color="auto" w:fill="F3F3F1"/>
          </w:tcPr>
          <w:p>
            <w:pPr>
              <w:spacing w:after="0"/>
              <w:rPr>
                <w:sz w:val="8"/>
                <w:szCs w:val="8"/>
                <w:color w:val="auto"/>
              </w:rPr>
            </w:pPr>
          </w:p>
        </w:tc>
        <w:tc>
          <w:tcPr>
            <w:tcW w:w="1500" w:type="dxa"/>
            <w:vAlign w:val="bottom"/>
            <w:shd w:val="clear" w:color="auto" w:fill="F3F3F1"/>
          </w:tcPr>
          <w:p>
            <w:pPr>
              <w:spacing w:after="0"/>
              <w:rPr>
                <w:sz w:val="8"/>
                <w:szCs w:val="8"/>
                <w:color w:val="auto"/>
              </w:rPr>
            </w:pPr>
          </w:p>
        </w:tc>
        <w:tc>
          <w:tcPr>
            <w:tcW w:w="920" w:type="dxa"/>
            <w:vAlign w:val="bottom"/>
            <w:shd w:val="clear" w:color="auto" w:fill="F3F3F1"/>
          </w:tcPr>
          <w:p>
            <w:pPr>
              <w:spacing w:after="0"/>
              <w:rPr>
                <w:sz w:val="8"/>
                <w:szCs w:val="8"/>
                <w:color w:val="auto"/>
              </w:rPr>
            </w:pPr>
          </w:p>
        </w:tc>
        <w:tc>
          <w:tcPr>
            <w:tcW w:w="920" w:type="dxa"/>
            <w:vAlign w:val="bottom"/>
            <w:shd w:val="clear" w:color="auto" w:fill="F3F3F1"/>
          </w:tcPr>
          <w:p>
            <w:pPr>
              <w:spacing w:after="0"/>
              <w:rPr>
                <w:sz w:val="8"/>
                <w:szCs w:val="8"/>
                <w:color w:val="auto"/>
              </w:rPr>
            </w:pPr>
          </w:p>
        </w:tc>
        <w:tc>
          <w:tcPr>
            <w:tcW w:w="940" w:type="dxa"/>
            <w:vAlign w:val="bottom"/>
            <w:shd w:val="clear" w:color="auto" w:fill="F3F3F1"/>
          </w:tcPr>
          <w:p>
            <w:pPr>
              <w:spacing w:after="0"/>
              <w:rPr>
                <w:sz w:val="8"/>
                <w:szCs w:val="8"/>
                <w:color w:val="auto"/>
              </w:rPr>
            </w:pPr>
          </w:p>
        </w:tc>
        <w:tc>
          <w:tcPr>
            <w:tcW w:w="2480" w:type="dxa"/>
            <w:vAlign w:val="bottom"/>
            <w:shd w:val="clear" w:color="auto" w:fill="F3F3F1"/>
          </w:tcPr>
          <w:p>
            <w:pPr>
              <w:spacing w:after="0"/>
              <w:rPr>
                <w:sz w:val="8"/>
                <w:szCs w:val="8"/>
                <w:color w:val="auto"/>
              </w:rPr>
            </w:pPr>
          </w:p>
        </w:tc>
        <w:tc>
          <w:tcPr>
            <w:tcW w:w="1040" w:type="dxa"/>
            <w:vAlign w:val="bottom"/>
            <w:shd w:val="clear" w:color="auto" w:fill="F3F3F1"/>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3HHU*URXS</w:t>
            </w:r>
          </w:p>
        </w:tc>
        <w:tc>
          <w:tcPr>
            <w:tcW w:w="920" w:type="dxa"/>
            <w:vAlign w:val="bottom"/>
            <w:vMerge w:val="restart"/>
          </w:tcPr>
          <w:p>
            <w:pPr>
              <w:jc w:val="right"/>
              <w:spacing w:after="0"/>
              <w:rPr>
                <w:sz w:val="20"/>
                <w:szCs w:val="20"/>
                <w:color w:val="auto"/>
              </w:rPr>
            </w:pPr>
            <w:r>
              <w:rPr>
                <w:rFonts w:ascii="PMingLiU" w:cs="PMingLiU" w:eastAsia="PMingLiU" w:hAnsi="PMingLiU"/>
                <w:sz w:val="16"/>
                <w:szCs w:val="16"/>
                <w:color w:val="auto"/>
              </w:rPr>
              <w:t>WK</w:t>
            </w:r>
          </w:p>
        </w:tc>
        <w:tc>
          <w:tcPr>
            <w:tcW w:w="920" w:type="dxa"/>
            <w:vAlign w:val="bottom"/>
            <w:vMerge w:val="restart"/>
          </w:tcPr>
          <w:p>
            <w:pPr>
              <w:jc w:val="right"/>
              <w:spacing w:after="0"/>
              <w:rPr>
                <w:sz w:val="20"/>
                <w:szCs w:val="20"/>
                <w:color w:val="auto"/>
              </w:rPr>
            </w:pPr>
            <w:r>
              <w:rPr>
                <w:rFonts w:ascii="PMingLiU" w:cs="PMingLiU" w:eastAsia="PMingLiU" w:hAnsi="PMingLiU"/>
                <w:sz w:val="16"/>
                <w:szCs w:val="16"/>
                <w:color w:val="auto"/>
              </w:rPr>
              <w:t>WK</w:t>
            </w:r>
          </w:p>
        </w:tc>
        <w:tc>
          <w:tcPr>
            <w:tcW w:w="940" w:type="dxa"/>
            <w:vAlign w:val="bottom"/>
            <w:vMerge w:val="restart"/>
          </w:tcPr>
          <w:p>
            <w:pPr>
              <w:jc w:val="right"/>
              <w:spacing w:after="0"/>
              <w:rPr>
                <w:sz w:val="20"/>
                <w:szCs w:val="20"/>
                <w:color w:val="auto"/>
              </w:rPr>
            </w:pPr>
            <w:r>
              <w:rPr>
                <w:rFonts w:ascii="PMingLiU" w:cs="PMingLiU" w:eastAsia="PMingLiU" w:hAnsi="PMingLiU"/>
                <w:sz w:val="16"/>
                <w:szCs w:val="16"/>
                <w:color w:val="auto"/>
              </w:rPr>
              <w:t>WK</w:t>
            </w:r>
          </w:p>
        </w:tc>
        <w:tc>
          <w:tcPr>
            <w:tcW w:w="2480" w:type="dxa"/>
            <w:vAlign w:val="bottom"/>
            <w:vMerge w:val="restart"/>
          </w:tcPr>
          <w:p>
            <w:pPr>
              <w:jc w:val="right"/>
              <w:ind w:right="21"/>
              <w:spacing w:after="0"/>
              <w:rPr>
                <w:sz w:val="20"/>
                <w:szCs w:val="20"/>
                <w:color w:val="auto"/>
              </w:rPr>
            </w:pPr>
            <w:r>
              <w:rPr>
                <w:rFonts w:ascii="PMingLiU" w:cs="PMingLiU" w:eastAsia="PMingLiU" w:hAnsi="PMingLiU"/>
                <w:sz w:val="16"/>
                <w:szCs w:val="16"/>
                <w:color w:val="auto"/>
              </w:rPr>
              <w:t>WK</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0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000046"/>
              </w:rPr>
              <w:t>5HODWLYH7650RGLILHU</w:t>
            </w:r>
          </w:p>
        </w:tc>
        <w:tc>
          <w:tcPr>
            <w:tcW w:w="150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w w:val="95"/>
              </w:rPr>
              <w:t>3HUFHQWLOH5DQN</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2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200" w:type="dxa"/>
            <w:vAlign w:val="bottom"/>
            <w:vMerge w:val="continue"/>
          </w:tcPr>
          <w:p>
            <w:pPr>
              <w:spacing w:after="0"/>
              <w:rPr>
                <w:sz w:val="8"/>
                <w:szCs w:val="8"/>
                <w:color w:val="auto"/>
              </w:rPr>
            </w:pPr>
          </w:p>
        </w:tc>
        <w:tc>
          <w:tcPr>
            <w:tcW w:w="1500" w:type="dxa"/>
            <w:vAlign w:val="bottom"/>
            <w:tcBorders>
              <w:bottom w:val="single" w:sz="8" w:color="4454A7"/>
            </w:tcBorders>
          </w:tcPr>
          <w:p>
            <w:pPr>
              <w:spacing w:after="0"/>
              <w:rPr>
                <w:sz w:val="8"/>
                <w:szCs w:val="8"/>
                <w:color w:val="auto"/>
              </w:rPr>
            </w:pPr>
          </w:p>
        </w:tc>
        <w:tc>
          <w:tcPr>
            <w:tcW w:w="920" w:type="dxa"/>
            <w:vAlign w:val="bottom"/>
            <w:tcBorders>
              <w:bottom w:val="single" w:sz="8" w:color="4454A7"/>
            </w:tcBorders>
          </w:tcPr>
          <w:p>
            <w:pPr>
              <w:spacing w:after="0"/>
              <w:rPr>
                <w:sz w:val="8"/>
                <w:szCs w:val="8"/>
                <w:color w:val="auto"/>
              </w:rPr>
            </w:pPr>
          </w:p>
        </w:tc>
        <w:tc>
          <w:tcPr>
            <w:tcW w:w="920" w:type="dxa"/>
            <w:vAlign w:val="bottom"/>
            <w:tcBorders>
              <w:bottom w:val="single" w:sz="8" w:color="4454A7"/>
            </w:tcBorders>
          </w:tcPr>
          <w:p>
            <w:pPr>
              <w:spacing w:after="0"/>
              <w:rPr>
                <w:sz w:val="8"/>
                <w:szCs w:val="8"/>
                <w:color w:val="auto"/>
              </w:rPr>
            </w:pPr>
          </w:p>
        </w:tc>
        <w:tc>
          <w:tcPr>
            <w:tcW w:w="940" w:type="dxa"/>
            <w:vAlign w:val="bottom"/>
            <w:tcBorders>
              <w:bottom w:val="single" w:sz="8" w:color="4454A7"/>
            </w:tcBorders>
          </w:tcPr>
          <w:p>
            <w:pPr>
              <w:spacing w:after="0"/>
              <w:rPr>
                <w:sz w:val="8"/>
                <w:szCs w:val="8"/>
                <w:color w:val="auto"/>
              </w:rPr>
            </w:pPr>
          </w:p>
        </w:tc>
        <w:tc>
          <w:tcPr>
            <w:tcW w:w="2480" w:type="dxa"/>
            <w:vAlign w:val="bottom"/>
            <w:tcBorders>
              <w:bottom w:val="single" w:sz="8" w:color="4454A7"/>
            </w:tcBorders>
          </w:tcPr>
          <w:p>
            <w:pPr>
              <w:spacing w:after="0"/>
              <w:rPr>
                <w:sz w:val="8"/>
                <w:szCs w:val="8"/>
                <w:color w:val="auto"/>
              </w:rPr>
            </w:pPr>
          </w:p>
        </w:tc>
        <w:tc>
          <w:tcPr>
            <w:tcW w:w="104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2200" w:type="dxa"/>
            <w:vAlign w:val="bottom"/>
            <w:tcBorders>
              <w:bottom w:val="single" w:sz="8" w:color="5C004D"/>
            </w:tcBorders>
          </w:tcPr>
          <w:p>
            <w:pPr>
              <w:spacing w:after="0"/>
              <w:rPr>
                <w:sz w:val="24"/>
                <w:szCs w:val="24"/>
                <w:color w:val="auto"/>
              </w:rPr>
            </w:pPr>
          </w:p>
        </w:tc>
        <w:tc>
          <w:tcPr>
            <w:tcW w:w="150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color w:val="auto"/>
              </w:rPr>
              <w:t>3D\RXW0RGLILHU</w:t>
            </w:r>
            <w:r>
              <w:rPr>
                <w:rFonts w:ascii="PMingLiU" w:cs="PMingLiU" w:eastAsia="PMingLiU" w:hAnsi="PMingLiU"/>
                <w:sz w:val="20"/>
                <w:szCs w:val="20"/>
                <w:color w:val="auto"/>
                <w:vertAlign w:val="superscript"/>
              </w:rPr>
              <w:t/>
            </w:r>
          </w:p>
        </w:tc>
        <w:tc>
          <w:tcPr>
            <w:tcW w:w="92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5C004D"/>
            </w:tcBorders>
          </w:tcPr>
          <w:p>
            <w:pPr>
              <w:jc w:val="right"/>
              <w:ind w:right="60"/>
              <w:spacing w:after="0"/>
              <w:rPr>
                <w:sz w:val="20"/>
                <w:szCs w:val="20"/>
                <w:color w:val="auto"/>
              </w:rPr>
            </w:pPr>
            <w:r>
              <w:rPr>
                <w:rFonts w:ascii="PMingLiU" w:cs="PMingLiU" w:eastAsia="PMingLiU" w:hAnsi="PMingLiU"/>
                <w:sz w:val="16"/>
                <w:szCs w:val="16"/>
                <w:color w:val="auto"/>
              </w:rPr>
              <w:t/>
            </w:r>
          </w:p>
        </w:tc>
        <w:tc>
          <w:tcPr>
            <w:tcW w:w="2480" w:type="dxa"/>
            <w:vAlign w:val="bottom"/>
            <w:tcBorders>
              <w:bottom w:val="single" w:sz="8" w:color="5C004D"/>
            </w:tcBorders>
          </w:tcPr>
          <w:p>
            <w:pPr>
              <w:jc w:val="right"/>
              <w:ind w:right="21"/>
              <w:spacing w:after="0"/>
              <w:rPr>
                <w:sz w:val="20"/>
                <w:szCs w:val="20"/>
                <w:color w:val="auto"/>
              </w:rPr>
            </w:pPr>
            <w:r>
              <w:rPr>
                <w:rFonts w:ascii="PMingLiU" w:cs="PMingLiU" w:eastAsia="PMingLiU" w:hAnsi="PMingLiU"/>
                <w:sz w:val="16"/>
                <w:szCs w:val="16"/>
                <w:color w:val="auto"/>
              </w:rPr>
              <w:t/>
            </w:r>
          </w:p>
        </w:tc>
        <w:tc>
          <w:tcPr>
            <w:tcW w:w="1040" w:type="dxa"/>
            <w:vAlign w:val="bottom"/>
            <w:tcBorders>
              <w:bottom w:val="single" w:sz="8" w:color="5C004D"/>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0" w:type="dxa"/>
            <w:vAlign w:val="bottom"/>
          </w:tcPr>
          <w:p>
            <w:pPr>
              <w:ind w:left="100"/>
              <w:spacing w:after="0"/>
              <w:rPr>
                <w:sz w:val="20"/>
                <w:szCs w:val="20"/>
                <w:color w:val="auto"/>
              </w:rPr>
            </w:pPr>
            <w:r>
              <w:rPr>
                <w:rFonts w:ascii="PMingLiU" w:cs="PMingLiU" w:eastAsia="PMingLiU" w:hAnsi="PMingLiU"/>
                <w:sz w:val="16"/>
                <w:szCs w:val="16"/>
                <w:b w:val="1"/>
                <w:bCs w:val="1"/>
                <w:color w:val="5C004D"/>
              </w:rPr>
              <w:t>)LQDO5HVXOWV[</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r>
        <w:trPr>
          <w:trHeight w:val="57"/>
        </w:trPr>
        <w:tc>
          <w:tcPr>
            <w:tcW w:w="2200" w:type="dxa"/>
            <w:vAlign w:val="bottom"/>
            <w:tcBorders>
              <w:bottom w:val="single" w:sz="8" w:color="5C004D"/>
            </w:tcBorders>
          </w:tcPr>
          <w:p>
            <w:pPr>
              <w:spacing w:after="0"/>
              <w:rPr>
                <w:sz w:val="4"/>
                <w:szCs w:val="4"/>
                <w:color w:val="auto"/>
              </w:rPr>
            </w:pPr>
          </w:p>
        </w:tc>
        <w:tc>
          <w:tcPr>
            <w:tcW w:w="1500" w:type="dxa"/>
            <w:vAlign w:val="bottom"/>
            <w:tcBorders>
              <w:bottom w:val="single" w:sz="8" w:color="5C004D"/>
            </w:tcBorders>
          </w:tcPr>
          <w:p>
            <w:pPr>
              <w:spacing w:after="0"/>
              <w:rPr>
                <w:sz w:val="4"/>
                <w:szCs w:val="4"/>
                <w:color w:val="auto"/>
              </w:rPr>
            </w:pPr>
          </w:p>
        </w:tc>
        <w:tc>
          <w:tcPr>
            <w:tcW w:w="920" w:type="dxa"/>
            <w:vAlign w:val="bottom"/>
            <w:tcBorders>
              <w:bottom w:val="single" w:sz="8" w:color="5C004D"/>
            </w:tcBorders>
          </w:tcPr>
          <w:p>
            <w:pPr>
              <w:spacing w:after="0"/>
              <w:rPr>
                <w:sz w:val="4"/>
                <w:szCs w:val="4"/>
                <w:color w:val="auto"/>
              </w:rPr>
            </w:pPr>
          </w:p>
        </w:tc>
        <w:tc>
          <w:tcPr>
            <w:tcW w:w="920" w:type="dxa"/>
            <w:vAlign w:val="bottom"/>
            <w:tcBorders>
              <w:bottom w:val="single" w:sz="8" w:color="5C004D"/>
            </w:tcBorders>
          </w:tcPr>
          <w:p>
            <w:pPr>
              <w:spacing w:after="0"/>
              <w:rPr>
                <w:sz w:val="4"/>
                <w:szCs w:val="4"/>
                <w:color w:val="auto"/>
              </w:rPr>
            </w:pPr>
          </w:p>
        </w:tc>
        <w:tc>
          <w:tcPr>
            <w:tcW w:w="940" w:type="dxa"/>
            <w:vAlign w:val="bottom"/>
            <w:tcBorders>
              <w:bottom w:val="single" w:sz="8" w:color="5C004D"/>
            </w:tcBorders>
          </w:tcPr>
          <w:p>
            <w:pPr>
              <w:spacing w:after="0"/>
              <w:rPr>
                <w:sz w:val="4"/>
                <w:szCs w:val="4"/>
                <w:color w:val="auto"/>
              </w:rPr>
            </w:pPr>
          </w:p>
        </w:tc>
        <w:tc>
          <w:tcPr>
            <w:tcW w:w="2480" w:type="dxa"/>
            <w:vAlign w:val="bottom"/>
            <w:tcBorders>
              <w:bottom w:val="single" w:sz="8" w:color="5C004D"/>
            </w:tcBorders>
          </w:tcPr>
          <w:p>
            <w:pPr>
              <w:spacing w:after="0"/>
              <w:rPr>
                <w:sz w:val="4"/>
                <w:szCs w:val="4"/>
                <w:color w:val="auto"/>
              </w:rPr>
            </w:pPr>
          </w:p>
        </w:tc>
        <w:tc>
          <w:tcPr>
            <w:tcW w:w="1040" w:type="dxa"/>
            <w:vAlign w:val="bottom"/>
            <w:tcBorders>
              <w:bottom w:val="single" w:sz="8" w:color="5C004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-1136015</wp:posOffset>
            </wp:positionV>
            <wp:extent cx="6403975" cy="508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92">
                      <a:extLst>
                        <a:ext uri="{28A0092B-C50C-407E-A947-70E740481C1C}"/>
                      </a:extLst>
                    </a:blip>
                    <a:srcRect/>
                    <a:stretch>
                      <a:fillRect/>
                    </a:stretch>
                  </pic:blipFill>
                  <pic:spPr bwMode="auto">
                    <a:xfrm>
                      <a:off x="0" y="0"/>
                      <a:ext cx="6403975" cy="50800"/>
                    </a:xfrm>
                    <a:prstGeom prst="rect">
                      <a:avLst/>
                    </a:prstGeom>
                    <a:noFill/>
                  </pic:spPr>
                </pic:pic>
              </a:graphicData>
            </a:graphic>
          </wp:anchor>
        </w:drawing>
      </w:r>
    </w:p>
    <w:p>
      <w:pPr>
        <w:spacing w:after="0" w:line="8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2"/>
          <w:szCs w:val="12"/>
          <w:color w:val="auto"/>
        </w:rPr>
        <w:t>7KHSHUIRUPDQFHUHVXOWLVFDOFXODWHGE\OLQHDULQWHUSRODWLRQEHWZHHQSD\RXWJRDOV</w:t>
      </w:r>
    </w:p>
    <w:p>
      <w:pPr>
        <w:spacing w:after="0" w:line="90" w:lineRule="exact"/>
        <w:rPr>
          <w:sz w:val="20"/>
          <w:szCs w:val="20"/>
          <w:color w:val="auto"/>
        </w:rPr>
      </w:pPr>
    </w:p>
    <w:p>
      <w:pPr>
        <w:ind w:left="360" w:right="440" w:hanging="359"/>
        <w:spacing w:after="0"/>
        <w:tabs>
          <w:tab w:leader="none" w:pos="340" w:val="left"/>
        </w:tabs>
        <w:rPr>
          <w:sz w:val="20"/>
          <w:szCs w:val="20"/>
          <w:color w:val="auto"/>
        </w:rPr>
      </w:pPr>
      <w:r>
        <w:rPr>
          <w:rFonts w:ascii="PMingLiU" w:cs="PMingLiU" w:eastAsia="PMingLiU" w:hAnsi="PMingLiU"/>
          <w:sz w:val="7"/>
          <w:szCs w:val="7"/>
          <w:color w:val="auto"/>
        </w:rPr>
        <w:t/>
      </w:r>
      <w:r>
        <w:rPr>
          <w:sz w:val="20"/>
          <w:szCs w:val="20"/>
          <w:color w:val="auto"/>
        </w:rPr>
        <w:tab/>
      </w:r>
      <w:r>
        <w:rPr>
          <w:rFonts w:ascii="PMingLiU" w:cs="PMingLiU" w:eastAsia="PMingLiU" w:hAnsi="PMingLiU"/>
          <w:sz w:val="7"/>
          <w:szCs w:val="7"/>
          <w:color w:val="auto"/>
        </w:rPr>
        <w:t>7KHFDOFXODWLRQRIWKHSHUIRUPDQFHUHVXOWIRUWKHWRWDOUHYHQXHPHWULFUHIOHFWVWKHSURIRUPDLPSDFWRIDIXOOWZHOYHPRQWKVRI6DWLYH[ UHYHQXHFDOFXODWHGXVLQJ\HDUWRGDWHUHVXOWVSULRUWRLWVGLYHVWLWXUHRQ2FWREHU</w:t>
      </w:r>
    </w:p>
    <w:p>
      <w:pPr>
        <w:spacing w:after="0" w:line="39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2QHSRLQWDZDUGHGIRUHDFKVXFFHVVIXO,1'IRXUSRLQWVDZDUGHGIRUHDFKVXFFHVVIXOSURRIRIFRQFHSWVWXG\DQGVL[SRLQWVDZDUGHGIRU</w:t>
      </w:r>
    </w:p>
    <w:p>
      <w:pPr>
        <w:spacing w:after="0" w:line="16" w:lineRule="exact"/>
        <w:rPr>
          <w:sz w:val="20"/>
          <w:szCs w:val="20"/>
          <w:color w:val="auto"/>
        </w:rPr>
      </w:pPr>
    </w:p>
    <w:p>
      <w:pPr>
        <w:ind w:left="360" w:right="40"/>
        <w:spacing w:after="0" w:line="316" w:lineRule="auto"/>
        <w:rPr>
          <w:sz w:val="20"/>
          <w:szCs w:val="20"/>
          <w:color w:val="auto"/>
        </w:rPr>
      </w:pPr>
      <w:r>
        <w:rPr>
          <w:rFonts w:ascii="PMingLiU" w:cs="PMingLiU" w:eastAsia="PMingLiU" w:hAnsi="PMingLiU"/>
          <w:sz w:val="13"/>
          <w:szCs w:val="13"/>
          <w:color w:val="auto"/>
        </w:rPr>
        <w:t>HDFKVXFFHVVIXOSLYRWDOVWXG\DQGRUUHJXODWRU\DSSURYDORIDPDUNHWLQJDSSOLFDWLRQRFFXUULQJGXULQJWKHSHUIRUPDQFHSHULRG'XULQJWKH SHUIRUPDQFHSHULRGZHDFKLHYHGWKHIROORZLQJILYH,1'V-=3FDQQDELQRLG-=3FDQQDELQRLG-=3FRQGLWLRQDOO\DFWLYDWHG LQWHUIHURQDOSKD,)1 EF\WRNLQHSURGUXJ-=3&amp;RPEL3OH[SUHFOLQLFDOPROHFXOHDQG-=3DEVHQFHHSLOHSV\RQHSURRIRI FRQFHSW(SLGLROH[(SLG\ROH[-=3WZRVXFFHVVIXOSLYRWDOVWXGLHV=HS]HOFD-=3DQG=LLKHUD-=3DQGWKUHHSURGXFW DSSURYDOV(QU\OD]H-=3=LLKHUD-=3LQ%7&amp;DQG0RGH\VR-=3</w:t>
      </w:r>
    </w:p>
    <w:p>
      <w:pPr>
        <w:spacing w:after="0" w:line="213" w:lineRule="exact"/>
        <w:rPr>
          <w:sz w:val="20"/>
          <w:szCs w:val="20"/>
          <w:color w:val="auto"/>
        </w:rPr>
      </w:pPr>
    </w:p>
    <w:p>
      <w:pPr>
        <w:ind w:left="360" w:right="40" w:hanging="359"/>
        <w:spacing w:after="0" w:line="282" w:lineRule="auto"/>
        <w:tabs>
          <w:tab w:leader="none" w:pos="340" w:val="left"/>
        </w:tabs>
        <w:rPr>
          <w:sz w:val="20"/>
          <w:szCs w:val="20"/>
          <w:color w:val="auto"/>
        </w:rPr>
      </w:pPr>
      <w:r>
        <w:rPr>
          <w:rFonts w:ascii="PMingLiU" w:cs="PMingLiU" w:eastAsia="PMingLiU" w:hAnsi="PMingLiU"/>
          <w:sz w:val="14"/>
          <w:szCs w:val="14"/>
          <w:color w:val="auto"/>
        </w:rPr>
        <w:t/>
        <w:tab/>
        <w:t>1RQ*$$3DGMXVWHGRSHUDWLQJPDUJLQLVDQRQ*$$3ILQDQFLDOPHDVXUHWKDWLVFDOFXODWHGDVDWRWDOUHYHQXHVIRUOHVVQRQ*$$3 DGMXVWHGFRVWRISURGXFWVDOHV6* $H[SHQVHVDQG5 'H[SHQVHVIRUGLYLGHGE\EWRWDOUHYHQXHVIRU1RQ*$$3DGMXVWHG FRVWRISURGXFWVDOHV6* $H[SHQVHVDQG5 'H[SHQVHVH[FOXGHIURP*$$3FRVWRISURGXFWVDOHV6* $H[SHQVHVDQG5 '</w:t>
      </w:r>
    </w:p>
    <w:p>
      <w:pPr>
        <w:ind w:left="360" w:right="200"/>
        <w:spacing w:after="0" w:line="295" w:lineRule="auto"/>
        <w:rPr>
          <w:sz w:val="20"/>
          <w:szCs w:val="20"/>
          <w:color w:val="auto"/>
        </w:rPr>
      </w:pPr>
      <w:r>
        <w:rPr>
          <w:rFonts w:ascii="PMingLiU" w:cs="PMingLiU" w:eastAsia="PMingLiU" w:hAnsi="PMingLiU"/>
          <w:sz w:val="13"/>
          <w:szCs w:val="13"/>
          <w:color w:val="auto"/>
        </w:rPr>
        <w:t>H[SHQVHVDVDSSOLFDEOHVKDUHEDVHGFRPSHQVDWLRQH[SHQVHLQWHJUDWLRQUHODWHGH[SHQVHVDFTXLVLWLRQDFFRXQWLQJLQYHQWRU\IDLUYDOXH VWHSXSH[SHQVHFHUWDLQPDWHULDOOLWLJDWLRQVHWWOHPHQWH[SHQVHVDQGRWKHUH[SHQVHVGHGXFWHGLQDUULYLQJDWQRQ*$$3DGMXVWHGQHW LQFRPH7KHWKUHVKROGDQGVWUHWFKQRQ*$$3DGMXVWHGRSHUDWLQJPDUJLQYDOXHVVHWE\RXU&amp;RPSHQVDWLRQ&amp;RPPLWWHHLQDUHQRW</w:t>
      </w:r>
    </w:p>
    <w:p>
      <w:pPr>
        <w:spacing w:after="0" w:line="1" w:lineRule="exact"/>
        <w:rPr>
          <w:sz w:val="20"/>
          <w:szCs w:val="20"/>
          <w:color w:val="auto"/>
        </w:rPr>
      </w:pPr>
    </w:p>
    <w:p>
      <w:pPr>
        <w:ind w:left="360"/>
        <w:spacing w:after="0" w:line="349" w:lineRule="auto"/>
        <w:rPr>
          <w:sz w:val="20"/>
          <w:szCs w:val="20"/>
          <w:color w:val="auto"/>
        </w:rPr>
      </w:pPr>
      <w:r>
        <w:rPr>
          <w:rFonts w:ascii="PMingLiU" w:cs="PMingLiU" w:eastAsia="PMingLiU" w:hAnsi="PMingLiU"/>
          <w:sz w:val="12"/>
          <w:szCs w:val="12"/>
          <w:color w:val="auto"/>
        </w:rPr>
        <w:t>EHLQJGLVFORVHGDVWKH\UHSUHVHQWFRQILGHQWLDOFRPPHUFLDODQGILQDQFLDOLQIRUPDWLRQWKHGLVFORVXUHRIZKLFKZRXOGUHVXOWLQFRPSHWLWLYH KDUPWRRXU&amp;RPSDQ\2XU&amp;RPSHQVDWLRQ&amp;RPPLWWHHEHOLHYHGWKDWLWVHWSHUIRUPDQFHJRDOVDWULJRURXVDQGFKDOOHQJLQJOHYHOVWKDWZRXOG UHTXLUHVLJQLILFDQWHIIRUWDQGDFKLHYHPHQWE\RXUH[HFXWLYHRIILFHUVWREHDWWDLQHG6XFKJRDOVZHUHHVWDEOLVKHGLQOLJKWRIRXULQWHUQDO IRUHFDVWDWWKHWLPHDVZHOODVPDFURHFRQRPLFDQGLQGXVWU\HQYLURQPHQWV</w:t>
      </w:r>
    </w:p>
    <w:p>
      <w:pPr>
        <w:spacing w:after="0" w:line="5" w:lineRule="exact"/>
        <w:rPr>
          <w:sz w:val="20"/>
          <w:szCs w:val="20"/>
          <w:color w:val="auto"/>
        </w:rPr>
      </w:pPr>
    </w:p>
    <w:p>
      <w:pPr>
        <w:ind w:left="360" w:right="180" w:hanging="359"/>
        <w:spacing w:after="0" w:line="260" w:lineRule="auto"/>
        <w:tabs>
          <w:tab w:leader="none" w:pos="340" w:val="left"/>
        </w:tabs>
        <w:rPr>
          <w:sz w:val="20"/>
          <w:szCs w:val="20"/>
          <w:color w:val="auto"/>
        </w:rPr>
      </w:pPr>
      <w:r>
        <w:rPr>
          <w:rFonts w:ascii="PMingLiU" w:cs="PMingLiU" w:eastAsia="PMingLiU" w:hAnsi="PMingLiU"/>
          <w:sz w:val="15"/>
          <w:szCs w:val="15"/>
          <w:color w:val="auto"/>
        </w:rPr>
        <w:t/>
        <w:tab/>
        <w:t>)RUHYHU\SHUFHQWLOHUDQNEHWZHHQ</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DQG</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WKHSD\RXWPRGLILHULVGHFUHDVHGE\WRDPLQLPXPRIIRUHYHU\SHUFHQWLOHUDQN EHWZHHQ</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DQG</w:t>
      </w:r>
      <w:r>
        <w:rPr>
          <w:rFonts w:ascii="PMingLiU" w:cs="PMingLiU" w:eastAsia="PMingLiU" w:hAnsi="PMingLiU"/>
          <w:sz w:val="19"/>
          <w:szCs w:val="19"/>
          <w:color w:val="auto"/>
          <w:vertAlign w:val="superscript"/>
        </w:rPr>
        <w:t>WK</w:t>
      </w:r>
      <w:r>
        <w:rPr>
          <w:rFonts w:ascii="PMingLiU" w:cs="PMingLiU" w:eastAsia="PMingLiU" w:hAnsi="PMingLiU"/>
          <w:sz w:val="15"/>
          <w:szCs w:val="15"/>
          <w:color w:val="auto"/>
        </w:rPr>
        <w:t>WKHSD\RXWPRGLILHULVLQFUHDVHGE\XSWRDPD[LPXPRI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966470</wp:posOffset>
            </wp:positionV>
            <wp:extent cx="1389380" cy="2343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93">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74" w:name="page75"/>
    <w:bookmarkEnd w:id="74"/>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11" o:spid="_x0000_s1436"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480"/>
        <w:spacing w:after="0" w:line="358" w:lineRule="auto"/>
        <w:rPr>
          <w:sz w:val="20"/>
          <w:szCs w:val="20"/>
          <w:color w:val="auto"/>
        </w:rPr>
      </w:pPr>
      <w:r>
        <w:rPr>
          <w:rFonts w:ascii="PMingLiU" w:cs="PMingLiU" w:eastAsia="PMingLiU" w:hAnsi="PMingLiU"/>
          <w:sz w:val="16"/>
          <w:szCs w:val="16"/>
          <w:color w:val="auto"/>
        </w:rPr>
        <w:t>7KHWDEOHEHORZVHWVIRUWKWKHWDUJHWQXPEHURI368VJUDQWHGDQGWKHWRWDOQXPEHURI368VWKDWZHUHHDUQHG EDVHGRQSHUIRUPDQFHDQGVXEVHTXHQWO\YHVWHGIRUHDFKRIWKH1(2V</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 w:type="dxa"/>
            <w:vAlign w:val="bottom"/>
            <w:shd w:val="clear" w:color="auto" w:fill="000046"/>
          </w:tcPr>
          <w:p>
            <w:pPr>
              <w:spacing w:after="0"/>
              <w:rPr>
                <w:sz w:val="22"/>
                <w:szCs w:val="22"/>
                <w:color w:val="auto"/>
              </w:rPr>
            </w:pPr>
          </w:p>
        </w:tc>
        <w:tc>
          <w:tcPr>
            <w:tcW w:w="2500" w:type="dxa"/>
            <w:vAlign w:val="bottom"/>
            <w:shd w:val="clear" w:color="auto" w:fill="000046"/>
          </w:tcPr>
          <w:p>
            <w:pPr>
              <w:spacing w:after="0"/>
              <w:rPr>
                <w:sz w:val="22"/>
                <w:szCs w:val="22"/>
                <w:color w:val="auto"/>
              </w:rPr>
            </w:pPr>
          </w:p>
        </w:tc>
        <w:tc>
          <w:tcPr>
            <w:tcW w:w="4300" w:type="dxa"/>
            <w:vAlign w:val="bottom"/>
            <w:shd w:val="clear" w:color="auto" w:fill="000046"/>
          </w:tcPr>
          <w:p>
            <w:pPr>
              <w:jc w:val="right"/>
              <w:ind w:right="640"/>
              <w:spacing w:after="0"/>
              <w:rPr>
                <w:sz w:val="20"/>
                <w:szCs w:val="20"/>
                <w:color w:val="auto"/>
              </w:rPr>
            </w:pPr>
            <w:r>
              <w:rPr>
                <w:rFonts w:ascii="PMingLiU" w:cs="PMingLiU" w:eastAsia="PMingLiU" w:hAnsi="PMingLiU"/>
                <w:sz w:val="16"/>
                <w:szCs w:val="16"/>
                <w:b w:val="1"/>
                <w:bCs w:val="1"/>
                <w:color w:val="FFFFFF"/>
              </w:rPr>
              <w:t>7DUJHW1XPEHURI368V*UDQWHG</w:t>
            </w:r>
          </w:p>
        </w:tc>
        <w:tc>
          <w:tcPr>
            <w:tcW w:w="3280" w:type="dxa"/>
            <w:vAlign w:val="bottom"/>
            <w:gridSpan w:val="2"/>
            <w:shd w:val="clear" w:color="auto" w:fill="000046"/>
          </w:tcPr>
          <w:p>
            <w:pPr>
              <w:jc w:val="right"/>
              <w:ind w:right="120"/>
              <w:spacing w:after="0"/>
              <w:rPr>
                <w:sz w:val="20"/>
                <w:szCs w:val="20"/>
                <w:color w:val="auto"/>
              </w:rPr>
            </w:pPr>
            <w:r>
              <w:rPr>
                <w:rFonts w:ascii="PMingLiU" w:cs="PMingLiU" w:eastAsia="PMingLiU" w:hAnsi="PMingLiU"/>
                <w:sz w:val="16"/>
                <w:szCs w:val="16"/>
                <w:b w:val="1"/>
                <w:bCs w:val="1"/>
                <w:color w:val="FFFFFF"/>
              </w:rPr>
              <w:t>$FWXDO1XPEHURI368V9HVWHG</w:t>
            </w:r>
            <w:r>
              <w:rPr>
                <w:rFonts w:ascii="PMingLiU" w:cs="PMingLiU" w:eastAsia="PMingLiU" w:hAnsi="PMingLiU"/>
                <w:sz w:val="20"/>
                <w:szCs w:val="20"/>
                <w:b w:val="1"/>
                <w:bCs w:val="1"/>
                <w:color w:val="FFFFFF"/>
                <w:vertAlign w:val="superscript"/>
              </w:rPr>
              <w:t/>
            </w:r>
          </w:p>
        </w:tc>
      </w:tr>
      <w:tr>
        <w:trPr>
          <w:trHeight w:val="221"/>
        </w:trPr>
        <w:tc>
          <w:tcPr>
            <w:tcW w:w="60" w:type="dxa"/>
            <w:vAlign w:val="bottom"/>
            <w:shd w:val="clear" w:color="auto" w:fill="000046"/>
          </w:tcPr>
          <w:p>
            <w:pPr>
              <w:spacing w:after="0"/>
              <w:rPr>
                <w:sz w:val="19"/>
                <w:szCs w:val="19"/>
                <w:color w:val="auto"/>
              </w:rPr>
            </w:pPr>
          </w:p>
        </w:tc>
        <w:tc>
          <w:tcPr>
            <w:tcW w:w="2500" w:type="dxa"/>
            <w:vAlign w:val="bottom"/>
            <w:shd w:val="clear" w:color="auto" w:fill="000046"/>
          </w:tcPr>
          <w:p>
            <w:pPr>
              <w:ind w:left="40"/>
              <w:spacing w:after="0"/>
              <w:rPr>
                <w:sz w:val="20"/>
                <w:szCs w:val="20"/>
                <w:color w:val="auto"/>
              </w:rPr>
            </w:pPr>
            <w:r>
              <w:rPr>
                <w:rFonts w:ascii="PMingLiU" w:cs="PMingLiU" w:eastAsia="PMingLiU" w:hAnsi="PMingLiU"/>
                <w:sz w:val="16"/>
                <w:szCs w:val="16"/>
                <w:b w:val="1"/>
                <w:bCs w:val="1"/>
                <w:color w:val="FFFFFF"/>
              </w:rPr>
              <w:t>1DPH</w:t>
            </w:r>
          </w:p>
        </w:tc>
        <w:tc>
          <w:tcPr>
            <w:tcW w:w="4300" w:type="dxa"/>
            <w:vAlign w:val="bottom"/>
            <w:shd w:val="clear" w:color="auto" w:fill="000046"/>
          </w:tcPr>
          <w:p>
            <w:pPr>
              <w:jc w:val="right"/>
              <w:ind w:right="640"/>
              <w:spacing w:after="0"/>
              <w:rPr>
                <w:sz w:val="20"/>
                <w:szCs w:val="20"/>
                <w:color w:val="auto"/>
              </w:rPr>
            </w:pPr>
            <w:r>
              <w:rPr>
                <w:rFonts w:ascii="PMingLiU" w:cs="PMingLiU" w:eastAsia="PMingLiU" w:hAnsi="PMingLiU"/>
                <w:sz w:val="16"/>
                <w:szCs w:val="16"/>
                <w:b w:val="1"/>
                <w:bCs w:val="1"/>
                <w:color w:val="FFFFFF"/>
              </w:rPr>
              <w:t/>
            </w:r>
          </w:p>
        </w:tc>
        <w:tc>
          <w:tcPr>
            <w:tcW w:w="32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p>
        </w:tc>
        <w:tc>
          <w:tcPr>
            <w:tcW w:w="60" w:type="dxa"/>
            <w:vAlign w:val="bottom"/>
            <w:shd w:val="clear" w:color="auto" w:fill="000046"/>
          </w:tcPr>
          <w:p>
            <w:pPr>
              <w:spacing w:after="0"/>
              <w:rPr>
                <w:sz w:val="19"/>
                <w:szCs w:val="19"/>
                <w:color w:val="auto"/>
              </w:rPr>
            </w:pPr>
          </w:p>
        </w:tc>
      </w:tr>
      <w:tr>
        <w:trPr>
          <w:trHeight w:val="64"/>
        </w:trPr>
        <w:tc>
          <w:tcPr>
            <w:tcW w:w="60" w:type="dxa"/>
            <w:vAlign w:val="bottom"/>
            <w:shd w:val="clear" w:color="auto" w:fill="000046"/>
          </w:tcPr>
          <w:p>
            <w:pPr>
              <w:spacing w:after="0"/>
              <w:rPr>
                <w:sz w:val="5"/>
                <w:szCs w:val="5"/>
                <w:color w:val="auto"/>
              </w:rPr>
            </w:pPr>
          </w:p>
        </w:tc>
        <w:tc>
          <w:tcPr>
            <w:tcW w:w="2500" w:type="dxa"/>
            <w:vAlign w:val="bottom"/>
            <w:shd w:val="clear" w:color="auto" w:fill="000046"/>
          </w:tcPr>
          <w:p>
            <w:pPr>
              <w:spacing w:after="0"/>
              <w:rPr>
                <w:sz w:val="5"/>
                <w:szCs w:val="5"/>
                <w:color w:val="auto"/>
              </w:rPr>
            </w:pPr>
          </w:p>
        </w:tc>
        <w:tc>
          <w:tcPr>
            <w:tcW w:w="4300" w:type="dxa"/>
            <w:vAlign w:val="bottom"/>
            <w:shd w:val="clear" w:color="auto" w:fill="000046"/>
          </w:tcPr>
          <w:p>
            <w:pPr>
              <w:spacing w:after="0"/>
              <w:rPr>
                <w:sz w:val="5"/>
                <w:szCs w:val="5"/>
                <w:color w:val="auto"/>
              </w:rPr>
            </w:pPr>
          </w:p>
        </w:tc>
        <w:tc>
          <w:tcPr>
            <w:tcW w:w="3220" w:type="dxa"/>
            <w:vAlign w:val="bottom"/>
            <w:shd w:val="clear" w:color="auto" w:fill="000046"/>
          </w:tcPr>
          <w:p>
            <w:pPr>
              <w:spacing w:after="0"/>
              <w:rPr>
                <w:sz w:val="5"/>
                <w:szCs w:val="5"/>
                <w:color w:val="auto"/>
              </w:rPr>
            </w:pPr>
          </w:p>
        </w:tc>
        <w:tc>
          <w:tcPr>
            <w:tcW w:w="60" w:type="dxa"/>
            <w:vAlign w:val="bottom"/>
            <w:shd w:val="clear" w:color="auto" w:fill="000046"/>
          </w:tcPr>
          <w:p>
            <w:pPr>
              <w:spacing w:after="0"/>
              <w:rPr>
                <w:sz w:val="5"/>
                <w:szCs w:val="5"/>
                <w:color w:val="auto"/>
              </w:rPr>
            </w:pPr>
          </w:p>
        </w:tc>
      </w:tr>
      <w:tr>
        <w:trPr>
          <w:trHeight w:val="293"/>
        </w:trPr>
        <w:tc>
          <w:tcPr>
            <w:tcW w:w="6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PMingLiU" w:cs="PMingLiU" w:eastAsia="PMingLiU" w:hAnsi="PMingLiU"/>
                <w:sz w:val="16"/>
                <w:szCs w:val="16"/>
                <w:b w:val="1"/>
                <w:bCs w:val="1"/>
                <w:color w:val="5C004D"/>
              </w:rPr>
              <w:t>5HQHH'*DOD</w:t>
            </w:r>
          </w:p>
        </w:tc>
        <w:tc>
          <w:tcPr>
            <w:tcW w:w="4300" w:type="dxa"/>
            <w:vAlign w:val="bottom"/>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r>
      <w:tr>
        <w:trPr>
          <w:trHeight w:val="65"/>
        </w:trPr>
        <w:tc>
          <w:tcPr>
            <w:tcW w:w="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4300" w:type="dxa"/>
            <w:vAlign w:val="bottom"/>
            <w:tcBorders>
              <w:bottom w:val="single" w:sz="8" w:color="4454A7"/>
            </w:tcBorders>
          </w:tcPr>
          <w:p>
            <w:pPr>
              <w:spacing w:after="0"/>
              <w:rPr>
                <w:sz w:val="5"/>
                <w:szCs w:val="5"/>
                <w:color w:val="auto"/>
              </w:rPr>
            </w:pPr>
          </w:p>
        </w:tc>
        <w:tc>
          <w:tcPr>
            <w:tcW w:w="3220" w:type="dxa"/>
            <w:vAlign w:val="bottom"/>
            <w:tcBorders>
              <w:bottom w:val="single" w:sz="8" w:color="4454A7"/>
            </w:tcBorders>
          </w:tcPr>
          <w:p>
            <w:pPr>
              <w:spacing w:after="0"/>
              <w:rPr>
                <w:sz w:val="5"/>
                <w:szCs w:val="5"/>
                <w:color w:val="auto"/>
              </w:rPr>
            </w:pPr>
          </w:p>
        </w:tc>
        <w:tc>
          <w:tcPr>
            <w:tcW w:w="60" w:type="dxa"/>
            <w:vAlign w:val="bottom"/>
            <w:tcBorders>
              <w:bottom w:val="single" w:sz="8" w:color="4454A7"/>
            </w:tcBorders>
          </w:tcPr>
          <w:p>
            <w:pPr>
              <w:spacing w:after="0"/>
              <w:rPr>
                <w:sz w:val="5"/>
                <w:szCs w:val="5"/>
                <w:color w:val="auto"/>
              </w:rPr>
            </w:pPr>
          </w:p>
        </w:tc>
      </w:tr>
      <w:tr>
        <w:trPr>
          <w:trHeight w:val="275"/>
        </w:trPr>
        <w:tc>
          <w:tcPr>
            <w:tcW w:w="60" w:type="dxa"/>
            <w:vAlign w:val="bottom"/>
          </w:tcPr>
          <w:p>
            <w:pPr>
              <w:spacing w:after="0"/>
              <w:rPr>
                <w:sz w:val="23"/>
                <w:szCs w:val="23"/>
                <w:color w:val="auto"/>
              </w:rPr>
            </w:pPr>
          </w:p>
        </w:tc>
        <w:tc>
          <w:tcPr>
            <w:tcW w:w="2500" w:type="dxa"/>
            <w:vAlign w:val="bottom"/>
          </w:tcPr>
          <w:p>
            <w:pPr>
              <w:ind w:left="40"/>
              <w:spacing w:after="0"/>
              <w:rPr>
                <w:sz w:val="20"/>
                <w:szCs w:val="20"/>
                <w:color w:val="auto"/>
              </w:rPr>
            </w:pPr>
            <w:r>
              <w:rPr>
                <w:rFonts w:ascii="PMingLiU" w:cs="PMingLiU" w:eastAsia="PMingLiU" w:hAnsi="PMingLiU"/>
                <w:sz w:val="16"/>
                <w:szCs w:val="16"/>
                <w:b w:val="1"/>
                <w:bCs w:val="1"/>
                <w:color w:val="5C004D"/>
              </w:rPr>
              <w:t>3KLOLS/-RKQVRQ</w:t>
            </w:r>
          </w:p>
        </w:tc>
        <w:tc>
          <w:tcPr>
            <w:tcW w:w="4300" w:type="dxa"/>
            <w:vAlign w:val="bottom"/>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r>
      <w:tr>
        <w:trPr>
          <w:trHeight w:val="65"/>
        </w:trPr>
        <w:tc>
          <w:tcPr>
            <w:tcW w:w="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4300" w:type="dxa"/>
            <w:vAlign w:val="bottom"/>
            <w:tcBorders>
              <w:bottom w:val="single" w:sz="8" w:color="4454A7"/>
            </w:tcBorders>
          </w:tcPr>
          <w:p>
            <w:pPr>
              <w:spacing w:after="0"/>
              <w:rPr>
                <w:sz w:val="5"/>
                <w:szCs w:val="5"/>
                <w:color w:val="auto"/>
              </w:rPr>
            </w:pPr>
          </w:p>
        </w:tc>
        <w:tc>
          <w:tcPr>
            <w:tcW w:w="3220" w:type="dxa"/>
            <w:vAlign w:val="bottom"/>
            <w:tcBorders>
              <w:bottom w:val="single" w:sz="8" w:color="4454A7"/>
            </w:tcBorders>
          </w:tcPr>
          <w:p>
            <w:pPr>
              <w:spacing w:after="0"/>
              <w:rPr>
                <w:sz w:val="5"/>
                <w:szCs w:val="5"/>
                <w:color w:val="auto"/>
              </w:rPr>
            </w:pPr>
          </w:p>
        </w:tc>
        <w:tc>
          <w:tcPr>
            <w:tcW w:w="60" w:type="dxa"/>
            <w:vAlign w:val="bottom"/>
            <w:tcBorders>
              <w:bottom w:val="single" w:sz="8" w:color="4454A7"/>
            </w:tcBorders>
          </w:tcPr>
          <w:p>
            <w:pPr>
              <w:spacing w:after="0"/>
              <w:rPr>
                <w:sz w:val="5"/>
                <w:szCs w:val="5"/>
                <w:color w:val="auto"/>
              </w:rPr>
            </w:pPr>
          </w:p>
        </w:tc>
      </w:tr>
      <w:tr>
        <w:trPr>
          <w:trHeight w:val="339"/>
        </w:trPr>
        <w:tc>
          <w:tcPr>
            <w:tcW w:w="60" w:type="dxa"/>
            <w:vAlign w:val="bottom"/>
            <w:tcBorders>
              <w:bottom w:val="single" w:sz="8" w:color="4454A7"/>
            </w:tcBorders>
          </w:tcPr>
          <w:p>
            <w:pPr>
              <w:spacing w:after="0"/>
              <w:rPr>
                <w:sz w:val="24"/>
                <w:szCs w:val="24"/>
                <w:color w:val="auto"/>
              </w:rPr>
            </w:pPr>
          </w:p>
        </w:tc>
        <w:tc>
          <w:tcPr>
            <w:tcW w:w="2500" w:type="dxa"/>
            <w:vAlign w:val="bottom"/>
            <w:tcBorders>
              <w:bottom w:val="single" w:sz="8" w:color="4454A7"/>
            </w:tcBorders>
          </w:tcPr>
          <w:p>
            <w:pPr>
              <w:ind w:left="40"/>
              <w:spacing w:after="0"/>
              <w:rPr>
                <w:sz w:val="20"/>
                <w:szCs w:val="20"/>
                <w:color w:val="auto"/>
              </w:rPr>
            </w:pPr>
            <w:r>
              <w:rPr>
                <w:rFonts w:ascii="PMingLiU" w:cs="PMingLiU" w:eastAsia="PMingLiU" w:hAnsi="PMingLiU"/>
                <w:sz w:val="16"/>
                <w:szCs w:val="16"/>
                <w:b w:val="1"/>
                <w:bCs w:val="1"/>
                <w:color w:val="5C004D"/>
              </w:rPr>
              <w:t>%UXFH&amp;&amp;R]DGG</w:t>
            </w:r>
          </w:p>
        </w:tc>
        <w:tc>
          <w:tcPr>
            <w:tcW w:w="4300" w:type="dxa"/>
            <w:vAlign w:val="bottom"/>
            <w:tcBorders>
              <w:bottom w:val="single" w:sz="8" w:color="4454A7"/>
            </w:tcBorders>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r>
              <w:rPr>
                <w:rFonts w:ascii="PMingLiU" w:cs="PMingLiU" w:eastAsia="PMingLiU" w:hAnsi="PMingLiU"/>
                <w:sz w:val="20"/>
                <w:szCs w:val="20"/>
                <w:color w:val="auto"/>
                <w:vertAlign w:val="superscript"/>
              </w:rPr>
              <w:t/>
            </w:r>
          </w:p>
        </w:tc>
        <w:tc>
          <w:tcPr>
            <w:tcW w:w="60" w:type="dxa"/>
            <w:vAlign w:val="bottom"/>
            <w:tcBorders>
              <w:bottom w:val="single" w:sz="8" w:color="4454A7"/>
            </w:tcBorders>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PMingLiU" w:cs="PMingLiU" w:eastAsia="PMingLiU" w:hAnsi="PMingLiU"/>
                <w:sz w:val="16"/>
                <w:szCs w:val="16"/>
                <w:b w:val="1"/>
                <w:bCs w:val="1"/>
                <w:color w:val="5C004D"/>
              </w:rPr>
              <w:t>5REHUW,DQQRQH</w:t>
            </w:r>
          </w:p>
        </w:tc>
        <w:tc>
          <w:tcPr>
            <w:tcW w:w="4300" w:type="dxa"/>
            <w:vAlign w:val="bottom"/>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r>
      <w:tr>
        <w:trPr>
          <w:trHeight w:val="65"/>
        </w:trPr>
        <w:tc>
          <w:tcPr>
            <w:tcW w:w="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4300" w:type="dxa"/>
            <w:vAlign w:val="bottom"/>
            <w:tcBorders>
              <w:bottom w:val="single" w:sz="8" w:color="4454A7"/>
            </w:tcBorders>
          </w:tcPr>
          <w:p>
            <w:pPr>
              <w:spacing w:after="0"/>
              <w:rPr>
                <w:sz w:val="5"/>
                <w:szCs w:val="5"/>
                <w:color w:val="auto"/>
              </w:rPr>
            </w:pPr>
          </w:p>
        </w:tc>
        <w:tc>
          <w:tcPr>
            <w:tcW w:w="3220" w:type="dxa"/>
            <w:vAlign w:val="bottom"/>
            <w:tcBorders>
              <w:bottom w:val="single" w:sz="8" w:color="4454A7"/>
            </w:tcBorders>
          </w:tcPr>
          <w:p>
            <w:pPr>
              <w:spacing w:after="0"/>
              <w:rPr>
                <w:sz w:val="5"/>
                <w:szCs w:val="5"/>
                <w:color w:val="auto"/>
              </w:rPr>
            </w:pPr>
          </w:p>
        </w:tc>
        <w:tc>
          <w:tcPr>
            <w:tcW w:w="60" w:type="dxa"/>
            <w:vAlign w:val="bottom"/>
            <w:tcBorders>
              <w:bottom w:val="single" w:sz="8" w:color="4454A7"/>
            </w:tcBorders>
          </w:tcPr>
          <w:p>
            <w:pPr>
              <w:spacing w:after="0"/>
              <w:rPr>
                <w:sz w:val="5"/>
                <w:szCs w:val="5"/>
                <w:color w:val="auto"/>
              </w:rPr>
            </w:pPr>
          </w:p>
        </w:tc>
      </w:tr>
      <w:tr>
        <w:trPr>
          <w:trHeight w:val="275"/>
        </w:trPr>
        <w:tc>
          <w:tcPr>
            <w:tcW w:w="60" w:type="dxa"/>
            <w:vAlign w:val="bottom"/>
          </w:tcPr>
          <w:p>
            <w:pPr>
              <w:spacing w:after="0"/>
              <w:rPr>
                <w:sz w:val="23"/>
                <w:szCs w:val="23"/>
                <w:color w:val="auto"/>
              </w:rPr>
            </w:pPr>
          </w:p>
        </w:tc>
        <w:tc>
          <w:tcPr>
            <w:tcW w:w="2500" w:type="dxa"/>
            <w:vAlign w:val="bottom"/>
          </w:tcPr>
          <w:p>
            <w:pPr>
              <w:ind w:left="40"/>
              <w:spacing w:after="0"/>
              <w:rPr>
                <w:sz w:val="20"/>
                <w:szCs w:val="20"/>
                <w:color w:val="auto"/>
              </w:rPr>
            </w:pPr>
            <w:r>
              <w:rPr>
                <w:rFonts w:ascii="PMingLiU" w:cs="PMingLiU" w:eastAsia="PMingLiU" w:hAnsi="PMingLiU"/>
                <w:sz w:val="16"/>
                <w:szCs w:val="16"/>
                <w:b w:val="1"/>
                <w:bCs w:val="1"/>
                <w:color w:val="5C004D"/>
              </w:rPr>
              <w:t>1HHQD03DWLO</w:t>
            </w:r>
          </w:p>
        </w:tc>
        <w:tc>
          <w:tcPr>
            <w:tcW w:w="4300" w:type="dxa"/>
            <w:vAlign w:val="bottom"/>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r>
      <w:tr>
        <w:trPr>
          <w:trHeight w:val="65"/>
        </w:trPr>
        <w:tc>
          <w:tcPr>
            <w:tcW w:w="60" w:type="dxa"/>
            <w:vAlign w:val="bottom"/>
            <w:tcBorders>
              <w:bottom w:val="single" w:sz="8" w:color="4454A7"/>
            </w:tcBorders>
          </w:tcPr>
          <w:p>
            <w:pPr>
              <w:spacing w:after="0"/>
              <w:rPr>
                <w:sz w:val="5"/>
                <w:szCs w:val="5"/>
                <w:color w:val="auto"/>
              </w:rPr>
            </w:pPr>
          </w:p>
        </w:tc>
        <w:tc>
          <w:tcPr>
            <w:tcW w:w="2500" w:type="dxa"/>
            <w:vAlign w:val="bottom"/>
            <w:tcBorders>
              <w:bottom w:val="single" w:sz="8" w:color="4454A7"/>
            </w:tcBorders>
          </w:tcPr>
          <w:p>
            <w:pPr>
              <w:spacing w:after="0"/>
              <w:rPr>
                <w:sz w:val="5"/>
                <w:szCs w:val="5"/>
                <w:color w:val="auto"/>
              </w:rPr>
            </w:pPr>
          </w:p>
        </w:tc>
        <w:tc>
          <w:tcPr>
            <w:tcW w:w="4300" w:type="dxa"/>
            <w:vAlign w:val="bottom"/>
            <w:tcBorders>
              <w:bottom w:val="single" w:sz="8" w:color="4454A7"/>
            </w:tcBorders>
          </w:tcPr>
          <w:p>
            <w:pPr>
              <w:spacing w:after="0"/>
              <w:rPr>
                <w:sz w:val="5"/>
                <w:szCs w:val="5"/>
                <w:color w:val="auto"/>
              </w:rPr>
            </w:pPr>
          </w:p>
        </w:tc>
        <w:tc>
          <w:tcPr>
            <w:tcW w:w="3220" w:type="dxa"/>
            <w:vAlign w:val="bottom"/>
            <w:tcBorders>
              <w:bottom w:val="single" w:sz="8" w:color="4454A7"/>
            </w:tcBorders>
          </w:tcPr>
          <w:p>
            <w:pPr>
              <w:spacing w:after="0"/>
              <w:rPr>
                <w:sz w:val="5"/>
                <w:szCs w:val="5"/>
                <w:color w:val="auto"/>
              </w:rPr>
            </w:pPr>
          </w:p>
        </w:tc>
        <w:tc>
          <w:tcPr>
            <w:tcW w:w="60" w:type="dxa"/>
            <w:vAlign w:val="bottom"/>
            <w:tcBorders>
              <w:bottom w:val="single" w:sz="8" w:color="4454A7"/>
            </w:tcBorders>
          </w:tcPr>
          <w:p>
            <w:pPr>
              <w:spacing w:after="0"/>
              <w:rPr>
                <w:sz w:val="5"/>
                <w:szCs w:val="5"/>
                <w:color w:val="auto"/>
              </w:rPr>
            </w:pPr>
          </w:p>
        </w:tc>
      </w:tr>
      <w:tr>
        <w:trPr>
          <w:trHeight w:val="275"/>
        </w:trPr>
        <w:tc>
          <w:tcPr>
            <w:tcW w:w="60" w:type="dxa"/>
            <w:vAlign w:val="bottom"/>
          </w:tcPr>
          <w:p>
            <w:pPr>
              <w:spacing w:after="0"/>
              <w:rPr>
                <w:sz w:val="23"/>
                <w:szCs w:val="23"/>
                <w:color w:val="auto"/>
              </w:rPr>
            </w:pPr>
          </w:p>
        </w:tc>
        <w:tc>
          <w:tcPr>
            <w:tcW w:w="2500" w:type="dxa"/>
            <w:vAlign w:val="bottom"/>
          </w:tcPr>
          <w:p>
            <w:pPr>
              <w:ind w:left="40"/>
              <w:spacing w:after="0"/>
              <w:rPr>
                <w:sz w:val="20"/>
                <w:szCs w:val="20"/>
                <w:color w:val="auto"/>
              </w:rPr>
            </w:pPr>
            <w:r>
              <w:rPr>
                <w:rFonts w:ascii="PMingLiU" w:cs="PMingLiU" w:eastAsia="PMingLiU" w:hAnsi="PMingLiU"/>
                <w:sz w:val="16"/>
                <w:szCs w:val="16"/>
                <w:b w:val="1"/>
                <w:bCs w:val="1"/>
                <w:color w:val="5C004D"/>
              </w:rPr>
              <w:t>6DPDQWKD3HDUFH</w:t>
            </w:r>
          </w:p>
        </w:tc>
        <w:tc>
          <w:tcPr>
            <w:tcW w:w="4300" w:type="dxa"/>
            <w:vAlign w:val="bottom"/>
          </w:tcPr>
          <w:p>
            <w:pPr>
              <w:jc w:val="right"/>
              <w:ind w:right="620"/>
              <w:spacing w:after="0"/>
              <w:rPr>
                <w:sz w:val="20"/>
                <w:szCs w:val="20"/>
                <w:color w:val="auto"/>
              </w:rPr>
            </w:pPr>
            <w:r>
              <w:rPr>
                <w:rFonts w:ascii="PMingLiU" w:cs="PMingLiU" w:eastAsia="PMingLiU" w:hAnsi="PMingLiU"/>
                <w:sz w:val="16"/>
                <w:szCs w:val="16"/>
                <w:color w:val="auto"/>
              </w:rPr>
              <w:t/>
            </w:r>
          </w:p>
        </w:tc>
        <w:tc>
          <w:tcPr>
            <w:tcW w:w="32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r>
      <w:tr>
        <w:trPr>
          <w:trHeight w:val="57"/>
        </w:trPr>
        <w:tc>
          <w:tcPr>
            <w:tcW w:w="60" w:type="dxa"/>
            <w:vAlign w:val="bottom"/>
            <w:tcBorders>
              <w:bottom w:val="single" w:sz="8" w:color="5C004D"/>
            </w:tcBorders>
          </w:tcPr>
          <w:p>
            <w:pPr>
              <w:spacing w:after="0"/>
              <w:rPr>
                <w:sz w:val="4"/>
                <w:szCs w:val="4"/>
                <w:color w:val="auto"/>
              </w:rPr>
            </w:pPr>
          </w:p>
        </w:tc>
        <w:tc>
          <w:tcPr>
            <w:tcW w:w="2500" w:type="dxa"/>
            <w:vAlign w:val="bottom"/>
            <w:tcBorders>
              <w:bottom w:val="single" w:sz="8" w:color="7C1268"/>
            </w:tcBorders>
          </w:tcPr>
          <w:p>
            <w:pPr>
              <w:spacing w:after="0"/>
              <w:rPr>
                <w:sz w:val="4"/>
                <w:szCs w:val="4"/>
                <w:color w:val="auto"/>
              </w:rPr>
            </w:pPr>
          </w:p>
        </w:tc>
        <w:tc>
          <w:tcPr>
            <w:tcW w:w="4300" w:type="dxa"/>
            <w:vAlign w:val="bottom"/>
            <w:tcBorders>
              <w:bottom w:val="single" w:sz="8" w:color="7C1268"/>
            </w:tcBorders>
          </w:tcPr>
          <w:p>
            <w:pPr>
              <w:spacing w:after="0"/>
              <w:rPr>
                <w:sz w:val="4"/>
                <w:szCs w:val="4"/>
                <w:color w:val="auto"/>
              </w:rPr>
            </w:pPr>
          </w:p>
        </w:tc>
        <w:tc>
          <w:tcPr>
            <w:tcW w:w="3220" w:type="dxa"/>
            <w:vAlign w:val="bottom"/>
            <w:tcBorders>
              <w:bottom w:val="single" w:sz="8" w:color="7C1268"/>
            </w:tcBorders>
          </w:tcPr>
          <w:p>
            <w:pPr>
              <w:spacing w:after="0"/>
              <w:rPr>
                <w:sz w:val="4"/>
                <w:szCs w:val="4"/>
                <w:color w:val="auto"/>
              </w:rPr>
            </w:pPr>
          </w:p>
        </w:tc>
        <w:tc>
          <w:tcPr>
            <w:tcW w:w="60" w:type="dxa"/>
            <w:vAlign w:val="bottom"/>
            <w:tcBorders>
              <w:bottom w:val="single" w:sz="8" w:color="5C004D"/>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-31115</wp:posOffset>
            </wp:positionV>
            <wp:extent cx="6451600" cy="508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94">
                      <a:extLst>
                        <a:ext uri="{28A0092B-C50C-407E-A947-70E740481C1C}"/>
                      </a:extLst>
                    </a:blip>
                    <a:srcRect/>
                    <a:stretch>
                      <a:fillRect/>
                    </a:stretch>
                  </pic:blipFill>
                  <pic:spPr bwMode="auto">
                    <a:xfrm>
                      <a:off x="0" y="0"/>
                      <a:ext cx="6451600" cy="50800"/>
                    </a:xfrm>
                    <a:prstGeom prst="rect">
                      <a:avLst/>
                    </a:prstGeom>
                    <a:noFill/>
                  </pic:spPr>
                </pic:pic>
              </a:graphicData>
            </a:graphic>
          </wp:anchor>
        </w:drawing>
      </w:r>
    </w:p>
    <w:p>
      <w:pPr>
        <w:spacing w:after="0" w:line="8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7KH368VYHVWHGRQ-DQXDU\WKH368FHUWLILFDWHGDWH</w:t>
      </w:r>
    </w:p>
    <w:p>
      <w:pPr>
        <w:spacing w:after="0" w:line="90" w:lineRule="exact"/>
        <w:rPr>
          <w:sz w:val="20"/>
          <w:szCs w:val="20"/>
          <w:color w:val="auto"/>
        </w:rPr>
      </w:pPr>
    </w:p>
    <w:p>
      <w:pPr>
        <w:ind w:left="360" w:right="660" w:hanging="359"/>
        <w:spacing w:after="0" w:line="380" w:lineRule="auto"/>
        <w:tabs>
          <w:tab w:leader="none" w:pos="340" w:val="left"/>
        </w:tabs>
        <w:rPr>
          <w:sz w:val="20"/>
          <w:szCs w:val="20"/>
          <w:color w:val="auto"/>
        </w:rPr>
      </w:pPr>
      <w:r>
        <w:rPr>
          <w:rFonts w:ascii="PMingLiU" w:cs="PMingLiU" w:eastAsia="PMingLiU" w:hAnsi="PMingLiU"/>
          <w:sz w:val="13"/>
          <w:szCs w:val="13"/>
          <w:color w:val="auto"/>
        </w:rPr>
        <w:t/>
        <w:tab/>
        <w:t>7KHQXPEHURI0U&amp;R]DGG¶V368VWKDWDFWXDOO\YHVWHGZDVSURUDWHGEDVHGRQKLVVHUYLFHGXULQJWKHSHUIRUPDQFHSHULRGWKURXJK 6HSWHPEHUKLVODVWGD\RIHPSOR\PHQWZLWKRXU&amp;RPSDQ\</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6SHFLDO5HWHQWLRQ*UDQWV</w:t>
      </w:r>
    </w:p>
    <w:p>
      <w:pPr>
        <w:spacing w:after="0" w:line="191" w:lineRule="exact"/>
        <w:rPr>
          <w:sz w:val="20"/>
          <w:szCs w:val="20"/>
          <w:color w:val="auto"/>
        </w:rPr>
      </w:pPr>
    </w:p>
    <w:p>
      <w:pPr>
        <w:ind w:right="440"/>
        <w:spacing w:after="0" w:line="342" w:lineRule="auto"/>
        <w:rPr>
          <w:sz w:val="20"/>
          <w:szCs w:val="20"/>
          <w:color w:val="auto"/>
        </w:rPr>
      </w:pPr>
      <w:r>
        <w:rPr>
          <w:rFonts w:ascii="PMingLiU" w:cs="PMingLiU" w:eastAsia="PMingLiU" w:hAnsi="PMingLiU"/>
          <w:sz w:val="14"/>
          <w:szCs w:val="14"/>
          <w:color w:val="auto"/>
        </w:rPr>
        <w:t>,QFRQQHFWLRQZLWK0U&amp;R]DGG¶VSODQQHGUHWLUHPHQWZKLFKZDVDQQRXQFHGLQ'HFHPEHULQ)HEUXDU\RXU &amp;RPSHQVDWLRQ&amp;RPPLWWHHDSSURYHGVSHFLDORQHWLPH568JUDQWVWRHDFKRIWKH1(2VRWKHUWKDQ0U&amp;R]DGG2XU &amp;RPSHQVDWLRQ&amp;RPPLWWHHEHOLHYHGWKDWWKHVHJUDQWVZRXOGKHOSPLQLPL]HEXVLQHVVULVNDQGHQVXUHRYHUDOORUJDQL]DWLRQDO</w:t>
      </w:r>
    </w:p>
    <w:p>
      <w:pPr>
        <w:ind w:right="80"/>
        <w:spacing w:after="0" w:line="400" w:lineRule="auto"/>
        <w:rPr>
          <w:sz w:val="20"/>
          <w:szCs w:val="20"/>
          <w:color w:val="auto"/>
        </w:rPr>
      </w:pPr>
      <w:r>
        <w:rPr>
          <w:rFonts w:ascii="PMingLiU" w:cs="PMingLiU" w:eastAsia="PMingLiU" w:hAnsi="PMingLiU"/>
          <w:sz w:val="13"/>
          <w:szCs w:val="13"/>
          <w:color w:val="auto"/>
        </w:rPr>
        <w:t>VWDELOLW\DQGFRQWLQXLW\GXULQJWKLVSHULRGRIOHDGHUVKLSWUDQVLWLRQDQGXOWLPDWHO\HQVXUHWKDWRXU&amp;RPSDQ\PDLQWDLQHGLWVVWURQJ EXVLQHVVPRPHQWXPGXULQJDQGEH\RQG7KHVHUHWHQWLRQJUDQWVYHVWLQIXOORQ-XQHSURYLGHGJHQHUDOO\WKDW WKHH[HFXWLYHUHPDLQVHPSOR\HGZLWKRXU&amp;RPSDQ\WKURXJKWKDWGDWH7KHDPRXQWRIHDFKWDUJHWUHWHQWLRQJUDQWZDV GHWHUPLQHGE\RXU&amp;RPSHQVDWLRQ&amp;RPPLWWHHEDVHGRQYDULRXVIDFWRUVLQFOXGLQJWKH1(2¶VDQQXDOHTXLW\RSSRUWXQLW\DQG FULWLFDOLW\WR-D]]WRHQVXUHLWZRXOGSURYLGHWKHQHFHVVDU\UHWHQWLYHYDOXH</w:t>
      </w:r>
    </w:p>
    <w:p>
      <w:pPr>
        <w:spacing w:after="0" w:line="78" w:lineRule="exact"/>
        <w:rPr>
          <w:sz w:val="20"/>
          <w:szCs w:val="20"/>
          <w:color w:val="auto"/>
        </w:rPr>
      </w:pPr>
    </w:p>
    <w:p>
      <w:pPr>
        <w:ind w:right="1020"/>
        <w:spacing w:after="0" w:line="398" w:lineRule="auto"/>
        <w:rPr>
          <w:sz w:val="20"/>
          <w:szCs w:val="20"/>
          <w:color w:val="auto"/>
        </w:rPr>
      </w:pPr>
      <w:r>
        <w:rPr>
          <w:rFonts w:ascii="PMingLiU" w:cs="PMingLiU" w:eastAsia="PMingLiU" w:hAnsi="PMingLiU"/>
          <w:sz w:val="15"/>
          <w:szCs w:val="15"/>
          <w:color w:val="auto"/>
        </w:rPr>
        <w:t>7KHGROODUYDOXHRIHDFK1(2¶VUHWHQWLRQJUDQWLVVHWIRUWKLQWKHVHFWLRQEHORZXQGHUWKHKHDGLQJ³,QGLYLGXDO1(2 &amp;RPSHQVDWLRQ'HFLVLRQV´</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0RGLILFDWLRQRI2XWVWDQGLQJ6WRFN2SWLRQV</w:t>
      </w:r>
    </w:p>
    <w:p>
      <w:pPr>
        <w:spacing w:after="0" w:line="191" w:lineRule="exact"/>
        <w:rPr>
          <w:sz w:val="20"/>
          <w:szCs w:val="20"/>
          <w:color w:val="auto"/>
        </w:rPr>
      </w:pPr>
    </w:p>
    <w:p>
      <w:pPr>
        <w:ind w:right="100"/>
        <w:spacing w:after="0" w:line="342" w:lineRule="auto"/>
        <w:rPr>
          <w:sz w:val="20"/>
          <w:szCs w:val="20"/>
          <w:color w:val="auto"/>
        </w:rPr>
      </w:pPr>
      <w:r>
        <w:rPr>
          <w:rFonts w:ascii="PMingLiU" w:cs="PMingLiU" w:eastAsia="PMingLiU" w:hAnsi="PMingLiU"/>
          <w:sz w:val="14"/>
          <w:szCs w:val="14"/>
          <w:color w:val="auto"/>
        </w:rPr>
        <w:t>,QFRQQHFWLRQZLWK0U&amp;R]DGG¶VSODQQHGUHWLUHPHQWZKLFKZDVDQQRXQFHGLQ'HFHPEHURXU&amp;RPSHQVDWLRQ&amp;RPPLWWHH DSSURYHGDQDPHQGPHQWRIFHUWDLQRXWVWDQGLQJVWRFNRSWLRQDZDUGVSUHYLRXVO\JUDQWHGWRKLPWRSURYLGHWKDWVXFKVWRFN RSWLRQVZLOOUHPDLQH[HUFLVDEOHIRUDSHULRGRIPRQWKVIROORZLQJDFHVVDWLRQRIKLVVHUYLFHIURPWKH%RDUG3ULRUWRWKLV DPHQGPHQW0U&amp;R]DGGZRXOGKDYHKDGGD\VIURPWKHGDWHRIKLVUHWLUHPHQWIURPKLVSRVLWLRQVZLWKRXU&amp;RPSDQ\WR H[HUFLVHDQ\RXWVWDQGLQJRSWLRQVGHVSLWHWKHIDFWWKDWKHFRQWLQXHGWRSURYLGHVHUYLFHVWRRXU&amp;RPSDQ\DVDPHPEHURIWKH %RDUG7KH%RDUGDSSURYHGWKHDPHQGPHQWWRDOLJQWUHDWPHQWRI0U&amp;R]DGG¶VHTXLW\DZDUGVWRWUHDWPHQWRIHTXLW\DZDUGV IRURWKHULQGLYLGXDOVVHUYLQJRXU&amp;RPSDQ\8QGHUDSSOLFDEOHDFFRXQWLQJJXLGDQFHWKHDPHQGPHQWRIWKHVHRXWVWDQGLQJVWRFN RSWLRQDZDUGVUHVXOWHGLQDJUDQWPRGLILFDWLRQWKDWFDXVHGLQFUHPHQWDOIDLUYDOXHGHWHUPLQHGE\FRPSDULQJWKHDJJUHJDWHIDLU</w:t>
      </w:r>
    </w:p>
    <w:p>
      <w:pPr>
        <w:spacing w:after="0" w:line="1" w:lineRule="exact"/>
        <w:rPr>
          <w:sz w:val="20"/>
          <w:szCs w:val="20"/>
          <w:color w:val="auto"/>
        </w:rPr>
      </w:pPr>
    </w:p>
    <w:p>
      <w:pPr>
        <w:ind w:right="100"/>
        <w:spacing w:after="0" w:line="392" w:lineRule="auto"/>
        <w:rPr>
          <w:sz w:val="20"/>
          <w:szCs w:val="20"/>
          <w:color w:val="auto"/>
        </w:rPr>
      </w:pPr>
      <w:r>
        <w:rPr>
          <w:rFonts w:ascii="PMingLiU" w:cs="PMingLiU" w:eastAsia="PMingLiU" w:hAnsi="PMingLiU"/>
          <w:sz w:val="14"/>
          <w:szCs w:val="14"/>
          <w:color w:val="auto"/>
        </w:rPr>
        <w:t>YDOXHRIWKHRXWVWDQGLQJDZDUGVLPPHGLDWHO\EHIRUHDQGDIWHUWKHPRGLILFDWLRQ7KHDJJUHJDWHLQFUHPHQWDOIDLUYDOXHUHVXOWLQJ IURPWKHPRGLILFDWLRQLVLQFOXGHGLQWKH³2SWLRQ$ZDUGV´FROXPQRIWKH6XPPDU\&amp;RPSHQVDWLRQ7DEOHDQGLQWKH*UDQWVRI 3ODQ%DVHG$ZDUGV7DEOHIRU)LVFDO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1795780</wp:posOffset>
            </wp:positionV>
            <wp:extent cx="1389380" cy="2343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29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40"/>
          </w:cols>
          <w:pgMar w:left="900" w:top="377" w:right="839" w:bottom="0" w:gutter="0" w:footer="0" w:header="0"/>
        </w:sectPr>
      </w:pPr>
    </w:p>
    <w:bookmarkStart w:id="75" w:name="page76"/>
    <w:bookmarkEnd w:id="7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14" o:spid="_x0000_s1439"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,QGLYLGXDO1(2&amp;RPSHQVDWLRQ'HFLVLRQV</w:t>
      </w:r>
    </w:p>
    <w:p>
      <w:pPr>
        <w:spacing w:after="0" w:line="191" w:lineRule="exact"/>
        <w:rPr>
          <w:sz w:val="20"/>
          <w:szCs w:val="20"/>
          <w:color w:val="auto"/>
        </w:rPr>
      </w:pPr>
    </w:p>
    <w:p>
      <w:pPr>
        <w:spacing w:after="0" w:line="327" w:lineRule="auto"/>
        <w:rPr>
          <w:sz w:val="20"/>
          <w:szCs w:val="20"/>
          <w:color w:val="auto"/>
        </w:rPr>
      </w:pPr>
      <w:r>
        <w:rPr>
          <w:rFonts w:ascii="PMingLiU" w:cs="PMingLiU" w:eastAsia="PMingLiU" w:hAnsi="PMingLiU"/>
          <w:sz w:val="15"/>
          <w:szCs w:val="15"/>
          <w:color w:val="auto"/>
        </w:rPr>
        <w:t>%HORZDUHVXPPDULHVIRUHDFK1(2LQGLYLGXDOO\RIRXU&amp;RPSHQVDWLRQ&amp;RPPLWWHH¶VDQGDVDSSOLFDEOHRXU%RDUG¶V GHFLVLRQVDERXWWDUJHWWRWDOGLUHFWFRPSHQVDWLRQDQGWKHFKDQJHVIURPHDFK1(2¶VWDUJHWWRWDOGLUHFWFRPSHQVDWLRQ ZKHUHDSSOLFDEOH$VGHVFULEHGDERYHZKHQPDNLQJWKHFRPSHQVDWLRQGHFLVLRQVRXU&amp;RPSHQVDWLRQ&amp;RPPLWWHHDQG DVDSSOLFDEOHRXU%RDUGIRFXVHGSULPDULO\RQWKHWDUJHWWRWDOGLUHFWFRPSHQVDWLRQIRUHDFK1(2ZKLOHFRQVLGHULQJWKHIDFWRUV VHWIRUWKLQWKHVHFWLRQWLWOHG³</w:t>
      </w:r>
      <w:r>
        <w:rPr>
          <w:rFonts w:ascii="PMingLiU" w:cs="PMingLiU" w:eastAsia="PMingLiU" w:hAnsi="PMingLiU"/>
          <w:sz w:val="15"/>
          <w:szCs w:val="15"/>
          <w:i w:val="1"/>
          <w:iCs w:val="1"/>
          <w:color w:val="auto"/>
        </w:rPr>
        <w:t>5=',,:,8304,&gt;,*;:0&lt;,536,49(:054 (*:589%9,+04,:,830404.&gt;,*;:0&lt;,</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536,49(:054</w:t>
      </w:r>
      <w:r>
        <w:rPr>
          <w:rFonts w:ascii="PMingLiU" w:cs="PMingLiU" w:eastAsia="PMingLiU" w:hAnsi="PMingLiU"/>
          <w:sz w:val="15"/>
          <w:szCs w:val="15"/>
          <w:color w:val="auto"/>
        </w:rPr>
        <w:t>´DQGRXU&amp;RPSHQVDWLRQ&amp;RPPLWWHH¶VVSHFLILFFRPSHQVDWLRQREMHFWLYHVIRU7KHIRRWQRWHVWRWKHWDEOHV</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DOVRLQFOXGHWKHDFWXDOSHUIRUPDQFHERQXVSDLGWRHDFKRIWKH1(2VIRUDQGKRZWKDWDFWXDOERQXVFRPSDUHGWRHDFK 1(2¶VWDUJHWERQXV$GGLWLRQDOO\IRUHDFK1(2WKHWDUJHWHTXLW\FRPSHQVDWLRQSUHVHQWHGLQWKHFKDUWVEHORZUHIOHFWWKH WDUJHWGROODUYDOXHDSSURYHGE\RXU&amp;RPSHQVDWLRQ&amp;RPPLWWHHDQGDVDSSOLFDEOHRXU%RDUGZKLFKLVGLIIHUHQWIURPWKHJUDQW GDWHIDLUYDOXHDVUHSRUWHGLQWKH6XPPDU\&amp;RPSHQVDWLRQ7DEOHDQG*UDQWVRI3ODQ%DVHG$ZDUGV7DEOHDVIXUWKHUGHVFULEHG XQGHU³</w:t>
      </w:r>
      <w:r>
        <w:rPr>
          <w:rFonts w:ascii="PMingLiU" w:cs="PMingLiU" w:eastAsia="PMingLiU" w:hAnsi="PMingLiU"/>
          <w:sz w:val="15"/>
          <w:szCs w:val="15"/>
          <w:i w:val="1"/>
          <w:iCs w:val="1"/>
          <w:color w:val="auto"/>
        </w:rPr>
        <w:t>#;33(8?5-  536,49(:054,*090549 54.$,834*,4:0&lt;,!85.8(3</w:t>
      </w:r>
      <w:r>
        <w:rPr>
          <w:rFonts w:ascii="PMingLiU" w:cs="PMingLiU" w:eastAsia="PMingLiU" w:hAnsi="PMingLiU"/>
          <w:sz w:val="15"/>
          <w:szCs w:val="15"/>
          <w:color w:val="auto"/>
        </w:rPr>
        <w:t>´DERYH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6739890</wp:posOffset>
            </wp:positionV>
            <wp:extent cx="1386840" cy="2336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96">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76" w:name="page77"/>
    <w:bookmarkEnd w:id="76"/>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16" o:spid="_x0000_s1441"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5HQHH'*DOD3UHVLGHQWDQG&amp;(2</w:t>
      </w:r>
      <w:r>
        <w:rPr>
          <w:rFonts w:ascii="PMingLiU" w:cs="PMingLiU" w:eastAsia="PMingLiU" w:hAnsi="PMingLiU"/>
          <w:sz w:val="13"/>
          <w:szCs w:val="13"/>
          <w:b w:val="1"/>
          <w:bCs w:val="1"/>
          <w:color w:val="000046"/>
        </w:rPr>
        <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60" w:type="dxa"/>
            <w:vAlign w:val="bottom"/>
            <w:shd w:val="clear" w:color="auto" w:fill="000046"/>
          </w:tcPr>
          <w:p>
            <w:pPr>
              <w:spacing w:after="0"/>
              <w:rPr>
                <w:sz w:val="23"/>
                <w:szCs w:val="23"/>
                <w:color w:val="auto"/>
              </w:rPr>
            </w:pPr>
          </w:p>
        </w:tc>
        <w:tc>
          <w:tcPr>
            <w:tcW w:w="2880" w:type="dxa"/>
            <w:vAlign w:val="bottom"/>
            <w:shd w:val="clear" w:color="auto" w:fill="000046"/>
          </w:tcPr>
          <w:p>
            <w:pPr>
              <w:jc w:val="right"/>
              <w:ind w:right="180"/>
              <w:spacing w:after="0"/>
              <w:rPr>
                <w:sz w:val="20"/>
                <w:szCs w:val="20"/>
                <w:color w:val="auto"/>
              </w:rPr>
            </w:pPr>
            <w:r>
              <w:rPr>
                <w:rFonts w:ascii="PMingLiU" w:cs="PMingLiU" w:eastAsia="PMingLiU" w:hAnsi="PMingLiU"/>
                <w:sz w:val="16"/>
                <w:szCs w:val="16"/>
                <w:b w:val="1"/>
                <w:bCs w:val="1"/>
                <w:color w:val="FFFFFF"/>
              </w:rPr>
              <w:t>3D\</w:t>
            </w:r>
          </w:p>
        </w:tc>
        <w:tc>
          <w:tcPr>
            <w:tcW w:w="1320" w:type="dxa"/>
            <w:vAlign w:val="bottom"/>
            <w:shd w:val="clear" w:color="auto" w:fill="000046"/>
          </w:tcPr>
          <w:p>
            <w:pPr>
              <w:jc w:val="right"/>
              <w:ind w:right="200"/>
              <w:spacing w:after="0"/>
              <w:rPr>
                <w:sz w:val="20"/>
                <w:szCs w:val="20"/>
                <w:color w:val="auto"/>
              </w:rPr>
            </w:pPr>
            <w:r>
              <w:rPr>
                <w:rFonts w:ascii="PMingLiU" w:cs="PMingLiU" w:eastAsia="PMingLiU" w:hAnsi="PMingLiU"/>
                <w:sz w:val="16"/>
                <w:szCs w:val="16"/>
                <w:b w:val="1"/>
                <w:bCs w:val="1"/>
                <w:color w:val="FFFFFF"/>
              </w:rPr>
              <w:t>3D\</w:t>
            </w:r>
          </w:p>
        </w:tc>
        <w:tc>
          <w:tcPr>
            <w:tcW w:w="112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r>
              <w:rPr>
                <w:rFonts w:ascii="PMingLiU" w:cs="PMingLiU" w:eastAsia="PMingLiU" w:hAnsi="PMingLiU"/>
                <w:sz w:val="20"/>
                <w:szCs w:val="20"/>
                <w:b w:val="1"/>
                <w:bCs w:val="1"/>
                <w:color w:val="FFFFFF"/>
                <w:vertAlign w:val="superscript"/>
              </w:rPr>
              <w:t/>
            </w:r>
          </w:p>
        </w:tc>
      </w:tr>
      <w:tr>
        <w:trPr>
          <w:trHeight w:val="221"/>
        </w:trPr>
        <w:tc>
          <w:tcPr>
            <w:tcW w:w="4760" w:type="dxa"/>
            <w:vAlign w:val="bottom"/>
            <w:shd w:val="clear" w:color="auto" w:fill="000046"/>
          </w:tcPr>
          <w:p>
            <w:pPr>
              <w:spacing w:after="0"/>
              <w:rPr>
                <w:sz w:val="19"/>
                <w:szCs w:val="19"/>
                <w:color w:val="auto"/>
              </w:rPr>
            </w:pPr>
          </w:p>
        </w:tc>
        <w:tc>
          <w:tcPr>
            <w:tcW w:w="2880" w:type="dxa"/>
            <w:vAlign w:val="bottom"/>
            <w:shd w:val="clear" w:color="auto" w:fill="000046"/>
          </w:tcPr>
          <w:p>
            <w:pPr>
              <w:jc w:val="right"/>
              <w:ind w:right="180"/>
              <w:spacing w:after="0"/>
              <w:rPr>
                <w:sz w:val="20"/>
                <w:szCs w:val="20"/>
                <w:color w:val="auto"/>
              </w:rPr>
            </w:pPr>
            <w:r>
              <w:rPr>
                <w:rFonts w:ascii="PMingLiU" w:cs="PMingLiU" w:eastAsia="PMingLiU" w:hAnsi="PMingLiU"/>
                <w:sz w:val="16"/>
                <w:szCs w:val="16"/>
                <w:b w:val="1"/>
                <w:bCs w:val="1"/>
                <w:color w:val="FFFFFF"/>
              </w:rPr>
              <w:t/>
            </w:r>
          </w:p>
        </w:tc>
        <w:tc>
          <w:tcPr>
            <w:tcW w:w="1320" w:type="dxa"/>
            <w:vAlign w:val="bottom"/>
            <w:shd w:val="clear" w:color="auto" w:fill="000046"/>
          </w:tcPr>
          <w:p>
            <w:pPr>
              <w:jc w:val="right"/>
              <w:ind w:right="200"/>
              <w:spacing w:after="0"/>
              <w:rPr>
                <w:sz w:val="20"/>
                <w:szCs w:val="20"/>
                <w:color w:val="auto"/>
              </w:rPr>
            </w:pPr>
            <w:r>
              <w:rPr>
                <w:rFonts w:ascii="PMingLiU" w:cs="PMingLiU" w:eastAsia="PMingLiU" w:hAnsi="PMingLiU"/>
                <w:sz w:val="16"/>
                <w:szCs w:val="16"/>
                <w:b w:val="1"/>
                <w:bCs w:val="1"/>
                <w:color w:val="FFFFFF"/>
              </w:rPr>
              <w:t/>
            </w:r>
          </w:p>
        </w:tc>
        <w:tc>
          <w:tcPr>
            <w:tcW w:w="112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760" w:type="dxa"/>
            <w:vAlign w:val="bottom"/>
            <w:shd w:val="clear" w:color="auto" w:fill="000046"/>
          </w:tcPr>
          <w:p>
            <w:pPr>
              <w:spacing w:after="0"/>
              <w:rPr>
                <w:sz w:val="5"/>
                <w:szCs w:val="5"/>
                <w:color w:val="auto"/>
              </w:rPr>
            </w:pPr>
          </w:p>
        </w:tc>
        <w:tc>
          <w:tcPr>
            <w:tcW w:w="2880" w:type="dxa"/>
            <w:vAlign w:val="bottom"/>
            <w:shd w:val="clear" w:color="auto" w:fill="000046"/>
          </w:tcPr>
          <w:p>
            <w:pPr>
              <w:spacing w:after="0"/>
              <w:rPr>
                <w:sz w:val="5"/>
                <w:szCs w:val="5"/>
                <w:color w:val="auto"/>
              </w:rPr>
            </w:pPr>
          </w:p>
        </w:tc>
        <w:tc>
          <w:tcPr>
            <w:tcW w:w="1320" w:type="dxa"/>
            <w:vAlign w:val="bottom"/>
            <w:shd w:val="clear" w:color="auto" w:fill="000046"/>
          </w:tcPr>
          <w:p>
            <w:pPr>
              <w:spacing w:after="0"/>
              <w:rPr>
                <w:sz w:val="5"/>
                <w:szCs w:val="5"/>
                <w:color w:val="auto"/>
              </w:rPr>
            </w:pPr>
          </w:p>
        </w:tc>
        <w:tc>
          <w:tcPr>
            <w:tcW w:w="1120" w:type="dxa"/>
            <w:vAlign w:val="bottom"/>
            <w:shd w:val="clear" w:color="auto" w:fill="000046"/>
          </w:tcPr>
          <w:p>
            <w:pPr>
              <w:spacing w:after="0"/>
              <w:rPr>
                <w:sz w:val="5"/>
                <w:szCs w:val="5"/>
                <w:color w:val="auto"/>
              </w:rPr>
            </w:pPr>
          </w:p>
        </w:tc>
      </w:tr>
      <w:tr>
        <w:trPr>
          <w:trHeight w:val="315"/>
        </w:trPr>
        <w:tc>
          <w:tcPr>
            <w:tcW w:w="476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2880" w:type="dxa"/>
            <w:vAlign w:val="bottom"/>
          </w:tcPr>
          <w:p>
            <w:pPr>
              <w:jc w:val="right"/>
              <w:ind w:right="180"/>
              <w:spacing w:after="0"/>
              <w:rPr>
                <w:sz w:val="20"/>
                <w:szCs w:val="20"/>
                <w:color w:val="auto"/>
              </w:rPr>
            </w:pPr>
            <w:r>
              <w:rPr>
                <w:rFonts w:ascii="PMingLiU" w:cs="PMingLiU" w:eastAsia="PMingLiU" w:hAnsi="PMingLiU"/>
                <w:sz w:val="16"/>
                <w:szCs w:val="16"/>
                <w:b w:val="1"/>
                <w:bCs w:val="1"/>
                <w:color w:val="000046"/>
              </w:rPr>
              <w:t/>
            </w:r>
          </w:p>
        </w:tc>
        <w:tc>
          <w:tcPr>
            <w:tcW w:w="1320" w:type="dxa"/>
            <w:vAlign w:val="bottom"/>
          </w:tcPr>
          <w:p>
            <w:pPr>
              <w:jc w:val="right"/>
              <w:ind w:right="200"/>
              <w:spacing w:after="0"/>
              <w:rPr>
                <w:sz w:val="20"/>
                <w:szCs w:val="20"/>
                <w:color w:val="auto"/>
              </w:rPr>
            </w:pPr>
            <w:r>
              <w:rPr>
                <w:rFonts w:ascii="PMingLiU" w:cs="PMingLiU" w:eastAsia="PMingLiU" w:hAnsi="PMingLiU"/>
                <w:sz w:val="16"/>
                <w:szCs w:val="16"/>
                <w:b w:val="1"/>
                <w:bCs w:val="1"/>
                <w:color w:val="000046"/>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760" w:type="dxa"/>
            <w:vAlign w:val="bottom"/>
            <w:tcBorders>
              <w:bottom w:val="single" w:sz="8" w:color="4454A7"/>
            </w:tcBorders>
          </w:tcPr>
          <w:p>
            <w:pPr>
              <w:spacing w:after="0"/>
              <w:rPr>
                <w:sz w:val="7"/>
                <w:szCs w:val="7"/>
                <w:color w:val="auto"/>
              </w:rPr>
            </w:pPr>
          </w:p>
        </w:tc>
        <w:tc>
          <w:tcPr>
            <w:tcW w:w="2880" w:type="dxa"/>
            <w:vAlign w:val="bottom"/>
            <w:tcBorders>
              <w:bottom w:val="single" w:sz="8" w:color="4454A7"/>
            </w:tcBorders>
          </w:tcPr>
          <w:p>
            <w:pPr>
              <w:spacing w:after="0"/>
              <w:rPr>
                <w:sz w:val="7"/>
                <w:szCs w:val="7"/>
                <w:color w:val="auto"/>
              </w:rPr>
            </w:pPr>
          </w:p>
        </w:tc>
        <w:tc>
          <w:tcPr>
            <w:tcW w:w="1320" w:type="dxa"/>
            <w:vAlign w:val="bottom"/>
            <w:tcBorders>
              <w:bottom w:val="single" w:sz="8" w:color="4454A7"/>
            </w:tcBorders>
          </w:tcPr>
          <w:p>
            <w:pPr>
              <w:spacing w:after="0"/>
              <w:rPr>
                <w:sz w:val="7"/>
                <w:szCs w:val="7"/>
                <w:color w:val="auto"/>
              </w:rPr>
            </w:pPr>
          </w:p>
        </w:tc>
        <w:tc>
          <w:tcPr>
            <w:tcW w:w="1120" w:type="dxa"/>
            <w:vAlign w:val="bottom"/>
            <w:tcBorders>
              <w:bottom w:val="single" w:sz="8" w:color="4454A7"/>
            </w:tcBorders>
          </w:tcPr>
          <w:p>
            <w:pPr>
              <w:spacing w:after="0"/>
              <w:rPr>
                <w:sz w:val="7"/>
                <w:szCs w:val="7"/>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288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32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880" w:type="dxa"/>
            <w:vAlign w:val="bottom"/>
            <w:tcBorders>
              <w:bottom w:val="single" w:sz="8" w:color="4454A7"/>
            </w:tcBorders>
          </w:tcPr>
          <w:p>
            <w:pPr>
              <w:spacing w:after="0"/>
              <w:rPr>
                <w:sz w:val="2"/>
                <w:szCs w:val="2"/>
                <w:color w:val="auto"/>
              </w:rPr>
            </w:pPr>
          </w:p>
        </w:tc>
        <w:tc>
          <w:tcPr>
            <w:tcW w:w="1320" w:type="dxa"/>
            <w:vAlign w:val="bottom"/>
            <w:tcBorders>
              <w:bottom w:val="single" w:sz="8" w:color="4454A7"/>
            </w:tcBorders>
          </w:tcPr>
          <w:p>
            <w:pPr>
              <w:spacing w:after="0"/>
              <w:rPr>
                <w:sz w:val="2"/>
                <w:szCs w:val="2"/>
                <w:color w:val="auto"/>
              </w:rPr>
            </w:pPr>
          </w:p>
        </w:tc>
        <w:tc>
          <w:tcPr>
            <w:tcW w:w="1120" w:type="dxa"/>
            <w:vAlign w:val="bottom"/>
            <w:tcBorders>
              <w:bottom w:val="single" w:sz="8" w:color="4454A7"/>
            </w:tcBorders>
          </w:tcPr>
          <w:p>
            <w:pPr>
              <w:spacing w:after="0"/>
              <w:rPr>
                <w:sz w:val="2"/>
                <w:szCs w:val="2"/>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288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32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880" w:type="dxa"/>
            <w:vAlign w:val="bottom"/>
            <w:tcBorders>
              <w:bottom w:val="single" w:sz="8" w:color="4454A7"/>
            </w:tcBorders>
          </w:tcPr>
          <w:p>
            <w:pPr>
              <w:spacing w:after="0"/>
              <w:rPr>
                <w:sz w:val="2"/>
                <w:szCs w:val="2"/>
                <w:color w:val="auto"/>
              </w:rPr>
            </w:pPr>
          </w:p>
        </w:tc>
        <w:tc>
          <w:tcPr>
            <w:tcW w:w="1320" w:type="dxa"/>
            <w:vAlign w:val="bottom"/>
            <w:tcBorders>
              <w:bottom w:val="single" w:sz="8" w:color="4454A7"/>
            </w:tcBorders>
          </w:tcPr>
          <w:p>
            <w:pPr>
              <w:spacing w:after="0"/>
              <w:rPr>
                <w:sz w:val="2"/>
                <w:szCs w:val="2"/>
                <w:color w:val="auto"/>
              </w:rPr>
            </w:pPr>
          </w:p>
        </w:tc>
        <w:tc>
          <w:tcPr>
            <w:tcW w:w="1120" w:type="dxa"/>
            <w:vAlign w:val="bottom"/>
            <w:tcBorders>
              <w:bottom w:val="single" w:sz="8" w:color="4454A7"/>
            </w:tcBorders>
          </w:tcPr>
          <w:p>
            <w:pPr>
              <w:spacing w:after="0"/>
              <w:rPr>
                <w:sz w:val="2"/>
                <w:szCs w:val="2"/>
                <w:color w:val="auto"/>
              </w:rPr>
            </w:pPr>
          </w:p>
        </w:tc>
      </w:tr>
      <w:tr>
        <w:trPr>
          <w:trHeight w:val="376"/>
        </w:trPr>
        <w:tc>
          <w:tcPr>
            <w:tcW w:w="47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7DUJHW7RWDO(TXLW\&amp;RPSHQVDWLRQ</w:t>
            </w:r>
            <w:r>
              <w:rPr>
                <w:rFonts w:ascii="PMingLiU" w:cs="PMingLiU" w:eastAsia="PMingLiU" w:hAnsi="PMingLiU"/>
                <w:sz w:val="20"/>
                <w:szCs w:val="20"/>
                <w:b w:val="1"/>
                <w:bCs w:val="1"/>
                <w:color w:val="000046"/>
                <w:vertAlign w:val="superscript"/>
              </w:rPr>
              <w:t/>
            </w:r>
          </w:p>
        </w:tc>
        <w:tc>
          <w:tcPr>
            <w:tcW w:w="2880" w:type="dxa"/>
            <w:vAlign w:val="bottom"/>
            <w:tcBorders>
              <w:bottom w:val="single" w:sz="8" w:color="4454A7"/>
            </w:tcBorders>
          </w:tcPr>
          <w:p>
            <w:pPr>
              <w:jc w:val="right"/>
              <w:ind w:right="180"/>
              <w:spacing w:after="0"/>
              <w:rPr>
                <w:sz w:val="20"/>
                <w:szCs w:val="20"/>
                <w:color w:val="auto"/>
              </w:rPr>
            </w:pPr>
            <w:r>
              <w:rPr>
                <w:rFonts w:ascii="PMingLiU" w:cs="PMingLiU" w:eastAsia="PMingLiU" w:hAnsi="PMingLiU"/>
                <w:sz w:val="16"/>
                <w:szCs w:val="16"/>
                <w:b w:val="1"/>
                <w:bCs w:val="1"/>
                <w:color w:val="000046"/>
              </w:rPr>
              <w:t/>
            </w:r>
          </w:p>
        </w:tc>
        <w:tc>
          <w:tcPr>
            <w:tcW w:w="1320" w:type="dxa"/>
            <w:vAlign w:val="bottom"/>
            <w:tcBorders>
              <w:bottom w:val="single" w:sz="8" w:color="4454A7"/>
            </w:tcBorders>
          </w:tcPr>
          <w:p>
            <w:pPr>
              <w:jc w:val="right"/>
              <w:ind w:right="200"/>
              <w:spacing w:after="0"/>
              <w:rPr>
                <w:sz w:val="20"/>
                <w:szCs w:val="20"/>
                <w:color w:val="auto"/>
              </w:rPr>
            </w:pPr>
            <w:r>
              <w:rPr>
                <w:rFonts w:ascii="PMingLiU" w:cs="PMingLiU" w:eastAsia="PMingLiU" w:hAnsi="PMingLiU"/>
                <w:sz w:val="16"/>
                <w:szCs w:val="16"/>
                <w:b w:val="1"/>
                <w:bCs w:val="1"/>
                <w:color w:val="000046"/>
              </w:rPr>
              <w:t/>
            </w:r>
          </w:p>
        </w:tc>
        <w:tc>
          <w:tcPr>
            <w:tcW w:w="112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299"/>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7DUJHW$QQXDO*UDQW</w:t>
            </w:r>
          </w:p>
        </w:tc>
        <w:tc>
          <w:tcPr>
            <w:tcW w:w="2880" w:type="dxa"/>
            <w:vAlign w:val="bottom"/>
          </w:tcPr>
          <w:p>
            <w:pPr>
              <w:jc w:val="right"/>
              <w:ind w:right="180"/>
              <w:spacing w:after="0"/>
              <w:rPr>
                <w:sz w:val="20"/>
                <w:szCs w:val="20"/>
                <w:color w:val="auto"/>
              </w:rPr>
            </w:pPr>
            <w:r>
              <w:rPr>
                <w:rFonts w:ascii="PMingLiU" w:cs="PMingLiU" w:eastAsia="PMingLiU" w:hAnsi="PMingLiU"/>
                <w:sz w:val="16"/>
                <w:szCs w:val="16"/>
                <w:color w:val="auto"/>
              </w:rPr>
              <w:t/>
            </w:r>
          </w:p>
        </w:tc>
        <w:tc>
          <w:tcPr>
            <w:tcW w:w="132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95"/>
        </w:trPr>
        <w:tc>
          <w:tcPr>
            <w:tcW w:w="4760" w:type="dxa"/>
            <w:vAlign w:val="bottom"/>
            <w:tcBorders>
              <w:bottom w:val="single" w:sz="8" w:color="4454A7"/>
            </w:tcBorders>
          </w:tcPr>
          <w:p>
            <w:pPr>
              <w:spacing w:after="0"/>
              <w:rPr>
                <w:sz w:val="8"/>
                <w:szCs w:val="8"/>
                <w:color w:val="auto"/>
              </w:rPr>
            </w:pPr>
          </w:p>
        </w:tc>
        <w:tc>
          <w:tcPr>
            <w:tcW w:w="2880" w:type="dxa"/>
            <w:vAlign w:val="bottom"/>
            <w:tcBorders>
              <w:bottom w:val="single" w:sz="8" w:color="4454A7"/>
            </w:tcBorders>
          </w:tcPr>
          <w:p>
            <w:pPr>
              <w:spacing w:after="0"/>
              <w:rPr>
                <w:sz w:val="8"/>
                <w:szCs w:val="8"/>
                <w:color w:val="auto"/>
              </w:rPr>
            </w:pPr>
          </w:p>
        </w:tc>
        <w:tc>
          <w:tcPr>
            <w:tcW w:w="1320" w:type="dxa"/>
            <w:vAlign w:val="bottom"/>
            <w:tcBorders>
              <w:bottom w:val="single" w:sz="8" w:color="4454A7"/>
            </w:tcBorders>
          </w:tcPr>
          <w:p>
            <w:pPr>
              <w:spacing w:after="0"/>
              <w:rPr>
                <w:sz w:val="8"/>
                <w:szCs w:val="8"/>
                <w:color w:val="auto"/>
              </w:rPr>
            </w:pPr>
          </w:p>
        </w:tc>
        <w:tc>
          <w:tcPr>
            <w:tcW w:w="1120" w:type="dxa"/>
            <w:vAlign w:val="bottom"/>
            <w:tcBorders>
              <w:bottom w:val="single" w:sz="8" w:color="4454A7"/>
            </w:tcBorders>
          </w:tcPr>
          <w:p>
            <w:pPr>
              <w:spacing w:after="0"/>
              <w:rPr>
                <w:sz w:val="8"/>
                <w:szCs w:val="8"/>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7DUJHW5HWHQWLRQ*UDQW</w:t>
            </w:r>
            <w:r>
              <w:rPr>
                <w:rFonts w:ascii="PMingLiU" w:cs="PMingLiU" w:eastAsia="PMingLiU" w:hAnsi="PMingLiU"/>
                <w:sz w:val="20"/>
                <w:szCs w:val="20"/>
                <w:color w:val="auto"/>
                <w:vertAlign w:val="superscript"/>
              </w:rPr>
              <w:t/>
            </w:r>
          </w:p>
        </w:tc>
        <w:tc>
          <w:tcPr>
            <w:tcW w:w="2880" w:type="dxa"/>
            <w:vAlign w:val="bottom"/>
          </w:tcPr>
          <w:p>
            <w:pPr>
              <w:spacing w:after="0"/>
              <w:rPr>
                <w:sz w:val="24"/>
                <w:szCs w:val="24"/>
                <w:color w:val="auto"/>
              </w:rPr>
            </w:pPr>
          </w:p>
        </w:tc>
        <w:tc>
          <w:tcPr>
            <w:tcW w:w="132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spacing w:after="0"/>
              <w:rPr>
                <w:sz w:val="24"/>
                <w:szCs w:val="24"/>
                <w:color w:val="auto"/>
              </w:rPr>
            </w:pPr>
          </w:p>
        </w:tc>
      </w:tr>
      <w:tr>
        <w:trPr>
          <w:trHeight w:val="25"/>
        </w:trPr>
        <w:tc>
          <w:tcPr>
            <w:tcW w:w="4760" w:type="dxa"/>
            <w:vAlign w:val="bottom"/>
            <w:tcBorders>
              <w:bottom w:val="single" w:sz="8" w:color="4454A7"/>
            </w:tcBorders>
          </w:tcPr>
          <w:p>
            <w:pPr>
              <w:spacing w:after="0"/>
              <w:rPr>
                <w:sz w:val="2"/>
                <w:szCs w:val="2"/>
                <w:color w:val="auto"/>
              </w:rPr>
            </w:pPr>
          </w:p>
        </w:tc>
        <w:tc>
          <w:tcPr>
            <w:tcW w:w="2880" w:type="dxa"/>
            <w:vAlign w:val="bottom"/>
            <w:tcBorders>
              <w:bottom w:val="single" w:sz="8" w:color="4454A7"/>
            </w:tcBorders>
          </w:tcPr>
          <w:p>
            <w:pPr>
              <w:spacing w:after="0"/>
              <w:rPr>
                <w:sz w:val="2"/>
                <w:szCs w:val="2"/>
                <w:color w:val="auto"/>
              </w:rPr>
            </w:pPr>
          </w:p>
        </w:tc>
        <w:tc>
          <w:tcPr>
            <w:tcW w:w="1320" w:type="dxa"/>
            <w:vAlign w:val="bottom"/>
            <w:tcBorders>
              <w:bottom w:val="single" w:sz="8" w:color="4454A7"/>
            </w:tcBorders>
          </w:tcPr>
          <w:p>
            <w:pPr>
              <w:spacing w:after="0"/>
              <w:rPr>
                <w:sz w:val="2"/>
                <w:szCs w:val="2"/>
                <w:color w:val="auto"/>
              </w:rPr>
            </w:pPr>
          </w:p>
        </w:tc>
        <w:tc>
          <w:tcPr>
            <w:tcW w:w="1120" w:type="dxa"/>
            <w:vAlign w:val="bottom"/>
            <w:tcBorders>
              <w:bottom w:val="single" w:sz="8" w:color="4454A7"/>
            </w:tcBorders>
          </w:tcPr>
          <w:p>
            <w:pPr>
              <w:spacing w:after="0"/>
              <w:rPr>
                <w:sz w:val="2"/>
                <w:szCs w:val="2"/>
                <w:color w:val="auto"/>
              </w:rPr>
            </w:pPr>
          </w:p>
        </w:tc>
      </w:tr>
      <w:tr>
        <w:trPr>
          <w:trHeight w:val="378"/>
        </w:trPr>
        <w:tc>
          <w:tcPr>
            <w:tcW w:w="4760" w:type="dxa"/>
            <w:vAlign w:val="bottom"/>
            <w:tcBorders>
              <w:bottom w:val="single" w:sz="8" w:color="5C004D"/>
            </w:tcBorders>
          </w:tcPr>
          <w:p>
            <w:pPr>
              <w:ind w:left="380"/>
              <w:spacing w:after="0"/>
              <w:rPr>
                <w:sz w:val="20"/>
                <w:szCs w:val="20"/>
                <w:color w:val="auto"/>
              </w:rPr>
            </w:pPr>
            <w:r>
              <w:rPr>
                <w:rFonts w:ascii="PMingLiU" w:cs="PMingLiU" w:eastAsia="PMingLiU" w:hAnsi="PMingLiU"/>
                <w:sz w:val="16"/>
                <w:szCs w:val="16"/>
                <w:color w:val="auto"/>
              </w:rPr>
              <w:t>7DUJHW3URPRWLRQ*UDQW</w:t>
            </w:r>
            <w:r>
              <w:rPr>
                <w:rFonts w:ascii="PMingLiU" w:cs="PMingLiU" w:eastAsia="PMingLiU" w:hAnsi="PMingLiU"/>
                <w:sz w:val="20"/>
                <w:szCs w:val="20"/>
                <w:color w:val="auto"/>
                <w:vertAlign w:val="superscript"/>
              </w:rPr>
              <w:t/>
            </w:r>
          </w:p>
        </w:tc>
        <w:tc>
          <w:tcPr>
            <w:tcW w:w="2880" w:type="dxa"/>
            <w:vAlign w:val="bottom"/>
            <w:tcBorders>
              <w:bottom w:val="single" w:sz="8" w:color="5C004D"/>
            </w:tcBorders>
          </w:tcPr>
          <w:p>
            <w:pPr>
              <w:spacing w:after="0"/>
              <w:rPr>
                <w:sz w:val="24"/>
                <w:szCs w:val="24"/>
                <w:color w:val="auto"/>
              </w:rPr>
            </w:pPr>
          </w:p>
        </w:tc>
        <w:tc>
          <w:tcPr>
            <w:tcW w:w="1320" w:type="dxa"/>
            <w:vAlign w:val="bottom"/>
            <w:tcBorders>
              <w:bottom w:val="single" w:sz="8" w:color="5C004D"/>
            </w:tcBorders>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Borders>
              <w:bottom w:val="single" w:sz="8" w:color="5C004D"/>
            </w:tcBorders>
          </w:tcPr>
          <w:p>
            <w:pPr>
              <w:spacing w:after="0"/>
              <w:rPr>
                <w:sz w:val="24"/>
                <w:szCs w:val="24"/>
                <w:color w:val="auto"/>
              </w:rPr>
            </w:pPr>
          </w:p>
        </w:tc>
      </w:tr>
      <w:tr>
        <w:trPr>
          <w:trHeight w:val="385"/>
        </w:trPr>
        <w:tc>
          <w:tcPr>
            <w:tcW w:w="47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880" w:type="dxa"/>
            <w:vAlign w:val="bottom"/>
            <w:tcBorders>
              <w:bottom w:val="single" w:sz="8" w:color="5C004D"/>
            </w:tcBorders>
          </w:tcPr>
          <w:p>
            <w:pPr>
              <w:jc w:val="right"/>
              <w:ind w:right="180"/>
              <w:spacing w:after="0"/>
              <w:rPr>
                <w:sz w:val="20"/>
                <w:szCs w:val="20"/>
                <w:color w:val="auto"/>
              </w:rPr>
            </w:pPr>
            <w:r>
              <w:rPr>
                <w:rFonts w:ascii="PMingLiU" w:cs="PMingLiU" w:eastAsia="PMingLiU" w:hAnsi="PMingLiU"/>
                <w:sz w:val="16"/>
                <w:szCs w:val="16"/>
                <w:b w:val="1"/>
                <w:bCs w:val="1"/>
                <w:color w:val="5C004D"/>
              </w:rPr>
              <w:t/>
            </w:r>
          </w:p>
        </w:tc>
        <w:tc>
          <w:tcPr>
            <w:tcW w:w="1320" w:type="dxa"/>
            <w:vAlign w:val="bottom"/>
            <w:tcBorders>
              <w:bottom w:val="single" w:sz="8" w:color="5C004D"/>
            </w:tcBorders>
          </w:tcPr>
          <w:p>
            <w:pPr>
              <w:jc w:val="right"/>
              <w:ind w:right="200"/>
              <w:spacing w:after="0"/>
              <w:rPr>
                <w:sz w:val="20"/>
                <w:szCs w:val="20"/>
                <w:color w:val="auto"/>
              </w:rPr>
            </w:pPr>
            <w:r>
              <w:rPr>
                <w:rFonts w:ascii="PMingLiU" w:cs="PMingLiU" w:eastAsia="PMingLiU" w:hAnsi="PMingLiU"/>
                <w:sz w:val="16"/>
                <w:szCs w:val="16"/>
                <w:b w:val="1"/>
                <w:bCs w:val="1"/>
                <w:color w:val="5C004D"/>
              </w:rPr>
              <w:t/>
            </w:r>
          </w:p>
        </w:tc>
        <w:tc>
          <w:tcPr>
            <w:tcW w:w="112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ind w:left="360" w:right="30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2XU%RDUGDSSRLQWHG0V*DODDVRXU&amp;RPSDQ\¶V3UHVLGHQWDQG&amp;(2HIIHFWLYHDVRI$XJXVW0V*DODZDVSUHYLRXVO\RXU &amp;RPSDQ\¶V3UHVLGHQWDQG&amp;227KHDPRXQWVOLVWHGLQWKH3D\FROXPQUHIOHFW0V*DOD¶VSD\HIIHFWLYHDVRIKHUDSSRLQWPHQWWR 3UHVLGHQWDQG&amp;(2DQGWKHDPRXQWVOLVWHGLQWKH3D\FROXPQUHIOHFW0V*DOD¶VSD\LQKHUSUHYLRXVFDSDFLW\</w:t>
      </w:r>
    </w:p>
    <w:p>
      <w:pPr>
        <w:spacing w:after="0" w:line="24" w:lineRule="exact"/>
        <w:rPr>
          <w:sz w:val="20"/>
          <w:szCs w:val="20"/>
          <w:color w:val="auto"/>
        </w:rPr>
      </w:pPr>
    </w:p>
    <w:p>
      <w:pPr>
        <w:ind w:left="360" w:right="240" w:hanging="359"/>
        <w:spacing w:after="0" w:line="276" w:lineRule="auto"/>
        <w:tabs>
          <w:tab w:leader="none" w:pos="340" w:val="left"/>
        </w:tabs>
        <w:rPr>
          <w:sz w:val="20"/>
          <w:szCs w:val="20"/>
          <w:color w:val="auto"/>
        </w:rPr>
      </w:pPr>
      <w:r>
        <w:rPr>
          <w:rFonts w:ascii="PMingLiU" w:cs="PMingLiU" w:eastAsia="PMingLiU" w:hAnsi="PMingLiU"/>
          <w:sz w:val="15"/>
          <w:szCs w:val="15"/>
          <w:color w:val="auto"/>
        </w:rPr>
        <w:t/>
        <w:tab/>
        <w:t>5HSUHVHQWVDQQXDOEDVHVDODU\UDWHIRUWKHDSSOLFDEOH\HDU0V*DOD¶VLQLWLDOEDVHVDODU\RIEHFDPHHIIHFWLYH0DUFK 0V*DOD¶VLQLWLDOEDVHVDODU\RIEHFDPHHIIHFWLYH0DUFK,QFRQQHFWLRQZLWKKHUDSSRLQWPHQWDV3UHVLGHQW DQG&amp;(2WKH%RDUGLQFUHDVHG0V*DOD¶VDQQXDOEDVHVDODU\IURPWRHIIHFWLYH$XJXVW</w:t>
      </w:r>
    </w:p>
    <w:p>
      <w:pPr>
        <w:spacing w:after="0" w:line="45" w:lineRule="exact"/>
        <w:rPr>
          <w:sz w:val="20"/>
          <w:szCs w:val="20"/>
          <w:color w:val="auto"/>
        </w:rPr>
      </w:pPr>
    </w:p>
    <w:p>
      <w:pPr>
        <w:ind w:left="360" w:right="160" w:hanging="359"/>
        <w:spacing w:after="0" w:line="295" w:lineRule="auto"/>
        <w:tabs>
          <w:tab w:leader="none" w:pos="340" w:val="left"/>
        </w:tabs>
        <w:rPr>
          <w:sz w:val="20"/>
          <w:szCs w:val="20"/>
          <w:color w:val="auto"/>
        </w:rPr>
      </w:pPr>
      <w:r>
        <w:rPr>
          <w:rFonts w:ascii="PMingLiU" w:cs="PMingLiU" w:eastAsia="PMingLiU" w:hAnsi="PMingLiU"/>
          <w:sz w:val="14"/>
          <w:szCs w:val="14"/>
          <w:color w:val="auto"/>
        </w:rPr>
        <w:t/>
        <w:tab/>
        <w:t>,QFRQQHFWLRQZLWKKHUDSSRLQWPHQWDV3UHVLGHQWDQG&amp;(2WKH%RDUGLQFUHDVHG0V*DOD¶VWDUJHWERQXVRSSRUWXQLW\IRUIURP RIKHUEDVHVDODU\WRRIKHUEDVHVDODU\HIIHFWLYHDVRI$XJXVW7KHWDUJHWERQXVDPRXQWUHIOHFWVDWDUJHW SHUIRUPDQFHERQXVRIRIEDVHVDODU\UDWHDVRI'HFHPEHU7KHDFWXDOSHUIRUPDQFHERQXVSDLGZDV UHIOHFWLQJRYHUDOODFKLHYHPHQWRIWKHFRUSRUDWHSHUIRUPDQFHREMHFWLYHV</w:t>
      </w:r>
    </w:p>
    <w:p>
      <w:pPr>
        <w:spacing w:after="0" w:line="33" w:lineRule="exact"/>
        <w:rPr>
          <w:sz w:val="20"/>
          <w:szCs w:val="20"/>
          <w:color w:val="auto"/>
        </w:rPr>
      </w:pPr>
    </w:p>
    <w:p>
      <w:pPr>
        <w:ind w:left="360" w:right="80" w:hanging="359"/>
        <w:spacing w:after="0" w:line="476" w:lineRule="auto"/>
        <w:tabs>
          <w:tab w:leader="none" w:pos="340" w:val="left"/>
        </w:tabs>
        <w:rPr>
          <w:sz w:val="20"/>
          <w:szCs w:val="20"/>
          <w:color w:val="auto"/>
        </w:rPr>
      </w:pPr>
      <w:r>
        <w:rPr>
          <w:rFonts w:ascii="PMingLiU" w:cs="PMingLiU" w:eastAsia="PMingLiU" w:hAnsi="PMingLiU"/>
          <w:sz w:val="12"/>
          <w:szCs w:val="12"/>
          <w:color w:val="auto"/>
        </w:rPr>
        <w:t/>
        <w:tab/>
        <w:t>7KHWDUJHWWRWDOHTXLW\FRPSHQVDWLRQDQGWKHFRPSRQHQWVWKHUHRISUHVHQWHGLQWKHFKDUWDERYHUHIOHFWWKHWDUJHWGROODUYDOXHVDSSURYHG E\RXU&amp;RPSHQVDWLRQ&amp;RPPLWWHHWKHVHYDOXHVGLIIHUVIURPWKHYDOXHVUHTXLUHGWREHVKRZQLQWKH6XPPDU\&amp;RPSHQVDWLRQ7DEOHDQG *UDQWVRI3ODQ%DVHG$ZDUGVLQ)LVFDOWDEOHDVDSSOLFDEOHDVIXUWKHUGHVFULEHGDERYHLQ</w:t>
      </w:r>
      <w:r>
        <w:rPr>
          <w:rFonts w:ascii="PMingLiU" w:cs="PMingLiU" w:eastAsia="PMingLiU" w:hAnsi="PMingLiU"/>
          <w:sz w:val="12"/>
          <w:szCs w:val="12"/>
          <w:i w:val="1"/>
          <w:iCs w:val="1"/>
          <w:color w:val="auto"/>
        </w:rPr>
        <w:t>E#;33(8?5-  536,49(:054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,*090549 54.$,834*,4:0&lt;,!85.8(3</w:t>
      </w:r>
      <w:r>
        <w:rPr>
          <w:rFonts w:ascii="PMingLiU" w:cs="PMingLiU" w:eastAsia="PMingLiU" w:hAnsi="PMingLiU"/>
          <w:sz w:val="12"/>
          <w:szCs w:val="12"/>
          <w:color w:val="auto"/>
        </w:rPr>
        <w:t>´</w:t>
      </w:r>
    </w:p>
    <w:p>
      <w:pPr>
        <w:spacing w:after="0" w:line="2" w:lineRule="exact"/>
        <w:rPr>
          <w:sz w:val="20"/>
          <w:szCs w:val="20"/>
          <w:color w:val="auto"/>
        </w:rPr>
      </w:pPr>
    </w:p>
    <w:p>
      <w:pPr>
        <w:ind w:left="360" w:right="26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5HSUHVHQWVDRQHWLPHWDUJHWUHWHQWLRQ568JUDQWUHFHLYHGE\0V*DODLQ)HEUXDU\7KLVUHWHQWLRQJUDQWZLOOYHVWLQIXOORQ-XQH SURYLGHGJHQHUDOO\WKDW0V*DODUHPDLQVHPSOR\HGZLWKRXU&amp;RPSDQ\WKURXJKWKDWGDWH6HH³</w:t>
      </w:r>
      <w:r>
        <w:rPr>
          <w:rFonts w:ascii="PMingLiU" w:cs="PMingLiU" w:eastAsia="PMingLiU" w:hAnsi="PMingLiU"/>
          <w:sz w:val="14"/>
          <w:szCs w:val="14"/>
          <w:i w:val="1"/>
          <w:iCs w:val="1"/>
          <w:color w:val="auto"/>
        </w:rPr>
        <w:t>#;33(8?5-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536,49(:054,*090549 #6,*0(2",:,4:0548(4:9</w:t>
      </w:r>
      <w:r>
        <w:rPr>
          <w:rFonts w:ascii="PMingLiU" w:cs="PMingLiU" w:eastAsia="PMingLiU" w:hAnsi="PMingLiU"/>
          <w:sz w:val="14"/>
          <w:szCs w:val="14"/>
          <w:color w:val="auto"/>
        </w:rPr>
        <w:t>´DERYHIRUPRUHLQIRUPDWLRQUHJDUGLQJWKHUHWHQWLRQJUDQWVWRRXU1(2V</w:t>
      </w:r>
    </w:p>
    <w:p>
      <w:pPr>
        <w:spacing w:after="0" w:line="2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3"/>
          <w:szCs w:val="13"/>
          <w:color w:val="auto"/>
        </w:rPr>
        <w:t>5HSUHVHQWVDRQHWLPHWDUJHWSURPRWLRQJUDQW0V*DODUHFHLYHGLQFRQQHFWLRQZLWKKHUDSSRLQWPHQWDV3UHVLGHQWDQG&amp;(2LQ$XJXVW</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LQFUHPHQWDOWRKHUDQQXDOHTXLW\JUDQW7KHSURPRWLRQJUDQWFRQVLVWHGRIDPL[FRPSRVHGRIRQHWKLUG568VDQGWZRWKLUGV</w:t>
      </w:r>
    </w:p>
    <w:p>
      <w:pPr>
        <w:spacing w:after="0" w:line="12" w:lineRule="exact"/>
        <w:rPr>
          <w:sz w:val="20"/>
          <w:szCs w:val="20"/>
          <w:color w:val="auto"/>
        </w:rPr>
      </w:pPr>
    </w:p>
    <w:p>
      <w:pPr>
        <w:ind w:left="360" w:right="180"/>
        <w:spacing w:after="0" w:line="327" w:lineRule="auto"/>
        <w:rPr>
          <w:sz w:val="20"/>
          <w:szCs w:val="20"/>
          <w:color w:val="auto"/>
        </w:rPr>
      </w:pPr>
      <w:r>
        <w:rPr>
          <w:rFonts w:ascii="PMingLiU" w:cs="PMingLiU" w:eastAsia="PMingLiU" w:hAnsi="PMingLiU"/>
          <w:sz w:val="13"/>
          <w:szCs w:val="13"/>
          <w:color w:val="auto"/>
        </w:rPr>
        <w:t>368V7KH568VZLOOYHVWLQHTXDODQQXDOLQVWDOOPHQWVRYHUIRXU\HDUVDQGWKH368VZLOOYHVWEDVHGRQWKHDFKLHYHPHQWRIWKH SHUIRUPDQFHFRQGLWLRQVSUHYLRXVO\HVWDEOLVKHGE\RXU&amp;RPSHQVDWLRQ&amp;RPPLWWHHLQWKHILUVWTXDUWHURIDQGGHVFULEHGXQGHU³</w:t>
      </w:r>
      <w:r>
        <w:rPr>
          <w:rFonts w:ascii="PMingLiU" w:cs="PMingLiU" w:eastAsia="PMingLiU" w:hAnsi="PMingLiU"/>
          <w:sz w:val="13"/>
          <w:szCs w:val="13"/>
          <w:i w:val="1"/>
          <w:iCs w:val="1"/>
          <w:color w:val="auto"/>
        </w:rPr>
        <w:t>5(29</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-58(4+*/0,&lt;,3,4:5-  !,8-583(4*,(9,+536,49(:054    !#%!85.8(3</w:t>
      </w:r>
      <w:r>
        <w:rPr>
          <w:rFonts w:ascii="PMingLiU" w:cs="PMingLiU" w:eastAsia="PMingLiU" w:hAnsi="PMingLiU"/>
          <w:sz w:val="13"/>
          <w:szCs w:val="13"/>
          <w:color w:val="auto"/>
        </w:rPr>
        <w:t>´</w:t>
      </w:r>
    </w:p>
    <w:p>
      <w:pPr>
        <w:spacing w:after="0" w:line="13" w:lineRule="exact"/>
        <w:rPr>
          <w:sz w:val="20"/>
          <w:szCs w:val="20"/>
          <w:color w:val="auto"/>
        </w:rPr>
      </w:pPr>
    </w:p>
    <w:p>
      <w:pPr>
        <w:ind w:left="360" w:right="40" w:hanging="359"/>
        <w:spacing w:after="0" w:line="331" w:lineRule="auto"/>
        <w:tabs>
          <w:tab w:leader="none" w:pos="340" w:val="left"/>
        </w:tabs>
        <w:rPr>
          <w:sz w:val="20"/>
          <w:szCs w:val="20"/>
          <w:color w:val="auto"/>
        </w:rPr>
      </w:pPr>
      <w:r>
        <w:rPr>
          <w:rFonts w:ascii="PMingLiU" w:cs="PMingLiU" w:eastAsia="PMingLiU" w:hAnsi="PMingLiU"/>
          <w:sz w:val="12"/>
          <w:szCs w:val="12"/>
          <w:color w:val="auto"/>
        </w:rPr>
        <w:t/>
        <w:tab/>
        <w:t>2XU&amp;RPSHQVDWLRQ&amp;RPPLWWHHDQGWKH%RDUGXSRQKHUDSSRLQWPHQWDV3UHVLGHQWDQG&amp;(2GHVLJQHG0V*DOD¶VWDUJHWWRWDOGLUHFW FRPSHQVDWLRQWREHFRPSHWLWLYHDVFRPSDUHGWRWKHPDUNHWGDWDDVGHVFULEHGLQPRUHGHWDLODERYHLQ³</w:t>
      </w:r>
      <w:r>
        <w:rPr>
          <w:rFonts w:ascii="PMingLiU" w:cs="PMingLiU" w:eastAsia="PMingLiU" w:hAnsi="PMingLiU"/>
          <w:sz w:val="12"/>
          <w:szCs w:val="12"/>
          <w:i w:val="1"/>
          <w:iCs w:val="1"/>
          <w:color w:val="auto"/>
        </w:rPr>
        <w:t>5=',,:,8304,&gt;,*;:0&lt;,</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536,49(:054 536,:0:0&lt;,99,993,4:5-536,49(:054A!,,8536(40,9(4+(81,:(:(</w:t>
      </w:r>
      <w:r>
        <w:rPr>
          <w:rFonts w:ascii="PMingLiU" w:cs="PMingLiU" w:eastAsia="PMingLiU" w:hAnsi="PMingLiU"/>
          <w:sz w:val="12"/>
          <w:szCs w:val="12"/>
          <w:color w:val="auto"/>
        </w:rPr>
        <w:t>´DSSURSULDWHIURPDQLQWHUQDOHTXLW\</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SHUVSHFWLYHDQGPRUHKHDYLO\ZHLJKWHGWRZDUGVHTXLW\FRPSHQVDWLRQLQOLQHZLWKRXUSD\IRUSHUIRUPDQFHSKLORVRSK\2XU &amp;RPSHQVDWLRQ&amp;RPPLWWHHDQGWKH%RDUGXSRQKHUDSSRLQWPHQWDV3UHVLGHQWDQG&amp;(2GHWHUPLQHGLWZDVDSSURSULDWHWRLQFUHDVH0V *DOD¶VEDVHVDODU\DQGWDUJHWHTXLW\FRPSHQVDWLRQLQHDUO\LQDQDPRXQWQHFHVVDU\WRUHIOHFWKHUWKHQVFRSHRIUHVSRQVLELOLW\DQG RYHUVLJKWRIVLJQLILFDQWIXQFWLRQVZLWKLQWKHRUJDQL]DWLRQDQGVXEVHTXHQWO\WRUHIOHFWKHUDVFHQVLRQWRWKH3UHVLGHQWDQG&amp;(2SRVLWLRQLQ $XJXVWDVZHOODVWRPDLQWDLQFRPSHWLWLYHSRVLWLRQLQJUHODWLYHWRWKHPDUNHWGDWD%DVHGRQRXU&amp;RPSHQVDWLRQ&amp;RPPLWWHH¶VDQG WKH%RDUGV¶SURIHVVLRQDOH[SHULHQFHDQGMXGJPHQWRXU&amp;RPSHQVDWLRQ&amp;RPPLWWHHDQGWKH%RDUGGHWHUPLQHG0V*DOD¶VWDUJHWWRWDOGLUHFW FRPSHQVDWLRQWREHFRPSHWLWLYHDQGDSSURSULDWHZLWKUHVSHFWWRERWKKHUUROHLQHDUO\DVZHOODVKHUQHZUROHDV3UHVLGHQWDQG&amp;(2 FRPPHQFLQJLQ$XJXVW</w:t>
      </w:r>
    </w:p>
    <w:p>
      <w:pPr>
        <w:spacing w:after="0" w:line="19" w:lineRule="exact"/>
        <w:rPr>
          <w:sz w:val="20"/>
          <w:szCs w:val="20"/>
          <w:color w:val="auto"/>
        </w:rPr>
      </w:pPr>
    </w:p>
    <w:p>
      <w:pPr>
        <w:ind w:left="360" w:right="180" w:hanging="359"/>
        <w:spacing w:after="0" w:line="380" w:lineRule="auto"/>
        <w:tabs>
          <w:tab w:leader="none" w:pos="340" w:val="left"/>
        </w:tabs>
        <w:rPr>
          <w:sz w:val="20"/>
          <w:szCs w:val="20"/>
          <w:color w:val="auto"/>
        </w:rPr>
      </w:pPr>
      <w:r>
        <w:rPr>
          <w:rFonts w:ascii="PMingLiU" w:cs="PMingLiU" w:eastAsia="PMingLiU" w:hAnsi="PMingLiU"/>
          <w:sz w:val="13"/>
          <w:szCs w:val="13"/>
          <w:color w:val="auto"/>
        </w:rPr>
        <w:t/>
        <w:tab/>
        <w:t>7KHDPRXQWVLQWKLVFROXPQLQFOXGHDPRQJRWKHUVWKHFKDQJHVWKDWZHUHDUHVXOWRI0V*DOD¶VDSSRLQWPHQWDV3UHVLGHQWDQG&amp;(2LQ $XJXVWIURPKHUSULRUUROHDV3UHVLGHQWDQG&amp;22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1199515</wp:posOffset>
            </wp:positionV>
            <wp:extent cx="1389380" cy="2343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97">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77" w:name="page78"/>
    <w:bookmarkEnd w:id="7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18" o:spid="_x0000_s1443"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3KLOLS/-RKQVRQ([HFXWLYH9LFH3UHVLGHQWDQG&amp;)2</w:t>
      </w:r>
      <w:r>
        <w:rPr>
          <w:rFonts w:ascii="PMingLiU" w:cs="PMingLiU" w:eastAsia="PMingLiU" w:hAnsi="PMingLiU"/>
          <w:sz w:val="13"/>
          <w:szCs w:val="13"/>
          <w:b w:val="1"/>
          <w:bCs w:val="1"/>
          <w:color w:val="000046"/>
        </w:rPr>
        <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60" w:type="dxa"/>
            <w:vAlign w:val="bottom"/>
            <w:shd w:val="clear" w:color="auto" w:fill="000046"/>
          </w:tcPr>
          <w:p>
            <w:pPr>
              <w:spacing w:after="0"/>
              <w:rPr>
                <w:sz w:val="23"/>
                <w:szCs w:val="23"/>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3D\</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3D\</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p>
        </w:tc>
      </w:tr>
      <w:tr>
        <w:trPr>
          <w:trHeight w:val="221"/>
        </w:trPr>
        <w:tc>
          <w:tcPr>
            <w:tcW w:w="4760" w:type="dxa"/>
            <w:vAlign w:val="bottom"/>
            <w:shd w:val="clear" w:color="auto" w:fill="000046"/>
          </w:tcPr>
          <w:p>
            <w:pPr>
              <w:spacing w:after="0"/>
              <w:rPr>
                <w:sz w:val="19"/>
                <w:szCs w:val="19"/>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760" w:type="dxa"/>
            <w:vAlign w:val="bottom"/>
            <w:shd w:val="clear" w:color="auto" w:fill="000046"/>
          </w:tcPr>
          <w:p>
            <w:pPr>
              <w:spacing w:after="0"/>
              <w:rPr>
                <w:sz w:val="5"/>
                <w:szCs w:val="5"/>
                <w:color w:val="auto"/>
              </w:rPr>
            </w:pPr>
          </w:p>
        </w:tc>
        <w:tc>
          <w:tcPr>
            <w:tcW w:w="2920" w:type="dxa"/>
            <w:vAlign w:val="bottom"/>
            <w:shd w:val="clear" w:color="auto" w:fill="000046"/>
          </w:tcPr>
          <w:p>
            <w:pPr>
              <w:spacing w:after="0"/>
              <w:rPr>
                <w:sz w:val="5"/>
                <w:szCs w:val="5"/>
                <w:color w:val="auto"/>
              </w:rPr>
            </w:pPr>
          </w:p>
        </w:tc>
        <w:tc>
          <w:tcPr>
            <w:tcW w:w="134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r>
      <w:tr>
        <w:trPr>
          <w:trHeight w:val="315"/>
        </w:trPr>
        <w:tc>
          <w:tcPr>
            <w:tcW w:w="476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2920" w:type="dxa"/>
            <w:vAlign w:val="bottom"/>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760" w:type="dxa"/>
            <w:vAlign w:val="bottom"/>
            <w:tcBorders>
              <w:bottom w:val="single" w:sz="8" w:color="4454A7"/>
            </w:tcBorders>
          </w:tcPr>
          <w:p>
            <w:pPr>
              <w:spacing w:after="0"/>
              <w:rPr>
                <w:sz w:val="7"/>
                <w:szCs w:val="7"/>
                <w:color w:val="auto"/>
              </w:rPr>
            </w:pPr>
          </w:p>
        </w:tc>
        <w:tc>
          <w:tcPr>
            <w:tcW w:w="2920" w:type="dxa"/>
            <w:vAlign w:val="bottom"/>
            <w:tcBorders>
              <w:bottom w:val="single" w:sz="8" w:color="4454A7"/>
            </w:tcBorders>
          </w:tcPr>
          <w:p>
            <w:pPr>
              <w:spacing w:after="0"/>
              <w:rPr>
                <w:sz w:val="7"/>
                <w:szCs w:val="7"/>
                <w:color w:val="auto"/>
              </w:rPr>
            </w:pPr>
          </w:p>
        </w:tc>
        <w:tc>
          <w:tcPr>
            <w:tcW w:w="1340" w:type="dxa"/>
            <w:vAlign w:val="bottom"/>
            <w:tcBorders>
              <w:bottom w:val="single" w:sz="8" w:color="4454A7"/>
            </w:tcBorders>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6LJQLQJ%RQXV</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76"/>
        </w:trPr>
        <w:tc>
          <w:tcPr>
            <w:tcW w:w="47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7DUJHW7RWDO(TXLW\&amp;RPSHQVDWLRQ</w:t>
            </w:r>
            <w:r>
              <w:rPr>
                <w:rFonts w:ascii="PMingLiU" w:cs="PMingLiU" w:eastAsia="PMingLiU" w:hAnsi="PMingLiU"/>
                <w:sz w:val="20"/>
                <w:szCs w:val="20"/>
                <w:b w:val="1"/>
                <w:bCs w:val="1"/>
                <w:color w:val="000046"/>
                <w:vertAlign w:val="superscript"/>
              </w:rPr>
              <w:t/>
            </w:r>
          </w:p>
        </w:tc>
        <w:tc>
          <w:tcPr>
            <w:tcW w:w="2920" w:type="dxa"/>
            <w:vAlign w:val="bottom"/>
            <w:tcBorders>
              <w:bottom w:val="single" w:sz="8" w:color="4454A7"/>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Borders>
              <w:bottom w:val="single" w:sz="8" w:color="4454A7"/>
            </w:tcBorders>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299"/>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7DUJHW$QQXDO*UDQW</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spacing w:after="0"/>
              <w:rPr>
                <w:sz w:val="24"/>
                <w:szCs w:val="24"/>
                <w:color w:val="auto"/>
              </w:rPr>
            </w:pPr>
          </w:p>
        </w:tc>
      </w:tr>
      <w:tr>
        <w:trPr>
          <w:trHeight w:val="95"/>
        </w:trPr>
        <w:tc>
          <w:tcPr>
            <w:tcW w:w="4760" w:type="dxa"/>
            <w:vAlign w:val="bottom"/>
            <w:tcBorders>
              <w:bottom w:val="single" w:sz="8" w:color="4454A7"/>
            </w:tcBorders>
          </w:tcPr>
          <w:p>
            <w:pPr>
              <w:spacing w:after="0"/>
              <w:rPr>
                <w:sz w:val="8"/>
                <w:szCs w:val="8"/>
                <w:color w:val="auto"/>
              </w:rPr>
            </w:pPr>
          </w:p>
        </w:tc>
        <w:tc>
          <w:tcPr>
            <w:tcW w:w="2920" w:type="dxa"/>
            <w:vAlign w:val="bottom"/>
            <w:tcBorders>
              <w:bottom w:val="single" w:sz="8" w:color="4454A7"/>
            </w:tcBorders>
          </w:tcPr>
          <w:p>
            <w:pPr>
              <w:spacing w:after="0"/>
              <w:rPr>
                <w:sz w:val="8"/>
                <w:szCs w:val="8"/>
                <w:color w:val="auto"/>
              </w:rPr>
            </w:pPr>
          </w:p>
        </w:tc>
        <w:tc>
          <w:tcPr>
            <w:tcW w:w="1340" w:type="dxa"/>
            <w:vAlign w:val="bottom"/>
            <w:tcBorders>
              <w:bottom w:val="single" w:sz="8" w:color="4454A7"/>
            </w:tcBorders>
          </w:tcPr>
          <w:p>
            <w:pPr>
              <w:spacing w:after="0"/>
              <w:rPr>
                <w:sz w:val="8"/>
                <w:szCs w:val="8"/>
                <w:color w:val="auto"/>
              </w:rPr>
            </w:pPr>
          </w:p>
        </w:tc>
        <w:tc>
          <w:tcPr>
            <w:tcW w:w="1060" w:type="dxa"/>
            <w:vAlign w:val="bottom"/>
            <w:tcBorders>
              <w:bottom w:val="single" w:sz="8" w:color="4454A7"/>
            </w:tcBorders>
          </w:tcPr>
          <w:p>
            <w:pPr>
              <w:spacing w:after="0"/>
              <w:rPr>
                <w:sz w:val="8"/>
                <w:szCs w:val="8"/>
                <w:color w:val="auto"/>
              </w:rPr>
            </w:pPr>
          </w:p>
        </w:tc>
      </w:tr>
      <w:tr>
        <w:trPr>
          <w:trHeight w:val="378"/>
        </w:trPr>
        <w:tc>
          <w:tcPr>
            <w:tcW w:w="4760" w:type="dxa"/>
            <w:vAlign w:val="bottom"/>
            <w:tcBorders>
              <w:bottom w:val="single" w:sz="8" w:color="5C004D"/>
            </w:tcBorders>
          </w:tcPr>
          <w:p>
            <w:pPr>
              <w:ind w:left="380"/>
              <w:spacing w:after="0"/>
              <w:rPr>
                <w:sz w:val="20"/>
                <w:szCs w:val="20"/>
                <w:color w:val="auto"/>
              </w:rPr>
            </w:pPr>
            <w:r>
              <w:rPr>
                <w:rFonts w:ascii="PMingLiU" w:cs="PMingLiU" w:eastAsia="PMingLiU" w:hAnsi="PMingLiU"/>
                <w:sz w:val="16"/>
                <w:szCs w:val="16"/>
                <w:color w:val="auto"/>
              </w:rPr>
              <w:t>7DUJHW5HWHQWLRQ*UDQW</w:t>
            </w:r>
            <w:r>
              <w:rPr>
                <w:rFonts w:ascii="PMingLiU" w:cs="PMingLiU" w:eastAsia="PMingLiU" w:hAnsi="PMingLiU"/>
                <w:sz w:val="20"/>
                <w:szCs w:val="20"/>
                <w:color w:val="auto"/>
                <w:vertAlign w:val="superscript"/>
              </w:rPr>
              <w:t/>
            </w:r>
          </w:p>
        </w:tc>
        <w:tc>
          <w:tcPr>
            <w:tcW w:w="2920" w:type="dxa"/>
            <w:vAlign w:val="bottom"/>
            <w:tcBorders>
              <w:bottom w:val="single" w:sz="8" w:color="5C004D"/>
            </w:tcBorders>
          </w:tcPr>
          <w:p>
            <w:pPr>
              <w:spacing w:after="0"/>
              <w:rPr>
                <w:sz w:val="24"/>
                <w:szCs w:val="24"/>
                <w:color w:val="auto"/>
              </w:rPr>
            </w:pP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5C004D"/>
            </w:tcBorders>
          </w:tcPr>
          <w:p>
            <w:pPr>
              <w:spacing w:after="0"/>
              <w:rPr>
                <w:sz w:val="24"/>
                <w:szCs w:val="24"/>
                <w:color w:val="auto"/>
              </w:rPr>
            </w:pPr>
          </w:p>
        </w:tc>
      </w:tr>
      <w:tr>
        <w:trPr>
          <w:trHeight w:val="385"/>
        </w:trPr>
        <w:tc>
          <w:tcPr>
            <w:tcW w:w="47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92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5C004D"/>
              </w:rPr>
              <w:t/>
            </w: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b w:val="1"/>
                <w:bCs w:val="1"/>
                <w:color w:val="5C004D"/>
              </w:rPr>
              <w:t/>
            </w:r>
          </w:p>
        </w:tc>
        <w:tc>
          <w:tcPr>
            <w:tcW w:w="10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0U-RKQVRQZDVDSSRLQWHG([HFXWLYH9LFH3UHVLGHQWDQG&amp;)2HIIHFWLYH0DUFK</w:t>
      </w:r>
    </w:p>
    <w:p>
      <w:pPr>
        <w:spacing w:after="0" w:line="90" w:lineRule="exact"/>
        <w:rPr>
          <w:sz w:val="20"/>
          <w:szCs w:val="20"/>
          <w:color w:val="auto"/>
        </w:rPr>
      </w:pPr>
    </w:p>
    <w:p>
      <w:pPr>
        <w:ind w:left="360" w:right="720" w:hanging="359"/>
        <w:spacing w:after="0" w:line="300" w:lineRule="auto"/>
        <w:tabs>
          <w:tab w:leader="none" w:pos="340" w:val="left"/>
        </w:tabs>
        <w:rPr>
          <w:sz w:val="20"/>
          <w:szCs w:val="20"/>
          <w:color w:val="auto"/>
        </w:rPr>
      </w:pPr>
      <w:r>
        <w:rPr>
          <w:rFonts w:ascii="PMingLiU" w:cs="PMingLiU" w:eastAsia="PMingLiU" w:hAnsi="PMingLiU"/>
          <w:sz w:val="15"/>
          <w:szCs w:val="15"/>
          <w:color w:val="auto"/>
        </w:rPr>
        <w:t/>
        <w:tab/>
        <w:t>5HSUHVHQWVDQQXDOEDVHVDODU\UDWHIRUWKHDSSOLFDEOH\HDU0U-RKQVRQ¶VEDVHVDODU\EHFDPHHIIHFWLYH0DUFK0U -RKQVRQ¶VDFWXDOVDODU\HDUQHGLQZDVORZHUGXHWRKLVMRLQLQJRXU&amp;RPSDQ\LQ0DUFK</w:t>
      </w:r>
    </w:p>
    <w:p>
      <w:pPr>
        <w:spacing w:after="0" w:line="24" w:lineRule="exact"/>
        <w:rPr>
          <w:sz w:val="20"/>
          <w:szCs w:val="20"/>
          <w:color w:val="auto"/>
        </w:rPr>
      </w:pPr>
    </w:p>
    <w:p>
      <w:pPr>
        <w:ind w:left="360" w:right="180" w:hanging="359"/>
        <w:spacing w:after="0" w:line="253" w:lineRule="auto"/>
        <w:tabs>
          <w:tab w:leader="none" w:pos="340" w:val="left"/>
        </w:tabs>
        <w:rPr>
          <w:sz w:val="20"/>
          <w:szCs w:val="20"/>
          <w:color w:val="auto"/>
        </w:rPr>
      </w:pPr>
      <w:r>
        <w:rPr>
          <w:rFonts w:ascii="PMingLiU" w:cs="PMingLiU" w:eastAsia="PMingLiU" w:hAnsi="PMingLiU"/>
          <w:sz w:val="16"/>
          <w:szCs w:val="16"/>
          <w:color w:val="auto"/>
        </w:rPr>
        <w:t/>
        <w:tab/>
        <w:t>5HIOHFWVWKHWDUJHWSHUFHQWDJHRIRIWKHDQQXDOEDVHVDODU\UDWHIRUDQG7KHDFWXDOSHUIRUPDQFHERQXVSDLGZDV UHIOHFWLQJRIWDUJHWSHUIRUPDQFHERQXVEDVHGRQWKHRYHUDOODFKLHYHPHQWRIWKHFRUSRUDWHSHUIRUPDQFH REMHFWLYHVDQG0U-RKQVRQ¶VLQGLYLGXDOFRQWULEXWLRQVDQGOHDGHUVKLSRIWKHILQDQFLDORUJDQL]DWLRQGXULQJ</w:t>
      </w:r>
    </w:p>
    <w:p>
      <w:pPr>
        <w:spacing w:after="0" w:line="59" w:lineRule="exact"/>
        <w:rPr>
          <w:sz w:val="20"/>
          <w:szCs w:val="20"/>
          <w:color w:val="auto"/>
        </w:rPr>
      </w:pPr>
    </w:p>
    <w:p>
      <w:pPr>
        <w:ind w:left="360" w:right="60" w:hanging="359"/>
        <w:spacing w:after="0" w:line="354" w:lineRule="auto"/>
        <w:tabs>
          <w:tab w:leader="none" w:pos="340" w:val="left"/>
        </w:tabs>
        <w:rPr>
          <w:sz w:val="20"/>
          <w:szCs w:val="20"/>
          <w:color w:val="auto"/>
        </w:rPr>
      </w:pPr>
      <w:r>
        <w:rPr>
          <w:rFonts w:ascii="PMingLiU" w:cs="PMingLiU" w:eastAsia="PMingLiU" w:hAnsi="PMingLiU"/>
          <w:sz w:val="11"/>
          <w:szCs w:val="11"/>
          <w:color w:val="auto"/>
        </w:rPr>
        <w:t/>
        <w:tab/>
        <w:t>5HSUHVHQWVWKHFDVKVLJQLQJERQXVUHFHLYHGE\0U-RKQVRQLQLQFRQQHFWLRQZLWKKLVDSSRLQWPHQWDV([HFXWLYH9LFH3UHVLGHQWDQG &amp;)2,QGHWHUPLQLQJWKHDPRXQWRIWKHERQXVRXU&amp;RPSHQVDWLRQ&amp;RPPLWWHHFRQVLGHUHGWKHLQGXFHPHQWYDOXHLQUHFUXLWLQJ0U-RKQVRQ IURPKLVSULRUHPSOR\HUDQGWKHFRPSHQVDWRU\YDOXHRIFDVKDQGHTXLW\IRUIHLWHGE\0U-RKQVRQLQOHDYLQJKLVSULRUHPSOR\HU,Q )HEUXDU\ZHHQWHUHGLQWRDVLJQRQERQXVUHSD\PHQWDJUHHPHQWZLWK0U-RKQVRQZKLFKSURYLGHGWKDWWRWKHH[WHQW0U-RKQVRQ YROXQWDULO\UHVLJQHGRUZDVWHUPLQDWHGIRUFDXVHE\RXU&amp;RPSDQ\ZLWKLQWZHQW\IRXUPRQWKVRIKLVHPSOR\PHQWVWDUWGDWHKHZRXOGEH UHTXLUHGWRUHSD\WRIXOODPRXQWRIWKHVLJQLQJERQXVLIWKHHQGGDWHZDVSULRUWRKLVILUVWDQQLYHUVDU\DQGRIWKHERQXVDPRXQWLIWKH</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HQGGDWHZDVEHWZHHQKLVILUVWDQGVHFRQGDQQLYHUVDU\</w:t>
      </w:r>
    </w:p>
    <w:p>
      <w:pPr>
        <w:spacing w:after="0" w:line="74" w:lineRule="exact"/>
        <w:rPr>
          <w:sz w:val="20"/>
          <w:szCs w:val="20"/>
          <w:color w:val="auto"/>
        </w:rPr>
      </w:pPr>
    </w:p>
    <w:p>
      <w:pPr>
        <w:ind w:left="360" w:right="80" w:hanging="359"/>
        <w:spacing w:after="0" w:line="476" w:lineRule="auto"/>
        <w:tabs>
          <w:tab w:leader="none" w:pos="340" w:val="left"/>
        </w:tabs>
        <w:rPr>
          <w:sz w:val="20"/>
          <w:szCs w:val="20"/>
          <w:color w:val="auto"/>
        </w:rPr>
      </w:pPr>
      <w:r>
        <w:rPr>
          <w:rFonts w:ascii="PMingLiU" w:cs="PMingLiU" w:eastAsia="PMingLiU" w:hAnsi="PMingLiU"/>
          <w:sz w:val="12"/>
          <w:szCs w:val="12"/>
          <w:color w:val="auto"/>
        </w:rPr>
        <w:t/>
        <w:tab/>
        <w:t>7KHWDUJHWWRWDOHTXLW\FRPSHQVDWLRQDQGWKHFRPSRQHQWVWKHUHRISUHVHQWHGLQWKHFKDUWDERYHUHIOHFWWKHWDUJHWGROODUYDOXHVDSSURYHG E\RXU&amp;RPSHQVDWLRQ&amp;RPPLWWHHWKHVHYDOXHVGLIIHUVIURPWKHYDOXHVUHTXLUHGWREHVKRZQLQWKH6XPPDU\&amp;RPSHQVDWLRQ7DEOHDQG *UDQWVRI3ODQ%DVHG$ZDUGVLQ)LVFDOWDEOHDVDSSOLFDEOHDVIXUWKHUGHVFULEHGDERYHLQ³</w:t>
      </w:r>
      <w:r>
        <w:rPr>
          <w:rFonts w:ascii="PMingLiU" w:cs="PMingLiU" w:eastAsia="PMingLiU" w:hAnsi="PMingLiU"/>
          <w:sz w:val="12"/>
          <w:szCs w:val="12"/>
          <w:i w:val="1"/>
          <w:iCs w:val="1"/>
          <w:color w:val="auto"/>
        </w:rPr>
        <w:t>#;33(8?5-  536,49(:054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,*090549 54.$,834*,4:0&lt;,!85.8(3</w:t>
      </w:r>
      <w:r>
        <w:rPr>
          <w:rFonts w:ascii="PMingLiU" w:cs="PMingLiU" w:eastAsia="PMingLiU" w:hAnsi="PMingLiU"/>
          <w:sz w:val="12"/>
          <w:szCs w:val="12"/>
          <w:color w:val="auto"/>
        </w:rPr>
        <w:t>´</w:t>
      </w:r>
    </w:p>
    <w:p>
      <w:pPr>
        <w:spacing w:after="0" w:line="2" w:lineRule="exact"/>
        <w:rPr>
          <w:sz w:val="20"/>
          <w:szCs w:val="20"/>
          <w:color w:val="auto"/>
        </w:rPr>
      </w:pPr>
    </w:p>
    <w:p>
      <w:pPr>
        <w:ind w:left="360" w:right="2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5HSUHVHQWVDRQHWLPHWDUJHWUHWHQWLRQ568JUDQWUHFHLYHGE\0U-RKQVRQLQ)HEUXDU\7KLVUHWHQWLRQJUDQWZLOOYHVWLQIXOORQ-XQH SURYLGHGJHQHUDOO\WKDW0U-RKQVRQUHPDLQVHPSOR\HGZLWKRXU&amp;RPSDQ\WKURXJKWKDWGDWH6HH³</w:t>
      </w:r>
      <w:r>
        <w:rPr>
          <w:rFonts w:ascii="PMingLiU" w:cs="PMingLiU" w:eastAsia="PMingLiU" w:hAnsi="PMingLiU"/>
          <w:sz w:val="14"/>
          <w:szCs w:val="14"/>
          <w:i w:val="1"/>
          <w:iCs w:val="1"/>
          <w:color w:val="auto"/>
        </w:rPr>
        <w:t>#;33(8?5-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536,49(:054,*090549 #6,*0(2",:,4:0548(4:9</w:t>
      </w:r>
      <w:r>
        <w:rPr>
          <w:rFonts w:ascii="PMingLiU" w:cs="PMingLiU" w:eastAsia="PMingLiU" w:hAnsi="PMingLiU"/>
          <w:sz w:val="14"/>
          <w:szCs w:val="14"/>
          <w:color w:val="auto"/>
        </w:rPr>
        <w:t>´DERYHIRUPRUHLQIRUPDWLRQUHJDUGLQJWKHUHWHQWLRQJUDQWVWRRXU1(2V</w:t>
      </w:r>
    </w:p>
    <w:p>
      <w:pPr>
        <w:spacing w:after="0" w:line="24" w:lineRule="exact"/>
        <w:rPr>
          <w:sz w:val="20"/>
          <w:szCs w:val="20"/>
          <w:color w:val="auto"/>
        </w:rPr>
      </w:pPr>
    </w:p>
    <w:p>
      <w:pPr>
        <w:jc w:val="center"/>
        <w:ind w:right="20"/>
        <w:spacing w:after="0"/>
        <w:tabs>
          <w:tab w:leader="none" w:pos="1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3"/>
          <w:szCs w:val="13"/>
          <w:color w:val="auto"/>
        </w:rPr>
        <w:t>2XU&amp;RPSHQVDWLRQ&amp;RPPLWWHHGHVLJQHG0U-RKQVRQ¶VWDUJHWWRWDOGLUHFWFRPSHQVDWLRQWREHFRPSHWLWLYHDVFRPSDUHGWRPDUNHWGDWDDV</w:t>
      </w:r>
    </w:p>
    <w:p>
      <w:pPr>
        <w:spacing w:after="0" w:line="16" w:lineRule="exact"/>
        <w:rPr>
          <w:sz w:val="20"/>
          <w:szCs w:val="20"/>
          <w:color w:val="auto"/>
        </w:rPr>
      </w:pPr>
    </w:p>
    <w:p>
      <w:pPr>
        <w:ind w:left="360" w:right="120"/>
        <w:spacing w:after="0" w:line="320" w:lineRule="auto"/>
        <w:rPr>
          <w:sz w:val="20"/>
          <w:szCs w:val="20"/>
          <w:color w:val="auto"/>
        </w:rPr>
      </w:pPr>
      <w:r>
        <w:rPr>
          <w:rFonts w:ascii="PMingLiU" w:cs="PMingLiU" w:eastAsia="PMingLiU" w:hAnsi="PMingLiU"/>
          <w:sz w:val="12"/>
          <w:szCs w:val="12"/>
          <w:color w:val="auto"/>
        </w:rPr>
        <w:t>GHVFULEHGLQPRUHGHWDLODERYHLQ³</w:t>
      </w:r>
      <w:r>
        <w:rPr>
          <w:rFonts w:ascii="PMingLiU" w:cs="PMingLiU" w:eastAsia="PMingLiU" w:hAnsi="PMingLiU"/>
          <w:sz w:val="12"/>
          <w:szCs w:val="12"/>
          <w:i w:val="1"/>
          <w:iCs w:val="1"/>
          <w:color w:val="auto"/>
        </w:rPr>
        <w:t>5=',,:,8304,&gt;,*;:0&lt;,536,49(:054 536,:0:0&lt;,99,993,4:5-536,49(:054A!,,8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536(40,9(4+(81,:(:(F</w:t>
      </w:r>
      <w:r>
        <w:rPr>
          <w:rFonts w:ascii="PMingLiU" w:cs="PMingLiU" w:eastAsia="PMingLiU" w:hAnsi="PMingLiU"/>
          <w:sz w:val="12"/>
          <w:szCs w:val="12"/>
          <w:color w:val="auto"/>
        </w:rPr>
        <w:t>DSSURSULDWHIURPDQLQWHUQDOHTXLW\SHUVSHFWLYHDQGPRUHKHDYLO\ZHLJKWHGWRZDUGVHTXLW\FRPSHQVDWLRQ</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LQOLQHZLWKRXUSD\IRUSHUIRUPDQFHSKLORVRSK\2XU&amp;RPSHQVDWLRQ&amp;RPPLWWHHGHWHUPLQHGLWZDVDSSURSULDWHWRLQFUHDVH0U-RKQVRQ¶V WDUJHWWRWDOGLUHFWFRPSHQVDWLRQLQDQDPRXQWQHFHVVDU\WRUHIOHFWKLVVFRSHRIUHVSRQVLELOLW\DQGRYHUVLJKWRIVLJQLILFDQWIXQFWLRQVZLWKLQ WKHRUJDQL]DWLRQDVZHOODVWRPDLQWDLQFRPSHWLWLYHSRVLWLRQLQJUHODWLYHWRWKHPDUNHWGDWDDQGWKHRWKHU1(2V%DVHGRQRXU</w:t>
      </w:r>
    </w:p>
    <w:p>
      <w:pPr>
        <w:spacing w:after="0" w:line="1" w:lineRule="exact"/>
        <w:rPr>
          <w:sz w:val="20"/>
          <w:szCs w:val="20"/>
          <w:color w:val="auto"/>
        </w:rPr>
      </w:pPr>
    </w:p>
    <w:p>
      <w:pPr>
        <w:ind w:left="360" w:right="140"/>
        <w:spacing w:after="0" w:line="278" w:lineRule="auto"/>
        <w:rPr>
          <w:sz w:val="20"/>
          <w:szCs w:val="20"/>
          <w:color w:val="auto"/>
        </w:rPr>
      </w:pPr>
      <w:r>
        <w:rPr>
          <w:rFonts w:ascii="PMingLiU" w:cs="PMingLiU" w:eastAsia="PMingLiU" w:hAnsi="PMingLiU"/>
          <w:sz w:val="15"/>
          <w:szCs w:val="15"/>
          <w:color w:val="auto"/>
        </w:rPr>
        <w:t>&amp;RPSHQVDWLRQ&amp;RPPLWWHH¶VSURIHVVLRQDOH[SHULHQFHDQGMXGJPHQWRXU&amp;RPSHQVDWLRQ&amp;RPPLWWHHGHWHUPLQHG0U-RKQVRQ¶VWDUJHWWRWDO GLUHFWFRPSHQVDWLRQWREHFRPSHWLWLYHDQGDSSURSULDWH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2148840</wp:posOffset>
            </wp:positionV>
            <wp:extent cx="1389380" cy="2343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98">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78" w:name="page79"/>
    <w:bookmarkEnd w:id="78"/>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20" o:spid="_x0000_s1445"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%UXFH&amp;&amp;R]DGG&amp;KDLUSHUVRQDQG)RUPHU&amp;(2</w:t>
      </w:r>
      <w:r>
        <w:rPr>
          <w:rFonts w:ascii="PMingLiU" w:cs="PMingLiU" w:eastAsia="PMingLiU" w:hAnsi="PMingLiU"/>
          <w:sz w:val="13"/>
          <w:szCs w:val="13"/>
          <w:b w:val="1"/>
          <w:bCs w:val="1"/>
          <w:color w:val="000046"/>
        </w:rPr>
        <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00" w:type="dxa"/>
            <w:vAlign w:val="bottom"/>
            <w:shd w:val="clear" w:color="auto" w:fill="000046"/>
          </w:tcPr>
          <w:p>
            <w:pPr>
              <w:spacing w:after="0"/>
              <w:rPr>
                <w:sz w:val="23"/>
                <w:szCs w:val="23"/>
                <w:color w:val="auto"/>
              </w:rPr>
            </w:pPr>
          </w:p>
        </w:tc>
        <w:tc>
          <w:tcPr>
            <w:tcW w:w="298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3D\</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3D\</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p>
        </w:tc>
      </w:tr>
      <w:tr>
        <w:trPr>
          <w:trHeight w:val="221"/>
        </w:trPr>
        <w:tc>
          <w:tcPr>
            <w:tcW w:w="4700" w:type="dxa"/>
            <w:vAlign w:val="bottom"/>
            <w:shd w:val="clear" w:color="auto" w:fill="000046"/>
          </w:tcPr>
          <w:p>
            <w:pPr>
              <w:spacing w:after="0"/>
              <w:rPr>
                <w:sz w:val="19"/>
                <w:szCs w:val="19"/>
                <w:color w:val="auto"/>
              </w:rPr>
            </w:pPr>
          </w:p>
        </w:tc>
        <w:tc>
          <w:tcPr>
            <w:tcW w:w="298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700" w:type="dxa"/>
            <w:vAlign w:val="bottom"/>
            <w:shd w:val="clear" w:color="auto" w:fill="000046"/>
          </w:tcPr>
          <w:p>
            <w:pPr>
              <w:spacing w:after="0"/>
              <w:rPr>
                <w:sz w:val="5"/>
                <w:szCs w:val="5"/>
                <w:color w:val="auto"/>
              </w:rPr>
            </w:pPr>
          </w:p>
        </w:tc>
        <w:tc>
          <w:tcPr>
            <w:tcW w:w="2980" w:type="dxa"/>
            <w:vAlign w:val="bottom"/>
            <w:shd w:val="clear" w:color="auto" w:fill="000046"/>
          </w:tcPr>
          <w:p>
            <w:pPr>
              <w:spacing w:after="0"/>
              <w:rPr>
                <w:sz w:val="5"/>
                <w:szCs w:val="5"/>
                <w:color w:val="auto"/>
              </w:rPr>
            </w:pPr>
          </w:p>
        </w:tc>
        <w:tc>
          <w:tcPr>
            <w:tcW w:w="134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r>
      <w:tr>
        <w:trPr>
          <w:trHeight w:val="315"/>
        </w:trPr>
        <w:tc>
          <w:tcPr>
            <w:tcW w:w="470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2980" w:type="dxa"/>
            <w:vAlign w:val="bottom"/>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700" w:type="dxa"/>
            <w:vAlign w:val="bottom"/>
            <w:tcBorders>
              <w:bottom w:val="single" w:sz="8" w:color="4454A7"/>
            </w:tcBorders>
          </w:tcPr>
          <w:p>
            <w:pPr>
              <w:spacing w:after="0"/>
              <w:rPr>
                <w:sz w:val="7"/>
                <w:szCs w:val="7"/>
                <w:color w:val="auto"/>
              </w:rPr>
            </w:pPr>
          </w:p>
        </w:tc>
        <w:tc>
          <w:tcPr>
            <w:tcW w:w="2980" w:type="dxa"/>
            <w:vAlign w:val="bottom"/>
            <w:tcBorders>
              <w:bottom w:val="single" w:sz="8" w:color="4454A7"/>
            </w:tcBorders>
          </w:tcPr>
          <w:p>
            <w:pPr>
              <w:spacing w:after="0"/>
              <w:rPr>
                <w:sz w:val="7"/>
                <w:szCs w:val="7"/>
                <w:color w:val="auto"/>
              </w:rPr>
            </w:pPr>
          </w:p>
        </w:tc>
        <w:tc>
          <w:tcPr>
            <w:tcW w:w="1340" w:type="dxa"/>
            <w:vAlign w:val="bottom"/>
            <w:tcBorders>
              <w:bottom w:val="single" w:sz="8" w:color="4454A7"/>
            </w:tcBorders>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r>
      <w:tr>
        <w:trPr>
          <w:trHeight w:val="360"/>
        </w:trPr>
        <w:tc>
          <w:tcPr>
            <w:tcW w:w="4700" w:type="dxa"/>
            <w:vAlign w:val="bottom"/>
          </w:tcPr>
          <w:p>
            <w:pPr>
              <w:ind w:left="38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298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00" w:type="dxa"/>
            <w:vAlign w:val="bottom"/>
            <w:tcBorders>
              <w:bottom w:val="single" w:sz="8" w:color="4454A7"/>
            </w:tcBorders>
          </w:tcPr>
          <w:p>
            <w:pPr>
              <w:spacing w:after="0"/>
              <w:rPr>
                <w:sz w:val="2"/>
                <w:szCs w:val="2"/>
                <w:color w:val="auto"/>
              </w:rPr>
            </w:pPr>
          </w:p>
        </w:tc>
        <w:tc>
          <w:tcPr>
            <w:tcW w:w="298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60"/>
        </w:trPr>
        <w:tc>
          <w:tcPr>
            <w:tcW w:w="4700" w:type="dxa"/>
            <w:vAlign w:val="bottom"/>
          </w:tcPr>
          <w:p>
            <w:pPr>
              <w:ind w:left="38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298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00" w:type="dxa"/>
            <w:vAlign w:val="bottom"/>
            <w:tcBorders>
              <w:bottom w:val="single" w:sz="8" w:color="4454A7"/>
            </w:tcBorders>
          </w:tcPr>
          <w:p>
            <w:pPr>
              <w:spacing w:after="0"/>
              <w:rPr>
                <w:sz w:val="2"/>
                <w:szCs w:val="2"/>
                <w:color w:val="auto"/>
              </w:rPr>
            </w:pPr>
          </w:p>
        </w:tc>
        <w:tc>
          <w:tcPr>
            <w:tcW w:w="298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78"/>
        </w:trPr>
        <w:tc>
          <w:tcPr>
            <w:tcW w:w="470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000046"/>
              </w:rPr>
              <w:t>7DUJHW(TXLW\&amp;RPSHQVDWLRQ</w:t>
            </w:r>
            <w:r>
              <w:rPr>
                <w:rFonts w:ascii="PMingLiU" w:cs="PMingLiU" w:eastAsia="PMingLiU" w:hAnsi="PMingLiU"/>
                <w:sz w:val="20"/>
                <w:szCs w:val="20"/>
                <w:b w:val="1"/>
                <w:bCs w:val="1"/>
                <w:color w:val="000046"/>
                <w:vertAlign w:val="superscript"/>
              </w:rPr>
              <w:t/>
            </w:r>
          </w:p>
        </w:tc>
        <w:tc>
          <w:tcPr>
            <w:tcW w:w="298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385"/>
        </w:trPr>
        <w:tc>
          <w:tcPr>
            <w:tcW w:w="470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98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5C004D"/>
              </w:rPr>
              <w:t/>
            </w: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b w:val="1"/>
                <w:bCs w:val="1"/>
                <w:color w:val="5C004D"/>
              </w:rPr>
              <w:t/>
            </w:r>
          </w:p>
        </w:tc>
        <w:tc>
          <w:tcPr>
            <w:tcW w:w="10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0U&amp;R]DGGVHUYHGDV&amp;(2XQWLO$XJXVWIROORZLQJZKLFKKHVHUYHGLQDWUDQVLWLRQUROHWKURXJK6HSWHPEHUDQG</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VXEVHTXHQWO\UHWLUHG</w:t>
      </w:r>
    </w:p>
    <w:p>
      <w:pPr>
        <w:spacing w:after="0" w:line="74" w:lineRule="exact"/>
        <w:rPr>
          <w:sz w:val="20"/>
          <w:szCs w:val="20"/>
          <w:color w:val="auto"/>
        </w:rPr>
      </w:pPr>
    </w:p>
    <w:p>
      <w:pPr>
        <w:ind w:left="360" w:right="46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5HSUHVHQWVDQQXDOEDVHVDODU\UDWHIRUWKHDSSOLFDEOH\HDU0U&amp;R]DGG¶VEDVHVDODU\EHFDPHHIIHFWLYH0DUFK0U&amp;R]DGG¶V DFWXDOVDODU\HDUQHGLQZDVSURUDWHGDQGORZHUGXHWRKLVUHWLUHPHQWDV&amp;(2LQ6HSWHPEHU</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7KHDPRXQWUHIOHFWVDWDUJHWSHUIRUPDQFHERQXVRIRIEDVHVDODU\UDWHDVRI'HFHPEHU3XUVXDQWWRWKHUHWLUHPHQW</w:t>
      </w:r>
    </w:p>
    <w:p>
      <w:pPr>
        <w:spacing w:after="0" w:line="16" w:lineRule="exact"/>
        <w:rPr>
          <w:sz w:val="20"/>
          <w:szCs w:val="20"/>
          <w:color w:val="auto"/>
        </w:rPr>
      </w:pPr>
    </w:p>
    <w:p>
      <w:pPr>
        <w:ind w:left="360" w:right="60"/>
        <w:spacing w:after="0" w:line="348" w:lineRule="auto"/>
        <w:rPr>
          <w:sz w:val="20"/>
          <w:szCs w:val="20"/>
          <w:color w:val="auto"/>
        </w:rPr>
      </w:pPr>
      <w:r>
        <w:rPr>
          <w:rFonts w:ascii="PMingLiU" w:cs="PMingLiU" w:eastAsia="PMingLiU" w:hAnsi="PMingLiU"/>
          <w:sz w:val="12"/>
          <w:szCs w:val="12"/>
          <w:color w:val="auto"/>
        </w:rPr>
        <w:t>SURYLVLRQRIRXUDQQXDOERQXVSODQZKLFKSURYLGHVWKDWDSDUWLFLSDQWLVHOLJLEOHWRUHFHLYHDSURUDWHGERQXVSURYLGHGWKHUHFLSLHQWLVDW OHDVW\HDUVRIDJHZLWKDWOHDVWILYH\HDUVRIVHUYLFHDWWKHWLPHRIUHWLUHPHQWSURYLGHVDWOHDVWIRXUPRQWKV¶QRWLFHUHWLUHVRQRUDIWHU -XO\RIWKHDSSOLFDEOH\HDUDQGH[HFXWHVDQGGHOLYHUVDQRQVROLFLWDWLRQDJUHHPHQWWKDWZLOODSSO\IRUDSHULRGRIWZHOYHPRQWKVDIWHUWKH HPSOR\PHQWWHUPLQDWLRQGDWH0U&amp;R]DGGUHFHLYHGDSURUDWHGERQXVDWWDUJHWRIIRUWKHSHUIRUPDQFH\HDUUHIOHFWLQJKLV UHWLUHPHQWLQ6HSWHPEHU</w:t>
      </w:r>
    </w:p>
    <w:p>
      <w:pPr>
        <w:spacing w:after="0" w:line="199" w:lineRule="exact"/>
        <w:rPr>
          <w:sz w:val="20"/>
          <w:szCs w:val="20"/>
          <w:color w:val="auto"/>
        </w:rPr>
      </w:pPr>
    </w:p>
    <w:p>
      <w:pPr>
        <w:ind w:left="360" w:right="80" w:hanging="359"/>
        <w:spacing w:after="0" w:line="299" w:lineRule="auto"/>
        <w:tabs>
          <w:tab w:leader="none" w:pos="340" w:val="left"/>
        </w:tabs>
        <w:rPr>
          <w:sz w:val="20"/>
          <w:szCs w:val="20"/>
          <w:color w:val="auto"/>
        </w:rPr>
      </w:pPr>
      <w:r>
        <w:rPr>
          <w:rFonts w:ascii="PMingLiU" w:cs="PMingLiU" w:eastAsia="PMingLiU" w:hAnsi="PMingLiU"/>
          <w:sz w:val="13"/>
          <w:szCs w:val="13"/>
          <w:color w:val="auto"/>
        </w:rPr>
        <w:t/>
        <w:tab/>
        <w:t>7KHWDUJHWHTXLW\FRPSHQVDWLRQSUHVHQWHGLQWKHFKDUWDERYHUHIOHFWVWKHWDUJHWGROODUYDOXHUHFRPPHQGHGE\RXU&amp;RPSHQVDWLRQ &amp;RPPLWWHHDQGDSSURYHGE\WKH%RDUGWKLVYDOXHGLIIHUVIURPWKHYDOXHVUHTXLUHGWREHVKRZQLQWKH6XPPDU\&amp;RPSHQVDWLRQ7DEOHDQG *UDQWVRI3ODQ%DVHG$ZDUGVLQ)LVFDOWDEOHDVDSSOLFDEOHDVIXUWKHUGHVFULEHGDERYHLQ³</w:t>
      </w:r>
      <w:r>
        <w:rPr>
          <w:rFonts w:ascii="PMingLiU" w:cs="PMingLiU" w:eastAsia="PMingLiU" w:hAnsi="PMingLiU"/>
          <w:sz w:val="13"/>
          <w:szCs w:val="13"/>
          <w:i w:val="1"/>
          <w:iCs w:val="1"/>
          <w:color w:val="auto"/>
        </w:rPr>
        <w:t>#;33(8?5-  536,49(:054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,*090549 54.$,834*,4:0&lt;,!85.8(3</w:t>
      </w:r>
      <w:r>
        <w:rPr>
          <w:rFonts w:ascii="PMingLiU" w:cs="PMingLiU" w:eastAsia="PMingLiU" w:hAnsi="PMingLiU"/>
          <w:sz w:val="13"/>
          <w:szCs w:val="13"/>
          <w:color w:val="auto"/>
        </w:rPr>
        <w:t>´0U&amp;R]DGG¶VWDUJHWHTXLW\FRPSHQVDWLRQZDVVLJQLILFDQWO\ORZHULQDQGFRPSULVHG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VROHO\RI568VGXHWRKLVDQQRXQFHGH[SHFWHGUHWLUHPHQWLQ'HFHPEHU7KLVDPRXQWGRHVQRWLQFOXGHDSURUDWHGDQQXDO568 DZDUG0U&amp;R]DGGUHFHLYHGIRUKLVVHUYLFHRQRXU%RDUGIROORZLQJKLVUHWLUHPHQWZKLFKDZDUGKDGDJUDQWGDWHIDLUYDOXHRIRU WKHIHHVKHUHFHLYHGIRUKLVVHUYLFHDVDGLUHFWRU,QDGGLWLRQDVGHVFULEHGXQGHU³</w:t>
      </w:r>
      <w:r>
        <w:rPr>
          <w:rFonts w:ascii="PMingLiU" w:cs="PMingLiU" w:eastAsia="PMingLiU" w:hAnsi="PMingLiU"/>
          <w:sz w:val="13"/>
          <w:szCs w:val="13"/>
          <w:i w:val="1"/>
          <w:iCs w:val="1"/>
          <w:color w:val="auto"/>
        </w:rPr>
        <w:t>#;33(8?5-  536,49(:054</w:t>
      </w:r>
    </w:p>
    <w:p>
      <w:pPr>
        <w:ind w:left="360" w:right="180"/>
        <w:spacing w:after="0" w:line="274" w:lineRule="auto"/>
        <w:rPr>
          <w:sz w:val="20"/>
          <w:szCs w:val="20"/>
          <w:color w:val="auto"/>
        </w:rPr>
      </w:pPr>
      <w:r>
        <w:rPr>
          <w:rFonts w:ascii="PMingLiU" w:cs="PMingLiU" w:eastAsia="PMingLiU" w:hAnsi="PMingLiU"/>
          <w:sz w:val="14"/>
          <w:szCs w:val="14"/>
          <w:i w:val="1"/>
          <w:iCs w:val="1"/>
          <w:color w:val="auto"/>
        </w:rPr>
        <w:t>,*090549 5+0-0*(:0545- ;:9:(4+04.#:5*1 6:0549</w:t>
      </w:r>
      <w:r>
        <w:rPr>
          <w:rFonts w:ascii="PMingLiU" w:cs="PMingLiU" w:eastAsia="PMingLiU" w:hAnsi="PMingLiU"/>
          <w:sz w:val="14"/>
          <w:szCs w:val="14"/>
          <w:color w:val="auto"/>
        </w:rPr>
        <w:t>´LQFRQQHFWLRQZLWKKLVUHWLUHPHQWRXU%RDUGGHWHUPLQHGWRDPHQGFHUWDLQVWRFN</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RSWLRQDZDUGVSUHYLRXVO\JUDQWHGWR0U&amp;R]DGG7KHLQLQFUHPHQWDOIDLUYDOXHRI0U&amp;R]DGG¶VVWRFNRSWLRQDZDUGVLQ</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FRQQHFWLRQZLWKWKLVPRGLILFDWLRQLVQRWUHIOHFWHGLQWKHFKDUWDERYH</w:t>
      </w:r>
    </w:p>
    <w:p>
      <w:pPr>
        <w:spacing w:after="0" w:line="74" w:lineRule="exact"/>
        <w:rPr>
          <w:sz w:val="20"/>
          <w:szCs w:val="20"/>
          <w:color w:val="auto"/>
        </w:rPr>
      </w:pPr>
    </w:p>
    <w:p>
      <w:pPr>
        <w:ind w:left="360" w:right="120" w:hanging="359"/>
        <w:spacing w:after="0" w:line="299" w:lineRule="auto"/>
        <w:tabs>
          <w:tab w:leader="none" w:pos="340" w:val="left"/>
        </w:tabs>
        <w:rPr>
          <w:sz w:val="20"/>
          <w:szCs w:val="20"/>
          <w:color w:val="auto"/>
        </w:rPr>
      </w:pPr>
      <w:r>
        <w:rPr>
          <w:rFonts w:ascii="PMingLiU" w:cs="PMingLiU" w:eastAsia="PMingLiU" w:hAnsi="PMingLiU"/>
          <w:sz w:val="13"/>
          <w:szCs w:val="13"/>
          <w:color w:val="auto"/>
        </w:rPr>
        <w:t/>
        <w:tab/>
        <w:t>2XU&amp;RPSHQVDWLRQ&amp;RPPLWWHHDQGRXU%RDUGGHVLJQHG0U&amp;R]DGG¶VWDUJHWWRWDOGLUHFWFRPSHQVDWLRQWREHFRPSHWLWLYHDVFRPSDUHGWR WKHPDUNHWGDWDDVGHVFULEHGLQPRUHGHWDLODERYHLQ³</w:t>
      </w:r>
      <w:r>
        <w:rPr>
          <w:rFonts w:ascii="PMingLiU" w:cs="PMingLiU" w:eastAsia="PMingLiU" w:hAnsi="PMingLiU"/>
          <w:sz w:val="13"/>
          <w:szCs w:val="13"/>
          <w:i w:val="1"/>
          <w:iCs w:val="1"/>
          <w:color w:val="auto"/>
        </w:rPr>
        <w:t>5=',,:,8304,&gt;,*;:0&lt;,536,49(:054 536,:0:0&lt;,99,993,4:5-536,49(:054A!,,8536(40,9(4+(81,:(:(F</w:t>
      </w:r>
      <w:r>
        <w:rPr>
          <w:rFonts w:ascii="PMingLiU" w:cs="PMingLiU" w:eastAsia="PMingLiU" w:hAnsi="PMingLiU"/>
          <w:sz w:val="13"/>
          <w:szCs w:val="13"/>
          <w:color w:val="auto"/>
        </w:rPr>
        <w:t>DSSURSULDWHIURPDQLQWHUQDOHTXLW\SHUVSHFWLYHDQGPRUHKHDYLO\ZHLJKWHGWRZDUGV</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HTXLW\FRPSHQVDWLRQLQOLQHZLWKRXUSD\IRUSHUIRUPDQFHSKLORVRSK\2XU&amp;RPSHQVDWLRQ&amp;RPPLWWHHDQGWKH%RDUGEHOLHYHGLWZDV DSSURSULDWHWRSURYLGHDPRGHVWLQFUHDVHWRKLVEDVHVDODU\LQLQUHFRJQLWLRQRIKLVLQGLYLGXDOSHUIRUPDQFHWKHSHUIRUPDQFHRIRXU &amp;RPSDQ\XQGHUKLVOHDGHUVKLSDQGWRUHPDLQLQOLQHZLWKJHQHUDOPDUNHWLQFUHDVHV%DVHGRQRXU&amp;RPSHQVDWLRQ&amp;RPPLWWHH¶VDQG %RDUG¶VSURIHVVLRQDOH[SHULHQFHDQGMXGJPHQWRXU&amp;RPSHQVDWLRQ&amp;RPPLWWHHDQG%RDUGGHWHUPLQHG0U&amp;R]DGG¶VWDUJHWWRWDOGLUHFW</w:t>
      </w:r>
    </w:p>
    <w:p>
      <w:pPr>
        <w:ind w:left="360"/>
        <w:spacing w:after="0"/>
        <w:rPr>
          <w:sz w:val="20"/>
          <w:szCs w:val="20"/>
          <w:color w:val="auto"/>
        </w:rPr>
      </w:pPr>
      <w:r>
        <w:rPr>
          <w:rFonts w:ascii="PMingLiU" w:cs="PMingLiU" w:eastAsia="PMingLiU" w:hAnsi="PMingLiU"/>
          <w:sz w:val="16"/>
          <w:szCs w:val="16"/>
          <w:color w:val="auto"/>
        </w:rPr>
        <w:t>FRPSHQVDWLRQWREHFRPSHWLWLYHDQGDSSURSULDWH</w:t>
      </w:r>
    </w:p>
    <w:p>
      <w:pPr>
        <w:spacing w:after="0" w:line="219" w:lineRule="exact"/>
        <w:rPr>
          <w:sz w:val="20"/>
          <w:szCs w:val="20"/>
          <w:color w:val="auto"/>
        </w:rPr>
      </w:pPr>
    </w:p>
    <w:p>
      <w:pPr>
        <w:ind w:right="80"/>
        <w:spacing w:after="0" w:line="330" w:lineRule="auto"/>
        <w:rPr>
          <w:sz w:val="20"/>
          <w:szCs w:val="20"/>
          <w:color w:val="auto"/>
        </w:rPr>
      </w:pPr>
      <w:r>
        <w:rPr>
          <w:rFonts w:ascii="PMingLiU" w:cs="PMingLiU" w:eastAsia="PMingLiU" w:hAnsi="PMingLiU"/>
          <w:sz w:val="15"/>
          <w:szCs w:val="15"/>
          <w:color w:val="auto"/>
        </w:rPr>
        <w:t>$VQRWHGDERYHXQGHU³</w:t>
      </w:r>
      <w:r>
        <w:rPr>
          <w:rFonts w:ascii="PMingLiU" w:cs="PMingLiU" w:eastAsia="PMingLiU" w:hAnsi="PMingLiU"/>
          <w:sz w:val="15"/>
          <w:szCs w:val="15"/>
          <w:i w:val="1"/>
          <w:iCs w:val="1"/>
          <w:color w:val="auto"/>
        </w:rPr>
        <w:t>#6,*0(2536,49(:0545490+,8(:0549-5885@(++</w:t>
      </w:r>
      <w:r>
        <w:rPr>
          <w:rFonts w:ascii="PMingLiU" w:cs="PMingLiU" w:eastAsia="PMingLiU" w:hAnsi="PMingLiU"/>
          <w:sz w:val="15"/>
          <w:szCs w:val="15"/>
          <w:color w:val="auto"/>
        </w:rPr>
        <w:t>´0U&amp;R]DGGGLGQRWSDUWLFLSDWHLQRXU &amp;RPSDQ\¶VH[HFXWLYHFRPSHQVDWLRQSURJUDPRQWKHVDPHEDVLVDVRWKHU1(2VDQGLQVWHDGSDUWLFLSDWHGLQVHYHUDO VSHFLDOFRPSHQVDWLRQDUUDQJHPHQWVLQOLJKWRIWKHWUDQVLWLRQDOQDWXUHRIKLVHPSOR\PHQWZLWKXV$FFRUGLQJO\ FRPSDULVRQRIKLVDQGFRPSHQVDWLRQPD\QRWEHPHDQLQJIXOLQWKHVHFLUFXPVWDQFHV,QFRQQHFWLRQZLWK0U &amp;R]DGG¶VUHWLUHPHQWDV&amp;(2DQGWUDQVLWLRQWRDQRQHPSOR\HHGLUHFWRUUROHDV&amp;KDLUSHUVRQLQ6HSWHPEHU0U&amp;R]DGG UHFHLYHGDQLQLWLDOSURUDWHGDQQXDOQRQHPSOR\HHGLUHFWRU568JUDQWYDOXHHTXDOWRRQ1RYHPEHUZKLFK DPRXQWLVLQFOXGHGLQWKH³6WRFN$ZDUGV´FROXPQRIWKH6XPPDU\&amp;RPSHQVDWLRQ7DEOH0U&amp;R]DGGDOVRUHFHLYHGLQ GLUHFWRUIHHVSDLGLQFDVKZKLFKDPRXQWLVLQFOXGHGLQWKH³$OO2WKHU&amp;RPSHQVDWLRQ´FROXPQRIWKH6XPPDU\&amp;RPSHQVDWLRQ 7DEOH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1659890</wp:posOffset>
            </wp:positionV>
            <wp:extent cx="1389380" cy="2343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99">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60"/>
        <w:spacing w:after="0"/>
        <w:tabs>
          <w:tab w:leader="none" w:pos="26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79" w:name="page80"/>
    <w:bookmarkEnd w:id="7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22" o:spid="_x0000_s1447"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5REHUW,DQQRQH([HFXWLYH9LFH3UHVLGHQW*OREDO+HDGRI5  '&amp;KLHI0HGLFDO2IILFHU</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60" w:type="dxa"/>
            <w:vAlign w:val="bottom"/>
            <w:shd w:val="clear" w:color="auto" w:fill="000046"/>
          </w:tcPr>
          <w:p>
            <w:pPr>
              <w:spacing w:after="0"/>
              <w:rPr>
                <w:sz w:val="23"/>
                <w:szCs w:val="23"/>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3D\</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3D\</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p>
        </w:tc>
      </w:tr>
      <w:tr>
        <w:trPr>
          <w:trHeight w:val="221"/>
        </w:trPr>
        <w:tc>
          <w:tcPr>
            <w:tcW w:w="4760" w:type="dxa"/>
            <w:vAlign w:val="bottom"/>
            <w:shd w:val="clear" w:color="auto" w:fill="000046"/>
          </w:tcPr>
          <w:p>
            <w:pPr>
              <w:spacing w:after="0"/>
              <w:rPr>
                <w:sz w:val="19"/>
                <w:szCs w:val="19"/>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760" w:type="dxa"/>
            <w:vAlign w:val="bottom"/>
            <w:shd w:val="clear" w:color="auto" w:fill="000046"/>
          </w:tcPr>
          <w:p>
            <w:pPr>
              <w:spacing w:after="0"/>
              <w:rPr>
                <w:sz w:val="5"/>
                <w:szCs w:val="5"/>
                <w:color w:val="auto"/>
              </w:rPr>
            </w:pPr>
          </w:p>
        </w:tc>
        <w:tc>
          <w:tcPr>
            <w:tcW w:w="2920" w:type="dxa"/>
            <w:vAlign w:val="bottom"/>
            <w:shd w:val="clear" w:color="auto" w:fill="000046"/>
          </w:tcPr>
          <w:p>
            <w:pPr>
              <w:spacing w:after="0"/>
              <w:rPr>
                <w:sz w:val="5"/>
                <w:szCs w:val="5"/>
                <w:color w:val="auto"/>
              </w:rPr>
            </w:pPr>
          </w:p>
        </w:tc>
        <w:tc>
          <w:tcPr>
            <w:tcW w:w="134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r>
      <w:tr>
        <w:trPr>
          <w:trHeight w:val="315"/>
        </w:trPr>
        <w:tc>
          <w:tcPr>
            <w:tcW w:w="476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2920" w:type="dxa"/>
            <w:vAlign w:val="bottom"/>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760" w:type="dxa"/>
            <w:vAlign w:val="bottom"/>
            <w:tcBorders>
              <w:bottom w:val="single" w:sz="8" w:color="4454A7"/>
            </w:tcBorders>
          </w:tcPr>
          <w:p>
            <w:pPr>
              <w:spacing w:after="0"/>
              <w:rPr>
                <w:sz w:val="7"/>
                <w:szCs w:val="7"/>
                <w:color w:val="auto"/>
              </w:rPr>
            </w:pPr>
          </w:p>
        </w:tc>
        <w:tc>
          <w:tcPr>
            <w:tcW w:w="2920" w:type="dxa"/>
            <w:vAlign w:val="bottom"/>
            <w:tcBorders>
              <w:bottom w:val="single" w:sz="8" w:color="4454A7"/>
            </w:tcBorders>
          </w:tcPr>
          <w:p>
            <w:pPr>
              <w:spacing w:after="0"/>
              <w:rPr>
                <w:sz w:val="7"/>
                <w:szCs w:val="7"/>
                <w:color w:val="auto"/>
              </w:rPr>
            </w:pPr>
          </w:p>
        </w:tc>
        <w:tc>
          <w:tcPr>
            <w:tcW w:w="1340" w:type="dxa"/>
            <w:vAlign w:val="bottom"/>
            <w:tcBorders>
              <w:bottom w:val="single" w:sz="8" w:color="4454A7"/>
            </w:tcBorders>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76"/>
        </w:trPr>
        <w:tc>
          <w:tcPr>
            <w:tcW w:w="47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7DUJHW7RWDO(TXLW\&amp;RPSHQVDWLRQ</w:t>
            </w:r>
            <w:r>
              <w:rPr>
                <w:rFonts w:ascii="PMingLiU" w:cs="PMingLiU" w:eastAsia="PMingLiU" w:hAnsi="PMingLiU"/>
                <w:sz w:val="20"/>
                <w:szCs w:val="20"/>
                <w:b w:val="1"/>
                <w:bCs w:val="1"/>
                <w:color w:val="000046"/>
                <w:vertAlign w:val="superscript"/>
              </w:rPr>
              <w:t/>
            </w:r>
          </w:p>
        </w:tc>
        <w:tc>
          <w:tcPr>
            <w:tcW w:w="2920" w:type="dxa"/>
            <w:vAlign w:val="bottom"/>
            <w:tcBorders>
              <w:bottom w:val="single" w:sz="8" w:color="4454A7"/>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Borders>
              <w:bottom w:val="single" w:sz="8" w:color="4454A7"/>
            </w:tcBorders>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299"/>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7DUJHW$QQXDO*UDQW</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95"/>
        </w:trPr>
        <w:tc>
          <w:tcPr>
            <w:tcW w:w="4760" w:type="dxa"/>
            <w:vAlign w:val="bottom"/>
            <w:tcBorders>
              <w:bottom w:val="single" w:sz="8" w:color="4454A7"/>
            </w:tcBorders>
          </w:tcPr>
          <w:p>
            <w:pPr>
              <w:spacing w:after="0"/>
              <w:rPr>
                <w:sz w:val="8"/>
                <w:szCs w:val="8"/>
                <w:color w:val="auto"/>
              </w:rPr>
            </w:pPr>
          </w:p>
        </w:tc>
        <w:tc>
          <w:tcPr>
            <w:tcW w:w="2920" w:type="dxa"/>
            <w:vAlign w:val="bottom"/>
            <w:tcBorders>
              <w:bottom w:val="single" w:sz="8" w:color="4454A7"/>
            </w:tcBorders>
          </w:tcPr>
          <w:p>
            <w:pPr>
              <w:spacing w:after="0"/>
              <w:rPr>
                <w:sz w:val="8"/>
                <w:szCs w:val="8"/>
                <w:color w:val="auto"/>
              </w:rPr>
            </w:pPr>
          </w:p>
        </w:tc>
        <w:tc>
          <w:tcPr>
            <w:tcW w:w="1340" w:type="dxa"/>
            <w:vAlign w:val="bottom"/>
            <w:tcBorders>
              <w:bottom w:val="single" w:sz="8" w:color="4454A7"/>
            </w:tcBorders>
          </w:tcPr>
          <w:p>
            <w:pPr>
              <w:spacing w:after="0"/>
              <w:rPr>
                <w:sz w:val="8"/>
                <w:szCs w:val="8"/>
                <w:color w:val="auto"/>
              </w:rPr>
            </w:pPr>
          </w:p>
        </w:tc>
        <w:tc>
          <w:tcPr>
            <w:tcW w:w="1060" w:type="dxa"/>
            <w:vAlign w:val="bottom"/>
            <w:tcBorders>
              <w:bottom w:val="single" w:sz="8" w:color="4454A7"/>
            </w:tcBorders>
          </w:tcPr>
          <w:p>
            <w:pPr>
              <w:spacing w:after="0"/>
              <w:rPr>
                <w:sz w:val="8"/>
                <w:szCs w:val="8"/>
                <w:color w:val="auto"/>
              </w:rPr>
            </w:pPr>
          </w:p>
        </w:tc>
      </w:tr>
      <w:tr>
        <w:trPr>
          <w:trHeight w:val="378"/>
        </w:trPr>
        <w:tc>
          <w:tcPr>
            <w:tcW w:w="4760" w:type="dxa"/>
            <w:vAlign w:val="bottom"/>
            <w:tcBorders>
              <w:bottom w:val="single" w:sz="8" w:color="5C004D"/>
            </w:tcBorders>
          </w:tcPr>
          <w:p>
            <w:pPr>
              <w:ind w:left="380"/>
              <w:spacing w:after="0"/>
              <w:rPr>
                <w:sz w:val="20"/>
                <w:szCs w:val="20"/>
                <w:color w:val="auto"/>
              </w:rPr>
            </w:pPr>
            <w:r>
              <w:rPr>
                <w:rFonts w:ascii="PMingLiU" w:cs="PMingLiU" w:eastAsia="PMingLiU" w:hAnsi="PMingLiU"/>
                <w:sz w:val="16"/>
                <w:szCs w:val="16"/>
                <w:color w:val="auto"/>
              </w:rPr>
              <w:t>7DUJHW5HWHQWLRQ*UDQW</w:t>
            </w:r>
            <w:r>
              <w:rPr>
                <w:rFonts w:ascii="PMingLiU" w:cs="PMingLiU" w:eastAsia="PMingLiU" w:hAnsi="PMingLiU"/>
                <w:sz w:val="20"/>
                <w:szCs w:val="20"/>
                <w:color w:val="auto"/>
                <w:vertAlign w:val="superscript"/>
              </w:rPr>
              <w:t/>
            </w:r>
          </w:p>
        </w:tc>
        <w:tc>
          <w:tcPr>
            <w:tcW w:w="2920" w:type="dxa"/>
            <w:vAlign w:val="bottom"/>
            <w:tcBorders>
              <w:bottom w:val="single" w:sz="8" w:color="5C004D"/>
            </w:tcBorders>
          </w:tcPr>
          <w:p>
            <w:pPr>
              <w:spacing w:after="0"/>
              <w:rPr>
                <w:sz w:val="24"/>
                <w:szCs w:val="24"/>
                <w:color w:val="auto"/>
              </w:rPr>
            </w:pP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5C004D"/>
            </w:tcBorders>
          </w:tcPr>
          <w:p>
            <w:pPr>
              <w:spacing w:after="0"/>
              <w:rPr>
                <w:sz w:val="24"/>
                <w:szCs w:val="24"/>
                <w:color w:val="auto"/>
              </w:rPr>
            </w:pPr>
          </w:p>
        </w:tc>
      </w:tr>
      <w:tr>
        <w:trPr>
          <w:trHeight w:val="385"/>
        </w:trPr>
        <w:tc>
          <w:tcPr>
            <w:tcW w:w="47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92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5C004D"/>
              </w:rPr>
              <w:t/>
            </w: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b w:val="1"/>
                <w:bCs w:val="1"/>
                <w:color w:val="5C004D"/>
              </w:rPr>
              <w:t/>
            </w:r>
          </w:p>
        </w:tc>
        <w:tc>
          <w:tcPr>
            <w:tcW w:w="10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5HSUHVHQWVDQQXDOEDVHVDODU\UDWHIRUWKHDSSOLFDEOH\HDU'U,DQQRQH¶VEDVHVDODU\EHFDPHHIIHFWLYH0DUFK</w:t>
      </w:r>
    </w:p>
    <w:p>
      <w:pPr>
        <w:spacing w:after="0" w:line="90" w:lineRule="exact"/>
        <w:rPr>
          <w:sz w:val="20"/>
          <w:szCs w:val="20"/>
          <w:color w:val="auto"/>
        </w:rPr>
      </w:pPr>
    </w:p>
    <w:p>
      <w:pPr>
        <w:ind w:left="360" w:right="22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7KHDPRXQWUHIOHFWVDWDUJHWSHUIRUPDQFHERQXVRIRIEDVHVDODU\UDWHDVRI'HFHPEHU7KHDFWXDO SHUIRUPDQFHERQXVSDLGZDVUHIOHFWLQJRIWDUJHWSHUIRUPDQFHERQXVEDVHGRQWKHRYHUDOODFKLHYHPHQWRIWKH FRUSRUDWHSHUIRUPDQFHREMHFWLYHVDQG'U,DQQRQH¶VLQGLYLGXDOFRQWULEXWLRQVDQGOHDGHUVKLSRIWKH5 'RUJDQL]DWLRQGXULQJ</w:t>
      </w:r>
    </w:p>
    <w:p>
      <w:pPr>
        <w:spacing w:after="0" w:line="24" w:lineRule="exact"/>
        <w:rPr>
          <w:sz w:val="20"/>
          <w:szCs w:val="20"/>
          <w:color w:val="auto"/>
        </w:rPr>
      </w:pPr>
    </w:p>
    <w:p>
      <w:pPr>
        <w:ind w:left="360" w:right="80" w:hanging="359"/>
        <w:spacing w:after="0" w:line="476" w:lineRule="auto"/>
        <w:tabs>
          <w:tab w:leader="none" w:pos="340" w:val="left"/>
        </w:tabs>
        <w:rPr>
          <w:sz w:val="20"/>
          <w:szCs w:val="20"/>
          <w:color w:val="auto"/>
        </w:rPr>
      </w:pPr>
      <w:r>
        <w:rPr>
          <w:rFonts w:ascii="PMingLiU" w:cs="PMingLiU" w:eastAsia="PMingLiU" w:hAnsi="PMingLiU"/>
          <w:sz w:val="12"/>
          <w:szCs w:val="12"/>
          <w:color w:val="auto"/>
        </w:rPr>
        <w:t/>
        <w:tab/>
        <w:t>7KHWDUJHWWRWDOHTXLW\FRPSHQVDWLRQDQGWKHFRPSRQHQWVWKHUHRISUHVHQWHGLQWKHFKDUWDERYHUHIOHFWWKHWDUJHWGROODUYDOXHVDSSURYHG E\RXU&amp;RPSHQVDWLRQ&amp;RPPLWWHHWKHVHYDOXHVGLIIHUVIURPWKHYDOXHVUHTXLUHGWREHVKRZQLQWKH6XPPDU\&amp;RPSHQVDWLRQ7DEOHDQG *UDQWVRI3ODQ%DVHG$ZDUGVLQ)LVFDOWDEOHDVDSSOLFDEOHDVIXUWKHUGHVFULEHGDERYHLQ³</w:t>
      </w:r>
      <w:r>
        <w:rPr>
          <w:rFonts w:ascii="PMingLiU" w:cs="PMingLiU" w:eastAsia="PMingLiU" w:hAnsi="PMingLiU"/>
          <w:sz w:val="12"/>
          <w:szCs w:val="12"/>
          <w:i w:val="1"/>
          <w:iCs w:val="1"/>
          <w:color w:val="auto"/>
        </w:rPr>
        <w:t>#;33(8?5-  536,49(:054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,*090549 54.$,834*,4:0&lt;,!85.8(3</w:t>
      </w:r>
      <w:r>
        <w:rPr>
          <w:rFonts w:ascii="PMingLiU" w:cs="PMingLiU" w:eastAsia="PMingLiU" w:hAnsi="PMingLiU"/>
          <w:sz w:val="12"/>
          <w:szCs w:val="12"/>
          <w:color w:val="auto"/>
        </w:rPr>
        <w:t>´</w:t>
      </w:r>
    </w:p>
    <w:p>
      <w:pPr>
        <w:spacing w:after="0" w:line="2" w:lineRule="exact"/>
        <w:rPr>
          <w:sz w:val="20"/>
          <w:szCs w:val="20"/>
          <w:color w:val="auto"/>
        </w:rPr>
      </w:pPr>
    </w:p>
    <w:p>
      <w:pPr>
        <w:ind w:left="360" w:right="60" w:hanging="359"/>
        <w:spacing w:after="0" w:line="305" w:lineRule="auto"/>
        <w:tabs>
          <w:tab w:leader="none" w:pos="340" w:val="left"/>
        </w:tabs>
        <w:rPr>
          <w:sz w:val="20"/>
          <w:szCs w:val="20"/>
          <w:color w:val="auto"/>
        </w:rPr>
      </w:pPr>
      <w:r>
        <w:rPr>
          <w:rFonts w:ascii="PMingLiU" w:cs="PMingLiU" w:eastAsia="PMingLiU" w:hAnsi="PMingLiU"/>
          <w:sz w:val="14"/>
          <w:szCs w:val="14"/>
          <w:color w:val="auto"/>
        </w:rPr>
        <w:t/>
        <w:tab/>
        <w:t>5HSUHVHQWVDRQHWLPHWDUJHWUHWHQWLRQ568JUDQWUHFHLYHGE\'U,DQQRQHLQ)HEUXDU\7KLVUHWHQWLRQJUDQWZLOOYHVWLQIXOORQ-XQH SURYLGHGJHQHUDOO\WKDW'U,DQQRQHUHPDLQVHPSOR\HGZLWKRXU&amp;RPSDQ\WKURXJKWKDWGDWH6HH³</w:t>
      </w:r>
      <w:r>
        <w:rPr>
          <w:rFonts w:ascii="PMingLiU" w:cs="PMingLiU" w:eastAsia="PMingLiU" w:hAnsi="PMingLiU"/>
          <w:sz w:val="14"/>
          <w:szCs w:val="14"/>
          <w:i w:val="1"/>
          <w:iCs w:val="1"/>
          <w:color w:val="auto"/>
        </w:rPr>
        <w:t>#;33(8?5-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536,49(:054,*090549 #6,*0(2",:,4:0548(4:9</w:t>
      </w:r>
      <w:r>
        <w:rPr>
          <w:rFonts w:ascii="PMingLiU" w:cs="PMingLiU" w:eastAsia="PMingLiU" w:hAnsi="PMingLiU"/>
          <w:sz w:val="14"/>
          <w:szCs w:val="14"/>
          <w:color w:val="auto"/>
        </w:rPr>
        <w:t>´DERYHIRUPRUHLQIRUPDWLRQUHJDUGLQJWKHUHWHQWLRQJUDQWVWRRXU1(2V</w:t>
      </w:r>
    </w:p>
    <w:p>
      <w:pPr>
        <w:spacing w:after="0" w:line="26" w:lineRule="exact"/>
        <w:rPr>
          <w:sz w:val="20"/>
          <w:szCs w:val="20"/>
          <w:color w:val="auto"/>
        </w:rPr>
      </w:pPr>
    </w:p>
    <w:p>
      <w:pPr>
        <w:ind w:left="360" w:right="60" w:hanging="359"/>
        <w:spacing w:after="0" w:line="301" w:lineRule="auto"/>
        <w:tabs>
          <w:tab w:leader="none" w:pos="340" w:val="left"/>
        </w:tabs>
        <w:rPr>
          <w:sz w:val="20"/>
          <w:szCs w:val="20"/>
          <w:color w:val="auto"/>
        </w:rPr>
      </w:pPr>
      <w:r>
        <w:rPr>
          <w:rFonts w:ascii="PMingLiU" w:cs="PMingLiU" w:eastAsia="PMingLiU" w:hAnsi="PMingLiU"/>
          <w:sz w:val="13"/>
          <w:szCs w:val="13"/>
          <w:color w:val="auto"/>
        </w:rPr>
        <w:t/>
        <w:tab/>
        <w:t>2XU&amp;RPSHQVDWLRQ&amp;RPPLWWHHGHVLJQHG'U,DQQRQH¶VWDUJHWWRWDOGLUHFWFRPSHQVDWLRQWREHFRPSHWLWLYHDVFRPSDUHGWRPDUNHWGDWDDV GHVFULEHGLQPRUHGHWDLODERYHLQ³</w:t>
      </w:r>
      <w:r>
        <w:rPr>
          <w:rFonts w:ascii="PMingLiU" w:cs="PMingLiU" w:eastAsia="PMingLiU" w:hAnsi="PMingLiU"/>
          <w:sz w:val="13"/>
          <w:szCs w:val="13"/>
          <w:i w:val="1"/>
          <w:iCs w:val="1"/>
          <w:color w:val="auto"/>
        </w:rPr>
        <w:t>5=',,:,8304,&gt;,*;:0&lt;,536,49(:054 536,:0:0&lt;,99,993,4:5-536,49(:054A!,,8</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536(40,9(4+(81,:(:(F</w:t>
      </w:r>
      <w:r>
        <w:rPr>
          <w:rFonts w:ascii="PMingLiU" w:cs="PMingLiU" w:eastAsia="PMingLiU" w:hAnsi="PMingLiU"/>
          <w:sz w:val="13"/>
          <w:szCs w:val="13"/>
          <w:color w:val="auto"/>
        </w:rPr>
        <w:t>DSSURSULDWHIURPDQLQWHUQDOHTXLW\SHUVSHFWLYHDQGPRUHKHDYLO\ZHLJKWHGWRZDUGVHTXLW\FRPSHQVDWLRQ</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LQOLQHZLWKRXUSD\IRUSHUIRUPDQFHSKLORVRSK\2XU&amp;RPSHQVDWLRQ&amp;RPPLWWHHGHWHUPLQHGLWZDVDSSURSULDWHWRLQFUHDVH'U,DQQRQH¶V</w:t>
      </w:r>
    </w:p>
    <w:p>
      <w:pPr>
        <w:spacing w:after="0" w:line="2" w:lineRule="exact"/>
        <w:rPr>
          <w:sz w:val="20"/>
          <w:szCs w:val="20"/>
          <w:color w:val="auto"/>
        </w:rPr>
      </w:pPr>
    </w:p>
    <w:p>
      <w:pPr>
        <w:ind w:left="360" w:right="160"/>
        <w:spacing w:after="0" w:line="349" w:lineRule="auto"/>
        <w:rPr>
          <w:sz w:val="20"/>
          <w:szCs w:val="20"/>
          <w:color w:val="auto"/>
        </w:rPr>
      </w:pPr>
      <w:r>
        <w:rPr>
          <w:rFonts w:ascii="PMingLiU" w:cs="PMingLiU" w:eastAsia="PMingLiU" w:hAnsi="PMingLiU"/>
          <w:sz w:val="12"/>
          <w:szCs w:val="12"/>
          <w:color w:val="auto"/>
        </w:rPr>
        <w:t>WDUJHWWRWDOGLUHFWFRPSHQVDWLRQLQDQDPRXQWQHFHVVDU\WRUHIOHFWKLVVFRSHRIUHVSRQVLELOLW\DQGRYHUVLJKWRIVLJQLILFDQWIXQFWLRQVZLWKLQ WKHRUJDQL]DWLRQDVZHOODVWRPDLQWDLQFRPSHWLWLYHSRVLWLRQLQJUHODWLYHWRWKHPDUNHWGDWDDQGWKHRWKHU1(2V%DVHGRQRXU &amp;RPSHQVDWLRQ&amp;RPPLWWHH¶VSURIHVVLRQDOH[SHULHQFHDQGMXGJPHQWRXU&amp;RPSHQVDWLRQ&amp;RPPLWWHHGHWHUPLQHG'U,DQQRQH¶VWDUJHWWRWDO GLUHFWFRPSHQVDWLRQWREHFRPSHWLWLYHDQGDSSURSULDWH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3594735</wp:posOffset>
            </wp:positionV>
            <wp:extent cx="1389380" cy="2343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300">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80" w:name="page81"/>
    <w:bookmarkEnd w:id="80"/>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24" o:spid="_x0000_s1449"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1HHQD03DWLO([HFXWLYH9LFH3UHVLGHQWDQG&amp;KLHI/HJDO2IILFHU</w:t>
      </w:r>
      <w:r>
        <w:rPr>
          <w:rFonts w:ascii="PMingLiU" w:cs="PMingLiU" w:eastAsia="PMingLiU" w:hAnsi="PMingLiU"/>
          <w:sz w:val="13"/>
          <w:szCs w:val="13"/>
          <w:b w:val="1"/>
          <w:bCs w:val="1"/>
          <w:color w:val="000046"/>
        </w:rPr>
        <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760" w:type="dxa"/>
            <w:vAlign w:val="bottom"/>
            <w:shd w:val="clear" w:color="auto" w:fill="000046"/>
          </w:tcPr>
          <w:p>
            <w:pPr>
              <w:spacing w:after="0"/>
              <w:rPr>
                <w:sz w:val="23"/>
                <w:szCs w:val="23"/>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3D\</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3D\</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p>
        </w:tc>
      </w:tr>
      <w:tr>
        <w:trPr>
          <w:trHeight w:val="221"/>
        </w:trPr>
        <w:tc>
          <w:tcPr>
            <w:tcW w:w="4760" w:type="dxa"/>
            <w:vAlign w:val="bottom"/>
            <w:shd w:val="clear" w:color="auto" w:fill="000046"/>
          </w:tcPr>
          <w:p>
            <w:pPr>
              <w:spacing w:after="0"/>
              <w:rPr>
                <w:sz w:val="19"/>
                <w:szCs w:val="19"/>
                <w:color w:val="auto"/>
              </w:rPr>
            </w:pPr>
          </w:p>
        </w:tc>
        <w:tc>
          <w:tcPr>
            <w:tcW w:w="292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p>
        </w:tc>
        <w:tc>
          <w:tcPr>
            <w:tcW w:w="1340" w:type="dxa"/>
            <w:vAlign w:val="bottom"/>
            <w:shd w:val="clear" w:color="auto" w:fill="000046"/>
          </w:tcPr>
          <w:p>
            <w:pPr>
              <w:jc w:val="right"/>
              <w:ind w:right="26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760" w:type="dxa"/>
            <w:vAlign w:val="bottom"/>
            <w:shd w:val="clear" w:color="auto" w:fill="000046"/>
          </w:tcPr>
          <w:p>
            <w:pPr>
              <w:spacing w:after="0"/>
              <w:rPr>
                <w:sz w:val="5"/>
                <w:szCs w:val="5"/>
                <w:color w:val="auto"/>
              </w:rPr>
            </w:pPr>
          </w:p>
        </w:tc>
        <w:tc>
          <w:tcPr>
            <w:tcW w:w="2920" w:type="dxa"/>
            <w:vAlign w:val="bottom"/>
            <w:shd w:val="clear" w:color="auto" w:fill="000046"/>
          </w:tcPr>
          <w:p>
            <w:pPr>
              <w:spacing w:after="0"/>
              <w:rPr>
                <w:sz w:val="5"/>
                <w:szCs w:val="5"/>
                <w:color w:val="auto"/>
              </w:rPr>
            </w:pPr>
          </w:p>
        </w:tc>
        <w:tc>
          <w:tcPr>
            <w:tcW w:w="134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r>
      <w:tr>
        <w:trPr>
          <w:trHeight w:val="315"/>
        </w:trPr>
        <w:tc>
          <w:tcPr>
            <w:tcW w:w="476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2920" w:type="dxa"/>
            <w:vAlign w:val="bottom"/>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760" w:type="dxa"/>
            <w:vAlign w:val="bottom"/>
            <w:tcBorders>
              <w:bottom w:val="single" w:sz="8" w:color="4454A7"/>
            </w:tcBorders>
          </w:tcPr>
          <w:p>
            <w:pPr>
              <w:spacing w:after="0"/>
              <w:rPr>
                <w:sz w:val="7"/>
                <w:szCs w:val="7"/>
                <w:color w:val="auto"/>
              </w:rPr>
            </w:pPr>
          </w:p>
        </w:tc>
        <w:tc>
          <w:tcPr>
            <w:tcW w:w="2920" w:type="dxa"/>
            <w:vAlign w:val="bottom"/>
            <w:tcBorders>
              <w:bottom w:val="single" w:sz="8" w:color="4454A7"/>
            </w:tcBorders>
          </w:tcPr>
          <w:p>
            <w:pPr>
              <w:spacing w:after="0"/>
              <w:rPr>
                <w:sz w:val="7"/>
                <w:szCs w:val="7"/>
                <w:color w:val="auto"/>
              </w:rPr>
            </w:pPr>
          </w:p>
        </w:tc>
        <w:tc>
          <w:tcPr>
            <w:tcW w:w="1340" w:type="dxa"/>
            <w:vAlign w:val="bottom"/>
            <w:tcBorders>
              <w:bottom w:val="single" w:sz="8" w:color="4454A7"/>
            </w:tcBorders>
          </w:tcPr>
          <w:p>
            <w:pPr>
              <w:spacing w:after="0"/>
              <w:rPr>
                <w:sz w:val="7"/>
                <w:szCs w:val="7"/>
                <w:color w:val="auto"/>
              </w:rPr>
            </w:pPr>
          </w:p>
        </w:tc>
        <w:tc>
          <w:tcPr>
            <w:tcW w:w="1060" w:type="dxa"/>
            <w:vAlign w:val="bottom"/>
            <w:tcBorders>
              <w:bottom w:val="single" w:sz="8" w:color="4454A7"/>
            </w:tcBorders>
          </w:tcPr>
          <w:p>
            <w:pPr>
              <w:spacing w:after="0"/>
              <w:rPr>
                <w:sz w:val="7"/>
                <w:szCs w:val="7"/>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6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3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r>
      <w:tr>
        <w:trPr>
          <w:trHeight w:val="376"/>
        </w:trPr>
        <w:tc>
          <w:tcPr>
            <w:tcW w:w="47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7DUJHW7RWDO(TXLW\&amp;RPSHQVDWLRQ</w:t>
            </w:r>
            <w:r>
              <w:rPr>
                <w:rFonts w:ascii="PMingLiU" w:cs="PMingLiU" w:eastAsia="PMingLiU" w:hAnsi="PMingLiU"/>
                <w:sz w:val="20"/>
                <w:szCs w:val="20"/>
                <w:b w:val="1"/>
                <w:bCs w:val="1"/>
                <w:color w:val="000046"/>
                <w:vertAlign w:val="superscript"/>
              </w:rPr>
              <w:t/>
            </w:r>
          </w:p>
        </w:tc>
        <w:tc>
          <w:tcPr>
            <w:tcW w:w="2920" w:type="dxa"/>
            <w:vAlign w:val="bottom"/>
            <w:tcBorders>
              <w:bottom w:val="single" w:sz="8" w:color="4454A7"/>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340" w:type="dxa"/>
            <w:vAlign w:val="bottom"/>
            <w:tcBorders>
              <w:bottom w:val="single" w:sz="8" w:color="4454A7"/>
            </w:tcBorders>
          </w:tcPr>
          <w:p>
            <w:pPr>
              <w:jc w:val="right"/>
              <w:ind w:right="26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299"/>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7DUJHW$QQXDO*UDQW</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340" w:type="dxa"/>
            <w:vAlign w:val="bottom"/>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95"/>
        </w:trPr>
        <w:tc>
          <w:tcPr>
            <w:tcW w:w="4760" w:type="dxa"/>
            <w:vAlign w:val="bottom"/>
            <w:tcBorders>
              <w:bottom w:val="single" w:sz="8" w:color="4454A7"/>
            </w:tcBorders>
          </w:tcPr>
          <w:p>
            <w:pPr>
              <w:spacing w:after="0"/>
              <w:rPr>
                <w:sz w:val="8"/>
                <w:szCs w:val="8"/>
                <w:color w:val="auto"/>
              </w:rPr>
            </w:pPr>
          </w:p>
        </w:tc>
        <w:tc>
          <w:tcPr>
            <w:tcW w:w="2920" w:type="dxa"/>
            <w:vAlign w:val="bottom"/>
            <w:tcBorders>
              <w:bottom w:val="single" w:sz="8" w:color="4454A7"/>
            </w:tcBorders>
          </w:tcPr>
          <w:p>
            <w:pPr>
              <w:spacing w:after="0"/>
              <w:rPr>
                <w:sz w:val="8"/>
                <w:szCs w:val="8"/>
                <w:color w:val="auto"/>
              </w:rPr>
            </w:pPr>
          </w:p>
        </w:tc>
        <w:tc>
          <w:tcPr>
            <w:tcW w:w="1340" w:type="dxa"/>
            <w:vAlign w:val="bottom"/>
            <w:tcBorders>
              <w:bottom w:val="single" w:sz="8" w:color="4454A7"/>
            </w:tcBorders>
          </w:tcPr>
          <w:p>
            <w:pPr>
              <w:spacing w:after="0"/>
              <w:rPr>
                <w:sz w:val="8"/>
                <w:szCs w:val="8"/>
                <w:color w:val="auto"/>
              </w:rPr>
            </w:pPr>
          </w:p>
        </w:tc>
        <w:tc>
          <w:tcPr>
            <w:tcW w:w="1060" w:type="dxa"/>
            <w:vAlign w:val="bottom"/>
            <w:tcBorders>
              <w:bottom w:val="single" w:sz="8" w:color="4454A7"/>
            </w:tcBorders>
          </w:tcPr>
          <w:p>
            <w:pPr>
              <w:spacing w:after="0"/>
              <w:rPr>
                <w:sz w:val="8"/>
                <w:szCs w:val="8"/>
                <w:color w:val="auto"/>
              </w:rPr>
            </w:pPr>
          </w:p>
        </w:tc>
      </w:tr>
      <w:tr>
        <w:trPr>
          <w:trHeight w:val="378"/>
        </w:trPr>
        <w:tc>
          <w:tcPr>
            <w:tcW w:w="4760" w:type="dxa"/>
            <w:vAlign w:val="bottom"/>
            <w:tcBorders>
              <w:bottom w:val="single" w:sz="8" w:color="5C004D"/>
            </w:tcBorders>
          </w:tcPr>
          <w:p>
            <w:pPr>
              <w:ind w:left="380"/>
              <w:spacing w:after="0"/>
              <w:rPr>
                <w:sz w:val="20"/>
                <w:szCs w:val="20"/>
                <w:color w:val="auto"/>
              </w:rPr>
            </w:pPr>
            <w:r>
              <w:rPr>
                <w:rFonts w:ascii="PMingLiU" w:cs="PMingLiU" w:eastAsia="PMingLiU" w:hAnsi="PMingLiU"/>
                <w:sz w:val="16"/>
                <w:szCs w:val="16"/>
                <w:color w:val="auto"/>
              </w:rPr>
              <w:t>7DUJHW5HWHQWLRQ*UDQW</w:t>
            </w:r>
            <w:r>
              <w:rPr>
                <w:rFonts w:ascii="PMingLiU" w:cs="PMingLiU" w:eastAsia="PMingLiU" w:hAnsi="PMingLiU"/>
                <w:sz w:val="20"/>
                <w:szCs w:val="20"/>
                <w:color w:val="auto"/>
                <w:vertAlign w:val="superscript"/>
              </w:rPr>
              <w:t/>
            </w:r>
          </w:p>
        </w:tc>
        <w:tc>
          <w:tcPr>
            <w:tcW w:w="2920" w:type="dxa"/>
            <w:vAlign w:val="bottom"/>
            <w:tcBorders>
              <w:bottom w:val="single" w:sz="8" w:color="5C004D"/>
            </w:tcBorders>
          </w:tcPr>
          <w:p>
            <w:pPr>
              <w:spacing w:after="0"/>
              <w:rPr>
                <w:sz w:val="24"/>
                <w:szCs w:val="24"/>
                <w:color w:val="auto"/>
              </w:rPr>
            </w:pP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5C004D"/>
            </w:tcBorders>
          </w:tcPr>
          <w:p>
            <w:pPr>
              <w:spacing w:after="0"/>
              <w:rPr>
                <w:sz w:val="24"/>
                <w:szCs w:val="24"/>
                <w:color w:val="auto"/>
              </w:rPr>
            </w:pPr>
          </w:p>
        </w:tc>
      </w:tr>
      <w:tr>
        <w:trPr>
          <w:trHeight w:val="385"/>
        </w:trPr>
        <w:tc>
          <w:tcPr>
            <w:tcW w:w="47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92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5C004D"/>
              </w:rPr>
              <w:t/>
            </w:r>
          </w:p>
        </w:tc>
        <w:tc>
          <w:tcPr>
            <w:tcW w:w="1340" w:type="dxa"/>
            <w:vAlign w:val="bottom"/>
            <w:tcBorders>
              <w:bottom w:val="single" w:sz="8" w:color="5C004D"/>
            </w:tcBorders>
          </w:tcPr>
          <w:p>
            <w:pPr>
              <w:jc w:val="right"/>
              <w:ind w:right="260"/>
              <w:spacing w:after="0"/>
              <w:rPr>
                <w:sz w:val="20"/>
                <w:szCs w:val="20"/>
                <w:color w:val="auto"/>
              </w:rPr>
            </w:pPr>
            <w:r>
              <w:rPr>
                <w:rFonts w:ascii="PMingLiU" w:cs="PMingLiU" w:eastAsia="PMingLiU" w:hAnsi="PMingLiU"/>
                <w:sz w:val="16"/>
                <w:szCs w:val="16"/>
                <w:b w:val="1"/>
                <w:bCs w:val="1"/>
                <w:color w:val="5C004D"/>
              </w:rPr>
              <w:t/>
            </w:r>
          </w:p>
        </w:tc>
        <w:tc>
          <w:tcPr>
            <w:tcW w:w="10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5HSUHVHQWVDQQXDOEDVHVDODU\UDWHIRUWKHDSSOLFDEOH\HDU0V3DWLO¶VEDVHVDODU\EHFDPHHIIHFWLYH0DUFK</w:t>
      </w:r>
    </w:p>
    <w:p>
      <w:pPr>
        <w:spacing w:after="0" w:line="90" w:lineRule="exact"/>
        <w:rPr>
          <w:sz w:val="20"/>
          <w:szCs w:val="20"/>
          <w:color w:val="auto"/>
        </w:rPr>
      </w:pPr>
    </w:p>
    <w:p>
      <w:pPr>
        <w:ind w:left="360" w:right="100" w:hanging="359"/>
        <w:spacing w:after="0" w:line="295" w:lineRule="auto"/>
        <w:tabs>
          <w:tab w:leader="none" w:pos="340" w:val="left"/>
        </w:tabs>
        <w:rPr>
          <w:sz w:val="20"/>
          <w:szCs w:val="20"/>
          <w:color w:val="auto"/>
        </w:rPr>
      </w:pPr>
      <w:r>
        <w:rPr>
          <w:rFonts w:ascii="PMingLiU" w:cs="PMingLiU" w:eastAsia="PMingLiU" w:hAnsi="PMingLiU"/>
          <w:sz w:val="14"/>
          <w:szCs w:val="14"/>
          <w:color w:val="auto"/>
        </w:rPr>
        <w:t/>
        <w:tab/>
        <w:t>7KHDPRXQWUHIOHFWVDWDUJHWSHUIRUPDQFHERQXVRIRIEDVHVDODU\UDWHDVRI'HFHPEHUDQLQFUHDVHIURPLQ 7KHDFWXDOSHUIRUPDQFHERQXVSDLGZDVUHIOHFWLQJRIWDUJHWSHUIRUPDQFHERQXVEDVHGRQWKHRYHUDOO DFKLHYHPHQWRIWKHFRUSRUDWHSHUIRUPDQFHREMHFWLYHVDQG0V3DWLO¶VLQGLYLGXDOFRQWULEXWLRQVDQGOHDGHUVKLSRIWKHOHJDO RUJDQL]DWLRQGXULQJ</w:t>
      </w:r>
    </w:p>
    <w:p>
      <w:pPr>
        <w:spacing w:after="0" w:line="33" w:lineRule="exact"/>
        <w:rPr>
          <w:sz w:val="20"/>
          <w:szCs w:val="20"/>
          <w:color w:val="auto"/>
        </w:rPr>
      </w:pPr>
    </w:p>
    <w:p>
      <w:pPr>
        <w:ind w:left="360" w:right="80" w:hanging="359"/>
        <w:spacing w:after="0" w:line="476" w:lineRule="auto"/>
        <w:tabs>
          <w:tab w:leader="none" w:pos="340" w:val="left"/>
        </w:tabs>
        <w:rPr>
          <w:sz w:val="20"/>
          <w:szCs w:val="20"/>
          <w:color w:val="auto"/>
        </w:rPr>
      </w:pPr>
      <w:r>
        <w:rPr>
          <w:rFonts w:ascii="PMingLiU" w:cs="PMingLiU" w:eastAsia="PMingLiU" w:hAnsi="PMingLiU"/>
          <w:sz w:val="12"/>
          <w:szCs w:val="12"/>
          <w:color w:val="auto"/>
        </w:rPr>
        <w:t/>
        <w:tab/>
        <w:t>7KHWDUJHWWRWDOHTXLW\FRPSHQVDWLRQDQGWKHFRPSRQHQWVWKHUHRISUHVHQWHGLQWKHFKDUWDERYHUHIOHFWWKHWDUJHWGROODUYDOXHVDSSURYHG E\RXU&amp;RPSHQVDWLRQ&amp;RPPLWWHHWKHVHYDOXHVGLIIHUVIURPWKHYDOXHVUHTXLUHGWREHVKRZQLQWKH6XPPDU\&amp;RPSHQVDWLRQ7DEOHDQG *UDQWVRI3ODQ%DVHG$ZDUGVLQ)LVFDOWDEOHDVDSSOLFDEOHDVIXUWKHUGHVFULEHGDERYHLQ</w:t>
      </w:r>
      <w:r>
        <w:rPr>
          <w:rFonts w:ascii="PMingLiU" w:cs="PMingLiU" w:eastAsia="PMingLiU" w:hAnsi="PMingLiU"/>
          <w:sz w:val="12"/>
          <w:szCs w:val="12"/>
          <w:i w:val="1"/>
          <w:iCs w:val="1"/>
          <w:color w:val="auto"/>
        </w:rPr>
        <w:t>E#;33(8?5-  536,49(:054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,*090549 54.$,834*,4:0&lt;,!85.8(3</w:t>
      </w:r>
      <w:r>
        <w:rPr>
          <w:rFonts w:ascii="PMingLiU" w:cs="PMingLiU" w:eastAsia="PMingLiU" w:hAnsi="PMingLiU"/>
          <w:sz w:val="12"/>
          <w:szCs w:val="12"/>
          <w:color w:val="auto"/>
        </w:rPr>
        <w:t>´</w:t>
      </w:r>
    </w:p>
    <w:p>
      <w:pPr>
        <w:spacing w:after="0" w:line="2" w:lineRule="exact"/>
        <w:rPr>
          <w:sz w:val="20"/>
          <w:szCs w:val="20"/>
          <w:color w:val="auto"/>
        </w:rPr>
      </w:pPr>
    </w:p>
    <w:p>
      <w:pPr>
        <w:ind w:left="360" w:right="2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5HSUHVHQWVDRQHWLPHWDUJHWUHWHQWLRQ568JUDQWUHFHLYHGE\0V3DWLOLQ)HEUXDU\7KLVUHWHQWLRQJUDQWZLOOYHVWLQIXOORQ-XQH SURYLGHGJHQHUDOO\WKDW0V3DWLOUHPDLQVHPSOR\HGZLWKRXU&amp;RPSDQ\WKURXJKWKDWGDWH6HH³</w:t>
      </w:r>
      <w:r>
        <w:rPr>
          <w:rFonts w:ascii="PMingLiU" w:cs="PMingLiU" w:eastAsia="PMingLiU" w:hAnsi="PMingLiU"/>
          <w:sz w:val="14"/>
          <w:szCs w:val="14"/>
          <w:i w:val="1"/>
          <w:iCs w:val="1"/>
          <w:color w:val="auto"/>
        </w:rPr>
        <w:t>#;33(8?5-  536,49(:054</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,*090549 #6,*0(2",:,4:0548(4:9</w:t>
      </w:r>
      <w:r>
        <w:rPr>
          <w:rFonts w:ascii="PMingLiU" w:cs="PMingLiU" w:eastAsia="PMingLiU" w:hAnsi="PMingLiU"/>
          <w:sz w:val="14"/>
          <w:szCs w:val="14"/>
          <w:color w:val="auto"/>
        </w:rPr>
        <w:t>´DERYHIRUPRUHLQIRUPDWLRQUHJDUGLQJWKHUHWHQWLRQJUDQWVWRRXU1(2V</w:t>
      </w:r>
    </w:p>
    <w:p>
      <w:pPr>
        <w:spacing w:after="0" w:line="24" w:lineRule="exact"/>
        <w:rPr>
          <w:sz w:val="20"/>
          <w:szCs w:val="20"/>
          <w:color w:val="auto"/>
        </w:rPr>
      </w:pPr>
    </w:p>
    <w:p>
      <w:pPr>
        <w:ind w:left="360" w:right="140" w:hanging="359"/>
        <w:spacing w:after="0" w:line="301" w:lineRule="auto"/>
        <w:tabs>
          <w:tab w:leader="none" w:pos="340" w:val="left"/>
        </w:tabs>
        <w:rPr>
          <w:sz w:val="20"/>
          <w:szCs w:val="20"/>
          <w:color w:val="auto"/>
        </w:rPr>
      </w:pPr>
      <w:r>
        <w:rPr>
          <w:rFonts w:ascii="PMingLiU" w:cs="PMingLiU" w:eastAsia="PMingLiU" w:hAnsi="PMingLiU"/>
          <w:sz w:val="13"/>
          <w:szCs w:val="13"/>
          <w:color w:val="auto"/>
        </w:rPr>
        <w:t/>
        <w:tab/>
        <w:t>2XU&amp;RPSHQVDWLRQ&amp;RPPLWWHHGHVLJQHG0V3DWLO¶VWDUJHWWRWDOGLUHFWFRPSHQVDWLRQWREHFRPSHWLWLYHDVFRPSDUHGWRPDUNHWGDWDDV GHVFULEHGLQPRUHGHWDLODERYHLQ³</w:t>
      </w:r>
      <w:r>
        <w:rPr>
          <w:rFonts w:ascii="PMingLiU" w:cs="PMingLiU" w:eastAsia="PMingLiU" w:hAnsi="PMingLiU"/>
          <w:sz w:val="13"/>
          <w:szCs w:val="13"/>
          <w:i w:val="1"/>
          <w:iCs w:val="1"/>
          <w:color w:val="auto"/>
        </w:rPr>
        <w:t>5=',,:,8304,&gt;,*;:0&lt;,536,49(:054 536,:0:0&lt;,99,993,4:5-536,49(:054A!,,8</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536(40,9(4+(81,:(:(F</w:t>
      </w:r>
      <w:r>
        <w:rPr>
          <w:rFonts w:ascii="PMingLiU" w:cs="PMingLiU" w:eastAsia="PMingLiU" w:hAnsi="PMingLiU"/>
          <w:sz w:val="13"/>
          <w:szCs w:val="13"/>
          <w:color w:val="auto"/>
        </w:rPr>
        <w:t>DSSURSULDWHIURPDQLQWHUQDOHTXLW\SHUVSHFWLYHDQGPRUHKHDYLO\ZHLJKWHGWRZDUGVHTXLW\FRPSHQVDWLRQ</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LQOLQHZLWKRXUSD\IRUSHUIRUPDQFHSKLORVRSK\2XU&amp;RPSHQVDWLRQ&amp;RPPLWWHHGHWHUPLQHGLWZDVDSSURSULDWHWRLQFUHDVH0V3DWLO¶V</w:t>
      </w:r>
    </w:p>
    <w:p>
      <w:pPr>
        <w:spacing w:after="0" w:line="2" w:lineRule="exact"/>
        <w:rPr>
          <w:sz w:val="20"/>
          <w:szCs w:val="20"/>
          <w:color w:val="auto"/>
        </w:rPr>
      </w:pPr>
    </w:p>
    <w:p>
      <w:pPr>
        <w:ind w:left="360" w:right="120"/>
        <w:spacing w:after="0" w:line="349" w:lineRule="auto"/>
        <w:rPr>
          <w:sz w:val="20"/>
          <w:szCs w:val="20"/>
          <w:color w:val="auto"/>
        </w:rPr>
      </w:pPr>
      <w:r>
        <w:rPr>
          <w:rFonts w:ascii="PMingLiU" w:cs="PMingLiU" w:eastAsia="PMingLiU" w:hAnsi="PMingLiU"/>
          <w:sz w:val="12"/>
          <w:szCs w:val="12"/>
          <w:color w:val="auto"/>
        </w:rPr>
        <w:t>WDUJHWWRWDOGLUHFWFRPSHQVDWLRQLQDQDPRXQWQHFHVVDU\WRUHIOHFWKHUVFRSHRIUHVSRQVLELOLW\DQGRYHUVLJKWRIVLJQLILFDQWIXQFWLRQVZLWKLQ WKHRUJDQL]DWLRQDVZHOODVWRPDLQWDLQFRPSHWLWLYHSRVLWLRQLQJUHODWLYHWRWKHPDUNHWGDWDDQGWKHRWKHU1(2V%DVHGRQRXU &amp;RPSHQVDWLRQ&amp;RPPLWWHH¶VSURIHVVLRQDOH[SHULHQFHDQGMXGJPHQWRXU&amp;RPSHQVDWLRQ&amp;RPPLWWHHGHWHUPLQHG0V3DWLO¶VWDUJHWWRWDO GLUHFWFRPSHQVDWLRQWREHFRPSHWLWLYHDQGDSSURSULDWH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3472815</wp:posOffset>
            </wp:positionV>
            <wp:extent cx="1389380" cy="2343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301">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81" w:name="page82"/>
    <w:bookmarkEnd w:id="8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26" o:spid="_x0000_s1451"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6DPDQWKD3HDUFH([HFXWLYH9LFH3UHVLGHQW&amp;KLHI&amp;RPPHUFLDO2IILFHU</w:t>
      </w:r>
      <w:r>
        <w:rPr>
          <w:rFonts w:ascii="PMingLiU" w:cs="PMingLiU" w:eastAsia="PMingLiU" w:hAnsi="PMingLiU"/>
          <w:sz w:val="13"/>
          <w:szCs w:val="13"/>
          <w:b w:val="1"/>
          <w:bCs w:val="1"/>
          <w:color w:val="000046"/>
        </w:rPr>
        <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640" w:type="dxa"/>
            <w:vAlign w:val="bottom"/>
            <w:shd w:val="clear" w:color="auto" w:fill="000046"/>
          </w:tcPr>
          <w:p>
            <w:pPr>
              <w:spacing w:after="0"/>
              <w:rPr>
                <w:sz w:val="23"/>
                <w:szCs w:val="23"/>
                <w:color w:val="auto"/>
              </w:rPr>
            </w:pPr>
          </w:p>
        </w:tc>
        <w:tc>
          <w:tcPr>
            <w:tcW w:w="304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3D\</w:t>
            </w:r>
          </w:p>
        </w:tc>
        <w:tc>
          <w:tcPr>
            <w:tcW w:w="1280" w:type="dxa"/>
            <w:vAlign w:val="bottom"/>
            <w:shd w:val="clear" w:color="auto" w:fill="000046"/>
          </w:tcPr>
          <w:p>
            <w:pPr>
              <w:jc w:val="right"/>
              <w:ind w:right="200"/>
              <w:spacing w:after="0"/>
              <w:rPr>
                <w:sz w:val="20"/>
                <w:szCs w:val="20"/>
                <w:color w:val="auto"/>
              </w:rPr>
            </w:pPr>
            <w:r>
              <w:rPr>
                <w:rFonts w:ascii="PMingLiU" w:cs="PMingLiU" w:eastAsia="PMingLiU" w:hAnsi="PMingLiU"/>
                <w:sz w:val="16"/>
                <w:szCs w:val="16"/>
                <w:b w:val="1"/>
                <w:bCs w:val="1"/>
                <w:color w:val="FFFFFF"/>
              </w:rPr>
              <w:t>3D\</w:t>
            </w:r>
          </w:p>
        </w:tc>
        <w:tc>
          <w:tcPr>
            <w:tcW w:w="112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&amp;KDQJH</w:t>
            </w:r>
            <w:r>
              <w:rPr>
                <w:rFonts w:ascii="PMingLiU" w:cs="PMingLiU" w:eastAsia="PMingLiU" w:hAnsi="PMingLiU"/>
                <w:sz w:val="20"/>
                <w:szCs w:val="20"/>
                <w:b w:val="1"/>
                <w:bCs w:val="1"/>
                <w:color w:val="FFFFFF"/>
                <w:vertAlign w:val="superscript"/>
              </w:rPr>
              <w:t/>
            </w:r>
          </w:p>
        </w:tc>
      </w:tr>
      <w:tr>
        <w:trPr>
          <w:trHeight w:val="221"/>
        </w:trPr>
        <w:tc>
          <w:tcPr>
            <w:tcW w:w="4640" w:type="dxa"/>
            <w:vAlign w:val="bottom"/>
            <w:shd w:val="clear" w:color="auto" w:fill="000046"/>
          </w:tcPr>
          <w:p>
            <w:pPr>
              <w:spacing w:after="0"/>
              <w:rPr>
                <w:sz w:val="19"/>
                <w:szCs w:val="19"/>
                <w:color w:val="auto"/>
              </w:rPr>
            </w:pPr>
          </w:p>
        </w:tc>
        <w:tc>
          <w:tcPr>
            <w:tcW w:w="3040" w:type="dxa"/>
            <w:vAlign w:val="bottom"/>
            <w:shd w:val="clear" w:color="auto" w:fill="000046"/>
          </w:tcPr>
          <w:p>
            <w:pPr>
              <w:jc w:val="right"/>
              <w:ind w:right="220"/>
              <w:spacing w:after="0"/>
              <w:rPr>
                <w:sz w:val="20"/>
                <w:szCs w:val="20"/>
                <w:color w:val="auto"/>
              </w:rPr>
            </w:pPr>
            <w:r>
              <w:rPr>
                <w:rFonts w:ascii="PMingLiU" w:cs="PMingLiU" w:eastAsia="PMingLiU" w:hAnsi="PMingLiU"/>
                <w:sz w:val="16"/>
                <w:szCs w:val="16"/>
                <w:b w:val="1"/>
                <w:bCs w:val="1"/>
                <w:color w:val="FFFFFF"/>
              </w:rPr>
              <w:t/>
            </w:r>
          </w:p>
        </w:tc>
        <w:tc>
          <w:tcPr>
            <w:tcW w:w="1280" w:type="dxa"/>
            <w:vAlign w:val="bottom"/>
            <w:shd w:val="clear" w:color="auto" w:fill="000046"/>
          </w:tcPr>
          <w:p>
            <w:pPr>
              <w:jc w:val="right"/>
              <w:ind w:right="200"/>
              <w:spacing w:after="0"/>
              <w:rPr>
                <w:sz w:val="20"/>
                <w:szCs w:val="20"/>
                <w:color w:val="auto"/>
              </w:rPr>
            </w:pPr>
            <w:r>
              <w:rPr>
                <w:rFonts w:ascii="PMingLiU" w:cs="PMingLiU" w:eastAsia="PMingLiU" w:hAnsi="PMingLiU"/>
                <w:sz w:val="16"/>
                <w:szCs w:val="16"/>
                <w:b w:val="1"/>
                <w:bCs w:val="1"/>
                <w:color w:val="FFFFFF"/>
              </w:rPr>
              <w:t/>
            </w:r>
          </w:p>
        </w:tc>
        <w:tc>
          <w:tcPr>
            <w:tcW w:w="112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
            </w:r>
          </w:p>
        </w:tc>
      </w:tr>
      <w:tr>
        <w:trPr>
          <w:trHeight w:val="64"/>
        </w:trPr>
        <w:tc>
          <w:tcPr>
            <w:tcW w:w="4640" w:type="dxa"/>
            <w:vAlign w:val="bottom"/>
            <w:shd w:val="clear" w:color="auto" w:fill="000046"/>
          </w:tcPr>
          <w:p>
            <w:pPr>
              <w:spacing w:after="0"/>
              <w:rPr>
                <w:sz w:val="5"/>
                <w:szCs w:val="5"/>
                <w:color w:val="auto"/>
              </w:rPr>
            </w:pPr>
          </w:p>
        </w:tc>
        <w:tc>
          <w:tcPr>
            <w:tcW w:w="3040" w:type="dxa"/>
            <w:vAlign w:val="bottom"/>
            <w:shd w:val="clear" w:color="auto" w:fill="000046"/>
          </w:tcPr>
          <w:p>
            <w:pPr>
              <w:spacing w:after="0"/>
              <w:rPr>
                <w:sz w:val="5"/>
                <w:szCs w:val="5"/>
                <w:color w:val="auto"/>
              </w:rPr>
            </w:pPr>
          </w:p>
        </w:tc>
        <w:tc>
          <w:tcPr>
            <w:tcW w:w="1280" w:type="dxa"/>
            <w:vAlign w:val="bottom"/>
            <w:shd w:val="clear" w:color="auto" w:fill="000046"/>
          </w:tcPr>
          <w:p>
            <w:pPr>
              <w:spacing w:after="0"/>
              <w:rPr>
                <w:sz w:val="5"/>
                <w:szCs w:val="5"/>
                <w:color w:val="auto"/>
              </w:rPr>
            </w:pPr>
          </w:p>
        </w:tc>
        <w:tc>
          <w:tcPr>
            <w:tcW w:w="1120" w:type="dxa"/>
            <w:vAlign w:val="bottom"/>
            <w:shd w:val="clear" w:color="auto" w:fill="000046"/>
          </w:tcPr>
          <w:p>
            <w:pPr>
              <w:spacing w:after="0"/>
              <w:rPr>
                <w:sz w:val="5"/>
                <w:szCs w:val="5"/>
                <w:color w:val="auto"/>
              </w:rPr>
            </w:pPr>
          </w:p>
        </w:tc>
      </w:tr>
      <w:tr>
        <w:trPr>
          <w:trHeight w:val="315"/>
        </w:trPr>
        <w:tc>
          <w:tcPr>
            <w:tcW w:w="4640" w:type="dxa"/>
            <w:vAlign w:val="bottom"/>
          </w:tcPr>
          <w:p>
            <w:pPr>
              <w:ind w:left="100"/>
              <w:spacing w:after="0"/>
              <w:rPr>
                <w:sz w:val="20"/>
                <w:szCs w:val="20"/>
                <w:color w:val="auto"/>
              </w:rPr>
            </w:pPr>
            <w:r>
              <w:rPr>
                <w:rFonts w:ascii="PMingLiU" w:cs="PMingLiU" w:eastAsia="PMingLiU" w:hAnsi="PMingLiU"/>
                <w:sz w:val="16"/>
                <w:szCs w:val="16"/>
                <w:b w:val="1"/>
                <w:bCs w:val="1"/>
                <w:color w:val="000046"/>
              </w:rPr>
              <w:t>7DUJHW7RWDO&amp;DVK&amp;RPSHQVDWLRQ</w:t>
            </w:r>
          </w:p>
        </w:tc>
        <w:tc>
          <w:tcPr>
            <w:tcW w:w="3040" w:type="dxa"/>
            <w:vAlign w:val="bottom"/>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280" w:type="dxa"/>
            <w:vAlign w:val="bottom"/>
          </w:tcPr>
          <w:p>
            <w:pPr>
              <w:jc w:val="right"/>
              <w:ind w:right="200"/>
              <w:spacing w:after="0"/>
              <w:rPr>
                <w:sz w:val="20"/>
                <w:szCs w:val="20"/>
                <w:color w:val="auto"/>
              </w:rPr>
            </w:pPr>
            <w:r>
              <w:rPr>
                <w:rFonts w:ascii="PMingLiU" w:cs="PMingLiU" w:eastAsia="PMingLiU" w:hAnsi="PMingLiU"/>
                <w:sz w:val="16"/>
                <w:szCs w:val="16"/>
                <w:b w:val="1"/>
                <w:bCs w:val="1"/>
                <w:color w:val="000046"/>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87"/>
        </w:trPr>
        <w:tc>
          <w:tcPr>
            <w:tcW w:w="4640" w:type="dxa"/>
            <w:vAlign w:val="bottom"/>
            <w:tcBorders>
              <w:bottom w:val="single" w:sz="8" w:color="4454A7"/>
            </w:tcBorders>
          </w:tcPr>
          <w:p>
            <w:pPr>
              <w:spacing w:after="0"/>
              <w:rPr>
                <w:sz w:val="7"/>
                <w:szCs w:val="7"/>
                <w:color w:val="auto"/>
              </w:rPr>
            </w:pPr>
          </w:p>
        </w:tc>
        <w:tc>
          <w:tcPr>
            <w:tcW w:w="3040" w:type="dxa"/>
            <w:vAlign w:val="bottom"/>
            <w:tcBorders>
              <w:bottom w:val="single" w:sz="8" w:color="4454A7"/>
            </w:tcBorders>
          </w:tcPr>
          <w:p>
            <w:pPr>
              <w:spacing w:after="0"/>
              <w:rPr>
                <w:sz w:val="7"/>
                <w:szCs w:val="7"/>
                <w:color w:val="auto"/>
              </w:rPr>
            </w:pPr>
          </w:p>
        </w:tc>
        <w:tc>
          <w:tcPr>
            <w:tcW w:w="1280" w:type="dxa"/>
            <w:vAlign w:val="bottom"/>
            <w:tcBorders>
              <w:bottom w:val="single" w:sz="8" w:color="4454A7"/>
            </w:tcBorders>
          </w:tcPr>
          <w:p>
            <w:pPr>
              <w:spacing w:after="0"/>
              <w:rPr>
                <w:sz w:val="7"/>
                <w:szCs w:val="7"/>
                <w:color w:val="auto"/>
              </w:rPr>
            </w:pPr>
          </w:p>
        </w:tc>
        <w:tc>
          <w:tcPr>
            <w:tcW w:w="1120" w:type="dxa"/>
            <w:vAlign w:val="bottom"/>
            <w:tcBorders>
              <w:bottom w:val="single" w:sz="8" w:color="4454A7"/>
            </w:tcBorders>
          </w:tcPr>
          <w:p>
            <w:pPr>
              <w:spacing w:after="0"/>
              <w:rPr>
                <w:sz w:val="7"/>
                <w:szCs w:val="7"/>
                <w:color w:val="auto"/>
              </w:rPr>
            </w:pPr>
          </w:p>
        </w:tc>
      </w:tr>
      <w:tr>
        <w:trPr>
          <w:trHeight w:val="360"/>
        </w:trPr>
        <w:tc>
          <w:tcPr>
            <w:tcW w:w="4640" w:type="dxa"/>
            <w:vAlign w:val="bottom"/>
          </w:tcPr>
          <w:p>
            <w:pPr>
              <w:ind w:left="460"/>
              <w:spacing w:after="0"/>
              <w:rPr>
                <w:sz w:val="20"/>
                <w:szCs w:val="20"/>
                <w:color w:val="auto"/>
              </w:rPr>
            </w:pPr>
            <w:r>
              <w:rPr>
                <w:rFonts w:ascii="PMingLiU" w:cs="PMingLiU" w:eastAsia="PMingLiU" w:hAnsi="PMingLiU"/>
                <w:sz w:val="16"/>
                <w:szCs w:val="16"/>
                <w:color w:val="auto"/>
              </w:rPr>
              <w:t>%DVH6DODU\</w:t>
            </w:r>
            <w:r>
              <w:rPr>
                <w:rFonts w:ascii="PMingLiU" w:cs="PMingLiU" w:eastAsia="PMingLiU" w:hAnsi="PMingLiU"/>
                <w:sz w:val="20"/>
                <w:szCs w:val="20"/>
                <w:color w:val="auto"/>
                <w:vertAlign w:val="superscript"/>
              </w:rPr>
              <w:t/>
            </w:r>
          </w:p>
        </w:tc>
        <w:tc>
          <w:tcPr>
            <w:tcW w:w="304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28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640" w:type="dxa"/>
            <w:vAlign w:val="bottom"/>
            <w:tcBorders>
              <w:bottom w:val="single" w:sz="8" w:color="4454A7"/>
            </w:tcBorders>
          </w:tcPr>
          <w:p>
            <w:pPr>
              <w:spacing w:after="0"/>
              <w:rPr>
                <w:sz w:val="2"/>
                <w:szCs w:val="2"/>
                <w:color w:val="auto"/>
              </w:rPr>
            </w:pPr>
          </w:p>
        </w:tc>
        <w:tc>
          <w:tcPr>
            <w:tcW w:w="3040" w:type="dxa"/>
            <w:vAlign w:val="bottom"/>
            <w:tcBorders>
              <w:bottom w:val="single" w:sz="8" w:color="4454A7"/>
            </w:tcBorders>
          </w:tcPr>
          <w:p>
            <w:pPr>
              <w:spacing w:after="0"/>
              <w:rPr>
                <w:sz w:val="2"/>
                <w:szCs w:val="2"/>
                <w:color w:val="auto"/>
              </w:rPr>
            </w:pPr>
          </w:p>
        </w:tc>
        <w:tc>
          <w:tcPr>
            <w:tcW w:w="1280" w:type="dxa"/>
            <w:vAlign w:val="bottom"/>
            <w:tcBorders>
              <w:bottom w:val="single" w:sz="8" w:color="4454A7"/>
            </w:tcBorders>
          </w:tcPr>
          <w:p>
            <w:pPr>
              <w:spacing w:after="0"/>
              <w:rPr>
                <w:sz w:val="2"/>
                <w:szCs w:val="2"/>
                <w:color w:val="auto"/>
              </w:rPr>
            </w:pPr>
          </w:p>
        </w:tc>
        <w:tc>
          <w:tcPr>
            <w:tcW w:w="1120" w:type="dxa"/>
            <w:vAlign w:val="bottom"/>
            <w:tcBorders>
              <w:bottom w:val="single" w:sz="8" w:color="4454A7"/>
            </w:tcBorders>
          </w:tcPr>
          <w:p>
            <w:pPr>
              <w:spacing w:after="0"/>
              <w:rPr>
                <w:sz w:val="2"/>
                <w:szCs w:val="2"/>
                <w:color w:val="auto"/>
              </w:rPr>
            </w:pPr>
          </w:p>
        </w:tc>
      </w:tr>
      <w:tr>
        <w:trPr>
          <w:trHeight w:val="360"/>
        </w:trPr>
        <w:tc>
          <w:tcPr>
            <w:tcW w:w="4640" w:type="dxa"/>
            <w:vAlign w:val="bottom"/>
          </w:tcPr>
          <w:p>
            <w:pPr>
              <w:ind w:left="460"/>
              <w:spacing w:after="0"/>
              <w:rPr>
                <w:sz w:val="20"/>
                <w:szCs w:val="20"/>
                <w:color w:val="auto"/>
              </w:rPr>
            </w:pPr>
            <w:r>
              <w:rPr>
                <w:rFonts w:ascii="PMingLiU" w:cs="PMingLiU" w:eastAsia="PMingLiU" w:hAnsi="PMingLiU"/>
                <w:sz w:val="16"/>
                <w:szCs w:val="16"/>
                <w:color w:val="auto"/>
              </w:rPr>
              <w:t>7DUJHW3HUIRUPDQFH%RQXV</w:t>
            </w:r>
            <w:r>
              <w:rPr>
                <w:rFonts w:ascii="PMingLiU" w:cs="PMingLiU" w:eastAsia="PMingLiU" w:hAnsi="PMingLiU"/>
                <w:sz w:val="20"/>
                <w:szCs w:val="20"/>
                <w:color w:val="auto"/>
                <w:vertAlign w:val="superscript"/>
              </w:rPr>
              <w:t/>
            </w:r>
          </w:p>
        </w:tc>
        <w:tc>
          <w:tcPr>
            <w:tcW w:w="304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280" w:type="dxa"/>
            <w:vAlign w:val="bottom"/>
          </w:tcPr>
          <w:p>
            <w:pPr>
              <w:jc w:val="right"/>
              <w:ind w:right="200"/>
              <w:spacing w:after="0"/>
              <w:rPr>
                <w:sz w:val="20"/>
                <w:szCs w:val="20"/>
                <w:color w:val="auto"/>
              </w:rPr>
            </w:pPr>
            <w:r>
              <w:rPr>
                <w:rFonts w:ascii="PMingLiU" w:cs="PMingLiU" w:eastAsia="PMingLiU" w:hAnsi="PMingLiU"/>
                <w:sz w:val="16"/>
                <w:szCs w:val="16"/>
                <w:color w:val="auto"/>
              </w:rPr>
              <w:t/>
            </w:r>
          </w:p>
        </w:tc>
        <w:tc>
          <w:tcPr>
            <w:tcW w:w="112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640" w:type="dxa"/>
            <w:vAlign w:val="bottom"/>
            <w:tcBorders>
              <w:bottom w:val="single" w:sz="8" w:color="4454A7"/>
            </w:tcBorders>
          </w:tcPr>
          <w:p>
            <w:pPr>
              <w:spacing w:after="0"/>
              <w:rPr>
                <w:sz w:val="2"/>
                <w:szCs w:val="2"/>
                <w:color w:val="auto"/>
              </w:rPr>
            </w:pPr>
          </w:p>
        </w:tc>
        <w:tc>
          <w:tcPr>
            <w:tcW w:w="3040" w:type="dxa"/>
            <w:vAlign w:val="bottom"/>
            <w:tcBorders>
              <w:bottom w:val="single" w:sz="8" w:color="4454A7"/>
            </w:tcBorders>
          </w:tcPr>
          <w:p>
            <w:pPr>
              <w:spacing w:after="0"/>
              <w:rPr>
                <w:sz w:val="2"/>
                <w:szCs w:val="2"/>
                <w:color w:val="auto"/>
              </w:rPr>
            </w:pPr>
          </w:p>
        </w:tc>
        <w:tc>
          <w:tcPr>
            <w:tcW w:w="1280" w:type="dxa"/>
            <w:vAlign w:val="bottom"/>
            <w:tcBorders>
              <w:bottom w:val="single" w:sz="8" w:color="4454A7"/>
            </w:tcBorders>
          </w:tcPr>
          <w:p>
            <w:pPr>
              <w:spacing w:after="0"/>
              <w:rPr>
                <w:sz w:val="2"/>
                <w:szCs w:val="2"/>
                <w:color w:val="auto"/>
              </w:rPr>
            </w:pPr>
          </w:p>
        </w:tc>
        <w:tc>
          <w:tcPr>
            <w:tcW w:w="1120" w:type="dxa"/>
            <w:vAlign w:val="bottom"/>
            <w:tcBorders>
              <w:bottom w:val="single" w:sz="8" w:color="4454A7"/>
            </w:tcBorders>
          </w:tcPr>
          <w:p>
            <w:pPr>
              <w:spacing w:after="0"/>
              <w:rPr>
                <w:sz w:val="2"/>
                <w:szCs w:val="2"/>
                <w:color w:val="auto"/>
              </w:rPr>
            </w:pPr>
          </w:p>
        </w:tc>
      </w:tr>
      <w:tr>
        <w:trPr>
          <w:trHeight w:val="360"/>
        </w:trPr>
        <w:tc>
          <w:tcPr>
            <w:tcW w:w="4640" w:type="dxa"/>
            <w:vAlign w:val="bottom"/>
          </w:tcPr>
          <w:p>
            <w:pPr>
              <w:ind w:left="460"/>
              <w:spacing w:after="0"/>
              <w:rPr>
                <w:sz w:val="20"/>
                <w:szCs w:val="20"/>
                <w:color w:val="auto"/>
              </w:rPr>
            </w:pPr>
            <w:r>
              <w:rPr>
                <w:rFonts w:ascii="PMingLiU" w:cs="PMingLiU" w:eastAsia="PMingLiU" w:hAnsi="PMingLiU"/>
                <w:sz w:val="16"/>
                <w:szCs w:val="16"/>
                <w:color w:val="auto"/>
              </w:rPr>
              <w:t>3URPRWLRQ%RQXV</w:t>
            </w:r>
            <w:r>
              <w:rPr>
                <w:rFonts w:ascii="PMingLiU" w:cs="PMingLiU" w:eastAsia="PMingLiU" w:hAnsi="PMingLiU"/>
                <w:sz w:val="20"/>
                <w:szCs w:val="20"/>
                <w:color w:val="auto"/>
                <w:vertAlign w:val="superscript"/>
              </w:rPr>
              <w:t/>
            </w:r>
          </w:p>
        </w:tc>
        <w:tc>
          <w:tcPr>
            <w:tcW w:w="304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6400165"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35pt" to="503.85pt,1.35pt" o:allowincell="f" strokecolor="#4454A7" strokeweight="0.25pt"/>
            </w:pict>
          </mc:Fallback>
        </mc:AlternateConten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760" w:type="dxa"/>
            <w:vAlign w:val="bottom"/>
            <w:tcBorders>
              <w:bottom w:val="single" w:sz="8" w:color="4454A7"/>
            </w:tcBorders>
          </w:tcPr>
          <w:p>
            <w:pPr>
              <w:ind w:left="100"/>
              <w:spacing w:after="0"/>
              <w:rPr>
                <w:sz w:val="20"/>
                <w:szCs w:val="20"/>
                <w:color w:val="auto"/>
              </w:rPr>
            </w:pPr>
            <w:r>
              <w:rPr>
                <w:rFonts w:ascii="PMingLiU" w:cs="PMingLiU" w:eastAsia="PMingLiU" w:hAnsi="PMingLiU"/>
                <w:sz w:val="16"/>
                <w:szCs w:val="16"/>
                <w:b w:val="1"/>
                <w:bCs w:val="1"/>
                <w:color w:val="000046"/>
              </w:rPr>
              <w:t>7DUJHW7RWDO(TXLW\&amp;RPSHQVDWLRQ</w:t>
            </w:r>
            <w:r>
              <w:rPr>
                <w:rFonts w:ascii="PMingLiU" w:cs="PMingLiU" w:eastAsia="PMingLiU" w:hAnsi="PMingLiU"/>
                <w:sz w:val="20"/>
                <w:szCs w:val="20"/>
                <w:b w:val="1"/>
                <w:bCs w:val="1"/>
                <w:color w:val="000046"/>
                <w:vertAlign w:val="superscript"/>
              </w:rPr>
              <w:t/>
            </w:r>
          </w:p>
        </w:tc>
        <w:tc>
          <w:tcPr>
            <w:tcW w:w="2920" w:type="dxa"/>
            <w:vAlign w:val="bottom"/>
            <w:tcBorders>
              <w:bottom w:val="single" w:sz="8" w:color="4454A7"/>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440" w:type="dxa"/>
            <w:vAlign w:val="bottom"/>
            <w:tcBorders>
              <w:bottom w:val="single" w:sz="8" w:color="4454A7"/>
            </w:tcBorders>
          </w:tcPr>
          <w:p>
            <w:pPr>
              <w:jc w:val="right"/>
              <w:ind w:right="360"/>
              <w:spacing w:after="0"/>
              <w:rPr>
                <w:sz w:val="20"/>
                <w:szCs w:val="20"/>
                <w:color w:val="auto"/>
              </w:rPr>
            </w:pPr>
            <w:r>
              <w:rPr>
                <w:rFonts w:ascii="PMingLiU" w:cs="PMingLiU" w:eastAsia="PMingLiU" w:hAnsi="PMingLiU"/>
                <w:sz w:val="16"/>
                <w:szCs w:val="16"/>
                <w:b w:val="1"/>
                <w:bCs w:val="1"/>
                <w:color w:val="000046"/>
              </w:rPr>
              <w:t/>
            </w:r>
          </w:p>
        </w:tc>
        <w:tc>
          <w:tcPr>
            <w:tcW w:w="960" w:type="dxa"/>
            <w:vAlign w:val="bottom"/>
            <w:tcBorders>
              <w:bottom w:val="single" w:sz="8" w:color="4454A7"/>
            </w:tcBorders>
          </w:tcPr>
          <w:p>
            <w:pPr>
              <w:jc w:val="right"/>
              <w:ind w:right="40"/>
              <w:spacing w:after="0"/>
              <w:rPr>
                <w:sz w:val="20"/>
                <w:szCs w:val="20"/>
                <w:color w:val="auto"/>
              </w:rPr>
            </w:pPr>
            <w:r>
              <w:rPr>
                <w:rFonts w:ascii="PMingLiU" w:cs="PMingLiU" w:eastAsia="PMingLiU" w:hAnsi="PMingLiU"/>
                <w:sz w:val="16"/>
                <w:szCs w:val="16"/>
                <w:b w:val="1"/>
                <w:bCs w:val="1"/>
                <w:color w:val="000046"/>
              </w:rPr>
              <w:t/>
            </w:r>
          </w:p>
        </w:tc>
      </w:tr>
      <w:tr>
        <w:trPr>
          <w:trHeight w:val="370"/>
        </w:trPr>
        <w:tc>
          <w:tcPr>
            <w:tcW w:w="4760" w:type="dxa"/>
            <w:vAlign w:val="bottom"/>
          </w:tcPr>
          <w:p>
            <w:pPr>
              <w:ind w:left="380"/>
              <w:spacing w:after="0"/>
              <w:rPr>
                <w:sz w:val="20"/>
                <w:szCs w:val="20"/>
                <w:color w:val="auto"/>
              </w:rPr>
            </w:pPr>
            <w:r>
              <w:rPr>
                <w:rFonts w:ascii="PMingLiU" w:cs="PMingLiU" w:eastAsia="PMingLiU" w:hAnsi="PMingLiU"/>
                <w:sz w:val="16"/>
                <w:szCs w:val="16"/>
                <w:color w:val="auto"/>
              </w:rPr>
              <w:t>7DUJHW$QQXDO*UDQW</w:t>
            </w:r>
            <w:r>
              <w:rPr>
                <w:rFonts w:ascii="PMingLiU" w:cs="PMingLiU" w:eastAsia="PMingLiU" w:hAnsi="PMingLiU"/>
                <w:sz w:val="20"/>
                <w:szCs w:val="20"/>
                <w:color w:val="auto"/>
                <w:vertAlign w:val="superscript"/>
              </w:rPr>
              <w:t/>
            </w:r>
          </w:p>
        </w:tc>
        <w:tc>
          <w:tcPr>
            <w:tcW w:w="2920" w:type="dxa"/>
            <w:vAlign w:val="bottom"/>
          </w:tcPr>
          <w:p>
            <w:pPr>
              <w:jc w:val="right"/>
              <w:ind w:right="220"/>
              <w:spacing w:after="0"/>
              <w:rPr>
                <w:sz w:val="20"/>
                <w:szCs w:val="20"/>
                <w:color w:val="auto"/>
              </w:rPr>
            </w:pPr>
            <w:r>
              <w:rPr>
                <w:rFonts w:ascii="PMingLiU" w:cs="PMingLiU" w:eastAsia="PMingLiU" w:hAnsi="PMingLiU"/>
                <w:sz w:val="16"/>
                <w:szCs w:val="16"/>
                <w:color w:val="auto"/>
              </w:rPr>
              <w:t/>
            </w:r>
          </w:p>
        </w:tc>
        <w:tc>
          <w:tcPr>
            <w:tcW w:w="1440" w:type="dxa"/>
            <w:vAlign w:val="bottom"/>
          </w:tcPr>
          <w:p>
            <w:pPr>
              <w:jc w:val="right"/>
              <w:ind w:right="360"/>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40"/>
              <w:spacing w:after="0"/>
              <w:rPr>
                <w:sz w:val="20"/>
                <w:szCs w:val="20"/>
                <w:color w:val="auto"/>
              </w:rPr>
            </w:pPr>
            <w:r>
              <w:rPr>
                <w:rFonts w:ascii="PMingLiU" w:cs="PMingLiU" w:eastAsia="PMingLiU" w:hAnsi="PMingLiU"/>
                <w:sz w:val="16"/>
                <w:szCs w:val="16"/>
                <w:color w:val="auto"/>
              </w:rPr>
              <w:t/>
            </w:r>
          </w:p>
        </w:tc>
      </w:tr>
      <w:tr>
        <w:trPr>
          <w:trHeight w:val="25"/>
        </w:trPr>
        <w:tc>
          <w:tcPr>
            <w:tcW w:w="4760" w:type="dxa"/>
            <w:vAlign w:val="bottom"/>
            <w:tcBorders>
              <w:bottom w:val="single" w:sz="8" w:color="4454A7"/>
            </w:tcBorders>
          </w:tcPr>
          <w:p>
            <w:pPr>
              <w:spacing w:after="0"/>
              <w:rPr>
                <w:sz w:val="2"/>
                <w:szCs w:val="2"/>
                <w:color w:val="auto"/>
              </w:rPr>
            </w:pPr>
          </w:p>
        </w:tc>
        <w:tc>
          <w:tcPr>
            <w:tcW w:w="2920" w:type="dxa"/>
            <w:vAlign w:val="bottom"/>
            <w:tcBorders>
              <w:bottom w:val="single" w:sz="8" w:color="4454A7"/>
            </w:tcBorders>
          </w:tcPr>
          <w:p>
            <w:pPr>
              <w:spacing w:after="0"/>
              <w:rPr>
                <w:sz w:val="2"/>
                <w:szCs w:val="2"/>
                <w:color w:val="auto"/>
              </w:rPr>
            </w:pPr>
          </w:p>
        </w:tc>
        <w:tc>
          <w:tcPr>
            <w:tcW w:w="144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r>
      <w:tr>
        <w:trPr>
          <w:trHeight w:val="378"/>
        </w:trPr>
        <w:tc>
          <w:tcPr>
            <w:tcW w:w="4760" w:type="dxa"/>
            <w:vAlign w:val="bottom"/>
            <w:tcBorders>
              <w:bottom w:val="single" w:sz="8" w:color="5C004D"/>
            </w:tcBorders>
          </w:tcPr>
          <w:p>
            <w:pPr>
              <w:ind w:left="380"/>
              <w:spacing w:after="0"/>
              <w:rPr>
                <w:sz w:val="20"/>
                <w:szCs w:val="20"/>
                <w:color w:val="auto"/>
              </w:rPr>
            </w:pPr>
            <w:r>
              <w:rPr>
                <w:rFonts w:ascii="PMingLiU" w:cs="PMingLiU" w:eastAsia="PMingLiU" w:hAnsi="PMingLiU"/>
                <w:sz w:val="16"/>
                <w:szCs w:val="16"/>
                <w:color w:val="auto"/>
              </w:rPr>
              <w:t>7DUJHW5HWHQWLRQ*UDQW</w:t>
            </w:r>
            <w:r>
              <w:rPr>
                <w:rFonts w:ascii="PMingLiU" w:cs="PMingLiU" w:eastAsia="PMingLiU" w:hAnsi="PMingLiU"/>
                <w:sz w:val="20"/>
                <w:szCs w:val="20"/>
                <w:color w:val="auto"/>
                <w:vertAlign w:val="superscript"/>
              </w:rPr>
              <w:t/>
            </w:r>
          </w:p>
        </w:tc>
        <w:tc>
          <w:tcPr>
            <w:tcW w:w="2920" w:type="dxa"/>
            <w:vAlign w:val="bottom"/>
            <w:tcBorders>
              <w:bottom w:val="single" w:sz="8" w:color="5C004D"/>
            </w:tcBorders>
          </w:tcPr>
          <w:p>
            <w:pPr>
              <w:spacing w:after="0"/>
              <w:rPr>
                <w:sz w:val="24"/>
                <w:szCs w:val="24"/>
                <w:color w:val="auto"/>
              </w:rPr>
            </w:pPr>
          </w:p>
        </w:tc>
        <w:tc>
          <w:tcPr>
            <w:tcW w:w="1440" w:type="dxa"/>
            <w:vAlign w:val="bottom"/>
            <w:tcBorders>
              <w:bottom w:val="single" w:sz="8" w:color="5C004D"/>
            </w:tcBorders>
          </w:tcPr>
          <w:p>
            <w:pPr>
              <w:jc w:val="right"/>
              <w:ind w:right="360"/>
              <w:spacing w:after="0"/>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5C004D"/>
            </w:tcBorders>
          </w:tcPr>
          <w:p>
            <w:pPr>
              <w:spacing w:after="0"/>
              <w:rPr>
                <w:sz w:val="24"/>
                <w:szCs w:val="24"/>
                <w:color w:val="auto"/>
              </w:rPr>
            </w:pPr>
          </w:p>
        </w:tc>
      </w:tr>
      <w:tr>
        <w:trPr>
          <w:trHeight w:val="385"/>
        </w:trPr>
        <w:tc>
          <w:tcPr>
            <w:tcW w:w="476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7DUJHW7RWDO'LUHFW&amp;RPSHQVDWLRQ</w:t>
            </w:r>
            <w:r>
              <w:rPr>
                <w:rFonts w:ascii="PMingLiU" w:cs="PMingLiU" w:eastAsia="PMingLiU" w:hAnsi="PMingLiU"/>
                <w:sz w:val="20"/>
                <w:szCs w:val="20"/>
                <w:b w:val="1"/>
                <w:bCs w:val="1"/>
                <w:color w:val="5C004D"/>
                <w:vertAlign w:val="superscript"/>
              </w:rPr>
              <w:t/>
            </w:r>
          </w:p>
        </w:tc>
        <w:tc>
          <w:tcPr>
            <w:tcW w:w="2920" w:type="dxa"/>
            <w:vAlign w:val="bottom"/>
            <w:tcBorders>
              <w:bottom w:val="single" w:sz="8" w:color="5C004D"/>
            </w:tcBorders>
          </w:tcPr>
          <w:p>
            <w:pPr>
              <w:jc w:val="right"/>
              <w:ind w:right="220"/>
              <w:spacing w:after="0"/>
              <w:rPr>
                <w:sz w:val="20"/>
                <w:szCs w:val="20"/>
                <w:color w:val="auto"/>
              </w:rPr>
            </w:pPr>
            <w:r>
              <w:rPr>
                <w:rFonts w:ascii="PMingLiU" w:cs="PMingLiU" w:eastAsia="PMingLiU" w:hAnsi="PMingLiU"/>
                <w:sz w:val="16"/>
                <w:szCs w:val="16"/>
                <w:b w:val="1"/>
                <w:bCs w:val="1"/>
                <w:color w:val="5C004D"/>
              </w:rPr>
              <w:t/>
            </w:r>
          </w:p>
        </w:tc>
        <w:tc>
          <w:tcPr>
            <w:tcW w:w="1440" w:type="dxa"/>
            <w:vAlign w:val="bottom"/>
            <w:tcBorders>
              <w:bottom w:val="single" w:sz="8" w:color="5C004D"/>
            </w:tcBorders>
          </w:tcPr>
          <w:p>
            <w:pPr>
              <w:jc w:val="right"/>
              <w:ind w:right="360"/>
              <w:spacing w:after="0"/>
              <w:rPr>
                <w:sz w:val="20"/>
                <w:szCs w:val="20"/>
                <w:color w:val="auto"/>
              </w:rPr>
            </w:pPr>
            <w:r>
              <w:rPr>
                <w:rFonts w:ascii="PMingLiU" w:cs="PMingLiU" w:eastAsia="PMingLiU" w:hAnsi="PMingLiU"/>
                <w:sz w:val="16"/>
                <w:szCs w:val="16"/>
                <w:b w:val="1"/>
                <w:bCs w:val="1"/>
                <w:color w:val="5C004D"/>
              </w:rPr>
              <w:t/>
            </w:r>
          </w:p>
        </w:tc>
        <w:tc>
          <w:tcPr>
            <w:tcW w:w="960" w:type="dxa"/>
            <w:vAlign w:val="bottom"/>
            <w:tcBorders>
              <w:bottom w:val="single" w:sz="8" w:color="5C004D"/>
            </w:tcBorders>
          </w:tcPr>
          <w:p>
            <w:pPr>
              <w:jc w:val="right"/>
              <w:ind w:right="40"/>
              <w:spacing w:after="0"/>
              <w:rPr>
                <w:sz w:val="20"/>
                <w:szCs w:val="20"/>
                <w:color w:val="auto"/>
              </w:rPr>
            </w:pPr>
            <w:r>
              <w:rPr>
                <w:rFonts w:ascii="PMingLiU" w:cs="PMingLiU" w:eastAsia="PMingLiU" w:hAnsi="PMingLiU"/>
                <w:sz w:val="16"/>
                <w:szCs w:val="16"/>
                <w:b w:val="1"/>
                <w:bCs w:val="1"/>
                <w:color w:val="5C004D"/>
              </w:rPr>
              <w:t/>
            </w:r>
          </w:p>
        </w:tc>
      </w:tr>
    </w:tbl>
    <w:p>
      <w:pPr>
        <w:spacing w:after="0" w:line="106" w:lineRule="exact"/>
        <w:rPr>
          <w:sz w:val="20"/>
          <w:szCs w:val="20"/>
          <w:color w:val="auto"/>
        </w:rPr>
      </w:pPr>
    </w:p>
    <w:p>
      <w:pPr>
        <w:ind w:left="360" w:right="10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0V3HDUFHZDVSURPRWHGWR([HFXWLYH9LFH3UHVLGHQW&amp;KLHI&amp;RPPHUFLDO2IILFHUHIIHFWLYH$XJXVW0V3HDUFHZDVSUHYLRXVO\ RXU6HQLRU9LFH3UHVLGHQW(XURSHDQG,QWHUQDWLRQDO7KHDPRXQWVOLVWHGLQWKH3D\FROXPQUHIOHFW0V3HDUFH¶VSD\HIIHFWLYHDVRI KHUDSSRLQWPHQWWR([HFXWLYH9LFH3UHVLGHQW&amp;KLHI&amp;RPPHUFLDO2IILFHU</w:t>
      </w:r>
    </w:p>
    <w:p>
      <w:pPr>
        <w:spacing w:after="0" w:line="24" w:lineRule="exact"/>
        <w:rPr>
          <w:sz w:val="20"/>
          <w:szCs w:val="20"/>
          <w:color w:val="auto"/>
        </w:rPr>
      </w:pPr>
    </w:p>
    <w:p>
      <w:pPr>
        <w:ind w:left="360" w:right="80" w:hanging="359"/>
        <w:spacing w:after="0" w:line="270" w:lineRule="auto"/>
        <w:tabs>
          <w:tab w:leader="none" w:pos="340" w:val="left"/>
        </w:tabs>
        <w:rPr>
          <w:sz w:val="20"/>
          <w:szCs w:val="20"/>
          <w:color w:val="auto"/>
        </w:rPr>
      </w:pPr>
      <w:r>
        <w:rPr>
          <w:rFonts w:ascii="PMingLiU" w:cs="PMingLiU" w:eastAsia="PMingLiU" w:hAnsi="PMingLiU"/>
          <w:sz w:val="15"/>
          <w:szCs w:val="15"/>
          <w:color w:val="auto"/>
        </w:rPr>
        <w:t/>
        <w:tab/>
        <w:t>5HSUHVHQWVDQQXDOEDVHVDODU\UDWHIRUWKHDSSOLFDEOH\HDU0V3HDUFH¶VEDVHVDODU\EHFDPHHIIHFWLYH0DUFK0V3HDUFH¶V LQLWLDOEDVHVDODU\UDWHIRUZDVRUFRQYHUWHGWR86'XVLQJDFRQYHUVLRQUDWHRIZKLFKLVWKHDYHUDJH IRUHLJQH[FKDQJHUDWHIURP-DQXDU\WR'HFHPEHU,QFRQQHFWLRQZLWKKHUDSSRLQWPHQWDV([HFXWLYH9LFH3UHVLGHQW &amp;KLHI&amp;RPPHUFLDO2IILFHUWKH%RDUGLQFUHDVHG0V3HDUFH¶VDQQXDOEDVHVDODU\WRHIIHFWLYH$XJXVW</w:t>
      </w:r>
    </w:p>
    <w:p>
      <w:pPr>
        <w:spacing w:after="0" w:line="49" w:lineRule="exact"/>
        <w:rPr>
          <w:sz w:val="20"/>
          <w:szCs w:val="20"/>
          <w:color w:val="auto"/>
        </w:rPr>
      </w:pPr>
    </w:p>
    <w:p>
      <w:pPr>
        <w:ind w:left="360" w:right="16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7KHDPRXQWUHIOHFWVDWDUJHWSHUIRUPDQFHERQXVRIDVRI'HFHPEHU7KHDFWXDOSHUIRUPDQFHERQXVSDLGZDV UHIOHFWLQJRI0V3HDUFH¶VWDUJHWSHUIRUPDQFHERQXVEDVHGRQWKHRYHUDOODFKLHYHPHQWRIWKHFRUSRUDWH SHUIRUPDQFHREMHFWLYHVDQG0V3HDUFH¶VLQGLYLGXDOFRQWULEXWLRQVDQGOHDGHUVKLSRIWKHFRPPHUFLDORUJDQL]DWLRQGXULQJ</w:t>
      </w:r>
    </w:p>
    <w:p>
      <w:pPr>
        <w:spacing w:after="0" w:line="24" w:lineRule="exact"/>
        <w:rPr>
          <w:sz w:val="20"/>
          <w:szCs w:val="20"/>
          <w:color w:val="auto"/>
        </w:rPr>
      </w:pPr>
    </w:p>
    <w:p>
      <w:pPr>
        <w:ind w:left="360" w:right="8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5HSUHVHQWVWKHFDVKERQXV0V3HDUFHUHFHLYHGLQLQFRQQHFWLRQZLWKKHUDSSRLQWPHQWDV([HFXWLYH9LFH3UHVLGHQW&amp;KLHI &amp;RPPHUFLDO2IILFHUDQGUHORFDWLRQWRWKH867KLVERQXVZDVSD\DEOHXSRQVXFKUHORFDWLRQDQGLVVXEMHFWWRUHFRXSPHQWLI0V3HDUFH WHUPLQDWHVKHUHPSOR\PHQWZLWKLQPRQWKVDIWHUVKHUHFHLYHGWKHSD\PHQW</w:t>
      </w:r>
    </w:p>
    <w:p>
      <w:pPr>
        <w:spacing w:after="0" w:line="24" w:lineRule="exact"/>
        <w:rPr>
          <w:sz w:val="20"/>
          <w:szCs w:val="20"/>
          <w:color w:val="auto"/>
        </w:rPr>
      </w:pPr>
    </w:p>
    <w:p>
      <w:pPr>
        <w:ind w:left="360" w:right="80" w:hanging="359"/>
        <w:spacing w:after="0" w:line="476" w:lineRule="auto"/>
        <w:tabs>
          <w:tab w:leader="none" w:pos="340" w:val="left"/>
        </w:tabs>
        <w:rPr>
          <w:sz w:val="20"/>
          <w:szCs w:val="20"/>
          <w:color w:val="auto"/>
        </w:rPr>
      </w:pPr>
      <w:r>
        <w:rPr>
          <w:rFonts w:ascii="PMingLiU" w:cs="PMingLiU" w:eastAsia="PMingLiU" w:hAnsi="PMingLiU"/>
          <w:sz w:val="12"/>
          <w:szCs w:val="12"/>
          <w:color w:val="auto"/>
        </w:rPr>
        <w:t/>
        <w:tab/>
        <w:t>7KHWDUJHWWRWDOHTXLW\FRPSHQVDWLRQDQGWKHFRPSRQHQWVWKHUHRISUHVHQWHGLQWKHFKDUWDERYHUHIOHFWWKHWDUJHWGROODUYDOXHVDSSURYHG E\RXU&amp;RPSHQVDWLRQ&amp;RPPLWWHHWKHVHYDOXHVGLIIHUVIURPWKHYDOXHUHTXLUHGWREHVKRZQLQWKH6XPPDU\&amp;RPSHQVDWLRQ7DEOHDQG *UDQWVRI3ODQ%DVHG$ZDUGVLQ)LVFDOWDEOHDVDSSOLFDEOHDVIXUWKHUGHVFULEHGDERYHLQ³</w:t>
      </w:r>
      <w:r>
        <w:rPr>
          <w:rFonts w:ascii="PMingLiU" w:cs="PMingLiU" w:eastAsia="PMingLiU" w:hAnsi="PMingLiU"/>
          <w:sz w:val="12"/>
          <w:szCs w:val="12"/>
          <w:i w:val="1"/>
          <w:iCs w:val="1"/>
          <w:color w:val="auto"/>
        </w:rPr>
        <w:t>#;33(8?5-  536,49(:054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,*090549 54.$,834*,4:0&lt;,!85.8(3</w:t>
      </w:r>
      <w:r>
        <w:rPr>
          <w:rFonts w:ascii="PMingLiU" w:cs="PMingLiU" w:eastAsia="PMingLiU" w:hAnsi="PMingLiU"/>
          <w:sz w:val="12"/>
          <w:szCs w:val="12"/>
          <w:color w:val="auto"/>
        </w:rPr>
        <w:t>´</w:t>
      </w:r>
    </w:p>
    <w:p>
      <w:pPr>
        <w:spacing w:after="0" w:line="2" w:lineRule="exact"/>
        <w:rPr>
          <w:sz w:val="20"/>
          <w:szCs w:val="20"/>
          <w:color w:val="auto"/>
        </w:rPr>
      </w:pPr>
    </w:p>
    <w:p>
      <w:pPr>
        <w:ind w:left="360" w:right="20" w:hanging="359"/>
        <w:spacing w:after="0" w:line="295" w:lineRule="auto"/>
        <w:tabs>
          <w:tab w:leader="none" w:pos="340" w:val="left"/>
        </w:tabs>
        <w:rPr>
          <w:sz w:val="20"/>
          <w:szCs w:val="20"/>
          <w:color w:val="auto"/>
        </w:rPr>
      </w:pPr>
      <w:r>
        <w:rPr>
          <w:rFonts w:ascii="PMingLiU" w:cs="PMingLiU" w:eastAsia="PMingLiU" w:hAnsi="PMingLiU"/>
          <w:sz w:val="14"/>
          <w:szCs w:val="14"/>
          <w:color w:val="auto"/>
        </w:rPr>
        <w:t/>
        <w:tab/>
        <w:t>0V3HDUFHUHFHLYHGDQDQQXDOHTXLW\JUDQWLQ0DUFKZLWKDWDUJHWYDOXHRIRUFRQYHUWHGWR86'XVLQJD FRQYHUVLRQUDWHRIZKLFKLVWKHDYHUDJHIRUHLJQH[FKDQJHUDWHIRU-DQXDU\,QFRQQHFWLRQZLWKKHUDSSRLQWPHQWDV([HFXWLYH 9LFH3UHVLGHQW&amp;KLHI&amp;RPPHUFLDO2IILFHUVKHDOVRUHFHLYHGDQDGGLWLRQDORQHWLPHSURPRWLRQJUDQWLQ$XJXVWLQFUHPHQWDOWRKHU DQQXDOHTXLW\JUDQWZLWKDQDSSUR[LPDWHJUDQWGDWHYDOXHRI</w:t>
      </w:r>
    </w:p>
    <w:p>
      <w:pPr>
        <w:spacing w:after="0" w:line="33" w:lineRule="exact"/>
        <w:rPr>
          <w:sz w:val="20"/>
          <w:szCs w:val="20"/>
          <w:color w:val="auto"/>
        </w:rPr>
      </w:pPr>
    </w:p>
    <w:p>
      <w:pPr>
        <w:ind w:left="360" w:right="80" w:hanging="359"/>
        <w:spacing w:after="0" w:line="306" w:lineRule="auto"/>
        <w:tabs>
          <w:tab w:leader="none" w:pos="340" w:val="left"/>
        </w:tabs>
        <w:rPr>
          <w:sz w:val="20"/>
          <w:szCs w:val="20"/>
          <w:color w:val="auto"/>
        </w:rPr>
      </w:pPr>
      <w:r>
        <w:rPr>
          <w:rFonts w:ascii="PMingLiU" w:cs="PMingLiU" w:eastAsia="PMingLiU" w:hAnsi="PMingLiU"/>
          <w:sz w:val="14"/>
          <w:szCs w:val="14"/>
          <w:color w:val="auto"/>
        </w:rPr>
        <w:t/>
        <w:tab/>
        <w:t>5HSUHVHQWVDRQHWLPHWDUJHWUHWHQWLRQ568JUDQWUHFHLYHGE\0V3HDUFHLQ)HEUXDU\7KLVUHWHQWLRQJUDQWZLOOYHVWLQIXOORQ-XQH SURYLGHGJHQHUDOO\WKDW0V3HDUFHUHPDLQVHPSOR\HGZLWKRXU&amp;RPSDQ\WKURXJKWKDWGDWH6HH³</w:t>
      </w:r>
      <w:r>
        <w:rPr>
          <w:rFonts w:ascii="PMingLiU" w:cs="PMingLiU" w:eastAsia="PMingLiU" w:hAnsi="PMingLiU"/>
          <w:sz w:val="14"/>
          <w:szCs w:val="14"/>
          <w:i w:val="1"/>
          <w:iCs w:val="1"/>
          <w:color w:val="auto"/>
        </w:rPr>
        <w:t>#;33(8?5-  </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536,49(:054,*090549 #6,*0(2",:,4:0548(4:9</w:t>
      </w:r>
      <w:r>
        <w:rPr>
          <w:rFonts w:ascii="PMingLiU" w:cs="PMingLiU" w:eastAsia="PMingLiU" w:hAnsi="PMingLiU"/>
          <w:sz w:val="14"/>
          <w:szCs w:val="14"/>
          <w:color w:val="auto"/>
        </w:rPr>
        <w:t>´DERYHIRUPRUHLQIRUPDWLRQUHJDUGLQJWKHUHWHQWLRQJUDQWVWRRXU1(2V</w:t>
      </w:r>
    </w:p>
    <w:p>
      <w:pPr>
        <w:spacing w:after="0" w:line="24" w:lineRule="exact"/>
        <w:rPr>
          <w:sz w:val="20"/>
          <w:szCs w:val="20"/>
          <w:color w:val="auto"/>
        </w:rPr>
      </w:pPr>
    </w:p>
    <w:p>
      <w:pPr>
        <w:ind w:left="360" w:right="40" w:hanging="359"/>
        <w:spacing w:after="0" w:line="301" w:lineRule="auto"/>
        <w:tabs>
          <w:tab w:leader="none" w:pos="340" w:val="left"/>
        </w:tabs>
        <w:rPr>
          <w:sz w:val="20"/>
          <w:szCs w:val="20"/>
          <w:color w:val="auto"/>
        </w:rPr>
      </w:pPr>
      <w:r>
        <w:rPr>
          <w:rFonts w:ascii="PMingLiU" w:cs="PMingLiU" w:eastAsia="PMingLiU" w:hAnsi="PMingLiU"/>
          <w:sz w:val="13"/>
          <w:szCs w:val="13"/>
          <w:color w:val="auto"/>
        </w:rPr>
        <w:t/>
        <w:tab/>
        <w:t>2XU&amp;RPSHQVDWLRQ&amp;RPPLWWHHGHVLJQHG0V3HDUFH¶VWDUJHWWRWDOGLUHFWFRPSHQVDWLRQWREHFRPSHWLWLYHDVFRPSDUHGWRWKHPDUNHWGDWD DVGHVFULEHGLQPRUHGHWDLODERYHLQ³</w:t>
      </w:r>
      <w:r>
        <w:rPr>
          <w:rFonts w:ascii="PMingLiU" w:cs="PMingLiU" w:eastAsia="PMingLiU" w:hAnsi="PMingLiU"/>
          <w:sz w:val="13"/>
          <w:szCs w:val="13"/>
          <w:i w:val="1"/>
          <w:iCs w:val="1"/>
          <w:color w:val="auto"/>
        </w:rPr>
        <w:t>5=',,:,8304,&gt;,*;:0&lt;,536,49(:054 536,:0:0&lt;,99,993,4:5-536,49(:054A!,,8</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536(40,9(4+(81,:(:(F</w:t>
      </w:r>
      <w:r>
        <w:rPr>
          <w:rFonts w:ascii="PMingLiU" w:cs="PMingLiU" w:eastAsia="PMingLiU" w:hAnsi="PMingLiU"/>
          <w:sz w:val="13"/>
          <w:szCs w:val="13"/>
          <w:color w:val="auto"/>
        </w:rPr>
        <w:t>DSSURSULDWHIURPDQLQWHUQDOHTXLW\SHUVSHFWLYHDQGPRUHKHDYLO\ZHLJKWHGWRZDUGVHTXLW\FRPSHQVDWLRQ</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LQOLQHZLWKRXUSD\IRUSHUIRUPDQFHSKLORVRSK\2XU&amp;RPSHQVDWLRQ&amp;RPPLWWHHGHWHUPLQHGLWZDVDSSURSULDWHWRLQFUHDVH0V3HDUFH¶V</w:t>
      </w:r>
    </w:p>
    <w:p>
      <w:pPr>
        <w:spacing w:after="0" w:line="2" w:lineRule="exact"/>
        <w:rPr>
          <w:sz w:val="20"/>
          <w:szCs w:val="20"/>
          <w:color w:val="auto"/>
        </w:rPr>
      </w:pPr>
    </w:p>
    <w:p>
      <w:pPr>
        <w:ind w:left="360" w:right="20"/>
        <w:spacing w:after="0" w:line="349" w:lineRule="auto"/>
        <w:rPr>
          <w:sz w:val="20"/>
          <w:szCs w:val="20"/>
          <w:color w:val="auto"/>
        </w:rPr>
      </w:pPr>
      <w:r>
        <w:rPr>
          <w:rFonts w:ascii="PMingLiU" w:cs="PMingLiU" w:eastAsia="PMingLiU" w:hAnsi="PMingLiU"/>
          <w:sz w:val="12"/>
          <w:szCs w:val="12"/>
          <w:color w:val="auto"/>
        </w:rPr>
        <w:t>EDVHVDODU\DQGWDUJHWHTXLW\FRPSHQVDWLRQLQDQDPRXQWQHFHVVDU\WRUHIOHFWKHUVFRSHRIUHVSRQVLELOLW\DQGRYHUVLJKWRIVLJQLILFDQW IXQFWLRQVZLWKLQWKHRUJDQL]DWLRQDVZHOODVWRPDLQWDLQFRPSHWLWLYHSRVLWLRQLQJUHODWLYHWRWKHPDUNHWGDWDDQGWKHRWKHU1(2V%DVHGRQ RXU&amp;RPSHQVDWLRQ&amp;RPPLWWHH¶VSURIHVVLRQDOH[SHULHQFHDQGMXGJPHQWRXU&amp;RPSHQVDWLRQ&amp;RPPLWWHHGHWHUPLQHG0V3HDUFH¶VWDUJHW WRWDOGLUHFWFRPSHQVDWLRQWREHFRPSHWLWLYHDQGDSSURSULDWH</w:t>
      </w:r>
    </w:p>
    <w:p>
      <w:pPr>
        <w:spacing w:after="0" w:line="5" w:lineRule="exact"/>
        <w:rPr>
          <w:sz w:val="20"/>
          <w:szCs w:val="20"/>
          <w:color w:val="auto"/>
        </w:rPr>
      </w:pPr>
    </w:p>
    <w:p>
      <w:pPr>
        <w:ind w:left="360" w:right="6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0V3HDUFH¶VWDUJHWWRWDOFDVKFRPSHQVDWLRQGHFUHDVHGEHWZHHQDQGGXHWRWKHRQHWLPHFDVKVLJQLQJERQXVUHFHLYHGE\KHU LQLQFRQQHFWLRQZLWKKHUDSSRLQWPHQWDV([HFXWLYH9LFH3UHVLGHQW&amp;KLHI&amp;RPPHUFLDO2IILFHU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1277620</wp:posOffset>
            </wp:positionV>
            <wp:extent cx="1389380" cy="2343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302">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82" w:name="page83"/>
    <w:bookmarkEnd w:id="82"/>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29" o:spid="_x0000_s1454"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$GGLWLRQDO&amp;RPSHQVDWLRQ,QIRUPDWLRQ</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6KDUH2ZQHUVKLS*XLGHOLQHVIRU([HFXWLYH2IILFHUV</w:t>
      </w:r>
    </w:p>
    <w:p>
      <w:pPr>
        <w:spacing w:after="0" w:line="191" w:lineRule="exact"/>
        <w:rPr>
          <w:sz w:val="20"/>
          <w:szCs w:val="20"/>
          <w:color w:val="auto"/>
        </w:rPr>
      </w:pPr>
    </w:p>
    <w:p>
      <w:pPr>
        <w:ind w:right="240"/>
        <w:spacing w:after="0" w:line="358" w:lineRule="auto"/>
        <w:rPr>
          <w:sz w:val="20"/>
          <w:szCs w:val="20"/>
          <w:color w:val="auto"/>
        </w:rPr>
      </w:pPr>
      <w:r>
        <w:rPr>
          <w:rFonts w:ascii="PMingLiU" w:cs="PMingLiU" w:eastAsia="PMingLiU" w:hAnsi="PMingLiU"/>
          <w:sz w:val="15"/>
          <w:szCs w:val="15"/>
          <w:color w:val="auto"/>
        </w:rPr>
        <w:t>:HPDLQWDLQVKDUHRZQHUVKLSJXLGHOLQHVIRURXU&amp;(2DQGFHUWDLQRWKHUHPSOR\HHVZKRVHUYHRQRXU(&amp;LQFOXGLQJFHUWDLQRI RXU1(2V8QGHUWKHJXLGHOLQHVWKHVHLQGLYLGXDOVDUHH[SHFWHGWRRZQDQXPEHURIRXU&amp;RPSDQ\¶VRUGLQDU\VKDUHVZLWKD YDOXHHTXDOWR</w:t>
      </w:r>
    </w:p>
    <w:p>
      <w:pPr>
        <w:spacing w:after="0" w:line="93"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VL[WLPHVEDVHVDODU\IRURXU&amp;(2</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7"/>
          <w:szCs w:val="17"/>
          <w:b w:val="1"/>
          <w:bCs w:val="1"/>
          <w:color w:val="000046"/>
        </w:rPr>
        <w:t></w:t>
      </w:r>
      <w:r>
        <w:rPr>
          <w:sz w:val="20"/>
          <w:szCs w:val="20"/>
          <w:color w:val="auto"/>
        </w:rPr>
        <w:tab/>
      </w:r>
      <w:r>
        <w:rPr>
          <w:rFonts w:ascii="PMingLiU" w:cs="PMingLiU" w:eastAsia="PMingLiU" w:hAnsi="PMingLiU"/>
          <w:sz w:val="17"/>
          <w:szCs w:val="17"/>
          <w:color w:val="auto"/>
        </w:rPr>
        <w:t>WZRWLPHVEDVHVDODU\IRUHDFKRWKHUPHPEHURIRXU(&amp;ZKRLVDQRIILFHUIRUSXUSRVHVRI6HFWLRQRIWKH([FKDQJH$FW</w:t>
      </w:r>
    </w:p>
    <w:p>
      <w:pPr>
        <w:spacing w:after="0" w:line="43"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DQG</w:t>
      </w:r>
    </w:p>
    <w:p>
      <w:pPr>
        <w:spacing w:after="0" w:line="136"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RQHWLPHVEDVHVDODU\IRUHDFKRWKHUPHPEHURIRXU(&amp;</w:t>
      </w:r>
    </w:p>
    <w:p>
      <w:pPr>
        <w:spacing w:after="0" w:line="204" w:lineRule="exact"/>
        <w:rPr>
          <w:sz w:val="20"/>
          <w:szCs w:val="20"/>
          <w:color w:val="auto"/>
        </w:rPr>
      </w:pPr>
    </w:p>
    <w:p>
      <w:pPr>
        <w:ind w:right="100"/>
        <w:spacing w:after="0" w:line="342" w:lineRule="auto"/>
        <w:rPr>
          <w:sz w:val="20"/>
          <w:szCs w:val="20"/>
          <w:color w:val="auto"/>
        </w:rPr>
      </w:pPr>
      <w:r>
        <w:rPr>
          <w:rFonts w:ascii="PMingLiU" w:cs="PMingLiU" w:eastAsia="PMingLiU" w:hAnsi="PMingLiU"/>
          <w:sz w:val="14"/>
          <w:szCs w:val="14"/>
          <w:color w:val="auto"/>
        </w:rPr>
        <w:t>7KHJXLGHOLQHVSURYLGHWKDWWKHRIILFHUVDUHH[SHFWHGWRHVWDEOLVKWKHPLQLPXPRZQHUVKLSOHYHOVZLWKLQILYH\HDUVRIILUVW EHFRPLQJVXEMHFWWRWKHJXLGHOLQHV,IDQLQGLYLGXDOEHFRPHVVXEMHFWWRDJUHDWHURZQHUVKLSUHTXLUHPHQWZLWKLQWKHILUVWILYH \HDUVDIWHUILUVWEHFRPLQJVXEMHFWWRWKHJXLGHOLQHVGXHHLWKHUWRDFKDQJHLQWKHLQGLYLGXDO¶VVHUYLFHVWDWXVRUWRDQLQFUHDVHLQ WKHLQGLYLGXDO¶VEDVHSD\RIRUPRUHRYHUDQ\RQH\HDUSHULRGWKHLQGLYLGXDOZLOOEHUHTXLUHGWRDFKLHYHWKHJUHDWHU</w:t>
      </w:r>
    </w:p>
    <w:p>
      <w:pPr>
        <w:spacing w:after="0" w:line="1" w:lineRule="exact"/>
        <w:rPr>
          <w:sz w:val="20"/>
          <w:szCs w:val="20"/>
          <w:color w:val="auto"/>
        </w:rPr>
      </w:pPr>
    </w:p>
    <w:p>
      <w:pPr>
        <w:jc w:val="both"/>
        <w:ind w:right="280"/>
        <w:spacing w:after="0" w:line="358" w:lineRule="auto"/>
        <w:rPr>
          <w:sz w:val="20"/>
          <w:szCs w:val="20"/>
          <w:color w:val="auto"/>
        </w:rPr>
      </w:pPr>
      <w:r>
        <w:rPr>
          <w:rFonts w:ascii="PMingLiU" w:cs="PMingLiU" w:eastAsia="PMingLiU" w:hAnsi="PMingLiU"/>
          <w:sz w:val="15"/>
          <w:szCs w:val="15"/>
          <w:color w:val="auto"/>
        </w:rPr>
        <w:t>RZQHUVKLSZLWKLQWKHIROORZLQJSHULRGVRIWLPHILYH\HDUVIROORZLQJDSSRLQWPHQWRUSURPRWLRQWR&amp;(2RUWZR\HDUVIROORZLQJ DSSRLQWPHQWRUSURPRWLRQIRUDOORWKHULQGLYLGXDOV$VRI$SULODOOWKH1(2VZHUHLQFRPSOLDQFHZLWKWKHLURZQHUVKLS UHTXLUHPHQWV</w:t>
      </w:r>
    </w:p>
    <w:p>
      <w:pPr>
        <w:spacing w:after="0" w:line="93" w:lineRule="exact"/>
        <w:rPr>
          <w:sz w:val="20"/>
          <w:szCs w:val="20"/>
          <w:color w:val="auto"/>
        </w:rPr>
      </w:pPr>
    </w:p>
    <w:p>
      <w:pPr>
        <w:spacing w:after="0" w:line="362" w:lineRule="auto"/>
        <w:rPr>
          <w:sz w:val="20"/>
          <w:szCs w:val="20"/>
          <w:color w:val="auto"/>
        </w:rPr>
      </w:pPr>
      <w:r>
        <w:rPr>
          <w:rFonts w:ascii="PMingLiU" w:cs="PMingLiU" w:eastAsia="PMingLiU" w:hAnsi="PMingLiU"/>
          <w:sz w:val="14"/>
          <w:szCs w:val="14"/>
          <w:color w:val="auto"/>
        </w:rPr>
        <w:t>6KDUHVWKDWFRXQWWRZDUGVDWLVIDFWLRQRIWKHVHJXLGHOLQHVLQFOXGHVKDUHVRZQHGRXWULJKWE\WKHLQGLYLGXDOZKHWKHURUQRW SXUFKDVHGRQWKHRSHQPDUNHWDQGLQFOXGLQJ568VDQGRU368VWKDWKDYHYHVWHGRUZHUHHDUQHGEXWQRW\HWVHWWOHGQHWRI WD[HVVKDUHVUHWDLQHGDIWHUDQRSWLRQH[HUFLVHRULVVXDQFHXQGHUDQRWKHUW\SHRIHTXLW\DZDUGJUDQWHGXQGHURXU&amp;RPSDQ\¶V HTXLW\LQFHQWLYHSODQVVKDUHVUHWDLQHGDIWHUSXUFKDVHXQGHUWKH(633DQGVKDUHVKHOGLQWUXVWIRUWKHEHQHILWRIWKHLQGLYLGXDO 2XU&amp;RPSHQVDWLRQ&amp;RPPLWWHHKDVGLVFUHWLRQWRDPHQGWKHJXLGHOLQHVLQDQ\UHVSHFWLWGHHPVQHFHVVDU\RUDGYLVDEOHZLWKRXW FRQVHQWRIWKHLQGLYLGXDOVVXEMHFWWRWKHJXLGHOLQHVDQGWRDSSURYHDQ\H[FHSWLRQVWRWKHJXLGHOLQHVWKDWLWGHHPVDSSURSULDWH</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&amp;ODZEDFN3ROLF\</w:t>
      </w:r>
    </w:p>
    <w:p>
      <w:pPr>
        <w:spacing w:after="0" w:line="191" w:lineRule="exact"/>
        <w:rPr>
          <w:sz w:val="20"/>
          <w:szCs w:val="20"/>
          <w:color w:val="auto"/>
        </w:rPr>
      </w:pPr>
    </w:p>
    <w:p>
      <w:pPr>
        <w:ind w:right="180"/>
        <w:spacing w:after="0" w:line="319" w:lineRule="auto"/>
        <w:rPr>
          <w:sz w:val="20"/>
          <w:szCs w:val="20"/>
          <w:color w:val="auto"/>
        </w:rPr>
      </w:pPr>
      <w:r>
        <w:rPr>
          <w:rFonts w:ascii="PMingLiU" w:cs="PMingLiU" w:eastAsia="PMingLiU" w:hAnsi="PMingLiU"/>
          <w:sz w:val="15"/>
          <w:szCs w:val="15"/>
          <w:color w:val="auto"/>
        </w:rPr>
        <w:t>,Q1RYHPEHURXU&amp;RPSHQVDWLRQ&amp;RPPLWWHHDGRSWHGWKH&amp;ODZEDFN3ROLF\WKDWFRPSOLHVZLWKWKHQHZOLVWLQJVWDQGDUGV DGRSWHGE\1DVGDTWKDWLPSOHPHQWWKHQHZ6(&amp;UXOHVXQGHUWKH'RGG)UDQN:DOO6WUHHW5HIRUPDQG&amp;RQVXPHU3URWHFWLRQ $FWDQGDSSOLHVWRRXUH[HFXWLYHRIILFHUVDVGHILQHGLQDSSOLFDEOH6(&amp;UXOHV7KH&amp;ODZEDFN3ROLF\ZKLFKUHSODFHVDQG VXSHUVHGHVRXUSULRUFODZEDFNSROLF\DGRSWHGLQ$SULOUHTXLUHVRXU&amp;RPSDQ\WRUHFRYHUIURPFRYHUHGH[HFXWLYHRIILFHUV</w:t>
      </w:r>
    </w:p>
    <w:p>
      <w:pPr>
        <w:spacing w:after="0" w:line="1" w:lineRule="exact"/>
        <w:rPr>
          <w:sz w:val="20"/>
          <w:szCs w:val="20"/>
          <w:color w:val="auto"/>
        </w:rPr>
      </w:pPr>
    </w:p>
    <w:p>
      <w:pPr>
        <w:ind w:right="560"/>
        <w:spacing w:after="0" w:line="358" w:lineRule="auto"/>
        <w:rPr>
          <w:sz w:val="20"/>
          <w:szCs w:val="20"/>
          <w:color w:val="auto"/>
        </w:rPr>
      </w:pPr>
      <w:r>
        <w:rPr>
          <w:rFonts w:ascii="PMingLiU" w:cs="PMingLiU" w:eastAsia="PMingLiU" w:hAnsi="PMingLiU"/>
          <w:sz w:val="15"/>
          <w:szCs w:val="15"/>
          <w:color w:val="auto"/>
        </w:rPr>
        <w:t>WKHDPRXQWRIHUURQHRXVO\DZDUGHGFRPSHQVDWLRQUHVXOWLQJIURPDQDFFRXQWLQJUHVWDWHPHQWGXHWRWKHPDWHULDO QRQFRPSOLDQFHRIRXU&amp;RPSDQ\ZLWKDQ\ILQDQFLDOUHSRUWLQJUHTXLUHPHQWXQGHUWKHVHFXULWLHVODZV7KH&amp;ODZEDFN3ROLF\ DSSOLHVWRLQFHQWLYHFRPSHQVDWLRQWKDWLVUHFHLYHGE\DFRYHUHGRIILFHURQRUDIWHU2FWREHU</w:t>
      </w:r>
    </w:p>
    <w:p>
      <w:pPr>
        <w:spacing w:after="0" w:line="93" w:lineRule="exact"/>
        <w:rPr>
          <w:sz w:val="20"/>
          <w:szCs w:val="20"/>
          <w:color w:val="auto"/>
        </w:rPr>
      </w:pPr>
    </w:p>
    <w:p>
      <w:pPr>
        <w:spacing w:after="0"/>
        <w:rPr>
          <w:sz w:val="20"/>
          <w:szCs w:val="20"/>
          <w:color w:val="auto"/>
        </w:rPr>
      </w:pPr>
      <w:r>
        <w:rPr>
          <w:rFonts w:ascii="PMingLiU" w:cs="PMingLiU" w:eastAsia="PMingLiU" w:hAnsi="PMingLiU"/>
          <w:sz w:val="15"/>
          <w:szCs w:val="15"/>
          <w:color w:val="auto"/>
        </w:rPr>
        <w:t>,QDGGLWLRQDVDSXEOLFFRPSDQ\LIZHDUHUHTXLUHGWRUHVWDWHRXUILQDQFLDOUHVXOWVGXHWRRXUPDWHULDOQRQFRPSOLDQFHZLWKDQ\</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ILQDQFLDOUHSRUWLQJUHTXLUHPHQWVXQGHUWKHIHGHUDOVHFXULWLHVODZVDVDUHVXOWRIPLVFRQGXFWRXU&amp;(2DQG&amp;)2PD\EHOHJDOO\</w:t>
      </w:r>
    </w:p>
    <w:p>
      <w:pPr>
        <w:spacing w:after="0" w:line="60" w:lineRule="exact"/>
        <w:rPr>
          <w:sz w:val="20"/>
          <w:szCs w:val="20"/>
          <w:color w:val="auto"/>
        </w:rPr>
      </w:pPr>
    </w:p>
    <w:p>
      <w:pPr>
        <w:ind w:right="500"/>
        <w:spacing w:after="0" w:line="398" w:lineRule="auto"/>
        <w:rPr>
          <w:sz w:val="20"/>
          <w:szCs w:val="20"/>
          <w:color w:val="auto"/>
        </w:rPr>
      </w:pPr>
      <w:r>
        <w:rPr>
          <w:rFonts w:ascii="PMingLiU" w:cs="PMingLiU" w:eastAsia="PMingLiU" w:hAnsi="PMingLiU"/>
          <w:sz w:val="15"/>
          <w:szCs w:val="15"/>
          <w:color w:val="auto"/>
        </w:rPr>
        <w:t>UHTXLUHGWRUHLPEXUVHRXU&amp;RPSDQ\IRUDQ\ERQXVRURWKHULQFHQWLYHEDVHGRUHTXLW\EDVHGFRPSHQVDWLRQWKH\UHFHLYHLQ DFFRUGDQFHZLWKWKHSURYLVLRQVRI6HFWLRQRIWKH6DUEDQHV2[OH\$FWRI</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&amp;KDQJHLQ&amp;RQWURO3ODQDQG6HYHUDQFH3ODQ</w:t>
      </w:r>
    </w:p>
    <w:p>
      <w:pPr>
        <w:spacing w:after="0" w:line="191" w:lineRule="exact"/>
        <w:rPr>
          <w:sz w:val="20"/>
          <w:szCs w:val="20"/>
          <w:color w:val="auto"/>
        </w:rPr>
      </w:pPr>
    </w:p>
    <w:p>
      <w:pPr>
        <w:ind w:right="580"/>
        <w:spacing w:after="0" w:line="443" w:lineRule="auto"/>
        <w:rPr>
          <w:sz w:val="20"/>
          <w:szCs w:val="20"/>
          <w:color w:val="auto"/>
        </w:rPr>
      </w:pPr>
      <w:r>
        <w:rPr>
          <w:rFonts w:ascii="PMingLiU" w:cs="PMingLiU" w:eastAsia="PMingLiU" w:hAnsi="PMingLiU"/>
          <w:sz w:val="14"/>
          <w:szCs w:val="14"/>
          <w:color w:val="auto"/>
        </w:rPr>
        <w:t>2XU&amp;RPSHQVDWLRQ&amp;RPPLWWHHSHULRGLFDOO\UHYLHZVWKHWHUPVRIRXU&amp;,&amp;3ODQLQFOXGLQJLWV³GRXEOHWULJJHU´VWUXFWXUHDQG EHQHILWVDJDLQVWPDUNHWGDWDWRHQVXUHWKDWWKHEHQHILWVZHRIIHUUHPDLQDSSURSULDWH</w:t>
      </w:r>
    </w:p>
    <w:p>
      <w:pPr>
        <w:spacing w:after="0" w:line="39" w:lineRule="exact"/>
        <w:rPr>
          <w:sz w:val="20"/>
          <w:szCs w:val="20"/>
          <w:color w:val="auto"/>
        </w:rPr>
      </w:pPr>
    </w:p>
    <w:p>
      <w:pPr>
        <w:ind w:right="260"/>
        <w:spacing w:after="0" w:line="342" w:lineRule="auto"/>
        <w:rPr>
          <w:sz w:val="20"/>
          <w:szCs w:val="20"/>
          <w:color w:val="auto"/>
        </w:rPr>
      </w:pPr>
      <w:r>
        <w:rPr>
          <w:rFonts w:ascii="PMingLiU" w:cs="PMingLiU" w:eastAsia="PMingLiU" w:hAnsi="PMingLiU"/>
          <w:sz w:val="14"/>
          <w:szCs w:val="14"/>
          <w:color w:val="auto"/>
        </w:rPr>
        <w:t>2XUH[HFXWLYHRIILFHUVDUHHOLJLEOHWRSDUWLFLSDWHLQWKH&amp;,&amp;3ODQZKLFKLQFOXGHVDOORIRXU1(2V2XU&amp;RPSHQVDWLRQ &amp;RPPLWWHHEHOLHYHVWKDWWKH&amp;,&amp;EHQHILWVZHSURYLGHDUHUHSUHVHQWDWLYHRIPDUNHWSUDFWLFHERWKLQWHUPVRIGHVLJQDQGFRVW</w:t>
      </w:r>
    </w:p>
    <w:p>
      <w:pPr>
        <w:ind w:right="200"/>
        <w:spacing w:after="0" w:line="367" w:lineRule="auto"/>
        <w:rPr>
          <w:sz w:val="20"/>
          <w:szCs w:val="20"/>
          <w:color w:val="auto"/>
        </w:rPr>
      </w:pPr>
      <w:r>
        <w:rPr>
          <w:rFonts w:ascii="PMingLiU" w:cs="PMingLiU" w:eastAsia="PMingLiU" w:hAnsi="PMingLiU"/>
          <w:sz w:val="14"/>
          <w:szCs w:val="14"/>
          <w:color w:val="auto"/>
        </w:rPr>
        <w:t>DQGDUHVXIILFLHQWWRUHWDLQRXUFXUUHQWH[HFXWLYHWHDPDQGWRUHFUXLWWDOHQWHGH[HFXWLYHRIILFHUVLQWKHIXWXUH,QDGGLWLRQ HOLJLEOHHPSOR\HHVZKRVHUYHRQRXU(&amp;RWKHUWKDQRXU&amp;(2DUHHOLJLEOHWRSDUWLFLSDWHLQWKH6HYHUDQFH3ODQ$OORIRXU 1(2VIRUH[FHSW0V*DODDQG0U&amp;R]DGGDUHHOLJLEOHWRSDUWLFLSDWHLQWKH6HYHUDQFH3ODQ7KH6HYHUDQFH3ODQ SURYLGHVIRUEHQHILWVXSRQDQLQYROXQWDU\WHUPLQDWLRQWKDWGRHVQRWRFFXUXSRQRUZLWKLQWZHOYHPRQWKVIROORZLQJD&amp;,&amp;$VD UHVXOWWKHUHLVQRRYHUODSZKHUHDQH[HFXWLYHRIILFHUZRXOGUHFHLYHEHQHILWVXQGHUERWKWKH&amp;,&amp;3ODQDQGWKH6HYHUDQFH3ODQ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327025</wp:posOffset>
            </wp:positionV>
            <wp:extent cx="1386840" cy="2336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30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80"/>
          </w:cols>
          <w:pgMar w:left="900" w:top="377" w:right="799" w:bottom="0" w:gutter="0" w:footer="0" w:header="0"/>
        </w:sectPr>
      </w:pPr>
    </w:p>
    <w:bookmarkStart w:id="83" w:name="page84"/>
    <w:bookmarkEnd w:id="8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31" o:spid="_x0000_s1456"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(TXLW\*UDQW7LPLQJDQG(TXLW\3ODQ,QIRUPDWLRQ</w:t>
      </w:r>
    </w:p>
    <w:p>
      <w:pPr>
        <w:spacing w:after="0" w:line="191" w:lineRule="exact"/>
        <w:rPr>
          <w:sz w:val="20"/>
          <w:szCs w:val="20"/>
          <w:color w:val="auto"/>
        </w:rPr>
      </w:pPr>
    </w:p>
    <w:p>
      <w:pPr>
        <w:ind w:right="120"/>
        <w:spacing w:after="0" w:line="342" w:lineRule="auto"/>
        <w:rPr>
          <w:sz w:val="20"/>
          <w:szCs w:val="20"/>
          <w:color w:val="auto"/>
        </w:rPr>
      </w:pPr>
      <w:r>
        <w:rPr>
          <w:rFonts w:ascii="PMingLiU" w:cs="PMingLiU" w:eastAsia="PMingLiU" w:hAnsi="PMingLiU"/>
          <w:sz w:val="14"/>
          <w:szCs w:val="14"/>
          <w:color w:val="auto"/>
        </w:rPr>
        <w:t>2XUHTXLW\LQFHQWLYHJUDQWSROLF\JHQHUDOO\SURYLGHVWKDWJUDQWVWRRXUH[HFXWLYHRIILFHUVRFFXURQWKHVHFRQGWUDGLQJGD\ IROORZLQJWKHILOLQJGDWHRIRXUQH[WTXDUWHUO\RUDQQXDOUHSRUWILOHGXQGHUWKH([FKDQJH$FWWKDWRFFXUVDIWHUWKHGDWHRQZKLFK VXFKJUDQWVDUHDSSURYHGE\RXU%RDUGRURXU&amp;RPSHQVDWLRQ&amp;RPPLWWHHDVDSSOLFDEOH$FFRUGLQJO\RXUHTXLW\LQFHQWLYH</w:t>
      </w:r>
    </w:p>
    <w:p>
      <w:pPr>
        <w:ind w:right="100"/>
        <w:spacing w:after="0" w:line="362" w:lineRule="auto"/>
        <w:rPr>
          <w:sz w:val="20"/>
          <w:szCs w:val="20"/>
          <w:color w:val="auto"/>
        </w:rPr>
      </w:pPr>
      <w:r>
        <w:rPr>
          <w:rFonts w:ascii="PMingLiU" w:cs="PMingLiU" w:eastAsia="PMingLiU" w:hAnsi="PMingLiU"/>
          <w:sz w:val="14"/>
          <w:szCs w:val="14"/>
          <w:color w:val="auto"/>
        </w:rPr>
        <w:t>JUDQWSROLF\JHQHUDOO\UHTXLUHVWKDWJUDQWVWRRXUH[HFXWLYHRIILFHUVDUHPDGHVKRUWO\DIWHUZHKDYHUHOHDVHGLQIRUPDWLRQDERXW RXUILQDQFLDOSHUIRUPDQFHWRWKHSXEOLFIRUWKHDSSOLFDEOHSHULRG*UDQWVWRQHZKLUHVZKRDUHQRWH[HFXWLYHRIILFHUVJHQHUDOO\ RFFXURQWKHWKLUGEXVLQHVVGD\RIWKHPRQWKIROORZLQJWKHHPSOR\HH¶VGDWHRIKLUH,QZHGLGQRWWLPHWKHGLVFORVXUHRI PDWHULDOQRQSXEOLFLQIRUPDWLRQIRUWKHSXUSRVHRIDIIHFWLQJWKHYDOXHRIH[HFXWLYHFRPSHQVDWLRQ2XU&amp;RPSDQ\GRHVQRW FXUUHQWO\JUDQWVWRFNRSWLRQVVWRFNDSSUHFLDWLRQULJKWVRUVLPLODULQVWUXPHQWVZLWKRSWLRQOLNHIHDWXUHVDQGKDVQRSROLFLHVRU SUDFWLFHVWRGLVFORVHSXUVXDQWWR,WHP[RI5HJXODWLRQ6.</w:t>
      </w:r>
    </w:p>
    <w:p>
      <w:pPr>
        <w:spacing w:after="0" w:line="97" w:lineRule="exact"/>
        <w:rPr>
          <w:sz w:val="20"/>
          <w:szCs w:val="20"/>
          <w:color w:val="auto"/>
        </w:rPr>
      </w:pPr>
    </w:p>
    <w:p>
      <w:pPr>
        <w:spacing w:after="0"/>
        <w:rPr>
          <w:sz w:val="20"/>
          <w:szCs w:val="20"/>
          <w:color w:val="auto"/>
        </w:rPr>
      </w:pPr>
      <w:r>
        <w:rPr>
          <w:rFonts w:ascii="PMingLiU" w:cs="PMingLiU" w:eastAsia="PMingLiU" w:hAnsi="PMingLiU"/>
          <w:sz w:val="18"/>
          <w:szCs w:val="18"/>
          <w:color w:val="auto"/>
        </w:rPr>
        <w:t>:HFXUUHQWO\JUDQWHTXLW\DZDUGVWRWKH1(2VLQFOXGLQJ368VDQG568VXQGHUWKH3ODQ7KH3ODQZDVDGRSWHG</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E\-D]]3KDUPDFHXWLFDOV,QF¶VERDUGRIGLUHFWRUVDQGDSSURYHGE\-D]]3KDUPDFHXWLFDOV,QF¶VVWRFNKROGHUVLQFRQQHFWLRQ</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ZLWKWKHLUDSSURYDORIWKH$]XU0HUJHULQ'HFHPEHUDQGZDVDVVXPHGE\XVXSRQWKHFRPSOHWLRQRIWKH$]XU0HUJHU</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7"/>
          <w:szCs w:val="17"/>
          <w:color w:val="auto"/>
        </w:rPr>
        <w:t>%HIRUHWKH3ODQZDVDGRSWHGZHJUDQWHGVWRFNRSWLRQVXQGHURXU(TXLW\,QFHQWLYH3ODQZKLFKZDVDGRSWHGE\</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5"/>
          <w:szCs w:val="15"/>
          <w:color w:val="auto"/>
        </w:rPr>
        <w:t>-D]]3KDUPDFHXWLFDOV,QF¶VERDUGRIGLUHFWRUVDQGDSSURYHGE\-D]]3KDUPDFHXWLFDOV,QF¶VVWRFNKROGHUVLQFRQQHFWLRQZLWK</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-D]]3KDUPDFHXWLFDOV,QF¶VLQLWLDOSXEOLFRIIHULQJ7KH3ODQDIIRUGVRXU&amp;RPSHQVDWLRQ&amp;RPPLWWHHWKHIOH[LELOLW\WRXWLOL]H</w:t>
      </w:r>
    </w:p>
    <w:p>
      <w:pPr>
        <w:spacing w:after="0" w:line="60" w:lineRule="exact"/>
        <w:rPr>
          <w:sz w:val="20"/>
          <w:szCs w:val="20"/>
          <w:color w:val="auto"/>
        </w:rPr>
      </w:pPr>
    </w:p>
    <w:p>
      <w:pPr>
        <w:spacing w:after="0" w:line="392" w:lineRule="auto"/>
        <w:rPr>
          <w:sz w:val="20"/>
          <w:szCs w:val="20"/>
          <w:color w:val="auto"/>
        </w:rPr>
      </w:pPr>
      <w:r>
        <w:rPr>
          <w:rFonts w:ascii="PMingLiU" w:cs="PMingLiU" w:eastAsia="PMingLiU" w:hAnsi="PMingLiU"/>
          <w:sz w:val="14"/>
          <w:szCs w:val="14"/>
          <w:color w:val="auto"/>
        </w:rPr>
        <w:t>DEURDGDUUD\RIHTXLW\LQFHQWLYHVDQGSHUIRUPDQFHFDVKLQFHQWLYHVLQRUGHUWRVHFXUHDQGUHWDLQWKHVHUYLFHVRIHPSOR\HHVRI RXU&amp;RPSDQ\DQGLWVVXEVLGLDULHVDQGWRSURYLGHORQJWHUPLQFHQWLYHVWKDWDOLJQWKHLQWHUHVWVRIHPSOR\HHVZLWKWKHLQWHUHVWVRI RXUVKDUHKROGHUV</w:t>
      </w:r>
    </w:p>
    <w:p>
      <w:pPr>
        <w:spacing w:after="0" w:line="76" w:lineRule="exact"/>
        <w:rPr>
          <w:sz w:val="20"/>
          <w:szCs w:val="20"/>
          <w:color w:val="auto"/>
        </w:rPr>
      </w:pPr>
    </w:p>
    <w:p>
      <w:pPr>
        <w:jc w:val="both"/>
        <w:ind w:right="20"/>
        <w:spacing w:after="0" w:line="358" w:lineRule="auto"/>
        <w:rPr>
          <w:sz w:val="20"/>
          <w:szCs w:val="20"/>
          <w:color w:val="auto"/>
        </w:rPr>
      </w:pPr>
      <w:r>
        <w:rPr>
          <w:rFonts w:ascii="PMingLiU" w:cs="PMingLiU" w:eastAsia="PMingLiU" w:hAnsi="PMingLiU"/>
          <w:sz w:val="15"/>
          <w:szCs w:val="15"/>
          <w:color w:val="auto"/>
        </w:rPr>
        <w:t>$GGLWLRQDOORQJWHUPHTXLW\LQFHQWLYHVDUHSURYLGHGWKURXJKWKH(6333XUVXDQWWRWKH(633DOOHOLJLEOHHPSOR\HHVLQFOXGLQJ WKH1(2VLIHOLJLEOHPD\DOORFDWHXSWRRIWKHLUEDVHVDODU\WRSXUFKDVHRXUVWRFNDWDGLVFRXQWWRWKHPDUNHWSULFH VXEMHFWWRVSHFLILHGOLPLWV</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$FFRXQWLQJDQG7D[&amp;RQVLGHUDWLRQV</w:t>
      </w:r>
    </w:p>
    <w:p>
      <w:pPr>
        <w:spacing w:after="0" w:line="191" w:lineRule="exact"/>
        <w:rPr>
          <w:sz w:val="20"/>
          <w:szCs w:val="20"/>
          <w:color w:val="auto"/>
        </w:rPr>
      </w:pPr>
    </w:p>
    <w:p>
      <w:pPr>
        <w:ind w:right="60"/>
        <w:spacing w:after="0" w:line="328" w:lineRule="auto"/>
        <w:rPr>
          <w:sz w:val="20"/>
          <w:szCs w:val="20"/>
          <w:color w:val="auto"/>
        </w:rPr>
      </w:pPr>
      <w:r>
        <w:rPr>
          <w:rFonts w:ascii="PMingLiU" w:cs="PMingLiU" w:eastAsia="PMingLiU" w:hAnsi="PMingLiU"/>
          <w:sz w:val="16"/>
          <w:szCs w:val="16"/>
          <w:color w:val="auto"/>
        </w:rPr>
        <w:t>8QGHU)$6%$6&amp;RXU&amp;RPSDQ\LVUHTXLUHGWRHVWLPDWHDQGUHFRUGDQH[SHQVHIRUHDFKDZDUGRIHTXLW\FRPSHQVDWLRQ RYHUWKHYHVWLQJSHULRGRIWKHDZDUG:HUHFRUGVKDUHEDVHGFRPSHQVDWLRQH[SHQVHRQDQRQJRLQJEDVLVDFFRUGLQJWR)$6% $6&amp;</w:t>
      </w:r>
    </w:p>
    <w:p>
      <w:pPr>
        <w:spacing w:after="0" w:line="112" w:lineRule="exact"/>
        <w:rPr>
          <w:sz w:val="20"/>
          <w:szCs w:val="20"/>
          <w:color w:val="auto"/>
        </w:rPr>
      </w:pPr>
    </w:p>
    <w:p>
      <w:pPr>
        <w:spacing w:after="0" w:line="323" w:lineRule="auto"/>
        <w:rPr>
          <w:sz w:val="20"/>
          <w:szCs w:val="20"/>
          <w:color w:val="auto"/>
        </w:rPr>
      </w:pPr>
      <w:r>
        <w:rPr>
          <w:rFonts w:ascii="PMingLiU" w:cs="PMingLiU" w:eastAsia="PMingLiU" w:hAnsi="PMingLiU"/>
          <w:sz w:val="17"/>
          <w:szCs w:val="17"/>
          <w:color w:val="auto"/>
        </w:rPr>
        <w:t>8QGHU6HFWLRQPRIWKH&amp;RGHFRPSHQVDWLRQSDLGWRHDFKRIRXU&amp;RPSDQ\¶V³FRYHUHGHPSOR\HHV´WKDWH[FHHGVPLOOLRQ SHUWD[DEOH\HDULVJHQHUDOO\QRQGHGXFWLEOHIRUWD[SXUSRVHV</w:t>
      </w:r>
    </w:p>
    <w:p>
      <w:pPr>
        <w:spacing w:after="0" w:line="110" w:lineRule="exact"/>
        <w:rPr>
          <w:sz w:val="20"/>
          <w:szCs w:val="20"/>
          <w:color w:val="auto"/>
        </w:rPr>
      </w:pPr>
    </w:p>
    <w:p>
      <w:pPr>
        <w:ind w:right="320"/>
        <w:spacing w:after="0" w:line="342" w:lineRule="auto"/>
        <w:rPr>
          <w:sz w:val="20"/>
          <w:szCs w:val="20"/>
          <w:color w:val="auto"/>
        </w:rPr>
      </w:pPr>
      <w:r>
        <w:rPr>
          <w:rFonts w:ascii="PMingLiU" w:cs="PMingLiU" w:eastAsia="PMingLiU" w:hAnsi="PMingLiU"/>
          <w:sz w:val="14"/>
          <w:szCs w:val="14"/>
          <w:color w:val="auto"/>
        </w:rPr>
        <w:t>$OWKRXJKRXU&amp;RPSHQVDWLRQ&amp;RPPLWWHHZLOOFRQWLQXHWRFRQVLGHUWD[LPSOLFDWLRQVDVRQHIDFWRULQGHWHUPLQLQJH[HFXWLYH FRPSHQVDWLRQRXU&amp;RPSHQVDWLRQ&amp;RPPLWWHHDOVRORRNVDWRWKHUIDFWRUVLQPDNLQJLWVGHFLVLRQVDQGUHWDLQVWKHIOH[LELOLW\WR SURYLGHFRPSHQVDWLRQIRURXU&amp;RPSDQ\¶V1(2VLQDPDQQHUFRQVLVWHQWZLWKWKHJRDOVRIRXU&amp;RPSDQ\¶VH[HFXWLYH</w:t>
      </w:r>
    </w:p>
    <w:p>
      <w:pPr>
        <w:ind w:right="860"/>
        <w:spacing w:after="0" w:line="398" w:lineRule="auto"/>
        <w:rPr>
          <w:sz w:val="20"/>
          <w:szCs w:val="20"/>
          <w:color w:val="auto"/>
        </w:rPr>
      </w:pPr>
      <w:r>
        <w:rPr>
          <w:rFonts w:ascii="PMingLiU" w:cs="PMingLiU" w:eastAsia="PMingLiU" w:hAnsi="PMingLiU"/>
          <w:sz w:val="15"/>
          <w:szCs w:val="15"/>
          <w:color w:val="auto"/>
        </w:rPr>
        <w:t>FRPSHQVDWLRQSURJUDPDQGWKHEHVWLQWHUHVWVRIRXU&amp;RPSDQ\DQGLWVVWRFNKROGHUVZKLFKPD\LQFOXGHSURYLGLQJIRU FRPSHQVDWLRQWKDWLVQRWGHGXFWLEOHE\RXU&amp;RPSDQ\GXHWRWKHGHGXFWLRQOLPLWXQGHU6HFWLRQPRIWKH&amp;RGH</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5LVN$VVHVVPHQW&amp;RQFHUQLQJ&amp;RPSHQVDWLRQ3UDFWLFHVDQG3ROLFLHV</w:t>
      </w:r>
    </w:p>
    <w:p>
      <w:pPr>
        <w:spacing w:after="0" w:line="191" w:lineRule="exact"/>
        <w:rPr>
          <w:sz w:val="20"/>
          <w:szCs w:val="20"/>
          <w:color w:val="auto"/>
        </w:rPr>
      </w:pPr>
    </w:p>
    <w:p>
      <w:pPr>
        <w:ind w:right="60"/>
        <w:spacing w:after="0" w:line="342" w:lineRule="auto"/>
        <w:rPr>
          <w:sz w:val="20"/>
          <w:szCs w:val="20"/>
          <w:color w:val="auto"/>
        </w:rPr>
      </w:pPr>
      <w:r>
        <w:rPr>
          <w:rFonts w:ascii="PMingLiU" w:cs="PMingLiU" w:eastAsia="PMingLiU" w:hAnsi="PMingLiU"/>
          <w:sz w:val="14"/>
          <w:szCs w:val="14"/>
          <w:color w:val="auto"/>
        </w:rPr>
        <w:t>2XU&amp;RPSHQVDWLRQ&amp;RPPLWWHHSHULRGLFDOO\UHYLHZVRXU&amp;RPSDQ\¶VFRPSHQVDWLRQSROLFLHVDQGSUDFWLFHVWRDVVHVVZKHWKHU WKH\HQFRXUDJHHPSOR\HHVWRWDNHLQDSSURSULDWHULVNV2XU&amp;RPSHQVDWLRQ&amp;RPPLWWHHKDVGHWHUPLQHGWKDWDQ\ULVNVDULVLQJ IURPRXUFRPSHQVDWLRQSROLFLHVDQGSUDFWLFHVIRURXUHPSOR\HHVDUHQRWUHDVRQDEO\OLNHO\WRKDYHDPDWHULDODGYHUVHHIIHFWRQ RXU&amp;RPSDQ\2XU&amp;RPSHQVDWLRQ&amp;RPPLWWHHFRQWLQXHVWREHOLHYHWKDWWKHPL[DQGGHVLJQRIWKHHOHPHQWVRIH[HFXWLYH FRPSHQVDWLRQGRQRWHQFRXUDJHPDQDJHPHQWWRDVVXPHH[FHVVLYHULVNVDQGVLJQLILFDQWFRPSHQVDWLRQGHFLVLRQVDVZHOODV GHFLVLRQVFRQFHUQLQJWKHFRPSHQVDWLRQRIRXU&amp;RPSDQ\¶VH[HFXWLYHRIILFHUVLQFOXGHVXEMHFWLYHFRQVLGHUDWLRQVE\RXU</w:t>
      </w:r>
    </w:p>
    <w:p>
      <w:pPr>
        <w:spacing w:after="0" w:line="1" w:lineRule="exact"/>
        <w:rPr>
          <w:sz w:val="20"/>
          <w:szCs w:val="20"/>
          <w:color w:val="auto"/>
        </w:rPr>
      </w:pPr>
    </w:p>
    <w:p>
      <w:pPr>
        <w:ind w:right="60"/>
        <w:spacing w:after="0" w:line="342" w:lineRule="auto"/>
        <w:rPr>
          <w:sz w:val="20"/>
          <w:szCs w:val="20"/>
          <w:color w:val="auto"/>
        </w:rPr>
      </w:pPr>
      <w:r>
        <w:rPr>
          <w:rFonts w:ascii="PMingLiU" w:cs="PMingLiU" w:eastAsia="PMingLiU" w:hAnsi="PMingLiU"/>
          <w:sz w:val="14"/>
          <w:szCs w:val="14"/>
          <w:color w:val="auto"/>
        </w:rPr>
        <w:t>&amp;RPSHQVDWLRQ&amp;RPPLWWHHRURXU%RDUGZKLFKUHVWUDLQWKHLQIOXHQFHRIIRUPXODHRUREMHFWLYHIDFWRUVRQH[FHVVLYHULVNWDNLQJ $GGLWLRQDOO\VLJQLILFDQWZHLJKWLQJRIORQJWHUPFRPSHQVDWLRQLQWKHIRUPRI368VDQG568VLQHDFK1(2VWRWDO</w:t>
      </w:r>
    </w:p>
    <w:p>
      <w:pPr>
        <w:ind w:right="20"/>
        <w:spacing w:after="0" w:line="362" w:lineRule="auto"/>
        <w:rPr>
          <w:sz w:val="20"/>
          <w:szCs w:val="20"/>
          <w:color w:val="auto"/>
        </w:rPr>
      </w:pPr>
      <w:r>
        <w:rPr>
          <w:rFonts w:ascii="PMingLiU" w:cs="PMingLiU" w:eastAsia="PMingLiU" w:hAnsi="PMingLiU"/>
          <w:sz w:val="14"/>
          <w:szCs w:val="14"/>
          <w:color w:val="auto"/>
        </w:rPr>
        <w:t>FRPSHQVDWLRQRSSRUWXQLW\HQVXUHVJUHDWHUIRFXVRQGULYLQJVXVWDLQDEOHJURZWKDQGVKDUHKROGHUYDOXHFUHDWLRQRYHUWKHORQJHU WHUPDQGWKHPL[RIVKRUWWHUPFRPSHQVDWLRQLQWKHIRUPRIVDODU\DQGDQQXDOERQXVLIDQ\DQGORQJWHUPFRPSHQVDWLRQLQ WKHIRUPRI368VDQG568VDOVRPLQLPL]HVXQGXHIRFXVRQVKRUWWHUPUHVXOWVDQGKHOSVDOLJQWKHLQWHUHVWVRIRXU&amp;RPSDQ\¶V H[HFXWLYHRIILFHUVZLWKWKHLQWHUHVWVRIRXUVKDUHKROGHUV)LQDOO\ZHPDLQWDLQUREXVWVKDUHRZQHUVKLSUHTXLUHPHQWVDIRUPDO LQFHQWLYHFRPSHQVDWLRQFODZEDFNSROLF\DQGDVWULFWDQWLKHGJLQJDQGSOHGJLQJSROLF\ZKLFKLQGLYLGXDOO\DQGFROOHFWLYHO\DFWWR PLQLPL]HULVNDQGHQVXUHDORQJWHUPIRFXVRQRXUEXVLQHVV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232410</wp:posOffset>
            </wp:positionV>
            <wp:extent cx="1386840" cy="2336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30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34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00"/>
          </w:cols>
          <w:pgMar w:left="900" w:top="377" w:right="879" w:bottom="0" w:gutter="0" w:footer="0" w:header="0"/>
        </w:sectPr>
      </w:pPr>
    </w:p>
    <w:bookmarkStart w:id="84" w:name="page85"/>
    <w:bookmarkEnd w:id="84"/>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33" o:spid="_x0000_s1458"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&amp;RPSHQVDWLRQ&amp;RPPLWWHH5HSRUW</w:t>
      </w:r>
      <w:r>
        <w:rPr>
          <w:rFonts w:ascii="PMingLiU" w:cs="PMingLiU" w:eastAsia="PMingLiU" w:hAnsi="PMingLiU"/>
          <w:sz w:val="41"/>
          <w:szCs w:val="41"/>
          <w:color w:val="5C004D"/>
          <w:vertAlign w:val="superscript"/>
        </w:rPr>
        <w:t/>
      </w:r>
    </w:p>
    <w:p>
      <w:pPr>
        <w:spacing w:after="0" w:line="111" w:lineRule="exact"/>
        <w:rPr>
          <w:sz w:val="20"/>
          <w:szCs w:val="20"/>
          <w:color w:val="auto"/>
        </w:rPr>
      </w:pPr>
    </w:p>
    <w:p>
      <w:pPr>
        <w:ind w:right="160"/>
        <w:spacing w:after="0" w:line="345" w:lineRule="auto"/>
        <w:rPr>
          <w:sz w:val="20"/>
          <w:szCs w:val="20"/>
          <w:color w:val="auto"/>
        </w:rPr>
      </w:pPr>
      <w:r>
        <w:rPr>
          <w:rFonts w:ascii="PMingLiU" w:cs="PMingLiU" w:eastAsia="PMingLiU" w:hAnsi="PMingLiU"/>
          <w:sz w:val="15"/>
          <w:szCs w:val="15"/>
          <w:color w:val="auto"/>
        </w:rPr>
        <w:t>2XU&amp;RPSHQVDWLRQ&amp;RPPLWWHHKDVUHYLHZHGDQGGLVFXVVHGZLWKPDQDJHPHQWWKH&amp;RPSHQVDWLRQ'LVFXVVLRQDQG$QDO\VLV FRQWDLQHGKHUHLQ%DVHGRQWKLVUHYLHZDQGGLVFXVVLRQRXU&amp;RPSHQVDWLRQ&amp;RPPLWWHHKDVUHFRPPHQGHGWRRXU%RDUGWKDW WKH&amp;RPSHQVDWLRQ'LVFXVVLRQDQG$QDO\VLVEHLQFOXGHGLQRXUSUR[\VWDWHPHQWIRUWKH$*0DQGEHLQFOXGHGLQWKH $QQXDO5HSRUWRQ)RUP.ZHILOHGZLWKWKH6(&amp;IRUWKHILVFDO\HDUHQGHG'HFHPEHU</w:t>
      </w:r>
    </w:p>
    <w:p>
      <w:pPr>
        <w:spacing w:after="0" w:line="103"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5HVSHFWIXOO\VXEPLWWHG</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b w:val="1"/>
          <w:bCs w:val="1"/>
          <w:color w:val="000046"/>
        </w:rPr>
        <w:t>2XU&amp;RPSHQVDWLRQ&amp;RPPLWWHH</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0V-HQQLIHU(&amp;RRN</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0U3DWULFN*(QULJKW</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0V/DXUD-+DPLOO</w:t>
      </w:r>
    </w:p>
    <w:p>
      <w:pPr>
        <w:spacing w:after="0" w:line="8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0V$QQH2¶5LRUGDQ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5799455</wp:posOffset>
                </wp:positionV>
                <wp:extent cx="253301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0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56.65pt" to="199.35pt,456.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00" w:hanging="359"/>
        <w:spacing w:after="0" w:line="307" w:lineRule="auto"/>
        <w:tabs>
          <w:tab w:leader="none" w:pos="380" w:val="left"/>
        </w:tabs>
        <w:rPr>
          <w:sz w:val="20"/>
          <w:szCs w:val="20"/>
          <w:color w:val="auto"/>
        </w:rPr>
      </w:pPr>
      <w:r>
        <w:rPr>
          <w:rFonts w:ascii="PMingLiU" w:cs="PMingLiU" w:eastAsia="PMingLiU" w:hAnsi="PMingLiU"/>
          <w:sz w:val="13"/>
          <w:szCs w:val="13"/>
          <w:color w:val="auto"/>
        </w:rPr>
        <w:t/>
        <w:tab/>
        <w:t>7KHPDWHULDOLQWKLVUHSRUWLVQRW³VROLFLWLQJPDWHULDO´LVQRWGHHPHG³ILOHG´ZLWKWKH6(&amp;DQGLVQRWWREHLQFRUSRUDWHGE\UHIHUHQFHLQDQ\ ILOLQJRIWKHUHJLVWUDQWXQGHUWKH6HFXULWLHV$FWRUWKH([FKDQJH$FWZKHWKHUPDGHEHIRUHRUDIWHUWKHGDWHKHUHRIDQGLUUHVSHFWLYHRIDQ\</w:t>
      </w:r>
    </w:p>
    <w:p>
      <w:pPr>
        <w:spacing w:after="0" w:line="1" w:lineRule="exact"/>
        <w:rPr>
          <w:sz w:val="20"/>
          <w:szCs w:val="20"/>
          <w:color w:val="auto"/>
        </w:rPr>
      </w:pPr>
    </w:p>
    <w:p>
      <w:pPr>
        <w:ind w:left="400"/>
        <w:spacing w:after="0"/>
        <w:rPr>
          <w:sz w:val="20"/>
          <w:szCs w:val="20"/>
          <w:color w:val="auto"/>
        </w:rPr>
      </w:pPr>
      <w:r>
        <w:rPr>
          <w:rFonts w:ascii="PMingLiU" w:cs="PMingLiU" w:eastAsia="PMingLiU" w:hAnsi="PMingLiU"/>
          <w:sz w:val="16"/>
          <w:szCs w:val="16"/>
          <w:color w:val="auto"/>
        </w:rPr>
        <w:t>JHQHUDOLQFRUSRUDWLRQODQJXDJHLQDQ\VXFKILOLQJ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269875</wp:posOffset>
            </wp:positionV>
            <wp:extent cx="1389380" cy="2343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30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2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00" w:top="377" w:right="959" w:bottom="0" w:gutter="0" w:footer="0" w:header="0"/>
        </w:sectPr>
      </w:pPr>
    </w:p>
    <w:bookmarkStart w:id="85" w:name="page86"/>
    <w:bookmarkEnd w:id="8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36" o:spid="_x0000_s1461"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([HFXWLYH&amp;RPSHQVDWLRQ6XPPDU\</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6XPPDU\&amp;RPSHQVDWLRQ7DEOH</w:t>
      </w:r>
    </w:p>
    <w:p>
      <w:pPr>
        <w:spacing w:after="0" w:line="191" w:lineRule="exact"/>
        <w:rPr>
          <w:sz w:val="20"/>
          <w:szCs w:val="20"/>
          <w:color w:val="auto"/>
        </w:rPr>
      </w:pPr>
    </w:p>
    <w:p>
      <w:pPr>
        <w:ind w:right="60"/>
        <w:spacing w:after="0" w:line="443" w:lineRule="auto"/>
        <w:rPr>
          <w:sz w:val="20"/>
          <w:szCs w:val="20"/>
          <w:color w:val="auto"/>
        </w:rPr>
      </w:pPr>
      <w:r>
        <w:rPr>
          <w:rFonts w:ascii="PMingLiU" w:cs="PMingLiU" w:eastAsia="PMingLiU" w:hAnsi="PMingLiU"/>
          <w:sz w:val="14"/>
          <w:szCs w:val="14"/>
          <w:color w:val="auto"/>
        </w:rPr>
        <w:t>7KHIROORZLQJWDEOHVHWVIRUWKFHUWDLQVXPPDU\LQIRUPDWLRQIRUWKH\HDUVLQGLFDWHGZLWKUHVSHFWWRWKHFRPSHQVDWLRQHDUQHGE\ WKH1(2VGXULQJILVFDO\HDUDQGDVDSSOLFDEOH</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80" w:type="dxa"/>
            <w:vAlign w:val="bottom"/>
            <w:shd w:val="clear" w:color="auto" w:fill="000046"/>
          </w:tcPr>
          <w:p>
            <w:pPr>
              <w:spacing w:after="0"/>
              <w:rPr>
                <w:sz w:val="24"/>
                <w:szCs w:val="24"/>
                <w:color w:val="auto"/>
              </w:rPr>
            </w:pPr>
          </w:p>
        </w:tc>
        <w:tc>
          <w:tcPr>
            <w:tcW w:w="480" w:type="dxa"/>
            <w:vAlign w:val="bottom"/>
            <w:shd w:val="clear" w:color="auto" w:fill="000046"/>
          </w:tcPr>
          <w:p>
            <w:pPr>
              <w:spacing w:after="0"/>
              <w:rPr>
                <w:sz w:val="24"/>
                <w:szCs w:val="24"/>
                <w:color w:val="auto"/>
              </w:rPr>
            </w:pPr>
          </w:p>
        </w:tc>
        <w:tc>
          <w:tcPr>
            <w:tcW w:w="860" w:type="dxa"/>
            <w:vAlign w:val="bottom"/>
            <w:shd w:val="clear" w:color="auto" w:fill="000046"/>
          </w:tcPr>
          <w:p>
            <w:pPr>
              <w:spacing w:after="0"/>
              <w:rPr>
                <w:sz w:val="24"/>
                <w:szCs w:val="24"/>
                <w:color w:val="auto"/>
              </w:rPr>
            </w:pPr>
          </w:p>
        </w:tc>
        <w:tc>
          <w:tcPr>
            <w:tcW w:w="720" w:type="dxa"/>
            <w:vAlign w:val="bottom"/>
            <w:shd w:val="clear" w:color="auto" w:fill="000046"/>
          </w:tcPr>
          <w:p>
            <w:pPr>
              <w:spacing w:after="0"/>
              <w:rPr>
                <w:sz w:val="24"/>
                <w:szCs w:val="24"/>
                <w:color w:val="auto"/>
              </w:rPr>
            </w:pPr>
          </w:p>
        </w:tc>
        <w:tc>
          <w:tcPr>
            <w:tcW w:w="960" w:type="dxa"/>
            <w:vAlign w:val="bottom"/>
            <w:shd w:val="clear" w:color="auto" w:fill="000046"/>
          </w:tcPr>
          <w:p>
            <w:pPr>
              <w:spacing w:after="0"/>
              <w:rPr>
                <w:sz w:val="24"/>
                <w:szCs w:val="24"/>
                <w:color w:val="auto"/>
              </w:rPr>
            </w:pPr>
          </w:p>
        </w:tc>
        <w:tc>
          <w:tcPr>
            <w:tcW w:w="940" w:type="dxa"/>
            <w:vAlign w:val="bottom"/>
            <w:shd w:val="clear" w:color="auto" w:fill="000046"/>
          </w:tcPr>
          <w:p>
            <w:pPr>
              <w:spacing w:after="0"/>
              <w:rPr>
                <w:sz w:val="24"/>
                <w:szCs w:val="24"/>
                <w:color w:val="auto"/>
              </w:rPr>
            </w:pPr>
          </w:p>
        </w:tc>
        <w:tc>
          <w:tcPr>
            <w:tcW w:w="126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1RQ(TXLW\</w:t>
            </w:r>
          </w:p>
        </w:tc>
        <w:tc>
          <w:tcPr>
            <w:tcW w:w="1220" w:type="dxa"/>
            <w:vAlign w:val="bottom"/>
            <w:shd w:val="clear" w:color="auto" w:fill="000046"/>
          </w:tcPr>
          <w:p>
            <w:pPr>
              <w:spacing w:after="0"/>
              <w:rPr>
                <w:sz w:val="24"/>
                <w:szCs w:val="24"/>
                <w:color w:val="auto"/>
              </w:rPr>
            </w:pPr>
          </w:p>
        </w:tc>
        <w:tc>
          <w:tcPr>
            <w:tcW w:w="900" w:type="dxa"/>
            <w:vAlign w:val="bottom"/>
            <w:shd w:val="clear" w:color="auto" w:fill="000046"/>
          </w:tcPr>
          <w:p>
            <w:pPr>
              <w:spacing w:after="0"/>
              <w:rPr>
                <w:sz w:val="24"/>
                <w:szCs w:val="24"/>
                <w:color w:val="auto"/>
              </w:rPr>
            </w:pPr>
          </w:p>
        </w:tc>
        <w:tc>
          <w:tcPr>
            <w:tcW w:w="60" w:type="dxa"/>
            <w:vAlign w:val="bottom"/>
            <w:shd w:val="clear" w:color="auto" w:fill="000046"/>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000046"/>
          </w:tcPr>
          <w:p>
            <w:pPr>
              <w:spacing w:after="0"/>
              <w:rPr>
                <w:sz w:val="16"/>
                <w:szCs w:val="16"/>
                <w:color w:val="auto"/>
              </w:rPr>
            </w:pPr>
          </w:p>
        </w:tc>
        <w:tc>
          <w:tcPr>
            <w:tcW w:w="480" w:type="dxa"/>
            <w:vAlign w:val="bottom"/>
            <w:shd w:val="clear" w:color="auto" w:fill="000046"/>
          </w:tcPr>
          <w:p>
            <w:pPr>
              <w:spacing w:after="0"/>
              <w:rPr>
                <w:sz w:val="16"/>
                <w:szCs w:val="16"/>
                <w:color w:val="auto"/>
              </w:rPr>
            </w:pPr>
          </w:p>
        </w:tc>
        <w:tc>
          <w:tcPr>
            <w:tcW w:w="860" w:type="dxa"/>
            <w:vAlign w:val="bottom"/>
            <w:shd w:val="clear" w:color="auto" w:fill="000046"/>
          </w:tcPr>
          <w:p>
            <w:pPr>
              <w:spacing w:after="0"/>
              <w:rPr>
                <w:sz w:val="16"/>
                <w:szCs w:val="16"/>
                <w:color w:val="auto"/>
              </w:rPr>
            </w:pPr>
          </w:p>
        </w:tc>
        <w:tc>
          <w:tcPr>
            <w:tcW w:w="720" w:type="dxa"/>
            <w:vAlign w:val="bottom"/>
            <w:shd w:val="clear" w:color="auto" w:fill="000046"/>
          </w:tcPr>
          <w:p>
            <w:pPr>
              <w:spacing w:after="0"/>
              <w:rPr>
                <w:sz w:val="16"/>
                <w:szCs w:val="16"/>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6WRFN</w:t>
            </w:r>
          </w:p>
        </w:tc>
        <w:tc>
          <w:tcPr>
            <w:tcW w:w="94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2SWLRQ</w:t>
            </w:r>
          </w:p>
        </w:tc>
        <w:tc>
          <w:tcPr>
            <w:tcW w:w="126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w w:val="90"/>
              </w:rPr>
              <w:t>,QFHQWLYH3ODQ</w:t>
            </w:r>
          </w:p>
        </w:tc>
        <w:tc>
          <w:tcPr>
            <w:tcW w:w="12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$OO2WKHU</w:t>
            </w:r>
          </w:p>
        </w:tc>
        <w:tc>
          <w:tcPr>
            <w:tcW w:w="900" w:type="dxa"/>
            <w:vAlign w:val="bottom"/>
            <w:shd w:val="clear" w:color="auto" w:fill="000046"/>
          </w:tcPr>
          <w:p>
            <w:pPr>
              <w:spacing w:after="0"/>
              <w:rPr>
                <w:sz w:val="16"/>
                <w:szCs w:val="16"/>
                <w:color w:val="auto"/>
              </w:rPr>
            </w:pPr>
          </w:p>
        </w:tc>
        <w:tc>
          <w:tcPr>
            <w:tcW w:w="60" w:type="dxa"/>
            <w:vAlign w:val="bottom"/>
            <w:shd w:val="clear" w:color="auto" w:fill="00004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000046"/>
          </w:tcPr>
          <w:p>
            <w:pPr>
              <w:spacing w:after="0"/>
              <w:rPr>
                <w:sz w:val="16"/>
                <w:szCs w:val="16"/>
                <w:color w:val="auto"/>
              </w:rPr>
            </w:pPr>
          </w:p>
        </w:tc>
        <w:tc>
          <w:tcPr>
            <w:tcW w:w="480" w:type="dxa"/>
            <w:vAlign w:val="bottom"/>
            <w:shd w:val="clear" w:color="auto" w:fill="000046"/>
          </w:tcPr>
          <w:p>
            <w:pPr>
              <w:spacing w:after="0"/>
              <w:rPr>
                <w:sz w:val="16"/>
                <w:szCs w:val="16"/>
                <w:color w:val="auto"/>
              </w:rPr>
            </w:pPr>
          </w:p>
        </w:tc>
        <w:tc>
          <w:tcPr>
            <w:tcW w:w="86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6DODU\</w:t>
            </w:r>
          </w:p>
        </w:tc>
        <w:tc>
          <w:tcPr>
            <w:tcW w:w="720" w:type="dxa"/>
            <w:vAlign w:val="bottom"/>
            <w:shd w:val="clear" w:color="auto" w:fill="000046"/>
          </w:tcPr>
          <w:p>
            <w:pPr>
              <w:jc w:val="right"/>
              <w:ind w:right="6"/>
              <w:spacing w:after="0"/>
              <w:rPr>
                <w:sz w:val="20"/>
                <w:szCs w:val="20"/>
                <w:color w:val="auto"/>
              </w:rPr>
            </w:pPr>
            <w:r>
              <w:rPr>
                <w:rFonts w:ascii="PMingLiU" w:cs="PMingLiU" w:eastAsia="PMingLiU" w:hAnsi="PMingLiU"/>
                <w:sz w:val="16"/>
                <w:szCs w:val="16"/>
                <w:b w:val="1"/>
                <w:bCs w:val="1"/>
                <w:color w:val="FFFFFF"/>
              </w:rPr>
              <w:t>%RQXV</w:t>
            </w:r>
          </w:p>
        </w:tc>
        <w:tc>
          <w:tcPr>
            <w:tcW w:w="960" w:type="dxa"/>
            <w:vAlign w:val="bottom"/>
            <w:shd w:val="clear" w:color="auto" w:fill="000046"/>
          </w:tcPr>
          <w:p>
            <w:pPr>
              <w:jc w:val="right"/>
              <w:ind w:right="2"/>
              <w:spacing w:after="0"/>
              <w:rPr>
                <w:sz w:val="20"/>
                <w:szCs w:val="20"/>
                <w:color w:val="auto"/>
              </w:rPr>
            </w:pPr>
            <w:r>
              <w:rPr>
                <w:rFonts w:ascii="PMingLiU" w:cs="PMingLiU" w:eastAsia="PMingLiU" w:hAnsi="PMingLiU"/>
                <w:sz w:val="16"/>
                <w:szCs w:val="16"/>
                <w:b w:val="1"/>
                <w:bCs w:val="1"/>
                <w:color w:val="FFFFFF"/>
              </w:rPr>
              <w:t>$ZDUGV</w:t>
            </w:r>
          </w:p>
        </w:tc>
        <w:tc>
          <w:tcPr>
            <w:tcW w:w="940" w:type="dxa"/>
            <w:vAlign w:val="bottom"/>
            <w:shd w:val="clear" w:color="auto" w:fill="000046"/>
          </w:tcPr>
          <w:p>
            <w:pPr>
              <w:jc w:val="right"/>
              <w:ind w:right="7"/>
              <w:spacing w:after="0"/>
              <w:rPr>
                <w:sz w:val="20"/>
                <w:szCs w:val="20"/>
                <w:color w:val="auto"/>
              </w:rPr>
            </w:pPr>
            <w:r>
              <w:rPr>
                <w:rFonts w:ascii="PMingLiU" w:cs="PMingLiU" w:eastAsia="PMingLiU" w:hAnsi="PMingLiU"/>
                <w:sz w:val="16"/>
                <w:szCs w:val="16"/>
                <w:b w:val="1"/>
                <w:bCs w:val="1"/>
                <w:color w:val="FFFFFF"/>
              </w:rPr>
              <w:t>$ZDUGV</w:t>
            </w:r>
          </w:p>
        </w:tc>
        <w:tc>
          <w:tcPr>
            <w:tcW w:w="126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w w:val="90"/>
              </w:rPr>
              <w:t>&amp;RPSHQVDWLRQ</w:t>
            </w:r>
          </w:p>
        </w:tc>
        <w:tc>
          <w:tcPr>
            <w:tcW w:w="122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w w:val="90"/>
              </w:rPr>
              <w:t>&amp;RPSHQVDWLRQ</w:t>
            </w:r>
          </w:p>
        </w:tc>
        <w:tc>
          <w:tcPr>
            <w:tcW w:w="960" w:type="dxa"/>
            <w:vAlign w:val="bottom"/>
            <w:gridSpan w:val="2"/>
            <w:shd w:val="clear" w:color="auto" w:fill="000046"/>
          </w:tcPr>
          <w:p>
            <w:pPr>
              <w:jc w:val="right"/>
              <w:ind w:right="120"/>
              <w:spacing w:after="0"/>
              <w:rPr>
                <w:sz w:val="20"/>
                <w:szCs w:val="20"/>
                <w:color w:val="auto"/>
              </w:rPr>
            </w:pPr>
            <w:r>
              <w:rPr>
                <w:rFonts w:ascii="PMingLiU" w:cs="PMingLiU" w:eastAsia="PMingLiU" w:hAnsi="PMingLiU"/>
                <w:sz w:val="16"/>
                <w:szCs w:val="16"/>
                <w:b w:val="1"/>
                <w:bCs w:val="1"/>
                <w:color w:val="FFFFFF"/>
              </w:rPr>
              <w:t>7RWDO</w:t>
            </w:r>
          </w:p>
        </w:tc>
        <w:tc>
          <w:tcPr>
            <w:tcW w:w="0" w:type="dxa"/>
            <w:vAlign w:val="bottom"/>
          </w:tcPr>
          <w:p>
            <w:pPr>
              <w:spacing w:after="0"/>
              <w:rPr>
                <w:sz w:val="1"/>
                <w:szCs w:val="1"/>
                <w:color w:val="auto"/>
              </w:rPr>
            </w:pPr>
          </w:p>
        </w:tc>
      </w:tr>
      <w:tr>
        <w:trPr>
          <w:trHeight w:val="284"/>
        </w:trPr>
        <w:tc>
          <w:tcPr>
            <w:tcW w:w="2680" w:type="dxa"/>
            <w:vAlign w:val="bottom"/>
            <w:tcBorders>
              <w:bottom w:val="single" w:sz="8" w:color="4454A7"/>
            </w:tcBorders>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1DPHDQG3ULQFLSDO3RVLWLRQ</w:t>
            </w:r>
          </w:p>
        </w:tc>
        <w:tc>
          <w:tcPr>
            <w:tcW w:w="480" w:type="dxa"/>
            <w:vAlign w:val="bottom"/>
            <w:shd w:val="clear" w:color="auto" w:fill="000046"/>
          </w:tcPr>
          <w:p>
            <w:pPr>
              <w:ind w:left="60"/>
              <w:spacing w:after="0"/>
              <w:rPr>
                <w:sz w:val="20"/>
                <w:szCs w:val="20"/>
                <w:color w:val="auto"/>
              </w:rPr>
            </w:pPr>
            <w:r>
              <w:rPr>
                <w:rFonts w:ascii="PMingLiU" w:cs="PMingLiU" w:eastAsia="PMingLiU" w:hAnsi="PMingLiU"/>
                <w:sz w:val="16"/>
                <w:szCs w:val="16"/>
                <w:b w:val="1"/>
                <w:bCs w:val="1"/>
                <w:color w:val="FFFFFF"/>
                <w:w w:val="97"/>
              </w:rPr>
              <w:t>&lt;HDU</w:t>
            </w:r>
          </w:p>
        </w:tc>
        <w:tc>
          <w:tcPr>
            <w:tcW w:w="860" w:type="dxa"/>
            <w:vAlign w:val="bottom"/>
            <w:shd w:val="clear" w:color="auto" w:fill="000046"/>
          </w:tcPr>
          <w:p>
            <w:pPr>
              <w:jc w:val="right"/>
              <w:ind w:right="2"/>
              <w:spacing w:after="0" w:line="279"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720" w:type="dxa"/>
            <w:vAlign w:val="bottom"/>
            <w:shd w:val="clear" w:color="auto" w:fill="000046"/>
          </w:tcPr>
          <w:p>
            <w:pPr>
              <w:jc w:val="right"/>
              <w:ind w:right="6"/>
              <w:spacing w:after="0" w:line="279"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960" w:type="dxa"/>
            <w:vAlign w:val="bottom"/>
            <w:shd w:val="clear" w:color="auto" w:fill="000046"/>
          </w:tcPr>
          <w:p>
            <w:pPr>
              <w:jc w:val="right"/>
              <w:ind w:right="2"/>
              <w:spacing w:after="0" w:line="279"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940" w:type="dxa"/>
            <w:vAlign w:val="bottom"/>
            <w:shd w:val="clear" w:color="auto" w:fill="000046"/>
          </w:tcPr>
          <w:p>
            <w:pPr>
              <w:jc w:val="right"/>
              <w:ind w:right="7"/>
              <w:spacing w:after="0" w:line="279"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126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
            </w:r>
            <w:r>
              <w:rPr>
                <w:rFonts w:ascii="PMingLiU" w:cs="PMingLiU" w:eastAsia="PMingLiU" w:hAnsi="PMingLiU"/>
                <w:sz w:val="20"/>
                <w:szCs w:val="20"/>
                <w:b w:val="1"/>
                <w:bCs w:val="1"/>
                <w:color w:val="FFFFFF"/>
                <w:vertAlign w:val="superscript"/>
              </w:rPr>
              <w:t/>
            </w:r>
          </w:p>
        </w:tc>
        <w:tc>
          <w:tcPr>
            <w:tcW w:w="1220" w:type="dxa"/>
            <w:vAlign w:val="bottom"/>
            <w:shd w:val="clear" w:color="auto" w:fill="000046"/>
          </w:tcPr>
          <w:p>
            <w:pPr>
              <w:jc w:val="right"/>
              <w:ind w:right="2"/>
              <w:spacing w:after="0" w:line="279"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c>
          <w:tcPr>
            <w:tcW w:w="900" w:type="dxa"/>
            <w:vAlign w:val="bottom"/>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p>
        </w:tc>
        <w:tc>
          <w:tcPr>
            <w:tcW w:w="60" w:type="dxa"/>
            <w:vAlign w:val="bottom"/>
            <w:tcBorders>
              <w:bottom w:val="single" w:sz="8" w:color="4454A7"/>
            </w:tcBorders>
            <w:shd w:val="clear" w:color="auto" w:fill="00004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8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8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5HQHH'*DOD</w:t>
            </w:r>
            <w:r>
              <w:rPr>
                <w:rFonts w:ascii="PMingLiU" w:cs="PMingLiU" w:eastAsia="PMingLiU" w:hAnsi="PMingLiU"/>
                <w:sz w:val="20"/>
                <w:szCs w:val="20"/>
                <w:b w:val="1"/>
                <w:bCs w:val="1"/>
                <w:color w:val="5C004D"/>
                <w:vertAlign w:val="superscript"/>
              </w:rPr>
              <w:t/>
            </w:r>
          </w:p>
        </w:tc>
        <w:tc>
          <w:tcPr>
            <w:tcW w:w="4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960" w:type="dxa"/>
            <w:vAlign w:val="bottom"/>
            <w:tcBorders>
              <w:bottom w:val="single" w:sz="8" w:color="4454A7"/>
            </w:tcBorders>
          </w:tcPr>
          <w:p>
            <w:pPr>
              <w:spacing w:after="0"/>
              <w:rPr>
                <w:sz w:val="8"/>
                <w:szCs w:val="8"/>
                <w:color w:val="auto"/>
              </w:rPr>
            </w:pPr>
          </w:p>
        </w:tc>
        <w:tc>
          <w:tcPr>
            <w:tcW w:w="940" w:type="dxa"/>
            <w:vAlign w:val="bottom"/>
            <w:tcBorders>
              <w:bottom w:val="single" w:sz="8" w:color="4454A7"/>
            </w:tcBorders>
          </w:tcPr>
          <w:p>
            <w:pPr>
              <w:spacing w:after="0"/>
              <w:rPr>
                <w:sz w:val="8"/>
                <w:szCs w:val="8"/>
                <w:color w:val="auto"/>
              </w:rPr>
            </w:pPr>
          </w:p>
        </w:tc>
        <w:tc>
          <w:tcPr>
            <w:tcW w:w="1260" w:type="dxa"/>
            <w:vAlign w:val="bottom"/>
            <w:tcBorders>
              <w:bottom w:val="single" w:sz="8" w:color="4454A7"/>
            </w:tcBorders>
          </w:tcPr>
          <w:p>
            <w:pPr>
              <w:spacing w:after="0"/>
              <w:rPr>
                <w:sz w:val="8"/>
                <w:szCs w:val="8"/>
                <w:color w:val="auto"/>
              </w:rPr>
            </w:pPr>
          </w:p>
        </w:tc>
        <w:tc>
          <w:tcPr>
            <w:tcW w:w="1220" w:type="dxa"/>
            <w:vAlign w:val="bottom"/>
            <w:tcBorders>
              <w:bottom w:val="single" w:sz="8" w:color="4454A7"/>
            </w:tcBorders>
          </w:tcPr>
          <w:p>
            <w:pPr>
              <w:spacing w:after="0"/>
              <w:rPr>
                <w:sz w:val="8"/>
                <w:szCs w:val="8"/>
                <w:color w:val="auto"/>
              </w:rPr>
            </w:pPr>
          </w:p>
        </w:tc>
        <w:tc>
          <w:tcPr>
            <w:tcW w:w="900" w:type="dxa"/>
            <w:vAlign w:val="bottom"/>
            <w:tcBorders>
              <w:bottom w:val="single" w:sz="8" w:color="4454A7"/>
            </w:tcBorders>
          </w:tcPr>
          <w:p>
            <w:pPr>
              <w:spacing w:after="0"/>
              <w:rPr>
                <w:sz w:val="8"/>
                <w:szCs w:val="8"/>
                <w:color w:val="auto"/>
              </w:rPr>
            </w:pPr>
          </w:p>
        </w:tc>
        <w:tc>
          <w:tcPr>
            <w:tcW w:w="6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680" w:type="dxa"/>
            <w:vAlign w:val="bottom"/>
            <w:vMerge w:val="continue"/>
          </w:tcPr>
          <w:p>
            <w:pPr>
              <w:spacing w:after="0"/>
              <w:rPr>
                <w:sz w:val="16"/>
                <w:szCs w:val="16"/>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16"/>
                <w:szCs w:val="16"/>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16"/>
                <w:szCs w:val="16"/>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restart"/>
          </w:tcPr>
          <w:p>
            <w:pPr>
              <w:ind w:left="100"/>
              <w:spacing w:after="0"/>
              <w:rPr>
                <w:sz w:val="20"/>
                <w:szCs w:val="20"/>
                <w:color w:val="auto"/>
              </w:rPr>
            </w:pPr>
            <w:r>
              <w:rPr>
                <w:rFonts w:ascii="PMingLiU" w:cs="PMingLiU" w:eastAsia="PMingLiU" w:hAnsi="PMingLiU"/>
                <w:sz w:val="16"/>
                <w:szCs w:val="16"/>
                <w:color w:val="auto"/>
              </w:rPr>
              <w:t>3UHVLGHQW&amp;(2DQG'LUHFWRU</w:t>
            </w:r>
          </w:p>
        </w:tc>
        <w:tc>
          <w:tcPr>
            <w:tcW w:w="4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80" w:type="dxa"/>
            <w:vAlign w:val="bottom"/>
            <w:vMerge w:val="continue"/>
          </w:tcPr>
          <w:p>
            <w:pPr>
              <w:spacing w:after="0"/>
              <w:rPr>
                <w:sz w:val="8"/>
                <w:szCs w:val="8"/>
                <w:color w:val="auto"/>
              </w:rPr>
            </w:pPr>
          </w:p>
        </w:tc>
        <w:tc>
          <w:tcPr>
            <w:tcW w:w="4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960" w:type="dxa"/>
            <w:vAlign w:val="bottom"/>
            <w:tcBorders>
              <w:bottom w:val="single" w:sz="8" w:color="4454A7"/>
            </w:tcBorders>
          </w:tcPr>
          <w:p>
            <w:pPr>
              <w:spacing w:after="0"/>
              <w:rPr>
                <w:sz w:val="8"/>
                <w:szCs w:val="8"/>
                <w:color w:val="auto"/>
              </w:rPr>
            </w:pPr>
          </w:p>
        </w:tc>
        <w:tc>
          <w:tcPr>
            <w:tcW w:w="940" w:type="dxa"/>
            <w:vAlign w:val="bottom"/>
            <w:tcBorders>
              <w:bottom w:val="single" w:sz="8" w:color="4454A7"/>
            </w:tcBorders>
          </w:tcPr>
          <w:p>
            <w:pPr>
              <w:spacing w:after="0"/>
              <w:rPr>
                <w:sz w:val="8"/>
                <w:szCs w:val="8"/>
                <w:color w:val="auto"/>
              </w:rPr>
            </w:pPr>
          </w:p>
        </w:tc>
        <w:tc>
          <w:tcPr>
            <w:tcW w:w="1260" w:type="dxa"/>
            <w:vAlign w:val="bottom"/>
            <w:tcBorders>
              <w:bottom w:val="single" w:sz="8" w:color="4454A7"/>
            </w:tcBorders>
          </w:tcPr>
          <w:p>
            <w:pPr>
              <w:spacing w:after="0"/>
              <w:rPr>
                <w:sz w:val="8"/>
                <w:szCs w:val="8"/>
                <w:color w:val="auto"/>
              </w:rPr>
            </w:pPr>
          </w:p>
        </w:tc>
        <w:tc>
          <w:tcPr>
            <w:tcW w:w="1220" w:type="dxa"/>
            <w:vAlign w:val="bottom"/>
            <w:tcBorders>
              <w:bottom w:val="single" w:sz="8" w:color="4454A7"/>
            </w:tcBorders>
          </w:tcPr>
          <w:p>
            <w:pPr>
              <w:spacing w:after="0"/>
              <w:rPr>
                <w:sz w:val="8"/>
                <w:szCs w:val="8"/>
                <w:color w:val="auto"/>
              </w:rPr>
            </w:pPr>
          </w:p>
        </w:tc>
        <w:tc>
          <w:tcPr>
            <w:tcW w:w="900" w:type="dxa"/>
            <w:vAlign w:val="bottom"/>
            <w:tcBorders>
              <w:bottom w:val="single" w:sz="8" w:color="4454A7"/>
            </w:tcBorders>
          </w:tcPr>
          <w:p>
            <w:pPr>
              <w:spacing w:after="0"/>
              <w:rPr>
                <w:sz w:val="8"/>
                <w:szCs w:val="8"/>
                <w:color w:val="auto"/>
              </w:rPr>
            </w:pPr>
          </w:p>
        </w:tc>
        <w:tc>
          <w:tcPr>
            <w:tcW w:w="6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68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680" w:type="dxa"/>
            <w:vAlign w:val="bottom"/>
            <w:tcBorders>
              <w:bottom w:val="single" w:sz="8" w:color="4454A7"/>
            </w:tcBorders>
          </w:tcPr>
          <w:p>
            <w:pPr>
              <w:spacing w:after="0"/>
              <w:rPr>
                <w:sz w:val="8"/>
                <w:szCs w:val="8"/>
                <w:color w:val="auto"/>
              </w:rPr>
            </w:pPr>
          </w:p>
        </w:tc>
        <w:tc>
          <w:tcPr>
            <w:tcW w:w="4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960" w:type="dxa"/>
            <w:vAlign w:val="bottom"/>
            <w:tcBorders>
              <w:bottom w:val="single" w:sz="8" w:color="4454A7"/>
            </w:tcBorders>
          </w:tcPr>
          <w:p>
            <w:pPr>
              <w:spacing w:after="0"/>
              <w:rPr>
                <w:sz w:val="8"/>
                <w:szCs w:val="8"/>
                <w:color w:val="auto"/>
              </w:rPr>
            </w:pPr>
          </w:p>
        </w:tc>
        <w:tc>
          <w:tcPr>
            <w:tcW w:w="940" w:type="dxa"/>
            <w:vAlign w:val="bottom"/>
            <w:tcBorders>
              <w:bottom w:val="single" w:sz="8" w:color="4454A7"/>
            </w:tcBorders>
          </w:tcPr>
          <w:p>
            <w:pPr>
              <w:spacing w:after="0"/>
              <w:rPr>
                <w:sz w:val="8"/>
                <w:szCs w:val="8"/>
                <w:color w:val="auto"/>
              </w:rPr>
            </w:pPr>
          </w:p>
        </w:tc>
        <w:tc>
          <w:tcPr>
            <w:tcW w:w="1260" w:type="dxa"/>
            <w:vAlign w:val="bottom"/>
            <w:tcBorders>
              <w:bottom w:val="single" w:sz="8" w:color="4454A7"/>
            </w:tcBorders>
          </w:tcPr>
          <w:p>
            <w:pPr>
              <w:spacing w:after="0"/>
              <w:rPr>
                <w:sz w:val="8"/>
                <w:szCs w:val="8"/>
                <w:color w:val="auto"/>
              </w:rPr>
            </w:pPr>
          </w:p>
        </w:tc>
        <w:tc>
          <w:tcPr>
            <w:tcW w:w="1220" w:type="dxa"/>
            <w:vAlign w:val="bottom"/>
            <w:tcBorders>
              <w:bottom w:val="single" w:sz="8" w:color="4454A7"/>
            </w:tcBorders>
          </w:tcPr>
          <w:p>
            <w:pPr>
              <w:spacing w:after="0"/>
              <w:rPr>
                <w:sz w:val="8"/>
                <w:szCs w:val="8"/>
                <w:color w:val="auto"/>
              </w:rPr>
            </w:pPr>
          </w:p>
        </w:tc>
        <w:tc>
          <w:tcPr>
            <w:tcW w:w="900" w:type="dxa"/>
            <w:vAlign w:val="bottom"/>
            <w:tcBorders>
              <w:bottom w:val="single" w:sz="8" w:color="4454A7"/>
            </w:tcBorders>
          </w:tcPr>
          <w:p>
            <w:pPr>
              <w:spacing w:after="0"/>
              <w:rPr>
                <w:sz w:val="8"/>
                <w:szCs w:val="8"/>
                <w:color w:val="auto"/>
              </w:rPr>
            </w:pPr>
          </w:p>
        </w:tc>
        <w:tc>
          <w:tcPr>
            <w:tcW w:w="6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2680" w:type="dxa"/>
            <w:vAlign w:val="bottom"/>
          </w:tcPr>
          <w:p>
            <w:pPr>
              <w:ind w:left="100"/>
              <w:spacing w:after="0"/>
              <w:rPr>
                <w:sz w:val="20"/>
                <w:szCs w:val="20"/>
                <w:color w:val="auto"/>
              </w:rPr>
            </w:pPr>
            <w:r>
              <w:rPr>
                <w:rFonts w:ascii="PMingLiU" w:cs="PMingLiU" w:eastAsia="PMingLiU" w:hAnsi="PMingLiU"/>
                <w:sz w:val="16"/>
                <w:szCs w:val="16"/>
                <w:b w:val="1"/>
                <w:bCs w:val="1"/>
                <w:color w:val="5C004D"/>
              </w:rPr>
              <w:t>3KLOLS/-RKQVRQ</w:t>
            </w:r>
            <w:r>
              <w:rPr>
                <w:rFonts w:ascii="PMingLiU" w:cs="PMingLiU" w:eastAsia="PMingLiU" w:hAnsi="PMingLiU"/>
                <w:sz w:val="20"/>
                <w:szCs w:val="20"/>
                <w:b w:val="1"/>
                <w:bCs w:val="1"/>
                <w:color w:val="5C004D"/>
                <w:vertAlign w:val="superscript"/>
              </w:rPr>
              <w:t/>
            </w:r>
          </w:p>
        </w:tc>
        <w:tc>
          <w:tcPr>
            <w:tcW w:w="480" w:type="dxa"/>
            <w:vAlign w:val="bottom"/>
            <w:tcBorders>
              <w:bottom w:val="single" w:sz="8" w:color="4454A7"/>
            </w:tcBorders>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Borders>
              <w:bottom w:val="single" w:sz="8" w:color="4454A7"/>
            </w:tcBorders>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Borders>
              <w:bottom w:val="single" w:sz="8" w:color="4454A7"/>
            </w:tcBorders>
          </w:tcPr>
          <w:p>
            <w:pPr>
              <w:spacing w:after="0"/>
              <w:rPr>
                <w:sz w:val="24"/>
                <w:szCs w:val="24"/>
                <w:color w:val="auto"/>
              </w:rPr>
            </w:pPr>
          </w:p>
        </w:tc>
        <w:tc>
          <w:tcPr>
            <w:tcW w:w="960" w:type="dxa"/>
            <w:vAlign w:val="bottom"/>
            <w:tcBorders>
              <w:bottom w:val="single" w:sz="8" w:color="4454A7"/>
            </w:tcBorders>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4454A7"/>
            </w:tcBorders>
          </w:tcPr>
          <w:p>
            <w:pPr>
              <w:spacing w:after="0"/>
              <w:rPr>
                <w:sz w:val="24"/>
                <w:szCs w:val="24"/>
                <w:color w:val="auto"/>
              </w:rPr>
            </w:pPr>
          </w:p>
        </w:tc>
        <w:tc>
          <w:tcPr>
            <w:tcW w:w="126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Borders>
              <w:bottom w:val="single" w:sz="8" w:color="4454A7"/>
            </w:tcBorders>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4454A7"/>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4454A7"/>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680" w:type="dxa"/>
            <w:vAlign w:val="bottom"/>
          </w:tcPr>
          <w:p>
            <w:pPr>
              <w:ind w:left="100"/>
              <w:spacing w:after="0"/>
              <w:rPr>
                <w:sz w:val="20"/>
                <w:szCs w:val="20"/>
                <w:color w:val="auto"/>
              </w:rPr>
            </w:pPr>
            <w:r>
              <w:rPr>
                <w:rFonts w:ascii="PMingLiU" w:cs="PMingLiU" w:eastAsia="PMingLiU" w:hAnsi="PMingLiU"/>
                <w:sz w:val="16"/>
                <w:szCs w:val="16"/>
                <w:color w:val="auto"/>
                <w:w w:val="93"/>
              </w:rPr>
              <w:t>([HFXWLYH9LFH3UHVLGHQWDQG&amp;)2</w:t>
            </w: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jc w:val="right"/>
              <w:ind w:right="6"/>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2680" w:type="dxa"/>
            <w:vAlign w:val="bottom"/>
            <w:tcBorders>
              <w:bottom w:val="single" w:sz="8" w:color="4454A7"/>
            </w:tcBorders>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jc w:val="right"/>
              <w:ind w:right="6"/>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ind w:right="7"/>
              <w:spacing w:after="0"/>
              <w:rPr>
                <w:sz w:val="20"/>
                <w:szCs w:val="20"/>
                <w:color w:val="auto"/>
              </w:rPr>
            </w:pPr>
            <w:r>
              <w:rPr>
                <w:rFonts w:ascii="PMingLiU" w:cs="PMingLiU" w:eastAsia="PMingLiU" w:hAnsi="PMingLiU"/>
                <w:sz w:val="16"/>
                <w:szCs w:val="16"/>
                <w:color w:val="auto"/>
              </w:rPr>
              <w:t/>
            </w:r>
          </w:p>
        </w:tc>
        <w:tc>
          <w:tcPr>
            <w:tcW w:w="12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8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%UXFH&amp;&amp;R]DGG</w:t>
            </w:r>
            <w:r>
              <w:rPr>
                <w:rFonts w:ascii="PMingLiU" w:cs="PMingLiU" w:eastAsia="PMingLiU" w:hAnsi="PMingLiU"/>
                <w:sz w:val="20"/>
                <w:szCs w:val="20"/>
                <w:b w:val="1"/>
                <w:bCs w:val="1"/>
                <w:color w:val="5C004D"/>
                <w:vertAlign w:val="superscript"/>
              </w:rPr>
              <w:t/>
            </w: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680" w:type="dxa"/>
            <w:vAlign w:val="bottom"/>
            <w:vMerge w:val="continue"/>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15"/>
                <w:szCs w:val="15"/>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15"/>
                <w:szCs w:val="15"/>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680" w:type="dxa"/>
            <w:vAlign w:val="bottom"/>
            <w:vMerge w:val="restart"/>
          </w:tcPr>
          <w:p>
            <w:pPr>
              <w:ind w:left="100"/>
              <w:spacing w:after="0" w:line="177" w:lineRule="exact"/>
              <w:rPr>
                <w:sz w:val="20"/>
                <w:szCs w:val="20"/>
                <w:color w:val="auto"/>
              </w:rPr>
            </w:pPr>
            <w:r>
              <w:rPr>
                <w:rFonts w:ascii="PMingLiU" w:cs="PMingLiU" w:eastAsia="PMingLiU" w:hAnsi="PMingLiU"/>
                <w:sz w:val="16"/>
                <w:szCs w:val="16"/>
                <w:color w:val="auto"/>
              </w:rPr>
              <w:t>&amp;KDLUSHUVRQDQGIRUPHU&amp;(2</w:t>
            </w:r>
          </w:p>
        </w:tc>
        <w:tc>
          <w:tcPr>
            <w:tcW w:w="4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680" w:type="dxa"/>
            <w:vAlign w:val="bottom"/>
            <w:vMerge w:val="continue"/>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680" w:type="dxa"/>
            <w:vAlign w:val="bottom"/>
          </w:tcPr>
          <w:p>
            <w:pPr>
              <w:spacing w:after="0"/>
              <w:rPr>
                <w:sz w:val="23"/>
                <w:szCs w:val="23"/>
                <w:color w:val="auto"/>
              </w:rPr>
            </w:pP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3"/>
                <w:szCs w:val="23"/>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2680" w:type="dxa"/>
            <w:vAlign w:val="bottom"/>
            <w:tcBorders>
              <w:bottom w:val="single" w:sz="8" w:color="4454A7"/>
            </w:tcBorders>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68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5REHUW,DQQRQH0'06&amp;(</w:t>
            </w: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80" w:type="dxa"/>
            <w:vAlign w:val="bottom"/>
            <w:vMerge w:val="continue"/>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680" w:type="dxa"/>
            <w:vAlign w:val="bottom"/>
            <w:vMerge w:val="continue"/>
          </w:tcPr>
          <w:p>
            <w:pPr>
              <w:spacing w:after="0"/>
              <w:rPr>
                <w:sz w:val="6"/>
                <w:szCs w:val="6"/>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6"/>
                <w:szCs w:val="6"/>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6"/>
                <w:szCs w:val="6"/>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80" w:type="dxa"/>
            <w:vAlign w:val="bottom"/>
          </w:tcPr>
          <w:p>
            <w:pPr>
              <w:ind w:left="100"/>
              <w:spacing w:after="0"/>
              <w:rPr>
                <w:sz w:val="20"/>
                <w:szCs w:val="20"/>
                <w:color w:val="auto"/>
              </w:rPr>
            </w:pPr>
            <w:r>
              <w:rPr>
                <w:rFonts w:ascii="PMingLiU" w:cs="PMingLiU" w:eastAsia="PMingLiU" w:hAnsi="PMingLiU"/>
                <w:sz w:val="16"/>
                <w:szCs w:val="16"/>
                <w:color w:val="auto"/>
              </w:rPr>
              <w:t>([HFXWLYH9LFH3UHVLGHQW</w:t>
            </w:r>
          </w:p>
        </w:tc>
        <w:tc>
          <w:tcPr>
            <w:tcW w:w="4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680" w:type="dxa"/>
            <w:vAlign w:val="bottom"/>
            <w:vMerge w:val="restart"/>
          </w:tcPr>
          <w:p>
            <w:pPr>
              <w:ind w:left="100"/>
              <w:spacing w:after="0"/>
              <w:rPr>
                <w:sz w:val="20"/>
                <w:szCs w:val="20"/>
                <w:color w:val="auto"/>
              </w:rPr>
            </w:pPr>
            <w:r>
              <w:rPr>
                <w:rFonts w:ascii="PMingLiU" w:cs="PMingLiU" w:eastAsia="PMingLiU" w:hAnsi="PMingLiU"/>
                <w:sz w:val="16"/>
                <w:szCs w:val="16"/>
                <w:color w:val="auto"/>
              </w:rPr>
              <w:t>*OREDO+HDGRI5 '</w:t>
            </w:r>
          </w:p>
        </w:tc>
        <w:tc>
          <w:tcPr>
            <w:tcW w:w="480" w:type="dxa"/>
            <w:vAlign w:val="bottom"/>
            <w:tcBorders>
              <w:bottom w:val="single" w:sz="8" w:color="4454A7"/>
            </w:tcBorders>
          </w:tcPr>
          <w:p>
            <w:pPr>
              <w:spacing w:after="0"/>
              <w:rPr>
                <w:sz w:val="7"/>
                <w:szCs w:val="7"/>
                <w:color w:val="auto"/>
              </w:rPr>
            </w:pPr>
          </w:p>
        </w:tc>
        <w:tc>
          <w:tcPr>
            <w:tcW w:w="860" w:type="dxa"/>
            <w:vAlign w:val="bottom"/>
            <w:tcBorders>
              <w:bottom w:val="single" w:sz="8" w:color="4454A7"/>
            </w:tcBorders>
          </w:tcPr>
          <w:p>
            <w:pPr>
              <w:spacing w:after="0"/>
              <w:rPr>
                <w:sz w:val="7"/>
                <w:szCs w:val="7"/>
                <w:color w:val="auto"/>
              </w:rPr>
            </w:pPr>
          </w:p>
        </w:tc>
        <w:tc>
          <w:tcPr>
            <w:tcW w:w="720" w:type="dxa"/>
            <w:vAlign w:val="bottom"/>
            <w:tcBorders>
              <w:bottom w:val="single" w:sz="8" w:color="4454A7"/>
            </w:tcBorders>
          </w:tcPr>
          <w:p>
            <w:pPr>
              <w:spacing w:after="0"/>
              <w:rPr>
                <w:sz w:val="7"/>
                <w:szCs w:val="7"/>
                <w:color w:val="auto"/>
              </w:rPr>
            </w:pPr>
          </w:p>
        </w:tc>
        <w:tc>
          <w:tcPr>
            <w:tcW w:w="960" w:type="dxa"/>
            <w:vAlign w:val="bottom"/>
            <w:tcBorders>
              <w:bottom w:val="single" w:sz="8" w:color="4454A7"/>
            </w:tcBorders>
          </w:tcPr>
          <w:p>
            <w:pPr>
              <w:spacing w:after="0"/>
              <w:rPr>
                <w:sz w:val="7"/>
                <w:szCs w:val="7"/>
                <w:color w:val="auto"/>
              </w:rPr>
            </w:pPr>
          </w:p>
        </w:tc>
        <w:tc>
          <w:tcPr>
            <w:tcW w:w="940" w:type="dxa"/>
            <w:vAlign w:val="bottom"/>
            <w:tcBorders>
              <w:bottom w:val="single" w:sz="8" w:color="4454A7"/>
            </w:tcBorders>
          </w:tcPr>
          <w:p>
            <w:pPr>
              <w:spacing w:after="0"/>
              <w:rPr>
                <w:sz w:val="7"/>
                <w:szCs w:val="7"/>
                <w:color w:val="auto"/>
              </w:rPr>
            </w:pPr>
          </w:p>
        </w:tc>
        <w:tc>
          <w:tcPr>
            <w:tcW w:w="1260" w:type="dxa"/>
            <w:vAlign w:val="bottom"/>
            <w:tcBorders>
              <w:bottom w:val="single" w:sz="8" w:color="4454A7"/>
            </w:tcBorders>
          </w:tcPr>
          <w:p>
            <w:pPr>
              <w:spacing w:after="0"/>
              <w:rPr>
                <w:sz w:val="7"/>
                <w:szCs w:val="7"/>
                <w:color w:val="auto"/>
              </w:rPr>
            </w:pPr>
          </w:p>
        </w:tc>
        <w:tc>
          <w:tcPr>
            <w:tcW w:w="1220" w:type="dxa"/>
            <w:vAlign w:val="bottom"/>
            <w:tcBorders>
              <w:bottom w:val="single" w:sz="8" w:color="4454A7"/>
            </w:tcBorders>
          </w:tcPr>
          <w:p>
            <w:pPr>
              <w:spacing w:after="0"/>
              <w:rPr>
                <w:sz w:val="7"/>
                <w:szCs w:val="7"/>
                <w:color w:val="auto"/>
              </w:rPr>
            </w:pPr>
          </w:p>
        </w:tc>
        <w:tc>
          <w:tcPr>
            <w:tcW w:w="900" w:type="dxa"/>
            <w:vAlign w:val="bottom"/>
            <w:tcBorders>
              <w:bottom w:val="single" w:sz="8" w:color="4454A7"/>
            </w:tcBorders>
          </w:tcPr>
          <w:p>
            <w:pPr>
              <w:spacing w:after="0"/>
              <w:rPr>
                <w:sz w:val="7"/>
                <w:szCs w:val="7"/>
                <w:color w:val="auto"/>
              </w:rPr>
            </w:pPr>
          </w:p>
        </w:tc>
        <w:tc>
          <w:tcPr>
            <w:tcW w:w="6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680" w:type="dxa"/>
            <w:vAlign w:val="bottom"/>
            <w:vMerge w:val="continue"/>
          </w:tcPr>
          <w:p>
            <w:pPr>
              <w:spacing w:after="0"/>
              <w:rPr>
                <w:sz w:val="9"/>
                <w:szCs w:val="9"/>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9"/>
                <w:szCs w:val="9"/>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9"/>
                <w:szCs w:val="9"/>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6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680" w:type="dxa"/>
            <w:vAlign w:val="bottom"/>
            <w:tcBorders>
              <w:bottom w:val="single" w:sz="8" w:color="4454A7"/>
            </w:tcBorders>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680" w:type="dxa"/>
            <w:vAlign w:val="bottom"/>
            <w:vMerge w:val="restart"/>
          </w:tcPr>
          <w:p>
            <w:pPr>
              <w:ind w:left="100"/>
              <w:spacing w:after="0"/>
              <w:rPr>
                <w:sz w:val="20"/>
                <w:szCs w:val="20"/>
                <w:color w:val="auto"/>
              </w:rPr>
            </w:pPr>
            <w:r>
              <w:rPr>
                <w:rFonts w:ascii="PMingLiU" w:cs="PMingLiU" w:eastAsia="PMingLiU" w:hAnsi="PMingLiU"/>
                <w:sz w:val="16"/>
                <w:szCs w:val="16"/>
                <w:b w:val="1"/>
                <w:bCs w:val="1"/>
                <w:color w:val="5C004D"/>
              </w:rPr>
              <w:t>1HHQD03DWLO</w:t>
            </w: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80" w:type="dxa"/>
            <w:vAlign w:val="bottom"/>
            <w:vMerge w:val="continue"/>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680" w:type="dxa"/>
            <w:vAlign w:val="bottom"/>
            <w:vMerge w:val="continue"/>
          </w:tcPr>
          <w:p>
            <w:pPr>
              <w:spacing w:after="0"/>
              <w:rPr>
                <w:sz w:val="6"/>
                <w:szCs w:val="6"/>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6"/>
                <w:szCs w:val="6"/>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6"/>
                <w:szCs w:val="6"/>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680" w:type="dxa"/>
            <w:vAlign w:val="bottom"/>
          </w:tcPr>
          <w:p>
            <w:pPr>
              <w:ind w:left="100"/>
              <w:spacing w:after="0"/>
              <w:rPr>
                <w:sz w:val="20"/>
                <w:szCs w:val="20"/>
                <w:color w:val="auto"/>
              </w:rPr>
            </w:pPr>
            <w:r>
              <w:rPr>
                <w:rFonts w:ascii="PMingLiU" w:cs="PMingLiU" w:eastAsia="PMingLiU" w:hAnsi="PMingLiU"/>
                <w:sz w:val="16"/>
                <w:szCs w:val="16"/>
                <w:color w:val="auto"/>
              </w:rPr>
              <w:t>([HFXWLYH9LFH3UHVLGHQWDQG</w:t>
            </w:r>
          </w:p>
        </w:tc>
        <w:tc>
          <w:tcPr>
            <w:tcW w:w="4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680" w:type="dxa"/>
            <w:vAlign w:val="bottom"/>
            <w:vMerge w:val="restart"/>
          </w:tcPr>
          <w:p>
            <w:pPr>
              <w:ind w:left="100"/>
              <w:spacing w:after="0"/>
              <w:rPr>
                <w:sz w:val="20"/>
                <w:szCs w:val="20"/>
                <w:color w:val="auto"/>
              </w:rPr>
            </w:pPr>
            <w:r>
              <w:rPr>
                <w:rFonts w:ascii="PMingLiU" w:cs="PMingLiU" w:eastAsia="PMingLiU" w:hAnsi="PMingLiU"/>
                <w:sz w:val="16"/>
                <w:szCs w:val="16"/>
                <w:color w:val="auto"/>
              </w:rPr>
              <w:t>&amp;KLHI/HJDO2IILFHU</w:t>
            </w:r>
          </w:p>
        </w:tc>
        <w:tc>
          <w:tcPr>
            <w:tcW w:w="480" w:type="dxa"/>
            <w:vAlign w:val="bottom"/>
            <w:tcBorders>
              <w:bottom w:val="single" w:sz="8" w:color="4454A7"/>
            </w:tcBorders>
          </w:tcPr>
          <w:p>
            <w:pPr>
              <w:spacing w:after="0"/>
              <w:rPr>
                <w:sz w:val="7"/>
                <w:szCs w:val="7"/>
                <w:color w:val="auto"/>
              </w:rPr>
            </w:pPr>
          </w:p>
        </w:tc>
        <w:tc>
          <w:tcPr>
            <w:tcW w:w="860" w:type="dxa"/>
            <w:vAlign w:val="bottom"/>
            <w:tcBorders>
              <w:bottom w:val="single" w:sz="8" w:color="4454A7"/>
            </w:tcBorders>
          </w:tcPr>
          <w:p>
            <w:pPr>
              <w:spacing w:after="0"/>
              <w:rPr>
                <w:sz w:val="7"/>
                <w:szCs w:val="7"/>
                <w:color w:val="auto"/>
              </w:rPr>
            </w:pPr>
          </w:p>
        </w:tc>
        <w:tc>
          <w:tcPr>
            <w:tcW w:w="720" w:type="dxa"/>
            <w:vAlign w:val="bottom"/>
            <w:tcBorders>
              <w:bottom w:val="single" w:sz="8" w:color="4454A7"/>
            </w:tcBorders>
          </w:tcPr>
          <w:p>
            <w:pPr>
              <w:spacing w:after="0"/>
              <w:rPr>
                <w:sz w:val="7"/>
                <w:szCs w:val="7"/>
                <w:color w:val="auto"/>
              </w:rPr>
            </w:pPr>
          </w:p>
        </w:tc>
        <w:tc>
          <w:tcPr>
            <w:tcW w:w="960" w:type="dxa"/>
            <w:vAlign w:val="bottom"/>
            <w:tcBorders>
              <w:bottom w:val="single" w:sz="8" w:color="4454A7"/>
            </w:tcBorders>
          </w:tcPr>
          <w:p>
            <w:pPr>
              <w:spacing w:after="0"/>
              <w:rPr>
                <w:sz w:val="7"/>
                <w:szCs w:val="7"/>
                <w:color w:val="auto"/>
              </w:rPr>
            </w:pPr>
          </w:p>
        </w:tc>
        <w:tc>
          <w:tcPr>
            <w:tcW w:w="940" w:type="dxa"/>
            <w:vAlign w:val="bottom"/>
            <w:tcBorders>
              <w:bottom w:val="single" w:sz="8" w:color="4454A7"/>
            </w:tcBorders>
          </w:tcPr>
          <w:p>
            <w:pPr>
              <w:spacing w:after="0"/>
              <w:rPr>
                <w:sz w:val="7"/>
                <w:szCs w:val="7"/>
                <w:color w:val="auto"/>
              </w:rPr>
            </w:pPr>
          </w:p>
        </w:tc>
        <w:tc>
          <w:tcPr>
            <w:tcW w:w="1260" w:type="dxa"/>
            <w:vAlign w:val="bottom"/>
            <w:tcBorders>
              <w:bottom w:val="single" w:sz="8" w:color="4454A7"/>
            </w:tcBorders>
          </w:tcPr>
          <w:p>
            <w:pPr>
              <w:spacing w:after="0"/>
              <w:rPr>
                <w:sz w:val="7"/>
                <w:szCs w:val="7"/>
                <w:color w:val="auto"/>
              </w:rPr>
            </w:pPr>
          </w:p>
        </w:tc>
        <w:tc>
          <w:tcPr>
            <w:tcW w:w="1220" w:type="dxa"/>
            <w:vAlign w:val="bottom"/>
            <w:tcBorders>
              <w:bottom w:val="single" w:sz="8" w:color="4454A7"/>
            </w:tcBorders>
          </w:tcPr>
          <w:p>
            <w:pPr>
              <w:spacing w:after="0"/>
              <w:rPr>
                <w:sz w:val="7"/>
                <w:szCs w:val="7"/>
                <w:color w:val="auto"/>
              </w:rPr>
            </w:pPr>
          </w:p>
        </w:tc>
        <w:tc>
          <w:tcPr>
            <w:tcW w:w="900" w:type="dxa"/>
            <w:vAlign w:val="bottom"/>
            <w:tcBorders>
              <w:bottom w:val="single" w:sz="8" w:color="4454A7"/>
            </w:tcBorders>
          </w:tcPr>
          <w:p>
            <w:pPr>
              <w:spacing w:after="0"/>
              <w:rPr>
                <w:sz w:val="7"/>
                <w:szCs w:val="7"/>
                <w:color w:val="auto"/>
              </w:rPr>
            </w:pPr>
          </w:p>
        </w:tc>
        <w:tc>
          <w:tcPr>
            <w:tcW w:w="6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680" w:type="dxa"/>
            <w:vAlign w:val="bottom"/>
            <w:vMerge w:val="continue"/>
          </w:tcPr>
          <w:p>
            <w:pPr>
              <w:spacing w:after="0"/>
              <w:rPr>
                <w:sz w:val="9"/>
                <w:szCs w:val="9"/>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9"/>
                <w:szCs w:val="9"/>
                <w:color w:val="auto"/>
              </w:rPr>
            </w:pP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9"/>
                <w:szCs w:val="9"/>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680" w:type="dxa"/>
            <w:vAlign w:val="bottom"/>
            <w:tcBorders>
              <w:bottom w:val="single" w:sz="8" w:color="4454A7"/>
            </w:tcBorders>
          </w:tcPr>
          <w:p>
            <w:pPr>
              <w:spacing w:after="0"/>
              <w:rPr>
                <w:sz w:val="6"/>
                <w:szCs w:val="6"/>
                <w:color w:val="auto"/>
              </w:rPr>
            </w:pPr>
          </w:p>
        </w:tc>
        <w:tc>
          <w:tcPr>
            <w:tcW w:w="480" w:type="dxa"/>
            <w:vAlign w:val="bottom"/>
            <w:tcBorders>
              <w:bottom w:val="single" w:sz="8" w:color="4454A7"/>
            </w:tcBorders>
          </w:tcPr>
          <w:p>
            <w:pPr>
              <w:spacing w:after="0"/>
              <w:rPr>
                <w:sz w:val="6"/>
                <w:szCs w:val="6"/>
                <w:color w:val="auto"/>
              </w:rPr>
            </w:pPr>
          </w:p>
        </w:tc>
        <w:tc>
          <w:tcPr>
            <w:tcW w:w="860" w:type="dxa"/>
            <w:vAlign w:val="bottom"/>
            <w:tcBorders>
              <w:bottom w:val="single" w:sz="8" w:color="4454A7"/>
            </w:tcBorders>
          </w:tcPr>
          <w:p>
            <w:pPr>
              <w:spacing w:after="0"/>
              <w:rPr>
                <w:sz w:val="6"/>
                <w:szCs w:val="6"/>
                <w:color w:val="auto"/>
              </w:rPr>
            </w:pPr>
          </w:p>
        </w:tc>
        <w:tc>
          <w:tcPr>
            <w:tcW w:w="720" w:type="dxa"/>
            <w:vAlign w:val="bottom"/>
            <w:tcBorders>
              <w:bottom w:val="single" w:sz="8" w:color="4454A7"/>
            </w:tcBorders>
          </w:tcPr>
          <w:p>
            <w:pPr>
              <w:spacing w:after="0"/>
              <w:rPr>
                <w:sz w:val="6"/>
                <w:szCs w:val="6"/>
                <w:color w:val="auto"/>
              </w:rPr>
            </w:pPr>
          </w:p>
        </w:tc>
        <w:tc>
          <w:tcPr>
            <w:tcW w:w="96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260" w:type="dxa"/>
            <w:vAlign w:val="bottom"/>
            <w:tcBorders>
              <w:bottom w:val="single" w:sz="8" w:color="4454A7"/>
            </w:tcBorders>
          </w:tcPr>
          <w:p>
            <w:pPr>
              <w:spacing w:after="0"/>
              <w:rPr>
                <w:sz w:val="6"/>
                <w:szCs w:val="6"/>
                <w:color w:val="auto"/>
              </w:rPr>
            </w:pPr>
          </w:p>
        </w:tc>
        <w:tc>
          <w:tcPr>
            <w:tcW w:w="1220" w:type="dxa"/>
            <w:vAlign w:val="bottom"/>
            <w:tcBorders>
              <w:bottom w:val="single" w:sz="8" w:color="4454A7"/>
            </w:tcBorders>
          </w:tcPr>
          <w:p>
            <w:pPr>
              <w:spacing w:after="0"/>
              <w:rPr>
                <w:sz w:val="6"/>
                <w:szCs w:val="6"/>
                <w:color w:val="auto"/>
              </w:rPr>
            </w:pPr>
          </w:p>
        </w:tc>
        <w:tc>
          <w:tcPr>
            <w:tcW w:w="90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680" w:type="dxa"/>
            <w:vAlign w:val="bottom"/>
          </w:tcPr>
          <w:p>
            <w:pPr>
              <w:ind w:left="100"/>
              <w:spacing w:after="0"/>
              <w:rPr>
                <w:sz w:val="20"/>
                <w:szCs w:val="20"/>
                <w:color w:val="auto"/>
              </w:rPr>
            </w:pPr>
            <w:r>
              <w:rPr>
                <w:rFonts w:ascii="PMingLiU" w:cs="PMingLiU" w:eastAsia="PMingLiU" w:hAnsi="PMingLiU"/>
                <w:sz w:val="16"/>
                <w:szCs w:val="16"/>
                <w:b w:val="1"/>
                <w:bCs w:val="1"/>
                <w:color w:val="5C004D"/>
              </w:rPr>
              <w:t>6DPDQWKD3HDUFH</w:t>
            </w:r>
            <w:r>
              <w:rPr>
                <w:rFonts w:ascii="PMingLiU" w:cs="PMingLiU" w:eastAsia="PMingLiU" w:hAnsi="PMingLiU"/>
                <w:sz w:val="20"/>
                <w:szCs w:val="20"/>
                <w:b w:val="1"/>
                <w:bCs w:val="1"/>
                <w:color w:val="5C004D"/>
                <w:vertAlign w:val="superscript"/>
              </w:rPr>
              <w:t/>
            </w:r>
          </w:p>
        </w:tc>
        <w:tc>
          <w:tcPr>
            <w:tcW w:w="4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tcPr>
          <w:p>
            <w:pPr>
              <w:spacing w:after="0"/>
              <w:rPr>
                <w:sz w:val="23"/>
                <w:szCs w:val="23"/>
                <w:color w:val="auto"/>
              </w:rPr>
            </w:pPr>
          </w:p>
        </w:tc>
        <w:tc>
          <w:tcPr>
            <w:tcW w:w="96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2680" w:type="dxa"/>
            <w:vAlign w:val="bottom"/>
            <w:vMerge w:val="restart"/>
          </w:tcPr>
          <w:p>
            <w:pPr>
              <w:ind w:left="100"/>
              <w:spacing w:after="0"/>
              <w:rPr>
                <w:sz w:val="20"/>
                <w:szCs w:val="20"/>
                <w:color w:val="auto"/>
              </w:rPr>
            </w:pPr>
            <w:r>
              <w:rPr>
                <w:rFonts w:ascii="PMingLiU" w:cs="PMingLiU" w:eastAsia="PMingLiU" w:hAnsi="PMingLiU"/>
                <w:sz w:val="16"/>
                <w:szCs w:val="16"/>
                <w:color w:val="auto"/>
                <w:w w:val="96"/>
              </w:rPr>
              <w:t>([HFXWLYH9LFH3UHVLGHQW&amp;KLHI</w:t>
            </w:r>
          </w:p>
        </w:tc>
        <w:tc>
          <w:tcPr>
            <w:tcW w:w="480" w:type="dxa"/>
            <w:vAlign w:val="bottom"/>
            <w:tcBorders>
              <w:bottom w:val="single" w:sz="8" w:color="4454A7"/>
            </w:tcBorders>
          </w:tcPr>
          <w:p>
            <w:pPr>
              <w:spacing w:after="0"/>
              <w:rPr>
                <w:sz w:val="7"/>
                <w:szCs w:val="7"/>
                <w:color w:val="auto"/>
              </w:rPr>
            </w:pPr>
          </w:p>
        </w:tc>
        <w:tc>
          <w:tcPr>
            <w:tcW w:w="860" w:type="dxa"/>
            <w:vAlign w:val="bottom"/>
            <w:tcBorders>
              <w:bottom w:val="single" w:sz="8" w:color="4454A7"/>
            </w:tcBorders>
          </w:tcPr>
          <w:p>
            <w:pPr>
              <w:spacing w:after="0"/>
              <w:rPr>
                <w:sz w:val="7"/>
                <w:szCs w:val="7"/>
                <w:color w:val="auto"/>
              </w:rPr>
            </w:pPr>
          </w:p>
        </w:tc>
        <w:tc>
          <w:tcPr>
            <w:tcW w:w="720" w:type="dxa"/>
            <w:vAlign w:val="bottom"/>
            <w:tcBorders>
              <w:bottom w:val="single" w:sz="8" w:color="4454A7"/>
            </w:tcBorders>
          </w:tcPr>
          <w:p>
            <w:pPr>
              <w:spacing w:after="0"/>
              <w:rPr>
                <w:sz w:val="7"/>
                <w:szCs w:val="7"/>
                <w:color w:val="auto"/>
              </w:rPr>
            </w:pPr>
          </w:p>
        </w:tc>
        <w:tc>
          <w:tcPr>
            <w:tcW w:w="960" w:type="dxa"/>
            <w:vAlign w:val="bottom"/>
            <w:tcBorders>
              <w:bottom w:val="single" w:sz="8" w:color="4454A7"/>
            </w:tcBorders>
          </w:tcPr>
          <w:p>
            <w:pPr>
              <w:spacing w:after="0"/>
              <w:rPr>
                <w:sz w:val="7"/>
                <w:szCs w:val="7"/>
                <w:color w:val="auto"/>
              </w:rPr>
            </w:pPr>
          </w:p>
        </w:tc>
        <w:tc>
          <w:tcPr>
            <w:tcW w:w="940" w:type="dxa"/>
            <w:vAlign w:val="bottom"/>
            <w:tcBorders>
              <w:bottom w:val="single" w:sz="8" w:color="4454A7"/>
            </w:tcBorders>
          </w:tcPr>
          <w:p>
            <w:pPr>
              <w:spacing w:after="0"/>
              <w:rPr>
                <w:sz w:val="7"/>
                <w:szCs w:val="7"/>
                <w:color w:val="auto"/>
              </w:rPr>
            </w:pPr>
          </w:p>
        </w:tc>
        <w:tc>
          <w:tcPr>
            <w:tcW w:w="1260" w:type="dxa"/>
            <w:vAlign w:val="bottom"/>
            <w:tcBorders>
              <w:bottom w:val="single" w:sz="8" w:color="4454A7"/>
            </w:tcBorders>
          </w:tcPr>
          <w:p>
            <w:pPr>
              <w:spacing w:after="0"/>
              <w:rPr>
                <w:sz w:val="7"/>
                <w:szCs w:val="7"/>
                <w:color w:val="auto"/>
              </w:rPr>
            </w:pPr>
          </w:p>
        </w:tc>
        <w:tc>
          <w:tcPr>
            <w:tcW w:w="1220" w:type="dxa"/>
            <w:vAlign w:val="bottom"/>
            <w:tcBorders>
              <w:bottom w:val="single" w:sz="8" w:color="4454A7"/>
            </w:tcBorders>
          </w:tcPr>
          <w:p>
            <w:pPr>
              <w:spacing w:after="0"/>
              <w:rPr>
                <w:sz w:val="7"/>
                <w:szCs w:val="7"/>
                <w:color w:val="auto"/>
              </w:rPr>
            </w:pPr>
          </w:p>
        </w:tc>
        <w:tc>
          <w:tcPr>
            <w:tcW w:w="900" w:type="dxa"/>
            <w:vAlign w:val="bottom"/>
            <w:tcBorders>
              <w:bottom w:val="single" w:sz="8" w:color="4454A7"/>
            </w:tcBorders>
          </w:tcPr>
          <w:p>
            <w:pPr>
              <w:spacing w:after="0"/>
              <w:rPr>
                <w:sz w:val="7"/>
                <w:szCs w:val="7"/>
                <w:color w:val="auto"/>
              </w:rPr>
            </w:pPr>
          </w:p>
        </w:tc>
        <w:tc>
          <w:tcPr>
            <w:tcW w:w="60" w:type="dxa"/>
            <w:vAlign w:val="bottom"/>
            <w:tcBorders>
              <w:bottom w:val="single" w:sz="8" w:color="4454A7"/>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6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8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720" w:type="dxa"/>
            <w:vAlign w:val="bottom"/>
            <w:vMerge w:val="restart"/>
          </w:tcPr>
          <w:p>
            <w:pPr>
              <w:jc w:val="right"/>
              <w:ind w:right="6"/>
              <w:spacing w:after="0"/>
              <w:rPr>
                <w:sz w:val="20"/>
                <w:szCs w:val="20"/>
                <w:color w:val="auto"/>
              </w:rPr>
            </w:pPr>
            <w:r>
              <w:rPr>
                <w:rFonts w:ascii="PMingLiU" w:cs="PMingLiU" w:eastAsia="PMingLiU" w:hAnsi="PMingLiU"/>
                <w:sz w:val="16"/>
                <w:szCs w:val="16"/>
                <w:color w:val="auto"/>
              </w:rPr>
              <w:t/>
            </w:r>
          </w:p>
        </w:tc>
        <w:tc>
          <w:tcPr>
            <w:tcW w:w="96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40" w:type="dxa"/>
            <w:vAlign w:val="bottom"/>
          </w:tcPr>
          <w:p>
            <w:pPr>
              <w:spacing w:after="0"/>
              <w:rPr>
                <w:sz w:val="7"/>
                <w:szCs w:val="7"/>
                <w:color w:val="auto"/>
              </w:rPr>
            </w:pPr>
          </w:p>
        </w:tc>
        <w:tc>
          <w:tcPr>
            <w:tcW w:w="126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right"/>
              <w:ind w:right="2"/>
              <w:spacing w:after="0"/>
              <w:rPr>
                <w:sz w:val="20"/>
                <w:szCs w:val="20"/>
                <w:color w:val="auto"/>
              </w:rPr>
            </w:pPr>
            <w:r>
              <w:rPr>
                <w:rFonts w:ascii="PMingLiU" w:cs="PMingLiU" w:eastAsia="PMingLiU" w:hAnsi="PMingLiU"/>
                <w:sz w:val="16"/>
                <w:szCs w:val="16"/>
                <w:color w:val="auto"/>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00"/>
              <w:spacing w:after="0"/>
              <w:rPr>
                <w:sz w:val="20"/>
                <w:szCs w:val="20"/>
                <w:color w:val="auto"/>
              </w:rPr>
            </w:pPr>
            <w:r>
              <w:rPr>
                <w:rFonts w:ascii="PMingLiU" w:cs="PMingLiU" w:eastAsia="PMingLiU" w:hAnsi="PMingLiU"/>
                <w:sz w:val="16"/>
                <w:szCs w:val="16"/>
                <w:color w:val="auto"/>
              </w:rPr>
              <w:t>&amp;RPPHUFLDO2IILFHU</w:t>
            </w:r>
          </w:p>
        </w:tc>
        <w:tc>
          <w:tcPr>
            <w:tcW w:w="4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680" w:type="dxa"/>
            <w:vAlign w:val="bottom"/>
            <w:tcBorders>
              <w:bottom w:val="single" w:sz="8" w:color="5C004D"/>
            </w:tcBorders>
          </w:tcPr>
          <w:p>
            <w:pPr>
              <w:spacing w:after="0"/>
              <w:rPr>
                <w:sz w:val="4"/>
                <w:szCs w:val="4"/>
                <w:color w:val="auto"/>
              </w:rPr>
            </w:pPr>
          </w:p>
        </w:tc>
        <w:tc>
          <w:tcPr>
            <w:tcW w:w="480" w:type="dxa"/>
            <w:vAlign w:val="bottom"/>
            <w:tcBorders>
              <w:bottom w:val="single" w:sz="8" w:color="5C004D"/>
            </w:tcBorders>
          </w:tcPr>
          <w:p>
            <w:pPr>
              <w:spacing w:after="0"/>
              <w:rPr>
                <w:sz w:val="4"/>
                <w:szCs w:val="4"/>
                <w:color w:val="auto"/>
              </w:rPr>
            </w:pPr>
          </w:p>
        </w:tc>
        <w:tc>
          <w:tcPr>
            <w:tcW w:w="860" w:type="dxa"/>
            <w:vAlign w:val="bottom"/>
            <w:tcBorders>
              <w:bottom w:val="single" w:sz="8" w:color="5C004D"/>
            </w:tcBorders>
          </w:tcPr>
          <w:p>
            <w:pPr>
              <w:spacing w:after="0"/>
              <w:rPr>
                <w:sz w:val="4"/>
                <w:szCs w:val="4"/>
                <w:color w:val="auto"/>
              </w:rPr>
            </w:pPr>
          </w:p>
        </w:tc>
        <w:tc>
          <w:tcPr>
            <w:tcW w:w="720" w:type="dxa"/>
            <w:vAlign w:val="bottom"/>
            <w:tcBorders>
              <w:bottom w:val="single" w:sz="8" w:color="5C004D"/>
            </w:tcBorders>
          </w:tcPr>
          <w:p>
            <w:pPr>
              <w:spacing w:after="0"/>
              <w:rPr>
                <w:sz w:val="4"/>
                <w:szCs w:val="4"/>
                <w:color w:val="auto"/>
              </w:rPr>
            </w:pPr>
          </w:p>
        </w:tc>
        <w:tc>
          <w:tcPr>
            <w:tcW w:w="960" w:type="dxa"/>
            <w:vAlign w:val="bottom"/>
            <w:tcBorders>
              <w:bottom w:val="single" w:sz="8" w:color="5C004D"/>
            </w:tcBorders>
          </w:tcPr>
          <w:p>
            <w:pPr>
              <w:spacing w:after="0"/>
              <w:rPr>
                <w:sz w:val="4"/>
                <w:szCs w:val="4"/>
                <w:color w:val="auto"/>
              </w:rPr>
            </w:pPr>
          </w:p>
        </w:tc>
        <w:tc>
          <w:tcPr>
            <w:tcW w:w="940" w:type="dxa"/>
            <w:vAlign w:val="bottom"/>
            <w:tcBorders>
              <w:bottom w:val="single" w:sz="8" w:color="5C004D"/>
            </w:tcBorders>
          </w:tcPr>
          <w:p>
            <w:pPr>
              <w:spacing w:after="0"/>
              <w:rPr>
                <w:sz w:val="4"/>
                <w:szCs w:val="4"/>
                <w:color w:val="auto"/>
              </w:rPr>
            </w:pPr>
          </w:p>
        </w:tc>
        <w:tc>
          <w:tcPr>
            <w:tcW w:w="1260" w:type="dxa"/>
            <w:vAlign w:val="bottom"/>
            <w:tcBorders>
              <w:bottom w:val="single" w:sz="8" w:color="5C004D"/>
            </w:tcBorders>
          </w:tcPr>
          <w:p>
            <w:pPr>
              <w:spacing w:after="0"/>
              <w:rPr>
                <w:sz w:val="4"/>
                <w:szCs w:val="4"/>
                <w:color w:val="auto"/>
              </w:rPr>
            </w:pPr>
          </w:p>
        </w:tc>
        <w:tc>
          <w:tcPr>
            <w:tcW w:w="1220" w:type="dxa"/>
            <w:vAlign w:val="bottom"/>
            <w:tcBorders>
              <w:bottom w:val="single" w:sz="8" w:color="5C004D"/>
            </w:tcBorders>
          </w:tcPr>
          <w:p>
            <w:pPr>
              <w:spacing w:after="0"/>
              <w:rPr>
                <w:sz w:val="4"/>
                <w:szCs w:val="4"/>
                <w:color w:val="auto"/>
              </w:rPr>
            </w:pPr>
          </w:p>
        </w:tc>
        <w:tc>
          <w:tcPr>
            <w:tcW w:w="900" w:type="dxa"/>
            <w:vAlign w:val="bottom"/>
            <w:tcBorders>
              <w:bottom w:val="single" w:sz="8" w:color="5C004D"/>
            </w:tcBorders>
          </w:tcPr>
          <w:p>
            <w:pPr>
              <w:spacing w:after="0"/>
              <w:rPr>
                <w:sz w:val="4"/>
                <w:szCs w:val="4"/>
                <w:color w:val="auto"/>
              </w:rPr>
            </w:pPr>
          </w:p>
        </w:tc>
        <w:tc>
          <w:tcPr>
            <w:tcW w:w="60" w:type="dxa"/>
            <w:vAlign w:val="bottom"/>
            <w:tcBorders>
              <w:bottom w:val="single" w:sz="8" w:color="5C004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-3885565</wp:posOffset>
            </wp:positionV>
            <wp:extent cx="173037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306">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6348095</wp:posOffset>
            </wp:positionH>
            <wp:positionV relativeFrom="paragraph">
              <wp:posOffset>-3885565</wp:posOffset>
            </wp:positionV>
            <wp:extent cx="63500"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07">
                      <a:extLst>
                        <a:ext uri="{28A0092B-C50C-407E-A947-70E740481C1C}"/>
                      </a:extLst>
                    </a:blip>
                    <a:srcRect/>
                    <a:stretch>
                      <a:fillRect/>
                    </a:stretch>
                  </pic:blipFill>
                  <pic:spPr bwMode="auto">
                    <a:xfrm>
                      <a:off x="0" y="0"/>
                      <a:ext cx="63500" cy="2540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5:,35;4:93(?45::5:(2+;,:585;4+04.</w:t>
      </w:r>
    </w:p>
    <w:p>
      <w:pPr>
        <w:spacing w:after="0" w:line="74" w:lineRule="exact"/>
        <w:rPr>
          <w:sz w:val="20"/>
          <w:szCs w:val="20"/>
          <w:color w:val="auto"/>
        </w:rPr>
      </w:pPr>
    </w:p>
    <w:p>
      <w:pPr>
        <w:ind w:left="360" w:right="80" w:hanging="359"/>
        <w:spacing w:after="0" w:line="404" w:lineRule="auto"/>
        <w:tabs>
          <w:tab w:leader="none" w:pos="340" w:val="left"/>
        </w:tabs>
        <w:rPr>
          <w:sz w:val="20"/>
          <w:szCs w:val="20"/>
          <w:color w:val="auto"/>
        </w:rPr>
      </w:pPr>
      <w:r>
        <w:rPr>
          <w:rFonts w:ascii="PMingLiU" w:cs="PMingLiU" w:eastAsia="PMingLiU" w:hAnsi="PMingLiU"/>
          <w:sz w:val="13"/>
          <w:szCs w:val="13"/>
          <w:color w:val="auto"/>
        </w:rPr>
        <w:t/>
        <w:tab/>
        <w:t>7KHGROODUDPRXQWVLQWKLVFROXPQUHSUHVHQWEDVHVDODU\HDUQHGGXULQJWKHLQGLFDWHGILVFDO\HDUEDVHVDODU\UDWHVZKLFKZHUH HIIHFWLYH0DUFKIRUHDFKRIWKH1(2VRWKHUWKDQ0V*DOD0V*DOD¶VEDVHVDODU\ZDVLQFUHDVHGWZLFHLQRQFHLQ0DUFKLQ FRQQHFWLRQZLWKWKHDQQXDOFRPSHQVDWLRQUHYLHZDQGDJDLQLQ$XJXVWLQFRQQHFWLRQZLWKKHUSURPRWLRQWR3UHVLGHQWDQG&amp;(2)RUPRUH LQIRUPDWLRQRQVDODULHVLQVHH³</w:t>
      </w:r>
      <w:r>
        <w:rPr>
          <w:rFonts w:ascii="PMingLiU" w:cs="PMingLiU" w:eastAsia="PMingLiU" w:hAnsi="PMingLiU"/>
          <w:sz w:val="13"/>
          <w:szCs w:val="13"/>
          <w:i w:val="1"/>
          <w:iCs w:val="1"/>
          <w:color w:val="auto"/>
        </w:rPr>
        <w:t>536,49(:05409*;99054(4+4(2?909  536,49(:054,*090549-58 ;8 9 4+0&lt;0+;(2</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 536,49(:054,*090549</w:t>
      </w:r>
      <w:r>
        <w:rPr>
          <w:rFonts w:ascii="PMingLiU" w:cs="PMingLiU" w:eastAsia="PMingLiU" w:hAnsi="PMingLiU"/>
          <w:sz w:val="13"/>
          <w:szCs w:val="13"/>
          <w:color w:val="auto"/>
        </w:rPr>
        <w:t>´DERYH</w:t>
      </w:r>
    </w:p>
    <w:p>
      <w:pPr>
        <w:jc w:val="both"/>
        <w:ind w:left="360" w:right="80" w:hanging="359"/>
        <w:spacing w:after="0" w:line="444" w:lineRule="auto"/>
        <w:tabs>
          <w:tab w:leader="none" w:pos="340" w:val="left"/>
        </w:tabs>
        <w:rPr>
          <w:sz w:val="20"/>
          <w:szCs w:val="20"/>
          <w:color w:val="auto"/>
        </w:rPr>
      </w:pPr>
      <w:r>
        <w:rPr>
          <w:rFonts w:ascii="PMingLiU" w:cs="PMingLiU" w:eastAsia="PMingLiU" w:hAnsi="PMingLiU"/>
          <w:sz w:val="15"/>
          <w:szCs w:val="15"/>
          <w:color w:val="auto"/>
        </w:rPr>
        <w:t/>
        <w:tab/>
        <w:t>7KHGROODUDPRXQWLQWKLVFROXPQIRU0U&amp;R]DGGIRUUHSUHVHQWVKLVSURUDWHGWDUJHWERQXVIRU6HH³&amp;</w:t>
      </w:r>
      <w:r>
        <w:rPr>
          <w:rFonts w:ascii="PMingLiU" w:cs="PMingLiU" w:eastAsia="PMingLiU" w:hAnsi="PMingLiU"/>
          <w:sz w:val="15"/>
          <w:szCs w:val="15"/>
          <w:i w:val="1"/>
          <w:iCs w:val="1"/>
          <w:color w:val="auto"/>
        </w:rPr>
        <w:t>536,49(:05409*;99054</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 xml:space="preserve">(4+4(2?909 </w:t>
      </w:r>
      <w:r>
        <w:rPr>
          <w:rFonts w:ascii="PMingLiU" w:cs="PMingLiU" w:eastAsia="PMingLiU" w:hAnsi="PMingLiU"/>
          <w:sz w:val="15"/>
          <w:szCs w:val="15"/>
          <w:color w:val="auto"/>
        </w:rPr>
        <w:t/>
      </w:r>
      <w:r>
        <w:rPr>
          <w:rFonts w:ascii="PMingLiU" w:cs="PMingLiU" w:eastAsia="PMingLiU" w:hAnsi="PMingLiU"/>
          <w:sz w:val="15"/>
          <w:szCs w:val="15"/>
          <w:i w:val="1"/>
          <w:iCs w:val="1"/>
          <w:color w:val="auto"/>
        </w:rPr>
        <w:t> 536,49(:054,*090549-58 ;8 9 4+0&lt;0+;(2 536,49(:054,*090549 8;*,5@(++/(086,8954 (4+583,8 </w:t>
      </w:r>
      <w:r>
        <w:rPr>
          <w:rFonts w:ascii="PMingLiU" w:cs="PMingLiU" w:eastAsia="PMingLiU" w:hAnsi="PMingLiU"/>
          <w:sz w:val="15"/>
          <w:szCs w:val="15"/>
          <w:color w:val="auto"/>
        </w:rPr>
        <w:t>´</w:t>
      </w:r>
    </w:p>
    <w:p>
      <w:pPr>
        <w:ind w:left="360" w:right="100" w:hanging="359"/>
        <w:spacing w:after="0" w:line="298" w:lineRule="auto"/>
        <w:tabs>
          <w:tab w:leader="none" w:pos="340" w:val="left"/>
        </w:tabs>
        <w:rPr>
          <w:sz w:val="20"/>
          <w:szCs w:val="20"/>
          <w:color w:val="auto"/>
        </w:rPr>
      </w:pPr>
      <w:r>
        <w:rPr>
          <w:rFonts w:ascii="PMingLiU" w:cs="PMingLiU" w:eastAsia="PMingLiU" w:hAnsi="PMingLiU"/>
          <w:sz w:val="13"/>
          <w:szCs w:val="13"/>
          <w:color w:val="auto"/>
        </w:rPr>
        <w:t/>
        <w:tab/>
        <w:t>7KHGROODUDPRXQWVLQWKLVFROXPQUHIOHFWWKHDJJUHJDWHJUDQWGDWHIDLUYDOXHRIDOO568VDQG368VJUDQWHGGXULQJWKHLQGLFDWHGILVFDO \HDUFRPSXWHGLQDFFRUGDQFHZLWK)$6%$6&amp;H[FOXGLQJWKHHIIHFWRIHVWLPDWHGIRUIHLWXUHV7KHJUDQWGDWHIDLUYDOXHIRU568VLV PHDVXUHGLQDFFRUGDQFHZLWK)$6%$6&amp;DQGEDVHGRQWKHFORVLQJSULFHRIRXURUGLQDU\VKDUHVRQWKHGDWHRIJUDQW7KHJUDQWGDWH IDLUYDOXHIRUWKH368VZDVFDOFXODWHGXVLQJD0RQWH&amp;DUORVLPXODWLRQPRGHOIRUWKHYDOXHRIRIWKHQXPEHURI368VDQGWKH FORVLQJSULFHRIRXURUGLQDU\VKDUHVRQWKHGDWHRIWKHJUDQWIRUWKHYDOXHRIRIWKHQXPEHURI368V7KHVHDPRXQWVGRQRW QHFHVVDULO\FRUUHVSRQGWRWKHDFWXDOYDOXHUHFRJQL]HGRUWKDWPD\EHUHFRJQL]HGE\WKH1(2V$VVXPLQJWKDWPD[LPXPSHUIRUPDQFHLV DFKLHYHGWKHYDOXHRIWKH368VJUDQWHGWR0V*DOD0U-RKQVRQ'U,DQQRQH0V3DWLODQG0V3HDUFHLQDWWKHGDWHRIJUDQW XQGHU)$6%$6&amp;ZRXOGKDYHEHHQDQGUHVSHFWLYHO\)RUDGGLWLRQDO LQIRUPDWLRQRQWKH568VDQG368VJUDQWHGWRRXU1(2VLQVHH³&amp;</w:t>
      </w:r>
      <w:r>
        <w:rPr>
          <w:rFonts w:ascii="PMingLiU" w:cs="PMingLiU" w:eastAsia="PMingLiU" w:hAnsi="PMingLiU"/>
          <w:sz w:val="13"/>
          <w:szCs w:val="13"/>
          <w:i w:val="1"/>
          <w:iCs w:val="1"/>
          <w:color w:val="auto"/>
        </w:rPr>
        <w:t>536,49(:05409*;99054(4+4(2?909  536,49(:054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,*090549-58 ;8 9 54.$,834*,4:0&lt;,!85.8(3</w:t>
      </w:r>
      <w:r>
        <w:rPr>
          <w:rFonts w:ascii="PMingLiU" w:cs="PMingLiU" w:eastAsia="PMingLiU" w:hAnsi="PMingLiU"/>
          <w:sz w:val="13"/>
          <w:szCs w:val="13"/>
          <w:color w:val="auto"/>
        </w:rPr>
        <w:t>´DQG³</w:t>
      </w:r>
      <w:r>
        <w:rPr>
          <w:rFonts w:ascii="PMingLiU" w:cs="PMingLiU" w:eastAsia="PMingLiU" w:hAnsi="PMingLiU"/>
          <w:sz w:val="13"/>
          <w:szCs w:val="13"/>
          <w:i w:val="1"/>
          <w:iCs w:val="1"/>
          <w:color w:val="auto"/>
        </w:rPr>
        <w:t>536,49(:05409*;99054(4+4(2?909 5(29-58(4+*/0,&lt;,3,4:5-</w:t>
      </w:r>
    </w:p>
    <w:p>
      <w:pPr>
        <w:ind w:left="360" w:right="140" w:firstLine="89"/>
        <w:spacing w:after="0" w:line="243" w:lineRule="auto"/>
        <w:rPr>
          <w:sz w:val="20"/>
          <w:szCs w:val="20"/>
          <w:color w:val="auto"/>
        </w:rPr>
      </w:pPr>
      <w:r>
        <w:rPr>
          <w:rFonts w:ascii="PMingLiU" w:cs="PMingLiU" w:eastAsia="PMingLiU" w:hAnsi="PMingLiU"/>
          <w:sz w:val="16"/>
          <w:szCs w:val="16"/>
          <w:i w:val="1"/>
          <w:iCs w:val="1"/>
          <w:color w:val="auto"/>
        </w:rPr>
        <w:t> !,8-583(4*,(9,+536,49(:054  A  !#%!85.8(3</w:t>
      </w:r>
      <w:r>
        <w:rPr>
          <w:rFonts w:ascii="PMingLiU" w:cs="PMingLiU" w:eastAsia="PMingLiU" w:hAnsi="PMingLiU"/>
          <w:sz w:val="16"/>
          <w:szCs w:val="16"/>
          <w:color w:val="auto"/>
        </w:rPr>
        <w:t>´DERYHDQGIRRWQRWHWRWKHWDEOHHQWLWOHG³</w:t>
      </w:r>
      <w:r>
        <w:rPr>
          <w:rFonts w:ascii="PMingLiU" w:cs="PMingLiU" w:eastAsia="PMingLiU" w:hAnsi="PMingLiU"/>
          <w:sz w:val="16"/>
          <w:szCs w:val="16"/>
          <w:i w:val="1"/>
          <w:iCs w:val="1"/>
          <w:color w:val="auto"/>
        </w:rPr>
        <w:t>8(4:95-!2(4(9,+ =(8+90409*(2  </w:t>
      </w:r>
      <w:r>
        <w:rPr>
          <w:rFonts w:ascii="PMingLiU" w:cs="PMingLiU" w:eastAsia="PMingLiU" w:hAnsi="PMingLiU"/>
          <w:sz w:val="16"/>
          <w:szCs w:val="16"/>
          <w:color w:val="auto"/>
        </w:rPr>
        <w:t>´</w:t>
      </w:r>
    </w:p>
    <w:p>
      <w:pPr>
        <w:sectPr>
          <w:pgSz w:w="11880" w:h="15479" w:orient="portrait"/>
          <w:cols w:equalWidth="0" w:num="1">
            <w:col w:w="10080"/>
          </w:cols>
          <w:pgMar w:left="900" w:top="377" w:right="899" w:bottom="0" w:gutter="0" w:footer="0" w:header="0"/>
        </w:sect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5C004D"/>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PMingLiU" w:cs="PMingLiU" w:eastAsia="PMingLiU" w:hAnsi="PMingLiU"/>
          <w:sz w:val="16"/>
          <w:szCs w:val="16"/>
          <w:color w:val="2D2C36"/>
        </w:rPr>
        <w:t>352;&lt;67$7(0(17</w:t>
      </w:r>
    </w:p>
    <w:p>
      <w:pPr>
        <w:sectPr>
          <w:pgSz w:w="11880" w:h="15479" w:orient="portrait"/>
          <w:cols w:equalWidth="0" w:num="2">
            <w:col w:w="280" w:space="320"/>
            <w:col w:w="9480"/>
          </w:cols>
          <w:pgMar w:left="900" w:top="377" w:right="899" w:bottom="0" w:gutter="0" w:footer="0" w:header="0"/>
          <w:type w:val="continuous"/>
        </w:sectPr>
      </w:pPr>
    </w:p>
    <w:bookmarkStart w:id="86" w:name="page87"/>
    <w:bookmarkEnd w:id="86"/>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39" o:spid="_x0000_s1464"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8" w:lineRule="exact"/>
        <w:rPr>
          <w:sz w:val="20"/>
          <w:szCs w:val="20"/>
          <w:color w:val="auto"/>
        </w:rPr>
      </w:pPr>
    </w:p>
    <w:p>
      <w:pPr>
        <w:ind w:left="360" w:right="220" w:hanging="359"/>
        <w:spacing w:after="0" w:line="335" w:lineRule="auto"/>
        <w:tabs>
          <w:tab w:leader="none" w:pos="340" w:val="left"/>
        </w:tabs>
        <w:rPr>
          <w:sz w:val="20"/>
          <w:szCs w:val="20"/>
          <w:color w:val="auto"/>
        </w:rPr>
      </w:pPr>
      <w:r>
        <w:rPr>
          <w:rFonts w:ascii="PMingLiU" w:cs="PMingLiU" w:eastAsia="PMingLiU" w:hAnsi="PMingLiU"/>
          <w:sz w:val="14"/>
          <w:szCs w:val="14"/>
          <w:color w:val="auto"/>
        </w:rPr>
        <w:t/>
        <w:tab/>
        <w:t>7KHGROODUDPRXQWVLQWKLVFROXPQDOVRLQFOXGHDRQHWLPHUHWHQWLRQJUDQWRI568VJUDQWHGLQ)HEUXDU\WRHDFKRIWKH1(2VZLWK WKHH[FHSWLRQRI0U&amp;R]DGG</w:t>
      </w:r>
    </w:p>
    <w:p>
      <w:pPr>
        <w:spacing w:after="0" w:line="5" w:lineRule="exact"/>
        <w:rPr>
          <w:sz w:val="20"/>
          <w:szCs w:val="20"/>
          <w:color w:val="auto"/>
        </w:rPr>
      </w:pPr>
    </w:p>
    <w:p>
      <w:pPr>
        <w:ind w:left="360" w:right="60" w:hanging="359"/>
        <w:spacing w:after="0" w:line="301" w:lineRule="auto"/>
        <w:tabs>
          <w:tab w:leader="none" w:pos="340" w:val="left"/>
        </w:tabs>
        <w:rPr>
          <w:sz w:val="20"/>
          <w:szCs w:val="20"/>
          <w:color w:val="auto"/>
        </w:rPr>
      </w:pPr>
      <w:r>
        <w:rPr>
          <w:rFonts w:ascii="PMingLiU" w:cs="PMingLiU" w:eastAsia="PMingLiU" w:hAnsi="PMingLiU"/>
          <w:sz w:val="13"/>
          <w:szCs w:val="13"/>
          <w:color w:val="auto"/>
        </w:rPr>
        <w:t/>
        <w:tab/>
        <w:t>7KHGROODUDPRXQWVKRZQLQWKLVFROXPQIRU0U&amp;R]DGGUHIOHFWVWKHDJJUHJDWHLQFUHPHQWDOFRPSHQVDWLRQH[SHQVHLQFRQQHFWLRQZLWKWKH DPHQGPHQWRIFHUWDLQRXWVWDQGLQJRSWLRQVDZDUGVDZDUGHGWRKLPLQSULRU\HDUVFRPSXWHGLQDFFRUGDQFHZLWK)$6%$6&amp;DV GHVFULEHGXQGHU³</w:t>
      </w:r>
      <w:r>
        <w:rPr>
          <w:rFonts w:ascii="PMingLiU" w:cs="PMingLiU" w:eastAsia="PMingLiU" w:hAnsi="PMingLiU"/>
          <w:sz w:val="13"/>
          <w:szCs w:val="13"/>
          <w:i w:val="1"/>
          <w:iCs w:val="1"/>
          <w:color w:val="auto"/>
        </w:rPr>
        <w:t>536,49(:05409*;99054(4+4(2?909  536,49(:054,*090549-58 ;8 9 5+0-0*(:0545- ;:9:(4+04.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#:5*1 6:0549</w:t>
      </w:r>
      <w:r>
        <w:rPr>
          <w:rFonts w:ascii="PMingLiU" w:cs="PMingLiU" w:eastAsia="PMingLiU" w:hAnsi="PMingLiU"/>
          <w:sz w:val="13"/>
          <w:szCs w:val="13"/>
          <w:color w:val="auto"/>
        </w:rPr>
        <w:t>´3XUVXDQWWRDFFRXQWLQJJXLGDQFHSUHVFULEHGXQGHU)$6%$6&amp;WKHDPHQGPHQWUHVXOWHGLQDJUDQWPRGLILFDWLRQWKDW</w:t>
      </w:r>
    </w:p>
    <w:p>
      <w:pPr>
        <w:spacing w:after="0" w:line="2" w:lineRule="exact"/>
        <w:rPr>
          <w:sz w:val="20"/>
          <w:szCs w:val="20"/>
          <w:color w:val="auto"/>
        </w:rPr>
      </w:pPr>
    </w:p>
    <w:p>
      <w:pPr>
        <w:ind w:left="360" w:right="100"/>
        <w:spacing w:after="0" w:line="352" w:lineRule="auto"/>
        <w:rPr>
          <w:sz w:val="20"/>
          <w:szCs w:val="20"/>
          <w:color w:val="auto"/>
        </w:rPr>
      </w:pPr>
      <w:r>
        <w:rPr>
          <w:rFonts w:ascii="PMingLiU" w:cs="PMingLiU" w:eastAsia="PMingLiU" w:hAnsi="PMingLiU"/>
          <w:sz w:val="13"/>
          <w:szCs w:val="13"/>
          <w:color w:val="auto"/>
        </w:rPr>
        <w:t>FDXVHGLQFUHPHQWDOIDLUYDOXHGHWHUPLQHGE\FRPSDULQJWKHDJJUHJDWHIDLUYDOXHRIWKHRXWVWDQGLQJDZDUGVLPPHGLDWHO\EHIRUHDQGDIWHU WKHPRGLILFDWLRQ</w:t>
      </w:r>
    </w:p>
    <w:p>
      <w:pPr>
        <w:spacing w:after="0" w:line="1" w:lineRule="exact"/>
        <w:rPr>
          <w:sz w:val="20"/>
          <w:szCs w:val="20"/>
          <w:color w:val="auto"/>
        </w:rPr>
      </w:pPr>
    </w:p>
    <w:p>
      <w:pPr>
        <w:ind w:left="360" w:right="20" w:hanging="359"/>
        <w:spacing w:after="0" w:line="440" w:lineRule="auto"/>
        <w:tabs>
          <w:tab w:leader="none" w:pos="340" w:val="left"/>
        </w:tabs>
        <w:rPr>
          <w:sz w:val="20"/>
          <w:szCs w:val="20"/>
          <w:color w:val="auto"/>
        </w:rPr>
      </w:pPr>
      <w:r>
        <w:rPr>
          <w:rFonts w:ascii="PMingLiU" w:cs="PMingLiU" w:eastAsia="PMingLiU" w:hAnsi="PMingLiU"/>
          <w:sz w:val="13"/>
          <w:szCs w:val="13"/>
          <w:color w:val="auto"/>
        </w:rPr>
        <w:t/>
        <w:tab/>
        <w:t>7KHGROODUDPRXQWVLQWKLVFROXPQUHSUHVHQWWKHFDVKERQXVDZDUGHGXQGHUWKHSHUIRUPDQFHERQXVSODQIRUWKHLQGLFDWHGILVFDO\HDU)RU PRUHLQIRUPDWLRQRQWKHFDVKERQXVDZDUGVIRUVHH³</w:t>
      </w:r>
      <w:r>
        <w:rPr>
          <w:rFonts w:ascii="PMingLiU" w:cs="PMingLiU" w:eastAsia="PMingLiU" w:hAnsi="PMingLiU"/>
          <w:sz w:val="13"/>
          <w:szCs w:val="13"/>
          <w:i w:val="1"/>
          <w:iCs w:val="1"/>
          <w:color w:val="auto"/>
        </w:rPr>
        <w:t>536,49(:05409*;99054(4+4(2?909 5(29-58(4+*/0,&lt;,3,4:5-  </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!,8-583(4*,(9,+536,49(:054  !,8-583(4*,54;9!85.8(3</w:t>
      </w:r>
      <w:r>
        <w:rPr>
          <w:rFonts w:ascii="PMingLiU" w:cs="PMingLiU" w:eastAsia="PMingLiU" w:hAnsi="PMingLiU"/>
          <w:sz w:val="13"/>
          <w:szCs w:val="13"/>
          <w:color w:val="auto"/>
        </w:rPr>
        <w:t>´DQG³</w:t>
      </w:r>
      <w:r>
        <w:rPr>
          <w:rFonts w:ascii="PMingLiU" w:cs="PMingLiU" w:eastAsia="PMingLiU" w:hAnsi="PMingLiU"/>
          <w:sz w:val="13"/>
          <w:szCs w:val="13"/>
          <w:i w:val="1"/>
          <w:iCs w:val="1"/>
          <w:color w:val="auto"/>
        </w:rPr>
        <w:t>536,49(:05409*;99054(4+4(2?909   536,49(:054,*090549-58 ;8 9</w:t>
      </w:r>
      <w:r>
        <w:rPr>
          <w:rFonts w:ascii="PMingLiU" w:cs="PMingLiU" w:eastAsia="PMingLiU" w:hAnsi="PMingLiU"/>
          <w:sz w:val="13"/>
          <w:szCs w:val="13"/>
          <w:color w:val="auto"/>
        </w:rPr>
        <w:t>´DERYH</w:t>
      </w:r>
    </w:p>
    <w:p>
      <w:pPr>
        <w:spacing w:after="0" w:line="1" w:lineRule="exact"/>
        <w:rPr>
          <w:sz w:val="20"/>
          <w:szCs w:val="20"/>
          <w:color w:val="auto"/>
        </w:rPr>
      </w:pPr>
    </w:p>
    <w:p>
      <w:pPr>
        <w:ind w:left="360" w:right="480" w:hanging="359"/>
        <w:spacing w:after="0" w:line="316" w:lineRule="auto"/>
        <w:tabs>
          <w:tab w:leader="none" w:pos="340" w:val="left"/>
        </w:tabs>
        <w:rPr>
          <w:sz w:val="20"/>
          <w:szCs w:val="20"/>
          <w:color w:val="auto"/>
        </w:rPr>
      </w:pPr>
      <w:r>
        <w:rPr>
          <w:rFonts w:ascii="PMingLiU" w:cs="PMingLiU" w:eastAsia="PMingLiU" w:hAnsi="PMingLiU"/>
          <w:sz w:val="13"/>
          <w:szCs w:val="13"/>
          <w:color w:val="auto"/>
        </w:rPr>
        <w:t/>
        <w:tab/>
        <w:t>7KHGROODUDPRXQWVLQWKLVFROXPQIRUFRQVLVWHGRIJURXSWHUPOLIHLQVXUDQFHSUHPLXPVSDLGPDWFKLQJFRQWULEXWLRQVXQGHURXU N3ODQZRUNIURPKRPHH[SHQVHVKHDOWKFDUHFRQWULEXWLRQVZHOOEHLQJUHLPEXUVHPHQWVWD[UHLPEXUVHPHQWDQGJURVVXS SD\PHQWV0DWFKLQJFRQWULEXWLRQVXQGHURXUN3ODQLQFRQVLVWHGRIIRU0V*DOD0U-RKQVRQ0U&amp;R]DGG'U ,DQQRQHDQG0V3HDUFHUHVSHFWLYHO\DQGIRU0V3DWLO7KHGROODUDPRXQWIRU0U&amp;R]DGGIRULQFOXGHVKH UHFHLYHGLQIHHVSDLGLQFDVKIRUKLVVHUYLFHDVDQRQHPSOR\HHGLUHFWRUIROORZLQJKLVUHWLUHPHQWLQ6HSWHPEHU</w:t>
      </w:r>
    </w:p>
    <w:p>
      <w:pPr>
        <w:spacing w:after="0" w:line="2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0V*DODZDVDSSRLQWHGRXU3UHVLGHQW&amp;(2DQG'LUHFWRUHIIHFWLYH$XJXVW</w:t>
      </w:r>
    </w:p>
    <w:p>
      <w:pPr>
        <w:spacing w:after="0" w:line="9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0U-RKQVRQZDVDSSRLQWHGRXU([HFXWLYH9LFH3UHVLGHQWDQG&amp;)2HIIHFWLYH0DUFK</w:t>
      </w:r>
    </w:p>
    <w:p>
      <w:pPr>
        <w:spacing w:after="0" w:line="90" w:lineRule="exact"/>
        <w:rPr>
          <w:sz w:val="20"/>
          <w:szCs w:val="20"/>
          <w:color w:val="auto"/>
        </w:rPr>
      </w:pPr>
    </w:p>
    <w:p>
      <w:pPr>
        <w:ind w:left="360" w:hanging="359"/>
        <w:spacing w:after="0" w:line="308" w:lineRule="auto"/>
        <w:rPr>
          <w:sz w:val="20"/>
          <w:szCs w:val="20"/>
          <w:color w:val="auto"/>
        </w:rPr>
      </w:pPr>
      <w:r>
        <w:rPr>
          <w:rFonts w:ascii="PMingLiU" w:cs="PMingLiU" w:eastAsia="PMingLiU" w:hAnsi="PMingLiU"/>
          <w:sz w:val="13"/>
          <w:szCs w:val="13"/>
          <w:color w:val="auto"/>
        </w:rPr>
        <w:t> 0U&amp;R]DGGVHUYHGDV&amp;(2XQWLO$XJXVWIROORZLQJZKLFKKHVHUYHGLQDWUDQVLWLRQUROHWKURXJK6HSWHPEHUDQG VXEVHTXHQWO\UHWLUHGRQ6HSWHPEHU'XHWR0U&amp;R]DGG¶VUHWLUHPHQWLQ6HSWHPEHUKLVERQXVZDVSURUDWHGWR SXUVXDQWWRWKHUHWLUHPHQWSURYLVLRQRIRXUDQQXDOERQXVSODQ7REHHOLJLEOHIRUDSURUDWHGERQXVLQWKH\HDURIUHWLUHPHQWWKH DQQXDOERQXVSODQUHTXLUHVWKHUHFLSLHQWEHDWOHDVW\HDUVRIDJHZLWKQROHVVWKDQILYH\HDUVRIVHUYLFHDQGUHWLUHRQRUDIWHU-XO\ 0U&amp;R]DGGPHWDOOVXFKUHTXLUHPHQWV,QFRQQHFWLRQZLWK0U&amp;R]DGG¶VUHWLUHPHQWDV&amp;(2DQGWUDQVLWLRQWRDQRQHPSOR\HHGLUHFWRUUROH DV&amp;KDLUSHUVRQLQ6HSWHPEHU0U&amp;R]DGGUHFHLYHGDSURUDWHGDQQXDOQRQHPSOR\HHGLUHFWRU568JUDQWYDOXHHTXDOWR RQ1RYHPEHUZKLFKDPRXQWLVLQFOXGHGLQWKH³6WRFN$ZDUGV´FROXPQ0U&amp;R]DGGDOVRUHFHLYHGLQGLUHFWRUIHHVSDLG LQFDVKZKLFKDPRXQWLVLQFOXGHLQWKH³$OO2WKHU&amp;RPSHQVDWLRQ´FROXPQ</w:t>
      </w:r>
    </w:p>
    <w:p>
      <w:pPr>
        <w:spacing w:after="0" w:line="25" w:lineRule="exact"/>
        <w:rPr>
          <w:sz w:val="20"/>
          <w:szCs w:val="20"/>
          <w:color w:val="auto"/>
        </w:rPr>
      </w:pPr>
    </w:p>
    <w:p>
      <w:pPr>
        <w:ind w:left="360" w:right="40" w:hanging="359"/>
        <w:spacing w:after="0" w:line="295" w:lineRule="auto"/>
        <w:rPr>
          <w:sz w:val="20"/>
          <w:szCs w:val="20"/>
          <w:color w:val="auto"/>
        </w:rPr>
      </w:pPr>
      <w:r>
        <w:rPr>
          <w:rFonts w:ascii="PMingLiU" w:cs="PMingLiU" w:eastAsia="PMingLiU" w:hAnsi="PMingLiU"/>
          <w:sz w:val="14"/>
          <w:szCs w:val="14"/>
          <w:color w:val="auto"/>
        </w:rPr>
        <w:t> 0V3HDUFHZDVSURPRWHGWR([HFXWLYH9LFH3UHVLGHQW&amp;KLHI&amp;RPPHUFLDO2IILFHUHIIHFWLYH$XJXVWSULRUWRWKDWVKHVHUYHGDV RXU6HQLRU9LFH3UHVLGHQW(XURSHDQG,QWHUQDWLRQDO0V3HDUFHZDVSDLGKHUDQQXDOVDODU\LQSRXQGVIURP-DQXDU\WR6HSWHPEHU XQWLOKHUUHORFDWLRQWRWKH86+HUDFWXDOVDODU\SDLGEHIRUHUHORFDWLRQFRQVLVWHGRIFRQYHUWHGWR86'XVLQJWKHPRQWKO\ DYHUDJHH[FKDQJHUDWHIURP-DQXDU\WR6HSWHPEHURI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4514215</wp:posOffset>
            </wp:positionV>
            <wp:extent cx="1386840" cy="2336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30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377" w:right="919" w:bottom="0" w:gutter="0" w:footer="0" w:header="0"/>
        </w:sectPr>
      </w:pPr>
    </w:p>
    <w:bookmarkStart w:id="87" w:name="page88"/>
    <w:bookmarkEnd w:id="8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41" o:spid="_x0000_s1466"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*UDQWVRI3ODQ%DVHG$ZDUGVLQ)LVFDO</w:t>
      </w:r>
    </w:p>
    <w:p>
      <w:pPr>
        <w:spacing w:after="0" w:line="219" w:lineRule="exact"/>
        <w:rPr>
          <w:sz w:val="20"/>
          <w:szCs w:val="20"/>
          <w:color w:val="auto"/>
        </w:rPr>
      </w:pPr>
    </w:p>
    <w:p>
      <w:pPr>
        <w:ind w:right="600"/>
        <w:spacing w:after="0" w:line="358" w:lineRule="auto"/>
        <w:rPr>
          <w:sz w:val="20"/>
          <w:szCs w:val="20"/>
          <w:color w:val="auto"/>
        </w:rPr>
      </w:pPr>
      <w:r>
        <w:rPr>
          <w:rFonts w:ascii="PMingLiU" w:cs="PMingLiU" w:eastAsia="PMingLiU" w:hAnsi="PMingLiU"/>
          <w:sz w:val="16"/>
          <w:szCs w:val="16"/>
          <w:color w:val="auto"/>
        </w:rPr>
        <w:t>7KHIROORZLQJWDEOHVKRZVIRUWKHILVFDO\HDUHQGHG'HFHPEHUFHUWDLQLQIRUPDWLRQUHJDUGLQJJUDQWVRISODQEDVHG DZDUGVWRWKH1(2V([FHSWDVVSHFLILHGDOODZDUGVZHUHJUDQWHGXQGHURXU3ODQ</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60"/>
        </w:trPr>
        <w:tc>
          <w:tcPr>
            <w:tcW w:w="84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600" w:type="dxa"/>
            <w:vAlign w:val="bottom"/>
            <w:shd w:val="clear" w:color="auto" w:fill="000046"/>
          </w:tcPr>
          <w:p>
            <w:pPr>
              <w:spacing w:after="0"/>
              <w:rPr>
                <w:sz w:val="5"/>
                <w:szCs w:val="5"/>
                <w:color w:val="auto"/>
              </w:rPr>
            </w:pPr>
          </w:p>
        </w:tc>
        <w:tc>
          <w:tcPr>
            <w:tcW w:w="180" w:type="dxa"/>
            <w:vAlign w:val="bottom"/>
            <w:shd w:val="clear" w:color="auto" w:fill="000046"/>
          </w:tcPr>
          <w:p>
            <w:pPr>
              <w:spacing w:after="0"/>
              <w:rPr>
                <w:sz w:val="5"/>
                <w:szCs w:val="5"/>
                <w:color w:val="auto"/>
              </w:rPr>
            </w:pPr>
          </w:p>
        </w:tc>
        <w:tc>
          <w:tcPr>
            <w:tcW w:w="720" w:type="dxa"/>
            <w:vAlign w:val="bottom"/>
            <w:shd w:val="clear" w:color="auto" w:fill="000046"/>
          </w:tcPr>
          <w:p>
            <w:pPr>
              <w:spacing w:after="0"/>
              <w:rPr>
                <w:sz w:val="5"/>
                <w:szCs w:val="5"/>
                <w:color w:val="auto"/>
              </w:rPr>
            </w:pPr>
          </w:p>
        </w:tc>
        <w:tc>
          <w:tcPr>
            <w:tcW w:w="2000" w:type="dxa"/>
            <w:vAlign w:val="bottom"/>
            <w:gridSpan w:val="3"/>
            <w:vMerge w:val="restart"/>
            <w:shd w:val="clear" w:color="auto" w:fill="000046"/>
          </w:tcPr>
          <w:p>
            <w:pPr>
              <w:jc w:val="center"/>
              <w:spacing w:after="0"/>
              <w:rPr>
                <w:sz w:val="20"/>
                <w:szCs w:val="20"/>
                <w:color w:val="auto"/>
              </w:rPr>
            </w:pPr>
            <w:r>
              <w:rPr>
                <w:rFonts w:ascii="PMingLiU" w:cs="PMingLiU" w:eastAsia="PMingLiU" w:hAnsi="PMingLiU"/>
                <w:sz w:val="12"/>
                <w:szCs w:val="12"/>
                <w:b w:val="1"/>
                <w:bCs w:val="1"/>
                <w:color w:val="FFFFFF"/>
                <w:w w:val="89"/>
              </w:rPr>
              <w:t>(VWLPDWHG3RVVLEOH3D\RXWV</w:t>
            </w:r>
          </w:p>
        </w:tc>
        <w:tc>
          <w:tcPr>
            <w:tcW w:w="880" w:type="dxa"/>
            <w:vAlign w:val="bottom"/>
            <w:shd w:val="clear" w:color="auto" w:fill="000046"/>
          </w:tcPr>
          <w:p>
            <w:pPr>
              <w:spacing w:after="0"/>
              <w:rPr>
                <w:sz w:val="5"/>
                <w:szCs w:val="5"/>
                <w:color w:val="auto"/>
              </w:rPr>
            </w:pPr>
          </w:p>
        </w:tc>
        <w:tc>
          <w:tcPr>
            <w:tcW w:w="58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86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$OO2WKHU</w:t>
            </w:r>
          </w:p>
        </w:tc>
        <w:tc>
          <w:tcPr>
            <w:tcW w:w="780" w:type="dxa"/>
            <w:vAlign w:val="bottom"/>
            <w:shd w:val="clear" w:color="auto" w:fill="000046"/>
          </w:tcPr>
          <w:p>
            <w:pPr>
              <w:spacing w:after="0"/>
              <w:rPr>
                <w:sz w:val="5"/>
                <w:szCs w:val="5"/>
                <w:color w:val="auto"/>
              </w:rPr>
            </w:pPr>
          </w:p>
        </w:tc>
        <w:tc>
          <w:tcPr>
            <w:tcW w:w="760" w:type="dxa"/>
            <w:vAlign w:val="bottom"/>
            <w:shd w:val="clear" w:color="auto" w:fill="000046"/>
          </w:tcPr>
          <w:p>
            <w:pPr>
              <w:spacing w:after="0"/>
              <w:rPr>
                <w:sz w:val="5"/>
                <w:szCs w:val="5"/>
                <w:color w:val="auto"/>
              </w:rPr>
            </w:pPr>
          </w:p>
        </w:tc>
        <w:tc>
          <w:tcPr>
            <w:tcW w:w="88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000046"/>
          </w:tcPr>
          <w:p>
            <w:pPr>
              <w:spacing w:after="0"/>
              <w:rPr>
                <w:sz w:val="15"/>
                <w:szCs w:val="15"/>
                <w:color w:val="auto"/>
              </w:rPr>
            </w:pPr>
          </w:p>
        </w:tc>
        <w:tc>
          <w:tcPr>
            <w:tcW w:w="680" w:type="dxa"/>
            <w:vAlign w:val="bottom"/>
            <w:shd w:val="clear" w:color="auto" w:fill="000046"/>
          </w:tcPr>
          <w:p>
            <w:pPr>
              <w:spacing w:after="0"/>
              <w:rPr>
                <w:sz w:val="15"/>
                <w:szCs w:val="15"/>
                <w:color w:val="auto"/>
              </w:rPr>
            </w:pPr>
          </w:p>
        </w:tc>
        <w:tc>
          <w:tcPr>
            <w:tcW w:w="600" w:type="dxa"/>
            <w:vAlign w:val="bottom"/>
            <w:shd w:val="clear" w:color="auto" w:fill="000046"/>
          </w:tcPr>
          <w:p>
            <w:pPr>
              <w:spacing w:after="0"/>
              <w:rPr>
                <w:sz w:val="15"/>
                <w:szCs w:val="15"/>
                <w:color w:val="auto"/>
              </w:rPr>
            </w:pPr>
          </w:p>
        </w:tc>
        <w:tc>
          <w:tcPr>
            <w:tcW w:w="180" w:type="dxa"/>
            <w:vAlign w:val="bottom"/>
            <w:shd w:val="clear" w:color="auto" w:fill="000046"/>
          </w:tcPr>
          <w:p>
            <w:pPr>
              <w:spacing w:after="0"/>
              <w:rPr>
                <w:sz w:val="15"/>
                <w:szCs w:val="15"/>
                <w:color w:val="auto"/>
              </w:rPr>
            </w:pPr>
          </w:p>
        </w:tc>
        <w:tc>
          <w:tcPr>
            <w:tcW w:w="720" w:type="dxa"/>
            <w:vAlign w:val="bottom"/>
            <w:shd w:val="clear" w:color="auto" w:fill="000046"/>
          </w:tcPr>
          <w:p>
            <w:pPr>
              <w:spacing w:after="0"/>
              <w:rPr>
                <w:sz w:val="15"/>
                <w:szCs w:val="15"/>
                <w:color w:val="auto"/>
              </w:rPr>
            </w:pPr>
          </w:p>
        </w:tc>
        <w:tc>
          <w:tcPr>
            <w:tcW w:w="2000" w:type="dxa"/>
            <w:vAlign w:val="bottom"/>
            <w:gridSpan w:val="3"/>
            <w:vMerge w:val="continue"/>
            <w:shd w:val="clear" w:color="auto" w:fill="000046"/>
          </w:tcPr>
          <w:p>
            <w:pPr>
              <w:spacing w:after="0"/>
              <w:rPr>
                <w:sz w:val="15"/>
                <w:szCs w:val="15"/>
                <w:color w:val="auto"/>
              </w:rPr>
            </w:pPr>
          </w:p>
        </w:tc>
        <w:tc>
          <w:tcPr>
            <w:tcW w:w="880" w:type="dxa"/>
            <w:vAlign w:val="bottom"/>
            <w:shd w:val="clear" w:color="auto" w:fill="000046"/>
          </w:tcPr>
          <w:p>
            <w:pPr>
              <w:spacing w:after="0"/>
              <w:rPr>
                <w:sz w:val="15"/>
                <w:szCs w:val="15"/>
                <w:color w:val="auto"/>
              </w:rPr>
            </w:pPr>
          </w:p>
        </w:tc>
        <w:tc>
          <w:tcPr>
            <w:tcW w:w="580" w:type="dxa"/>
            <w:vAlign w:val="bottom"/>
            <w:shd w:val="clear" w:color="auto" w:fill="000046"/>
          </w:tcPr>
          <w:p>
            <w:pPr>
              <w:spacing w:after="0"/>
              <w:rPr>
                <w:sz w:val="15"/>
                <w:szCs w:val="15"/>
                <w:color w:val="auto"/>
              </w:rPr>
            </w:pPr>
          </w:p>
        </w:tc>
        <w:tc>
          <w:tcPr>
            <w:tcW w:w="680" w:type="dxa"/>
            <w:vAlign w:val="bottom"/>
            <w:shd w:val="clear" w:color="auto" w:fill="000046"/>
          </w:tcPr>
          <w:p>
            <w:pPr>
              <w:spacing w:after="0"/>
              <w:rPr>
                <w:sz w:val="15"/>
                <w:szCs w:val="15"/>
                <w:color w:val="auto"/>
              </w:rPr>
            </w:pPr>
          </w:p>
        </w:tc>
        <w:tc>
          <w:tcPr>
            <w:tcW w:w="860" w:type="dxa"/>
            <w:vAlign w:val="bottom"/>
            <w:vMerge w:val="continue"/>
            <w:shd w:val="clear" w:color="auto" w:fill="000046"/>
          </w:tcPr>
          <w:p>
            <w:pPr>
              <w:spacing w:after="0"/>
              <w:rPr>
                <w:sz w:val="15"/>
                <w:szCs w:val="15"/>
                <w:color w:val="auto"/>
              </w:rPr>
            </w:pPr>
          </w:p>
        </w:tc>
        <w:tc>
          <w:tcPr>
            <w:tcW w:w="780" w:type="dxa"/>
            <w:vAlign w:val="bottom"/>
            <w:shd w:val="clear" w:color="auto" w:fill="000046"/>
          </w:tcPr>
          <w:p>
            <w:pPr>
              <w:spacing w:after="0"/>
              <w:rPr>
                <w:sz w:val="15"/>
                <w:szCs w:val="15"/>
                <w:color w:val="auto"/>
              </w:rPr>
            </w:pPr>
          </w:p>
        </w:tc>
        <w:tc>
          <w:tcPr>
            <w:tcW w:w="760" w:type="dxa"/>
            <w:vAlign w:val="bottom"/>
            <w:shd w:val="clear" w:color="auto" w:fill="000046"/>
          </w:tcPr>
          <w:p>
            <w:pPr>
              <w:spacing w:after="0"/>
              <w:rPr>
                <w:sz w:val="15"/>
                <w:szCs w:val="15"/>
                <w:color w:val="auto"/>
              </w:rPr>
            </w:pPr>
          </w:p>
        </w:tc>
        <w:tc>
          <w:tcPr>
            <w:tcW w:w="880" w:type="dxa"/>
            <w:vAlign w:val="bottom"/>
            <w:shd w:val="clear" w:color="auto" w:fill="000046"/>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40" w:type="dxa"/>
            <w:vAlign w:val="bottom"/>
            <w:shd w:val="clear" w:color="auto" w:fill="000046"/>
          </w:tcPr>
          <w:p>
            <w:pPr>
              <w:spacing w:after="0"/>
              <w:rPr>
                <w:sz w:val="6"/>
                <w:szCs w:val="6"/>
                <w:color w:val="auto"/>
              </w:rPr>
            </w:pPr>
          </w:p>
        </w:tc>
        <w:tc>
          <w:tcPr>
            <w:tcW w:w="680" w:type="dxa"/>
            <w:vAlign w:val="bottom"/>
            <w:shd w:val="clear" w:color="auto" w:fill="000046"/>
          </w:tcPr>
          <w:p>
            <w:pPr>
              <w:spacing w:after="0"/>
              <w:rPr>
                <w:sz w:val="6"/>
                <w:szCs w:val="6"/>
                <w:color w:val="auto"/>
              </w:rPr>
            </w:pPr>
          </w:p>
        </w:tc>
        <w:tc>
          <w:tcPr>
            <w:tcW w:w="600" w:type="dxa"/>
            <w:vAlign w:val="bottom"/>
            <w:shd w:val="clear" w:color="auto" w:fill="000046"/>
          </w:tcPr>
          <w:p>
            <w:pPr>
              <w:spacing w:after="0"/>
              <w:rPr>
                <w:sz w:val="6"/>
                <w:szCs w:val="6"/>
                <w:color w:val="auto"/>
              </w:rPr>
            </w:pPr>
          </w:p>
        </w:tc>
        <w:tc>
          <w:tcPr>
            <w:tcW w:w="180" w:type="dxa"/>
            <w:vAlign w:val="bottom"/>
            <w:shd w:val="clear" w:color="auto" w:fill="000046"/>
          </w:tcPr>
          <w:p>
            <w:pPr>
              <w:spacing w:after="0"/>
              <w:rPr>
                <w:sz w:val="6"/>
                <w:szCs w:val="6"/>
                <w:color w:val="auto"/>
              </w:rPr>
            </w:pPr>
          </w:p>
        </w:tc>
        <w:tc>
          <w:tcPr>
            <w:tcW w:w="720" w:type="dxa"/>
            <w:vAlign w:val="bottom"/>
            <w:shd w:val="clear" w:color="auto" w:fill="000046"/>
          </w:tcPr>
          <w:p>
            <w:pPr>
              <w:spacing w:after="0"/>
              <w:rPr>
                <w:sz w:val="6"/>
                <w:szCs w:val="6"/>
                <w:color w:val="auto"/>
              </w:rPr>
            </w:pPr>
          </w:p>
        </w:tc>
        <w:tc>
          <w:tcPr>
            <w:tcW w:w="2000" w:type="dxa"/>
            <w:vAlign w:val="bottom"/>
            <w:gridSpan w:val="3"/>
            <w:vMerge w:val="continue"/>
            <w:shd w:val="clear" w:color="auto" w:fill="000046"/>
          </w:tcPr>
          <w:p>
            <w:pPr>
              <w:spacing w:after="0"/>
              <w:rPr>
                <w:sz w:val="6"/>
                <w:szCs w:val="6"/>
                <w:color w:val="auto"/>
              </w:rPr>
            </w:pPr>
          </w:p>
        </w:tc>
        <w:tc>
          <w:tcPr>
            <w:tcW w:w="2140" w:type="dxa"/>
            <w:vAlign w:val="bottom"/>
            <w:gridSpan w:val="3"/>
            <w:vMerge w:val="restart"/>
            <w:shd w:val="clear" w:color="auto" w:fill="000046"/>
          </w:tcPr>
          <w:p>
            <w:pPr>
              <w:jc w:val="right"/>
              <w:ind w:right="23"/>
              <w:spacing w:after="0"/>
              <w:rPr>
                <w:sz w:val="20"/>
                <w:szCs w:val="20"/>
                <w:color w:val="auto"/>
              </w:rPr>
            </w:pPr>
            <w:r>
              <w:rPr>
                <w:rFonts w:ascii="PMingLiU" w:cs="PMingLiU" w:eastAsia="PMingLiU" w:hAnsi="PMingLiU"/>
                <w:sz w:val="12"/>
                <w:szCs w:val="12"/>
                <w:b w:val="1"/>
                <w:bCs w:val="1"/>
                <w:color w:val="FFFFFF"/>
                <w:w w:val="98"/>
              </w:rPr>
              <w:t>(VWLPDWHG)XWXUH3D\RXWV8QGHU</w:t>
            </w:r>
          </w:p>
        </w:tc>
        <w:tc>
          <w:tcPr>
            <w:tcW w:w="86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6WRFN</w:t>
            </w:r>
          </w:p>
        </w:tc>
        <w:tc>
          <w:tcPr>
            <w:tcW w:w="780" w:type="dxa"/>
            <w:vAlign w:val="bottom"/>
            <w:vMerge w:val="restart"/>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$OO2WKHU</w:t>
            </w:r>
          </w:p>
        </w:tc>
        <w:tc>
          <w:tcPr>
            <w:tcW w:w="760" w:type="dxa"/>
            <w:vAlign w:val="bottom"/>
            <w:shd w:val="clear" w:color="auto" w:fill="000046"/>
          </w:tcPr>
          <w:p>
            <w:pPr>
              <w:spacing w:after="0"/>
              <w:rPr>
                <w:sz w:val="6"/>
                <w:szCs w:val="6"/>
                <w:color w:val="auto"/>
              </w:rPr>
            </w:pPr>
          </w:p>
        </w:tc>
        <w:tc>
          <w:tcPr>
            <w:tcW w:w="880" w:type="dxa"/>
            <w:vAlign w:val="bottom"/>
            <w:shd w:val="clear" w:color="auto" w:fill="000046"/>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4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600" w:type="dxa"/>
            <w:vAlign w:val="bottom"/>
            <w:shd w:val="clear" w:color="auto" w:fill="000046"/>
          </w:tcPr>
          <w:p>
            <w:pPr>
              <w:spacing w:after="0"/>
              <w:rPr>
                <w:sz w:val="5"/>
                <w:szCs w:val="5"/>
                <w:color w:val="auto"/>
              </w:rPr>
            </w:pPr>
          </w:p>
        </w:tc>
        <w:tc>
          <w:tcPr>
            <w:tcW w:w="180" w:type="dxa"/>
            <w:vAlign w:val="bottom"/>
            <w:shd w:val="clear" w:color="auto" w:fill="000046"/>
          </w:tcPr>
          <w:p>
            <w:pPr>
              <w:spacing w:after="0"/>
              <w:rPr>
                <w:sz w:val="5"/>
                <w:szCs w:val="5"/>
                <w:color w:val="auto"/>
              </w:rPr>
            </w:pPr>
          </w:p>
        </w:tc>
        <w:tc>
          <w:tcPr>
            <w:tcW w:w="720" w:type="dxa"/>
            <w:vAlign w:val="bottom"/>
            <w:shd w:val="clear" w:color="auto" w:fill="000046"/>
          </w:tcPr>
          <w:p>
            <w:pPr>
              <w:spacing w:after="0"/>
              <w:rPr>
                <w:sz w:val="5"/>
                <w:szCs w:val="5"/>
                <w:color w:val="auto"/>
              </w:rPr>
            </w:pPr>
          </w:p>
        </w:tc>
        <w:tc>
          <w:tcPr>
            <w:tcW w:w="2000" w:type="dxa"/>
            <w:vAlign w:val="bottom"/>
            <w:gridSpan w:val="3"/>
            <w:vMerge w:val="restart"/>
            <w:shd w:val="clear" w:color="auto" w:fill="000046"/>
          </w:tcPr>
          <w:p>
            <w:pPr>
              <w:jc w:val="center"/>
              <w:spacing w:after="0" w:line="121" w:lineRule="exact"/>
              <w:rPr>
                <w:sz w:val="20"/>
                <w:szCs w:val="20"/>
                <w:color w:val="auto"/>
              </w:rPr>
            </w:pPr>
            <w:r>
              <w:rPr>
                <w:rFonts w:ascii="PMingLiU" w:cs="PMingLiU" w:eastAsia="PMingLiU" w:hAnsi="PMingLiU"/>
                <w:sz w:val="12"/>
                <w:szCs w:val="12"/>
                <w:b w:val="1"/>
                <w:bCs w:val="1"/>
                <w:color w:val="FFFFFF"/>
                <w:w w:val="96"/>
              </w:rPr>
              <w:t>8QGHU1RQ(TXLW\,QFHQWLYH3ODQ</w:t>
            </w:r>
          </w:p>
        </w:tc>
        <w:tc>
          <w:tcPr>
            <w:tcW w:w="2140" w:type="dxa"/>
            <w:vAlign w:val="bottom"/>
            <w:gridSpan w:val="3"/>
            <w:vMerge w:val="continue"/>
            <w:shd w:val="clear" w:color="auto" w:fill="000046"/>
          </w:tcPr>
          <w:p>
            <w:pPr>
              <w:spacing w:after="0"/>
              <w:rPr>
                <w:sz w:val="5"/>
                <w:szCs w:val="5"/>
                <w:color w:val="auto"/>
              </w:rPr>
            </w:pPr>
          </w:p>
        </w:tc>
        <w:tc>
          <w:tcPr>
            <w:tcW w:w="860" w:type="dxa"/>
            <w:vAlign w:val="bottom"/>
            <w:vMerge w:val="continue"/>
            <w:shd w:val="clear" w:color="auto" w:fill="000046"/>
          </w:tcPr>
          <w:p>
            <w:pPr>
              <w:spacing w:after="0"/>
              <w:rPr>
                <w:sz w:val="5"/>
                <w:szCs w:val="5"/>
                <w:color w:val="auto"/>
              </w:rPr>
            </w:pPr>
          </w:p>
        </w:tc>
        <w:tc>
          <w:tcPr>
            <w:tcW w:w="780" w:type="dxa"/>
            <w:vAlign w:val="bottom"/>
            <w:vMerge w:val="continue"/>
            <w:shd w:val="clear" w:color="auto" w:fill="000046"/>
          </w:tcPr>
          <w:p>
            <w:pPr>
              <w:spacing w:after="0"/>
              <w:rPr>
                <w:sz w:val="5"/>
                <w:szCs w:val="5"/>
                <w:color w:val="auto"/>
              </w:rPr>
            </w:pPr>
          </w:p>
        </w:tc>
        <w:tc>
          <w:tcPr>
            <w:tcW w:w="760" w:type="dxa"/>
            <w:vAlign w:val="bottom"/>
            <w:shd w:val="clear" w:color="auto" w:fill="000046"/>
          </w:tcPr>
          <w:p>
            <w:pPr>
              <w:spacing w:after="0"/>
              <w:rPr>
                <w:sz w:val="5"/>
                <w:szCs w:val="5"/>
                <w:color w:val="auto"/>
              </w:rPr>
            </w:pPr>
          </w:p>
        </w:tc>
        <w:tc>
          <w:tcPr>
            <w:tcW w:w="88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840" w:type="dxa"/>
            <w:vAlign w:val="bottom"/>
            <w:shd w:val="clear" w:color="auto" w:fill="000046"/>
          </w:tcPr>
          <w:p>
            <w:pPr>
              <w:spacing w:after="0"/>
              <w:rPr>
                <w:sz w:val="4"/>
                <w:szCs w:val="4"/>
                <w:color w:val="auto"/>
              </w:rPr>
            </w:pPr>
          </w:p>
        </w:tc>
        <w:tc>
          <w:tcPr>
            <w:tcW w:w="680" w:type="dxa"/>
            <w:vAlign w:val="bottom"/>
            <w:shd w:val="clear" w:color="auto" w:fill="000046"/>
          </w:tcPr>
          <w:p>
            <w:pPr>
              <w:spacing w:after="0"/>
              <w:rPr>
                <w:sz w:val="4"/>
                <w:szCs w:val="4"/>
                <w:color w:val="auto"/>
              </w:rPr>
            </w:pPr>
          </w:p>
        </w:tc>
        <w:tc>
          <w:tcPr>
            <w:tcW w:w="600" w:type="dxa"/>
            <w:vAlign w:val="bottom"/>
            <w:shd w:val="clear" w:color="auto" w:fill="000046"/>
          </w:tcPr>
          <w:p>
            <w:pPr>
              <w:spacing w:after="0"/>
              <w:rPr>
                <w:sz w:val="4"/>
                <w:szCs w:val="4"/>
                <w:color w:val="auto"/>
              </w:rPr>
            </w:pPr>
          </w:p>
        </w:tc>
        <w:tc>
          <w:tcPr>
            <w:tcW w:w="180" w:type="dxa"/>
            <w:vAlign w:val="bottom"/>
            <w:shd w:val="clear" w:color="auto" w:fill="000046"/>
          </w:tcPr>
          <w:p>
            <w:pPr>
              <w:spacing w:after="0"/>
              <w:rPr>
                <w:sz w:val="4"/>
                <w:szCs w:val="4"/>
                <w:color w:val="auto"/>
              </w:rPr>
            </w:pPr>
          </w:p>
        </w:tc>
        <w:tc>
          <w:tcPr>
            <w:tcW w:w="720" w:type="dxa"/>
            <w:vAlign w:val="bottom"/>
            <w:shd w:val="clear" w:color="auto" w:fill="000046"/>
          </w:tcPr>
          <w:p>
            <w:pPr>
              <w:spacing w:after="0"/>
              <w:rPr>
                <w:sz w:val="4"/>
                <w:szCs w:val="4"/>
                <w:color w:val="auto"/>
              </w:rPr>
            </w:pPr>
          </w:p>
        </w:tc>
        <w:tc>
          <w:tcPr>
            <w:tcW w:w="2000" w:type="dxa"/>
            <w:vAlign w:val="bottom"/>
            <w:gridSpan w:val="3"/>
            <w:vMerge w:val="continue"/>
            <w:shd w:val="clear" w:color="auto" w:fill="000046"/>
          </w:tcPr>
          <w:p>
            <w:pPr>
              <w:spacing w:after="0"/>
              <w:rPr>
                <w:sz w:val="4"/>
                <w:szCs w:val="4"/>
                <w:color w:val="auto"/>
              </w:rPr>
            </w:pPr>
          </w:p>
        </w:tc>
        <w:tc>
          <w:tcPr>
            <w:tcW w:w="880" w:type="dxa"/>
            <w:vAlign w:val="bottom"/>
            <w:shd w:val="clear" w:color="auto" w:fill="000046"/>
          </w:tcPr>
          <w:p>
            <w:pPr>
              <w:spacing w:after="0"/>
              <w:rPr>
                <w:sz w:val="4"/>
                <w:szCs w:val="4"/>
                <w:color w:val="auto"/>
              </w:rPr>
            </w:pPr>
          </w:p>
        </w:tc>
        <w:tc>
          <w:tcPr>
            <w:tcW w:w="580" w:type="dxa"/>
            <w:vAlign w:val="bottom"/>
            <w:shd w:val="clear" w:color="auto" w:fill="000046"/>
          </w:tcPr>
          <w:p>
            <w:pPr>
              <w:spacing w:after="0"/>
              <w:rPr>
                <w:sz w:val="4"/>
                <w:szCs w:val="4"/>
                <w:color w:val="auto"/>
              </w:rPr>
            </w:pPr>
          </w:p>
        </w:tc>
        <w:tc>
          <w:tcPr>
            <w:tcW w:w="680" w:type="dxa"/>
            <w:vAlign w:val="bottom"/>
            <w:shd w:val="clear" w:color="auto" w:fill="000046"/>
          </w:tcPr>
          <w:p>
            <w:pPr>
              <w:jc w:val="right"/>
              <w:ind w:right="103"/>
              <w:spacing w:after="0" w:line="53" w:lineRule="exact"/>
              <w:rPr>
                <w:sz w:val="20"/>
                <w:szCs w:val="20"/>
                <w:color w:val="auto"/>
              </w:rPr>
            </w:pPr>
            <w:r>
              <w:rPr>
                <w:rFonts w:ascii="PMingLiU" w:cs="PMingLiU" w:eastAsia="PMingLiU" w:hAnsi="PMingLiU"/>
                <w:sz w:val="5"/>
                <w:szCs w:val="5"/>
                <w:b w:val="1"/>
                <w:bCs w:val="1"/>
                <w:color w:val="FFFFFF"/>
              </w:rPr>
              <w:t/>
            </w:r>
          </w:p>
        </w:tc>
        <w:tc>
          <w:tcPr>
            <w:tcW w:w="86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$ZDUGV</w:t>
            </w:r>
          </w:p>
        </w:tc>
        <w:tc>
          <w:tcPr>
            <w:tcW w:w="780" w:type="dxa"/>
            <w:vAlign w:val="bottom"/>
            <w:vMerge w:val="restart"/>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2SWLRQ</w:t>
            </w:r>
          </w:p>
        </w:tc>
        <w:tc>
          <w:tcPr>
            <w:tcW w:w="760" w:type="dxa"/>
            <w:vAlign w:val="bottom"/>
            <w:shd w:val="clear" w:color="auto" w:fill="000046"/>
          </w:tcPr>
          <w:p>
            <w:pPr>
              <w:spacing w:after="0"/>
              <w:rPr>
                <w:sz w:val="4"/>
                <w:szCs w:val="4"/>
                <w:color w:val="auto"/>
              </w:rPr>
            </w:pPr>
          </w:p>
        </w:tc>
        <w:tc>
          <w:tcPr>
            <w:tcW w:w="880" w:type="dxa"/>
            <w:vAlign w:val="bottom"/>
            <w:shd w:val="clear" w:color="auto" w:fill="000046"/>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840" w:type="dxa"/>
            <w:vAlign w:val="bottom"/>
            <w:shd w:val="clear" w:color="auto" w:fill="000046"/>
          </w:tcPr>
          <w:p>
            <w:pPr>
              <w:spacing w:after="0"/>
              <w:rPr>
                <w:sz w:val="8"/>
                <w:szCs w:val="8"/>
                <w:color w:val="auto"/>
              </w:rPr>
            </w:pPr>
          </w:p>
        </w:tc>
        <w:tc>
          <w:tcPr>
            <w:tcW w:w="680" w:type="dxa"/>
            <w:vAlign w:val="bottom"/>
            <w:shd w:val="clear" w:color="auto" w:fill="000046"/>
          </w:tcPr>
          <w:p>
            <w:pPr>
              <w:spacing w:after="0"/>
              <w:rPr>
                <w:sz w:val="8"/>
                <w:szCs w:val="8"/>
                <w:color w:val="auto"/>
              </w:rPr>
            </w:pPr>
          </w:p>
        </w:tc>
        <w:tc>
          <w:tcPr>
            <w:tcW w:w="600" w:type="dxa"/>
            <w:vAlign w:val="bottom"/>
            <w:shd w:val="clear" w:color="auto" w:fill="000046"/>
          </w:tcPr>
          <w:p>
            <w:pPr>
              <w:spacing w:after="0"/>
              <w:rPr>
                <w:sz w:val="8"/>
                <w:szCs w:val="8"/>
                <w:color w:val="auto"/>
              </w:rPr>
            </w:pPr>
          </w:p>
        </w:tc>
        <w:tc>
          <w:tcPr>
            <w:tcW w:w="180" w:type="dxa"/>
            <w:vAlign w:val="bottom"/>
            <w:shd w:val="clear" w:color="auto" w:fill="000046"/>
          </w:tcPr>
          <w:p>
            <w:pPr>
              <w:spacing w:after="0"/>
              <w:rPr>
                <w:sz w:val="8"/>
                <w:szCs w:val="8"/>
                <w:color w:val="auto"/>
              </w:rPr>
            </w:pPr>
          </w:p>
        </w:tc>
        <w:tc>
          <w:tcPr>
            <w:tcW w:w="720" w:type="dxa"/>
            <w:vAlign w:val="bottom"/>
            <w:shd w:val="clear" w:color="auto" w:fill="000046"/>
          </w:tcPr>
          <w:p>
            <w:pPr>
              <w:spacing w:after="0"/>
              <w:rPr>
                <w:sz w:val="8"/>
                <w:szCs w:val="8"/>
                <w:color w:val="auto"/>
              </w:rPr>
            </w:pPr>
          </w:p>
        </w:tc>
        <w:tc>
          <w:tcPr>
            <w:tcW w:w="680" w:type="dxa"/>
            <w:vAlign w:val="bottom"/>
            <w:shd w:val="clear" w:color="auto" w:fill="000046"/>
          </w:tcPr>
          <w:p>
            <w:pPr>
              <w:spacing w:after="0"/>
              <w:rPr>
                <w:sz w:val="8"/>
                <w:szCs w:val="8"/>
                <w:color w:val="auto"/>
              </w:rPr>
            </w:pPr>
          </w:p>
        </w:tc>
        <w:tc>
          <w:tcPr>
            <w:tcW w:w="660" w:type="dxa"/>
            <w:vAlign w:val="bottom"/>
            <w:shd w:val="clear" w:color="auto" w:fill="000046"/>
          </w:tcPr>
          <w:p>
            <w:pPr>
              <w:jc w:val="right"/>
              <w:ind w:right="22"/>
              <w:spacing w:after="0" w:line="103" w:lineRule="exact"/>
              <w:rPr>
                <w:sz w:val="20"/>
                <w:szCs w:val="20"/>
                <w:color w:val="auto"/>
              </w:rPr>
            </w:pPr>
            <w:r>
              <w:rPr>
                <w:rFonts w:ascii="PMingLiU" w:cs="PMingLiU" w:eastAsia="PMingLiU" w:hAnsi="PMingLiU"/>
                <w:sz w:val="9"/>
                <w:szCs w:val="9"/>
                <w:b w:val="1"/>
                <w:bCs w:val="1"/>
                <w:color w:val="FFFFFF"/>
              </w:rPr>
              <w:t>$ZDUGV</w:t>
            </w:r>
            <w:r>
              <w:rPr>
                <w:rFonts w:ascii="PMingLiU" w:cs="PMingLiU" w:eastAsia="PMingLiU" w:hAnsi="PMingLiU"/>
                <w:sz w:val="11"/>
                <w:szCs w:val="11"/>
                <w:b w:val="1"/>
                <w:bCs w:val="1"/>
                <w:color w:val="FFFFFF"/>
                <w:vertAlign w:val="superscript"/>
              </w:rPr>
              <w:t/>
            </w:r>
          </w:p>
        </w:tc>
        <w:tc>
          <w:tcPr>
            <w:tcW w:w="660" w:type="dxa"/>
            <w:vAlign w:val="bottom"/>
            <w:shd w:val="clear" w:color="auto" w:fill="000046"/>
          </w:tcPr>
          <w:p>
            <w:pPr>
              <w:spacing w:after="0"/>
              <w:rPr>
                <w:sz w:val="8"/>
                <w:szCs w:val="8"/>
                <w:color w:val="auto"/>
              </w:rPr>
            </w:pPr>
          </w:p>
        </w:tc>
        <w:tc>
          <w:tcPr>
            <w:tcW w:w="2140" w:type="dxa"/>
            <w:vAlign w:val="bottom"/>
            <w:gridSpan w:val="3"/>
            <w:shd w:val="clear" w:color="auto" w:fill="000046"/>
          </w:tcPr>
          <w:p>
            <w:pPr>
              <w:jc w:val="right"/>
              <w:ind w:right="183"/>
              <w:spacing w:after="0" w:line="103" w:lineRule="exact"/>
              <w:rPr>
                <w:sz w:val="20"/>
                <w:szCs w:val="20"/>
                <w:color w:val="auto"/>
              </w:rPr>
            </w:pPr>
            <w:r>
              <w:rPr>
                <w:rFonts w:ascii="PMingLiU" w:cs="PMingLiU" w:eastAsia="PMingLiU" w:hAnsi="PMingLiU"/>
                <w:sz w:val="11"/>
                <w:szCs w:val="11"/>
                <w:b w:val="1"/>
                <w:bCs w:val="1"/>
                <w:color w:val="FFFFFF"/>
              </w:rPr>
              <w:t>(TXLW\,QFHQWLYH3ODQ$ZDUGV</w:t>
            </w:r>
          </w:p>
        </w:tc>
        <w:tc>
          <w:tcPr>
            <w:tcW w:w="860" w:type="dxa"/>
            <w:vAlign w:val="bottom"/>
            <w:vMerge w:val="continue"/>
            <w:shd w:val="clear" w:color="auto" w:fill="000046"/>
          </w:tcPr>
          <w:p>
            <w:pPr>
              <w:spacing w:after="0"/>
              <w:rPr>
                <w:sz w:val="8"/>
                <w:szCs w:val="8"/>
                <w:color w:val="auto"/>
              </w:rPr>
            </w:pPr>
          </w:p>
        </w:tc>
        <w:tc>
          <w:tcPr>
            <w:tcW w:w="780" w:type="dxa"/>
            <w:vAlign w:val="bottom"/>
            <w:vMerge w:val="continue"/>
            <w:shd w:val="clear" w:color="auto" w:fill="000046"/>
          </w:tcPr>
          <w:p>
            <w:pPr>
              <w:spacing w:after="0"/>
              <w:rPr>
                <w:sz w:val="8"/>
                <w:szCs w:val="8"/>
                <w:color w:val="auto"/>
              </w:rPr>
            </w:pPr>
          </w:p>
        </w:tc>
        <w:tc>
          <w:tcPr>
            <w:tcW w:w="760" w:type="dxa"/>
            <w:vAlign w:val="bottom"/>
            <w:vMerge w:val="restart"/>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([HUFLVHRU</w:t>
            </w:r>
          </w:p>
        </w:tc>
        <w:tc>
          <w:tcPr>
            <w:tcW w:w="88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*UDQW'DWH</w:t>
            </w:r>
          </w:p>
        </w:tc>
        <w:tc>
          <w:tcPr>
            <w:tcW w:w="0" w:type="dxa"/>
            <w:vAlign w:val="bottom"/>
          </w:tcPr>
          <w:p>
            <w:pPr>
              <w:spacing w:after="0"/>
              <w:rPr>
                <w:sz w:val="1"/>
                <w:szCs w:val="1"/>
                <w:color w:val="auto"/>
              </w:rPr>
            </w:pPr>
          </w:p>
        </w:tc>
      </w:tr>
      <w:tr>
        <w:trPr>
          <w:trHeight w:val="132"/>
        </w:trPr>
        <w:tc>
          <w:tcPr>
            <w:tcW w:w="840" w:type="dxa"/>
            <w:vAlign w:val="bottom"/>
            <w:shd w:val="clear" w:color="auto" w:fill="000046"/>
          </w:tcPr>
          <w:p>
            <w:pPr>
              <w:spacing w:after="0"/>
              <w:rPr>
                <w:sz w:val="11"/>
                <w:szCs w:val="11"/>
                <w:color w:val="auto"/>
              </w:rPr>
            </w:pPr>
          </w:p>
        </w:tc>
        <w:tc>
          <w:tcPr>
            <w:tcW w:w="680" w:type="dxa"/>
            <w:vAlign w:val="bottom"/>
            <w:shd w:val="clear" w:color="auto" w:fill="000046"/>
          </w:tcPr>
          <w:p>
            <w:pPr>
              <w:spacing w:after="0"/>
              <w:rPr>
                <w:sz w:val="11"/>
                <w:szCs w:val="11"/>
                <w:color w:val="auto"/>
              </w:rPr>
            </w:pPr>
          </w:p>
        </w:tc>
        <w:tc>
          <w:tcPr>
            <w:tcW w:w="600" w:type="dxa"/>
            <w:vAlign w:val="bottom"/>
            <w:shd w:val="clear" w:color="auto" w:fill="000046"/>
          </w:tcPr>
          <w:p>
            <w:pPr>
              <w:spacing w:after="0"/>
              <w:rPr>
                <w:sz w:val="11"/>
                <w:szCs w:val="11"/>
                <w:color w:val="auto"/>
              </w:rPr>
            </w:pPr>
          </w:p>
        </w:tc>
        <w:tc>
          <w:tcPr>
            <w:tcW w:w="180" w:type="dxa"/>
            <w:vAlign w:val="bottom"/>
            <w:shd w:val="clear" w:color="auto" w:fill="000046"/>
          </w:tcPr>
          <w:p>
            <w:pPr>
              <w:spacing w:after="0"/>
              <w:rPr>
                <w:sz w:val="11"/>
                <w:szCs w:val="11"/>
                <w:color w:val="auto"/>
              </w:rPr>
            </w:pPr>
          </w:p>
        </w:tc>
        <w:tc>
          <w:tcPr>
            <w:tcW w:w="720" w:type="dxa"/>
            <w:vAlign w:val="bottom"/>
            <w:shd w:val="clear" w:color="auto" w:fill="000046"/>
          </w:tcPr>
          <w:p>
            <w:pPr>
              <w:spacing w:after="0"/>
              <w:rPr>
                <w:sz w:val="11"/>
                <w:szCs w:val="11"/>
                <w:color w:val="auto"/>
              </w:rPr>
            </w:pPr>
          </w:p>
        </w:tc>
        <w:tc>
          <w:tcPr>
            <w:tcW w:w="680" w:type="dxa"/>
            <w:vAlign w:val="bottom"/>
            <w:shd w:val="clear" w:color="auto" w:fill="000046"/>
          </w:tcPr>
          <w:p>
            <w:pPr>
              <w:spacing w:after="0"/>
              <w:rPr>
                <w:sz w:val="11"/>
                <w:szCs w:val="11"/>
                <w:color w:val="auto"/>
              </w:rPr>
            </w:pPr>
          </w:p>
        </w:tc>
        <w:tc>
          <w:tcPr>
            <w:tcW w:w="660" w:type="dxa"/>
            <w:vAlign w:val="bottom"/>
            <w:shd w:val="clear" w:color="auto" w:fill="000046"/>
          </w:tcPr>
          <w:p>
            <w:pPr>
              <w:spacing w:after="0"/>
              <w:rPr>
                <w:sz w:val="11"/>
                <w:szCs w:val="11"/>
                <w:color w:val="auto"/>
              </w:rPr>
            </w:pPr>
          </w:p>
        </w:tc>
        <w:tc>
          <w:tcPr>
            <w:tcW w:w="660" w:type="dxa"/>
            <w:vAlign w:val="bottom"/>
            <w:shd w:val="clear" w:color="auto" w:fill="000046"/>
          </w:tcPr>
          <w:p>
            <w:pPr>
              <w:spacing w:after="0"/>
              <w:rPr>
                <w:sz w:val="11"/>
                <w:szCs w:val="11"/>
                <w:color w:val="auto"/>
              </w:rPr>
            </w:pPr>
          </w:p>
        </w:tc>
        <w:tc>
          <w:tcPr>
            <w:tcW w:w="880" w:type="dxa"/>
            <w:vAlign w:val="bottom"/>
            <w:shd w:val="clear" w:color="auto" w:fill="000046"/>
          </w:tcPr>
          <w:p>
            <w:pPr>
              <w:spacing w:after="0"/>
              <w:rPr>
                <w:sz w:val="11"/>
                <w:szCs w:val="11"/>
                <w:color w:val="auto"/>
              </w:rPr>
            </w:pPr>
          </w:p>
        </w:tc>
        <w:tc>
          <w:tcPr>
            <w:tcW w:w="580" w:type="dxa"/>
            <w:vAlign w:val="bottom"/>
            <w:shd w:val="clear" w:color="auto" w:fill="000046"/>
          </w:tcPr>
          <w:p>
            <w:pPr>
              <w:spacing w:after="0"/>
              <w:rPr>
                <w:sz w:val="11"/>
                <w:szCs w:val="11"/>
                <w:color w:val="auto"/>
              </w:rPr>
            </w:pPr>
          </w:p>
        </w:tc>
        <w:tc>
          <w:tcPr>
            <w:tcW w:w="680" w:type="dxa"/>
            <w:vAlign w:val="bottom"/>
            <w:shd w:val="clear" w:color="auto" w:fill="000046"/>
          </w:tcPr>
          <w:p>
            <w:pPr>
              <w:spacing w:after="0"/>
              <w:rPr>
                <w:sz w:val="11"/>
                <w:szCs w:val="11"/>
                <w:color w:val="auto"/>
              </w:rPr>
            </w:pPr>
          </w:p>
        </w:tc>
        <w:tc>
          <w:tcPr>
            <w:tcW w:w="860" w:type="dxa"/>
            <w:vAlign w:val="bottom"/>
            <w:shd w:val="clear" w:color="auto" w:fill="000046"/>
          </w:tcPr>
          <w:p>
            <w:pPr>
              <w:jc w:val="right"/>
              <w:ind w:right="20"/>
              <w:spacing w:after="0" w:line="132" w:lineRule="exact"/>
              <w:rPr>
                <w:sz w:val="20"/>
                <w:szCs w:val="20"/>
                <w:color w:val="auto"/>
              </w:rPr>
            </w:pPr>
            <w:r>
              <w:rPr>
                <w:rFonts w:ascii="PMingLiU" w:cs="PMingLiU" w:eastAsia="PMingLiU" w:hAnsi="PMingLiU"/>
                <w:sz w:val="12"/>
                <w:szCs w:val="12"/>
                <w:b w:val="1"/>
                <w:bCs w:val="1"/>
                <w:color w:val="FFFFFF"/>
              </w:rPr>
              <w:t>1XPEHURI</w:t>
            </w:r>
          </w:p>
        </w:tc>
        <w:tc>
          <w:tcPr>
            <w:tcW w:w="780" w:type="dxa"/>
            <w:vAlign w:val="bottom"/>
            <w:shd w:val="clear" w:color="auto" w:fill="000046"/>
          </w:tcPr>
          <w:p>
            <w:pPr>
              <w:jc w:val="right"/>
              <w:spacing w:after="0" w:line="132" w:lineRule="exact"/>
              <w:rPr>
                <w:sz w:val="20"/>
                <w:szCs w:val="20"/>
                <w:color w:val="auto"/>
              </w:rPr>
            </w:pPr>
            <w:r>
              <w:rPr>
                <w:rFonts w:ascii="PMingLiU" w:cs="PMingLiU" w:eastAsia="PMingLiU" w:hAnsi="PMingLiU"/>
                <w:sz w:val="12"/>
                <w:szCs w:val="12"/>
                <w:b w:val="1"/>
                <w:bCs w:val="1"/>
                <w:color w:val="FFFFFF"/>
              </w:rPr>
              <w:t>$ZDUGV</w:t>
            </w:r>
          </w:p>
        </w:tc>
        <w:tc>
          <w:tcPr>
            <w:tcW w:w="760" w:type="dxa"/>
            <w:vAlign w:val="bottom"/>
            <w:vMerge w:val="continue"/>
            <w:shd w:val="clear" w:color="auto" w:fill="000046"/>
          </w:tcPr>
          <w:p>
            <w:pPr>
              <w:spacing w:after="0"/>
              <w:rPr>
                <w:sz w:val="11"/>
                <w:szCs w:val="11"/>
                <w:color w:val="auto"/>
              </w:rPr>
            </w:pPr>
          </w:p>
        </w:tc>
        <w:tc>
          <w:tcPr>
            <w:tcW w:w="880" w:type="dxa"/>
            <w:vAlign w:val="bottom"/>
            <w:vMerge w:val="continue"/>
            <w:shd w:val="clear" w:color="auto" w:fill="000046"/>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40" w:type="dxa"/>
            <w:vAlign w:val="bottom"/>
            <w:shd w:val="clear" w:color="auto" w:fill="000046"/>
          </w:tcPr>
          <w:p>
            <w:pPr>
              <w:spacing w:after="0"/>
              <w:rPr>
                <w:sz w:val="4"/>
                <w:szCs w:val="4"/>
                <w:color w:val="auto"/>
              </w:rPr>
            </w:pPr>
          </w:p>
        </w:tc>
        <w:tc>
          <w:tcPr>
            <w:tcW w:w="680" w:type="dxa"/>
            <w:vAlign w:val="bottom"/>
            <w:shd w:val="clear" w:color="auto" w:fill="000046"/>
          </w:tcPr>
          <w:p>
            <w:pPr>
              <w:spacing w:after="0"/>
              <w:rPr>
                <w:sz w:val="4"/>
                <w:szCs w:val="4"/>
                <w:color w:val="auto"/>
              </w:rPr>
            </w:pPr>
          </w:p>
        </w:tc>
        <w:tc>
          <w:tcPr>
            <w:tcW w:w="600" w:type="dxa"/>
            <w:vAlign w:val="bottom"/>
            <w:shd w:val="clear" w:color="auto" w:fill="000046"/>
          </w:tcPr>
          <w:p>
            <w:pPr>
              <w:spacing w:after="0"/>
              <w:rPr>
                <w:sz w:val="4"/>
                <w:szCs w:val="4"/>
                <w:color w:val="auto"/>
              </w:rPr>
            </w:pPr>
          </w:p>
        </w:tc>
        <w:tc>
          <w:tcPr>
            <w:tcW w:w="180" w:type="dxa"/>
            <w:vAlign w:val="bottom"/>
            <w:shd w:val="clear" w:color="auto" w:fill="000046"/>
          </w:tcPr>
          <w:p>
            <w:pPr>
              <w:spacing w:after="0"/>
              <w:rPr>
                <w:sz w:val="4"/>
                <w:szCs w:val="4"/>
                <w:color w:val="auto"/>
              </w:rPr>
            </w:pPr>
          </w:p>
        </w:tc>
        <w:tc>
          <w:tcPr>
            <w:tcW w:w="720" w:type="dxa"/>
            <w:vAlign w:val="bottom"/>
            <w:shd w:val="clear" w:color="auto" w:fill="000046"/>
          </w:tcPr>
          <w:p>
            <w:pPr>
              <w:spacing w:after="0"/>
              <w:rPr>
                <w:sz w:val="4"/>
                <w:szCs w:val="4"/>
                <w:color w:val="auto"/>
              </w:rPr>
            </w:pPr>
          </w:p>
        </w:tc>
        <w:tc>
          <w:tcPr>
            <w:tcW w:w="680" w:type="dxa"/>
            <w:vAlign w:val="bottom"/>
            <w:shd w:val="clear" w:color="auto" w:fill="000046"/>
          </w:tcPr>
          <w:p>
            <w:pPr>
              <w:spacing w:after="0"/>
              <w:rPr>
                <w:sz w:val="4"/>
                <w:szCs w:val="4"/>
                <w:color w:val="auto"/>
              </w:rPr>
            </w:pPr>
          </w:p>
        </w:tc>
        <w:tc>
          <w:tcPr>
            <w:tcW w:w="660" w:type="dxa"/>
            <w:vAlign w:val="bottom"/>
            <w:shd w:val="clear" w:color="auto" w:fill="000046"/>
          </w:tcPr>
          <w:p>
            <w:pPr>
              <w:spacing w:after="0"/>
              <w:rPr>
                <w:sz w:val="4"/>
                <w:szCs w:val="4"/>
                <w:color w:val="auto"/>
              </w:rPr>
            </w:pPr>
          </w:p>
        </w:tc>
        <w:tc>
          <w:tcPr>
            <w:tcW w:w="660" w:type="dxa"/>
            <w:vAlign w:val="bottom"/>
            <w:shd w:val="clear" w:color="auto" w:fill="000046"/>
          </w:tcPr>
          <w:p>
            <w:pPr>
              <w:spacing w:after="0"/>
              <w:rPr>
                <w:sz w:val="4"/>
                <w:szCs w:val="4"/>
                <w:color w:val="auto"/>
              </w:rPr>
            </w:pPr>
          </w:p>
        </w:tc>
        <w:tc>
          <w:tcPr>
            <w:tcW w:w="880" w:type="dxa"/>
            <w:vAlign w:val="bottom"/>
            <w:shd w:val="clear" w:color="auto" w:fill="000046"/>
          </w:tcPr>
          <w:p>
            <w:pPr>
              <w:spacing w:after="0"/>
              <w:rPr>
                <w:sz w:val="4"/>
                <w:szCs w:val="4"/>
                <w:color w:val="auto"/>
              </w:rPr>
            </w:pPr>
          </w:p>
        </w:tc>
        <w:tc>
          <w:tcPr>
            <w:tcW w:w="580" w:type="dxa"/>
            <w:vAlign w:val="bottom"/>
            <w:shd w:val="clear" w:color="auto" w:fill="000046"/>
          </w:tcPr>
          <w:p>
            <w:pPr>
              <w:spacing w:after="0"/>
              <w:rPr>
                <w:sz w:val="4"/>
                <w:szCs w:val="4"/>
                <w:color w:val="auto"/>
              </w:rPr>
            </w:pPr>
          </w:p>
        </w:tc>
        <w:tc>
          <w:tcPr>
            <w:tcW w:w="680" w:type="dxa"/>
            <w:vAlign w:val="bottom"/>
            <w:shd w:val="clear" w:color="auto" w:fill="000046"/>
          </w:tcPr>
          <w:p>
            <w:pPr>
              <w:spacing w:after="0"/>
              <w:rPr>
                <w:sz w:val="4"/>
                <w:szCs w:val="4"/>
                <w:color w:val="auto"/>
              </w:rPr>
            </w:pPr>
          </w:p>
        </w:tc>
        <w:tc>
          <w:tcPr>
            <w:tcW w:w="86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6KDUHVRI</w:t>
            </w:r>
          </w:p>
        </w:tc>
        <w:tc>
          <w:tcPr>
            <w:tcW w:w="780" w:type="dxa"/>
            <w:vAlign w:val="bottom"/>
            <w:vMerge w:val="restart"/>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1XPEHURI</w:t>
            </w:r>
          </w:p>
        </w:tc>
        <w:tc>
          <w:tcPr>
            <w:tcW w:w="760" w:type="dxa"/>
            <w:vAlign w:val="bottom"/>
            <w:vMerge w:val="restart"/>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%DVH3ULFH</w:t>
            </w:r>
          </w:p>
        </w:tc>
        <w:tc>
          <w:tcPr>
            <w:tcW w:w="880" w:type="dxa"/>
            <w:vAlign w:val="bottom"/>
            <w:vMerge w:val="restart"/>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)DLU9DOXHRI</w:t>
            </w:r>
          </w:p>
        </w:tc>
        <w:tc>
          <w:tcPr>
            <w:tcW w:w="0" w:type="dxa"/>
            <w:vAlign w:val="bottom"/>
          </w:tcPr>
          <w:p>
            <w:pPr>
              <w:spacing w:after="0"/>
              <w:rPr>
                <w:sz w:val="1"/>
                <w:szCs w:val="1"/>
                <w:color w:val="auto"/>
              </w:rPr>
            </w:pPr>
          </w:p>
        </w:tc>
      </w:tr>
      <w:tr>
        <w:trPr>
          <w:trHeight w:val="91"/>
        </w:trPr>
        <w:tc>
          <w:tcPr>
            <w:tcW w:w="840" w:type="dxa"/>
            <w:vAlign w:val="bottom"/>
            <w:shd w:val="clear" w:color="auto" w:fill="000046"/>
          </w:tcPr>
          <w:p>
            <w:pPr>
              <w:spacing w:after="0"/>
              <w:rPr>
                <w:sz w:val="7"/>
                <w:szCs w:val="7"/>
                <w:color w:val="auto"/>
              </w:rPr>
            </w:pPr>
          </w:p>
        </w:tc>
        <w:tc>
          <w:tcPr>
            <w:tcW w:w="680" w:type="dxa"/>
            <w:vAlign w:val="bottom"/>
            <w:shd w:val="clear" w:color="auto" w:fill="000046"/>
          </w:tcPr>
          <w:p>
            <w:pPr>
              <w:spacing w:after="0"/>
              <w:rPr>
                <w:sz w:val="7"/>
                <w:szCs w:val="7"/>
                <w:color w:val="auto"/>
              </w:rPr>
            </w:pPr>
          </w:p>
        </w:tc>
        <w:tc>
          <w:tcPr>
            <w:tcW w:w="600" w:type="dxa"/>
            <w:vAlign w:val="bottom"/>
            <w:shd w:val="clear" w:color="auto" w:fill="000046"/>
          </w:tcPr>
          <w:p>
            <w:pPr>
              <w:spacing w:after="0"/>
              <w:rPr>
                <w:sz w:val="7"/>
                <w:szCs w:val="7"/>
                <w:color w:val="auto"/>
              </w:rPr>
            </w:pPr>
          </w:p>
        </w:tc>
        <w:tc>
          <w:tcPr>
            <w:tcW w:w="180" w:type="dxa"/>
            <w:vAlign w:val="bottom"/>
            <w:shd w:val="clear" w:color="auto" w:fill="000046"/>
          </w:tcPr>
          <w:p>
            <w:pPr>
              <w:spacing w:after="0"/>
              <w:rPr>
                <w:sz w:val="7"/>
                <w:szCs w:val="7"/>
                <w:color w:val="auto"/>
              </w:rPr>
            </w:pPr>
          </w:p>
        </w:tc>
        <w:tc>
          <w:tcPr>
            <w:tcW w:w="720" w:type="dxa"/>
            <w:vAlign w:val="bottom"/>
            <w:shd w:val="clear" w:color="auto" w:fill="000046"/>
          </w:tcPr>
          <w:p>
            <w:pPr>
              <w:spacing w:after="0"/>
              <w:rPr>
                <w:sz w:val="7"/>
                <w:szCs w:val="7"/>
                <w:color w:val="auto"/>
              </w:rPr>
            </w:pPr>
          </w:p>
        </w:tc>
        <w:tc>
          <w:tcPr>
            <w:tcW w:w="680" w:type="dxa"/>
            <w:vAlign w:val="bottom"/>
            <w:shd w:val="clear" w:color="auto" w:fill="000046"/>
          </w:tcPr>
          <w:p>
            <w:pPr>
              <w:spacing w:after="0"/>
              <w:rPr>
                <w:sz w:val="7"/>
                <w:szCs w:val="7"/>
                <w:color w:val="auto"/>
              </w:rPr>
            </w:pPr>
          </w:p>
        </w:tc>
        <w:tc>
          <w:tcPr>
            <w:tcW w:w="660" w:type="dxa"/>
            <w:vAlign w:val="bottom"/>
            <w:shd w:val="clear" w:color="auto" w:fill="000046"/>
          </w:tcPr>
          <w:p>
            <w:pPr>
              <w:spacing w:after="0"/>
              <w:rPr>
                <w:sz w:val="7"/>
                <w:szCs w:val="7"/>
                <w:color w:val="auto"/>
              </w:rPr>
            </w:pPr>
          </w:p>
        </w:tc>
        <w:tc>
          <w:tcPr>
            <w:tcW w:w="660" w:type="dxa"/>
            <w:vAlign w:val="bottom"/>
            <w:shd w:val="clear" w:color="auto" w:fill="000046"/>
          </w:tcPr>
          <w:p>
            <w:pPr>
              <w:spacing w:after="0"/>
              <w:rPr>
                <w:sz w:val="7"/>
                <w:szCs w:val="7"/>
                <w:color w:val="auto"/>
              </w:rPr>
            </w:pPr>
          </w:p>
        </w:tc>
        <w:tc>
          <w:tcPr>
            <w:tcW w:w="880" w:type="dxa"/>
            <w:vAlign w:val="bottom"/>
            <w:shd w:val="clear" w:color="auto" w:fill="000046"/>
          </w:tcPr>
          <w:p>
            <w:pPr>
              <w:spacing w:after="0"/>
              <w:rPr>
                <w:sz w:val="7"/>
                <w:szCs w:val="7"/>
                <w:color w:val="auto"/>
              </w:rPr>
            </w:pPr>
          </w:p>
        </w:tc>
        <w:tc>
          <w:tcPr>
            <w:tcW w:w="580" w:type="dxa"/>
            <w:vAlign w:val="bottom"/>
            <w:shd w:val="clear" w:color="auto" w:fill="000046"/>
          </w:tcPr>
          <w:p>
            <w:pPr>
              <w:spacing w:after="0"/>
              <w:rPr>
                <w:sz w:val="7"/>
                <w:szCs w:val="7"/>
                <w:color w:val="auto"/>
              </w:rPr>
            </w:pPr>
          </w:p>
        </w:tc>
        <w:tc>
          <w:tcPr>
            <w:tcW w:w="680" w:type="dxa"/>
            <w:vAlign w:val="bottom"/>
            <w:shd w:val="clear" w:color="auto" w:fill="000046"/>
          </w:tcPr>
          <w:p>
            <w:pPr>
              <w:spacing w:after="0"/>
              <w:rPr>
                <w:sz w:val="7"/>
                <w:szCs w:val="7"/>
                <w:color w:val="auto"/>
              </w:rPr>
            </w:pPr>
          </w:p>
        </w:tc>
        <w:tc>
          <w:tcPr>
            <w:tcW w:w="860" w:type="dxa"/>
            <w:vAlign w:val="bottom"/>
            <w:vMerge w:val="continue"/>
            <w:shd w:val="clear" w:color="auto" w:fill="000046"/>
          </w:tcPr>
          <w:p>
            <w:pPr>
              <w:spacing w:after="0"/>
              <w:rPr>
                <w:sz w:val="7"/>
                <w:szCs w:val="7"/>
                <w:color w:val="auto"/>
              </w:rPr>
            </w:pPr>
          </w:p>
        </w:tc>
        <w:tc>
          <w:tcPr>
            <w:tcW w:w="780" w:type="dxa"/>
            <w:vAlign w:val="bottom"/>
            <w:vMerge w:val="continue"/>
            <w:shd w:val="clear" w:color="auto" w:fill="000046"/>
          </w:tcPr>
          <w:p>
            <w:pPr>
              <w:spacing w:after="0"/>
              <w:rPr>
                <w:sz w:val="7"/>
                <w:szCs w:val="7"/>
                <w:color w:val="auto"/>
              </w:rPr>
            </w:pPr>
          </w:p>
        </w:tc>
        <w:tc>
          <w:tcPr>
            <w:tcW w:w="760" w:type="dxa"/>
            <w:vAlign w:val="bottom"/>
            <w:vMerge w:val="continue"/>
            <w:shd w:val="clear" w:color="auto" w:fill="000046"/>
          </w:tcPr>
          <w:p>
            <w:pPr>
              <w:spacing w:after="0"/>
              <w:rPr>
                <w:sz w:val="7"/>
                <w:szCs w:val="7"/>
                <w:color w:val="auto"/>
              </w:rPr>
            </w:pPr>
          </w:p>
        </w:tc>
        <w:tc>
          <w:tcPr>
            <w:tcW w:w="880" w:type="dxa"/>
            <w:vAlign w:val="bottom"/>
            <w:vMerge w:val="continue"/>
            <w:shd w:val="clear" w:color="auto" w:fill="000046"/>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000046"/>
          </w:tcPr>
          <w:p>
            <w:pPr>
              <w:spacing w:after="0"/>
              <w:rPr>
                <w:sz w:val="12"/>
                <w:szCs w:val="12"/>
                <w:color w:val="auto"/>
              </w:rPr>
            </w:pPr>
          </w:p>
        </w:tc>
        <w:tc>
          <w:tcPr>
            <w:tcW w:w="680" w:type="dxa"/>
            <w:vAlign w:val="bottom"/>
            <w:shd w:val="clear" w:color="auto" w:fill="000046"/>
          </w:tcPr>
          <w:p>
            <w:pPr>
              <w:spacing w:after="0"/>
              <w:rPr>
                <w:sz w:val="12"/>
                <w:szCs w:val="12"/>
                <w:color w:val="auto"/>
              </w:rPr>
            </w:pPr>
          </w:p>
        </w:tc>
        <w:tc>
          <w:tcPr>
            <w:tcW w:w="600" w:type="dxa"/>
            <w:vAlign w:val="bottom"/>
            <w:shd w:val="clear" w:color="auto" w:fill="000046"/>
          </w:tcPr>
          <w:p>
            <w:pPr>
              <w:spacing w:after="0"/>
              <w:rPr>
                <w:sz w:val="12"/>
                <w:szCs w:val="12"/>
                <w:color w:val="auto"/>
              </w:rPr>
            </w:pPr>
          </w:p>
        </w:tc>
        <w:tc>
          <w:tcPr>
            <w:tcW w:w="180" w:type="dxa"/>
            <w:vAlign w:val="bottom"/>
            <w:shd w:val="clear" w:color="auto" w:fill="000046"/>
          </w:tcPr>
          <w:p>
            <w:pPr>
              <w:spacing w:after="0"/>
              <w:rPr>
                <w:sz w:val="12"/>
                <w:szCs w:val="12"/>
                <w:color w:val="auto"/>
              </w:rPr>
            </w:pPr>
          </w:p>
        </w:tc>
        <w:tc>
          <w:tcPr>
            <w:tcW w:w="720" w:type="dxa"/>
            <w:vAlign w:val="bottom"/>
            <w:shd w:val="clear" w:color="auto" w:fill="000046"/>
          </w:tcPr>
          <w:p>
            <w:pPr>
              <w:spacing w:after="0"/>
              <w:rPr>
                <w:sz w:val="12"/>
                <w:szCs w:val="12"/>
                <w:color w:val="auto"/>
              </w:rPr>
            </w:pPr>
          </w:p>
        </w:tc>
        <w:tc>
          <w:tcPr>
            <w:tcW w:w="680" w:type="dxa"/>
            <w:vAlign w:val="bottom"/>
            <w:shd w:val="clear" w:color="auto" w:fill="000046"/>
          </w:tcPr>
          <w:p>
            <w:pPr>
              <w:spacing w:after="0"/>
              <w:rPr>
                <w:sz w:val="12"/>
                <w:szCs w:val="12"/>
                <w:color w:val="auto"/>
              </w:rPr>
            </w:pPr>
          </w:p>
        </w:tc>
        <w:tc>
          <w:tcPr>
            <w:tcW w:w="660" w:type="dxa"/>
            <w:vAlign w:val="bottom"/>
            <w:shd w:val="clear" w:color="auto" w:fill="000046"/>
          </w:tcPr>
          <w:p>
            <w:pPr>
              <w:spacing w:after="0"/>
              <w:rPr>
                <w:sz w:val="12"/>
                <w:szCs w:val="12"/>
                <w:color w:val="auto"/>
              </w:rPr>
            </w:pPr>
          </w:p>
        </w:tc>
        <w:tc>
          <w:tcPr>
            <w:tcW w:w="660" w:type="dxa"/>
            <w:vAlign w:val="bottom"/>
            <w:shd w:val="clear" w:color="auto" w:fill="000046"/>
          </w:tcPr>
          <w:p>
            <w:pPr>
              <w:spacing w:after="0"/>
              <w:rPr>
                <w:sz w:val="12"/>
                <w:szCs w:val="12"/>
                <w:color w:val="auto"/>
              </w:rPr>
            </w:pPr>
          </w:p>
        </w:tc>
        <w:tc>
          <w:tcPr>
            <w:tcW w:w="880" w:type="dxa"/>
            <w:vAlign w:val="bottom"/>
            <w:shd w:val="clear" w:color="auto" w:fill="000046"/>
          </w:tcPr>
          <w:p>
            <w:pPr>
              <w:spacing w:after="0"/>
              <w:rPr>
                <w:sz w:val="12"/>
                <w:szCs w:val="12"/>
                <w:color w:val="auto"/>
              </w:rPr>
            </w:pPr>
          </w:p>
        </w:tc>
        <w:tc>
          <w:tcPr>
            <w:tcW w:w="580" w:type="dxa"/>
            <w:vAlign w:val="bottom"/>
            <w:shd w:val="clear" w:color="auto" w:fill="000046"/>
          </w:tcPr>
          <w:p>
            <w:pPr>
              <w:spacing w:after="0"/>
              <w:rPr>
                <w:sz w:val="12"/>
                <w:szCs w:val="12"/>
                <w:color w:val="auto"/>
              </w:rPr>
            </w:pPr>
          </w:p>
        </w:tc>
        <w:tc>
          <w:tcPr>
            <w:tcW w:w="680" w:type="dxa"/>
            <w:vAlign w:val="bottom"/>
            <w:shd w:val="clear" w:color="auto" w:fill="000046"/>
          </w:tcPr>
          <w:p>
            <w:pPr>
              <w:spacing w:after="0"/>
              <w:rPr>
                <w:sz w:val="12"/>
                <w:szCs w:val="12"/>
                <w:color w:val="auto"/>
              </w:rPr>
            </w:pPr>
          </w:p>
        </w:tc>
        <w:tc>
          <w:tcPr>
            <w:tcW w:w="860" w:type="dxa"/>
            <w:vAlign w:val="bottom"/>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6WRFNRU</w:t>
            </w:r>
          </w:p>
        </w:tc>
        <w:tc>
          <w:tcPr>
            <w:tcW w:w="7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0"/>
              </w:rPr>
              <w:t>6HFXULWLHV</w:t>
            </w:r>
          </w:p>
        </w:tc>
        <w:tc>
          <w:tcPr>
            <w:tcW w:w="7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RI2SWLRQ</w:t>
            </w:r>
          </w:p>
        </w:tc>
        <w:tc>
          <w:tcPr>
            <w:tcW w:w="880" w:type="dxa"/>
            <w:vAlign w:val="bottom"/>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6WRFN</w:t>
            </w:r>
          </w:p>
        </w:tc>
        <w:tc>
          <w:tcPr>
            <w:tcW w:w="0" w:type="dxa"/>
            <w:vAlign w:val="bottom"/>
          </w:tcPr>
          <w:p>
            <w:pPr>
              <w:spacing w:after="0"/>
              <w:rPr>
                <w:sz w:val="1"/>
                <w:szCs w:val="1"/>
                <w:color w:val="auto"/>
              </w:rPr>
            </w:pPr>
          </w:p>
        </w:tc>
      </w:tr>
      <w:tr>
        <w:trPr>
          <w:trHeight w:val="144"/>
        </w:trPr>
        <w:tc>
          <w:tcPr>
            <w:tcW w:w="840" w:type="dxa"/>
            <w:vAlign w:val="bottom"/>
            <w:shd w:val="clear" w:color="auto" w:fill="000046"/>
          </w:tcPr>
          <w:p>
            <w:pPr>
              <w:spacing w:after="0"/>
              <w:rPr>
                <w:sz w:val="12"/>
                <w:szCs w:val="12"/>
                <w:color w:val="auto"/>
              </w:rPr>
            </w:pPr>
          </w:p>
        </w:tc>
        <w:tc>
          <w:tcPr>
            <w:tcW w:w="680" w:type="dxa"/>
            <w:vAlign w:val="bottom"/>
            <w:shd w:val="clear" w:color="auto" w:fill="000046"/>
          </w:tcPr>
          <w:p>
            <w:pPr>
              <w:ind w:left="40"/>
              <w:spacing w:after="0"/>
              <w:rPr>
                <w:sz w:val="20"/>
                <w:szCs w:val="20"/>
                <w:color w:val="auto"/>
              </w:rPr>
            </w:pPr>
            <w:r>
              <w:rPr>
                <w:rFonts w:ascii="PMingLiU" w:cs="PMingLiU" w:eastAsia="PMingLiU" w:hAnsi="PMingLiU"/>
                <w:sz w:val="12"/>
                <w:szCs w:val="12"/>
                <w:b w:val="1"/>
                <w:bCs w:val="1"/>
                <w:color w:val="FFFFFF"/>
              </w:rPr>
              <w:t>$ZDUG</w:t>
            </w:r>
          </w:p>
        </w:tc>
        <w:tc>
          <w:tcPr>
            <w:tcW w:w="60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*UDQW</w:t>
            </w:r>
          </w:p>
        </w:tc>
        <w:tc>
          <w:tcPr>
            <w:tcW w:w="180" w:type="dxa"/>
            <w:vAlign w:val="bottom"/>
            <w:shd w:val="clear" w:color="auto" w:fill="000046"/>
          </w:tcPr>
          <w:p>
            <w:pPr>
              <w:spacing w:after="0"/>
              <w:rPr>
                <w:sz w:val="12"/>
                <w:szCs w:val="12"/>
                <w:color w:val="auto"/>
              </w:rPr>
            </w:pPr>
          </w:p>
        </w:tc>
        <w:tc>
          <w:tcPr>
            <w:tcW w:w="720" w:type="dxa"/>
            <w:vAlign w:val="bottom"/>
            <w:shd w:val="clear" w:color="auto" w:fill="000046"/>
          </w:tcPr>
          <w:p>
            <w:pPr>
              <w:jc w:val="center"/>
              <w:spacing w:after="0"/>
              <w:rPr>
                <w:sz w:val="20"/>
                <w:szCs w:val="20"/>
                <w:color w:val="auto"/>
              </w:rPr>
            </w:pPr>
            <w:r>
              <w:rPr>
                <w:rFonts w:ascii="PMingLiU" w:cs="PMingLiU" w:eastAsia="PMingLiU" w:hAnsi="PMingLiU"/>
                <w:sz w:val="12"/>
                <w:szCs w:val="12"/>
                <w:b w:val="1"/>
                <w:bCs w:val="1"/>
                <w:color w:val="FFFFFF"/>
                <w:w w:val="89"/>
              </w:rPr>
              <w:t>$SSURYDO</w:t>
            </w:r>
          </w:p>
        </w:tc>
        <w:tc>
          <w:tcPr>
            <w:tcW w:w="6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85"/>
              </w:rPr>
              <w:t>7KUHVKROG</w:t>
            </w:r>
          </w:p>
        </w:tc>
        <w:tc>
          <w:tcPr>
            <w:tcW w:w="660" w:type="dxa"/>
            <w:vAlign w:val="bottom"/>
            <w:shd w:val="clear" w:color="auto" w:fill="000046"/>
          </w:tcPr>
          <w:p>
            <w:pPr>
              <w:jc w:val="right"/>
              <w:ind w:right="2"/>
              <w:spacing w:after="0"/>
              <w:rPr>
                <w:sz w:val="20"/>
                <w:szCs w:val="20"/>
                <w:color w:val="auto"/>
              </w:rPr>
            </w:pPr>
            <w:r>
              <w:rPr>
                <w:rFonts w:ascii="PMingLiU" w:cs="PMingLiU" w:eastAsia="PMingLiU" w:hAnsi="PMingLiU"/>
                <w:sz w:val="12"/>
                <w:szCs w:val="12"/>
                <w:b w:val="1"/>
                <w:bCs w:val="1"/>
                <w:color w:val="FFFFFF"/>
              </w:rPr>
              <w:t>7DUJHW</w:t>
            </w:r>
          </w:p>
        </w:tc>
        <w:tc>
          <w:tcPr>
            <w:tcW w:w="6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0D[LPXP</w:t>
            </w:r>
          </w:p>
        </w:tc>
        <w:tc>
          <w:tcPr>
            <w:tcW w:w="880" w:type="dxa"/>
            <w:vAlign w:val="bottom"/>
            <w:shd w:val="clear" w:color="auto" w:fill="000046"/>
          </w:tcPr>
          <w:p>
            <w:pPr>
              <w:jc w:val="right"/>
              <w:ind w:right="40"/>
              <w:spacing w:after="0"/>
              <w:rPr>
                <w:sz w:val="20"/>
                <w:szCs w:val="20"/>
                <w:color w:val="auto"/>
              </w:rPr>
            </w:pPr>
            <w:r>
              <w:rPr>
                <w:rFonts w:ascii="PMingLiU" w:cs="PMingLiU" w:eastAsia="PMingLiU" w:hAnsi="PMingLiU"/>
                <w:sz w:val="12"/>
                <w:szCs w:val="12"/>
                <w:b w:val="1"/>
                <w:bCs w:val="1"/>
                <w:color w:val="FFFFFF"/>
              </w:rPr>
              <w:t>7KUHVKROG</w:t>
            </w:r>
          </w:p>
        </w:tc>
        <w:tc>
          <w:tcPr>
            <w:tcW w:w="580" w:type="dxa"/>
            <w:vAlign w:val="bottom"/>
            <w:shd w:val="clear" w:color="auto" w:fill="000046"/>
          </w:tcPr>
          <w:p>
            <w:pPr>
              <w:jc w:val="right"/>
              <w:ind w:right="40"/>
              <w:spacing w:after="0"/>
              <w:rPr>
                <w:sz w:val="20"/>
                <w:szCs w:val="20"/>
                <w:color w:val="auto"/>
              </w:rPr>
            </w:pPr>
            <w:r>
              <w:rPr>
                <w:rFonts w:ascii="PMingLiU" w:cs="PMingLiU" w:eastAsia="PMingLiU" w:hAnsi="PMingLiU"/>
                <w:sz w:val="12"/>
                <w:szCs w:val="12"/>
                <w:b w:val="1"/>
                <w:bCs w:val="1"/>
                <w:color w:val="FFFFFF"/>
              </w:rPr>
              <w:t>7DUJHW</w:t>
            </w:r>
          </w:p>
        </w:tc>
        <w:tc>
          <w:tcPr>
            <w:tcW w:w="6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0D[LPXP</w:t>
            </w:r>
          </w:p>
        </w:tc>
        <w:tc>
          <w:tcPr>
            <w:tcW w:w="860" w:type="dxa"/>
            <w:vAlign w:val="bottom"/>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8QLWV</w:t>
            </w:r>
          </w:p>
        </w:tc>
        <w:tc>
          <w:tcPr>
            <w:tcW w:w="7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8QGHUO\LQJ</w:t>
            </w:r>
          </w:p>
        </w:tc>
        <w:tc>
          <w:tcPr>
            <w:tcW w:w="760" w:type="dxa"/>
            <w:vAlign w:val="bottom"/>
            <w:shd w:val="clear" w:color="auto" w:fill="000046"/>
          </w:tcPr>
          <w:p>
            <w:pPr>
              <w:jc w:val="right"/>
              <w:ind w:right="3"/>
              <w:spacing w:after="0"/>
              <w:rPr>
                <w:sz w:val="20"/>
                <w:szCs w:val="20"/>
                <w:color w:val="auto"/>
              </w:rPr>
            </w:pPr>
            <w:r>
              <w:rPr>
                <w:rFonts w:ascii="PMingLiU" w:cs="PMingLiU" w:eastAsia="PMingLiU" w:hAnsi="PMingLiU"/>
                <w:sz w:val="12"/>
                <w:szCs w:val="12"/>
                <w:b w:val="1"/>
                <w:bCs w:val="1"/>
                <w:color w:val="FFFFFF"/>
              </w:rPr>
              <w:t>$ZDUGV</w:t>
            </w:r>
          </w:p>
        </w:tc>
        <w:tc>
          <w:tcPr>
            <w:tcW w:w="880" w:type="dxa"/>
            <w:vAlign w:val="bottom"/>
            <w:shd w:val="clear" w:color="auto" w:fill="000046"/>
          </w:tcPr>
          <w:p>
            <w:pPr>
              <w:jc w:val="right"/>
              <w:ind w:right="60"/>
              <w:spacing w:after="0"/>
              <w:rPr>
                <w:sz w:val="20"/>
                <w:szCs w:val="20"/>
                <w:color w:val="auto"/>
              </w:rPr>
            </w:pPr>
            <w:r>
              <w:rPr>
                <w:rFonts w:ascii="PMingLiU" w:cs="PMingLiU" w:eastAsia="PMingLiU" w:hAnsi="PMingLiU"/>
                <w:sz w:val="12"/>
                <w:szCs w:val="12"/>
                <w:b w:val="1"/>
                <w:bCs w:val="1"/>
                <w:color w:val="FFFFFF"/>
              </w:rPr>
              <w:t>$ZDUGV</w:t>
            </w:r>
          </w:p>
        </w:tc>
        <w:tc>
          <w:tcPr>
            <w:tcW w:w="0" w:type="dxa"/>
            <w:vAlign w:val="bottom"/>
          </w:tcPr>
          <w:p>
            <w:pPr>
              <w:spacing w:after="0"/>
              <w:rPr>
                <w:sz w:val="1"/>
                <w:szCs w:val="1"/>
                <w:color w:val="auto"/>
              </w:rPr>
            </w:pPr>
          </w:p>
        </w:tc>
      </w:tr>
      <w:tr>
        <w:trPr>
          <w:trHeight w:val="176"/>
        </w:trPr>
        <w:tc>
          <w:tcPr>
            <w:tcW w:w="840" w:type="dxa"/>
            <w:vAlign w:val="bottom"/>
            <w:shd w:val="clear" w:color="auto" w:fill="000046"/>
          </w:tcPr>
          <w:p>
            <w:pPr>
              <w:ind w:left="100"/>
              <w:spacing w:after="0"/>
              <w:rPr>
                <w:sz w:val="20"/>
                <w:szCs w:val="20"/>
                <w:color w:val="auto"/>
              </w:rPr>
            </w:pPr>
            <w:r>
              <w:rPr>
                <w:rFonts w:ascii="PMingLiU" w:cs="PMingLiU" w:eastAsia="PMingLiU" w:hAnsi="PMingLiU"/>
                <w:sz w:val="12"/>
                <w:szCs w:val="12"/>
                <w:b w:val="1"/>
                <w:bCs w:val="1"/>
                <w:color w:val="FFFFFF"/>
              </w:rPr>
              <w:t>1DPH</w:t>
            </w:r>
          </w:p>
        </w:tc>
        <w:tc>
          <w:tcPr>
            <w:tcW w:w="680" w:type="dxa"/>
            <w:vAlign w:val="bottom"/>
            <w:shd w:val="clear" w:color="auto" w:fill="000046"/>
          </w:tcPr>
          <w:p>
            <w:pPr>
              <w:ind w:left="40"/>
              <w:spacing w:after="0"/>
              <w:rPr>
                <w:sz w:val="20"/>
                <w:szCs w:val="20"/>
                <w:color w:val="auto"/>
              </w:rPr>
            </w:pPr>
            <w:r>
              <w:rPr>
                <w:rFonts w:ascii="PMingLiU" w:cs="PMingLiU" w:eastAsia="PMingLiU" w:hAnsi="PMingLiU"/>
                <w:sz w:val="12"/>
                <w:szCs w:val="12"/>
                <w:b w:val="1"/>
                <w:bCs w:val="1"/>
                <w:color w:val="FFFFFF"/>
              </w:rPr>
              <w:t>7\SH</w:t>
            </w:r>
          </w:p>
        </w:tc>
        <w:tc>
          <w:tcPr>
            <w:tcW w:w="600" w:type="dxa"/>
            <w:vAlign w:val="bottom"/>
            <w:shd w:val="clear" w:color="auto" w:fill="000046"/>
          </w:tcPr>
          <w:p>
            <w:pPr>
              <w:jc w:val="right"/>
              <w:ind w:right="20"/>
              <w:spacing w:after="0"/>
              <w:rPr>
                <w:sz w:val="20"/>
                <w:szCs w:val="20"/>
                <w:color w:val="auto"/>
              </w:rPr>
            </w:pPr>
            <w:r>
              <w:rPr>
                <w:rFonts w:ascii="PMingLiU" w:cs="PMingLiU" w:eastAsia="PMingLiU" w:hAnsi="PMingLiU"/>
                <w:sz w:val="12"/>
                <w:szCs w:val="12"/>
                <w:b w:val="1"/>
                <w:bCs w:val="1"/>
                <w:color w:val="FFFFFF"/>
              </w:rPr>
              <w:t>'DWH</w:t>
            </w:r>
          </w:p>
        </w:tc>
        <w:tc>
          <w:tcPr>
            <w:tcW w:w="180" w:type="dxa"/>
            <w:vAlign w:val="bottom"/>
            <w:shd w:val="clear" w:color="auto" w:fill="000046"/>
          </w:tcPr>
          <w:p>
            <w:pPr>
              <w:spacing w:after="0"/>
              <w:rPr>
                <w:sz w:val="15"/>
                <w:szCs w:val="15"/>
                <w:color w:val="auto"/>
              </w:rPr>
            </w:pPr>
          </w:p>
        </w:tc>
        <w:tc>
          <w:tcPr>
            <w:tcW w:w="720" w:type="dxa"/>
            <w:vAlign w:val="bottom"/>
            <w:shd w:val="clear" w:color="auto" w:fill="000046"/>
          </w:tcPr>
          <w:p>
            <w:pPr>
              <w:jc w:val="center"/>
              <w:spacing w:after="0"/>
              <w:rPr>
                <w:sz w:val="20"/>
                <w:szCs w:val="20"/>
                <w:color w:val="auto"/>
              </w:rPr>
            </w:pPr>
            <w:r>
              <w:rPr>
                <w:rFonts w:ascii="PMingLiU" w:cs="PMingLiU" w:eastAsia="PMingLiU" w:hAnsi="PMingLiU"/>
                <w:sz w:val="12"/>
                <w:szCs w:val="12"/>
                <w:b w:val="1"/>
                <w:bCs w:val="1"/>
                <w:color w:val="FFFFFF"/>
                <w:w w:val="89"/>
              </w:rPr>
              <w:t>'DWH</w:t>
            </w:r>
          </w:p>
        </w:tc>
        <w:tc>
          <w:tcPr>
            <w:tcW w:w="6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
            </w:r>
          </w:p>
        </w:tc>
        <w:tc>
          <w:tcPr>
            <w:tcW w:w="660" w:type="dxa"/>
            <w:vAlign w:val="bottom"/>
            <w:shd w:val="clear" w:color="auto" w:fill="000046"/>
          </w:tcPr>
          <w:p>
            <w:pPr>
              <w:jc w:val="right"/>
              <w:ind w:right="2"/>
              <w:spacing w:after="0"/>
              <w:rPr>
                <w:sz w:val="20"/>
                <w:szCs w:val="20"/>
                <w:color w:val="auto"/>
              </w:rPr>
            </w:pPr>
            <w:r>
              <w:rPr>
                <w:rFonts w:ascii="PMingLiU" w:cs="PMingLiU" w:eastAsia="PMingLiU" w:hAnsi="PMingLiU"/>
                <w:sz w:val="12"/>
                <w:szCs w:val="12"/>
                <w:b w:val="1"/>
                <w:bCs w:val="1"/>
                <w:color w:val="FFFFFF"/>
              </w:rPr>
              <w:t/>
            </w:r>
          </w:p>
        </w:tc>
        <w:tc>
          <w:tcPr>
            <w:tcW w:w="6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
            </w:r>
          </w:p>
        </w:tc>
        <w:tc>
          <w:tcPr>
            <w:tcW w:w="880" w:type="dxa"/>
            <w:vAlign w:val="bottom"/>
            <w:shd w:val="clear" w:color="auto" w:fill="000046"/>
          </w:tcPr>
          <w:p>
            <w:pPr>
              <w:jc w:val="right"/>
              <w:ind w:right="40"/>
              <w:spacing w:after="0"/>
              <w:rPr>
                <w:sz w:val="20"/>
                <w:szCs w:val="20"/>
                <w:color w:val="auto"/>
              </w:rPr>
            </w:pPr>
            <w:r>
              <w:rPr>
                <w:rFonts w:ascii="PMingLiU" w:cs="PMingLiU" w:eastAsia="PMingLiU" w:hAnsi="PMingLiU"/>
                <w:sz w:val="12"/>
                <w:szCs w:val="12"/>
                <w:b w:val="1"/>
                <w:bCs w:val="1"/>
                <w:color w:val="FFFFFF"/>
              </w:rPr>
              <w:t/>
            </w:r>
          </w:p>
        </w:tc>
        <w:tc>
          <w:tcPr>
            <w:tcW w:w="580" w:type="dxa"/>
            <w:vAlign w:val="bottom"/>
            <w:shd w:val="clear" w:color="auto" w:fill="000046"/>
          </w:tcPr>
          <w:p>
            <w:pPr>
              <w:jc w:val="right"/>
              <w:ind w:right="80"/>
              <w:spacing w:after="0"/>
              <w:rPr>
                <w:sz w:val="20"/>
                <w:szCs w:val="20"/>
                <w:color w:val="auto"/>
              </w:rPr>
            </w:pPr>
            <w:r>
              <w:rPr>
                <w:rFonts w:ascii="PMingLiU" w:cs="PMingLiU" w:eastAsia="PMingLiU" w:hAnsi="PMingLiU"/>
                <w:sz w:val="12"/>
                <w:szCs w:val="12"/>
                <w:b w:val="1"/>
                <w:bCs w:val="1"/>
                <w:color w:val="FFFFFF"/>
              </w:rPr>
              <w:t/>
            </w:r>
          </w:p>
        </w:tc>
        <w:tc>
          <w:tcPr>
            <w:tcW w:w="6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
            </w:r>
          </w:p>
        </w:tc>
        <w:tc>
          <w:tcPr>
            <w:tcW w:w="860" w:type="dxa"/>
            <w:vAlign w:val="bottom"/>
            <w:shd w:val="clear" w:color="auto" w:fill="000046"/>
          </w:tcPr>
          <w:p>
            <w:pPr>
              <w:jc w:val="right"/>
              <w:ind w:right="60"/>
              <w:spacing w:after="0"/>
              <w:rPr>
                <w:sz w:val="20"/>
                <w:szCs w:val="20"/>
                <w:color w:val="auto"/>
              </w:rPr>
            </w:pPr>
            <w:r>
              <w:rPr>
                <w:rFonts w:ascii="PMingLiU" w:cs="PMingLiU" w:eastAsia="PMingLiU" w:hAnsi="PMingLiU"/>
                <w:sz w:val="12"/>
                <w:szCs w:val="12"/>
                <w:b w:val="1"/>
                <w:bCs w:val="1"/>
                <w:color w:val="FFFFFF"/>
              </w:rPr>
              <w:t/>
            </w:r>
          </w:p>
        </w:tc>
        <w:tc>
          <w:tcPr>
            <w:tcW w:w="780" w:type="dxa"/>
            <w:vAlign w:val="bottom"/>
            <w:shd w:val="clear" w:color="auto" w:fill="000046"/>
          </w:tcPr>
          <w:p>
            <w:pPr>
              <w:jc w:val="right"/>
              <w:ind w:right="40"/>
              <w:spacing w:after="0"/>
              <w:rPr>
                <w:sz w:val="20"/>
                <w:szCs w:val="20"/>
                <w:color w:val="auto"/>
              </w:rPr>
            </w:pPr>
            <w:r>
              <w:rPr>
                <w:rFonts w:ascii="PMingLiU" w:cs="PMingLiU" w:eastAsia="PMingLiU" w:hAnsi="PMingLiU"/>
                <w:sz w:val="12"/>
                <w:szCs w:val="12"/>
                <w:b w:val="1"/>
                <w:bCs w:val="1"/>
                <w:color w:val="FFFFFF"/>
              </w:rPr>
              <w:t>2SWLRQV</w:t>
            </w:r>
          </w:p>
        </w:tc>
        <w:tc>
          <w:tcPr>
            <w:tcW w:w="760" w:type="dxa"/>
            <w:vAlign w:val="bottom"/>
            <w:shd w:val="clear" w:color="auto" w:fill="000046"/>
          </w:tcPr>
          <w:p>
            <w:pPr>
              <w:jc w:val="right"/>
              <w:ind w:right="3"/>
              <w:spacing w:after="0"/>
              <w:rPr>
                <w:sz w:val="20"/>
                <w:szCs w:val="20"/>
                <w:color w:val="auto"/>
              </w:rPr>
            </w:pPr>
            <w:r>
              <w:rPr>
                <w:rFonts w:ascii="PMingLiU" w:cs="PMingLiU" w:eastAsia="PMingLiU" w:hAnsi="PMingLiU"/>
                <w:sz w:val="12"/>
                <w:szCs w:val="12"/>
                <w:b w:val="1"/>
                <w:bCs w:val="1"/>
                <w:color w:val="FFFFFF"/>
              </w:rPr>
              <w:t/>
            </w:r>
          </w:p>
        </w:tc>
        <w:tc>
          <w:tcPr>
            <w:tcW w:w="880" w:type="dxa"/>
            <w:vAlign w:val="bottom"/>
            <w:shd w:val="clear" w:color="auto" w:fill="000046"/>
          </w:tcPr>
          <w:p>
            <w:pPr>
              <w:jc w:val="right"/>
              <w:ind w:right="60"/>
              <w:spacing w:after="0" w:line="176"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0" w:type="dxa"/>
            <w:vAlign w:val="bottom"/>
          </w:tcPr>
          <w:p>
            <w:pPr>
              <w:spacing w:after="0"/>
              <w:rPr>
                <w:sz w:val="1"/>
                <w:szCs w:val="1"/>
                <w:color w:val="auto"/>
              </w:rPr>
            </w:pPr>
          </w:p>
        </w:tc>
      </w:tr>
      <w:tr>
        <w:trPr>
          <w:trHeight w:val="60"/>
        </w:trPr>
        <w:tc>
          <w:tcPr>
            <w:tcW w:w="84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600" w:type="dxa"/>
            <w:vAlign w:val="bottom"/>
            <w:shd w:val="clear" w:color="auto" w:fill="000046"/>
          </w:tcPr>
          <w:p>
            <w:pPr>
              <w:spacing w:after="0"/>
              <w:rPr>
                <w:sz w:val="5"/>
                <w:szCs w:val="5"/>
                <w:color w:val="auto"/>
              </w:rPr>
            </w:pPr>
          </w:p>
        </w:tc>
        <w:tc>
          <w:tcPr>
            <w:tcW w:w="180" w:type="dxa"/>
            <w:vAlign w:val="bottom"/>
            <w:shd w:val="clear" w:color="auto" w:fill="000046"/>
          </w:tcPr>
          <w:p>
            <w:pPr>
              <w:spacing w:after="0"/>
              <w:rPr>
                <w:sz w:val="5"/>
                <w:szCs w:val="5"/>
                <w:color w:val="auto"/>
              </w:rPr>
            </w:pPr>
          </w:p>
        </w:tc>
        <w:tc>
          <w:tcPr>
            <w:tcW w:w="72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660" w:type="dxa"/>
            <w:vAlign w:val="bottom"/>
            <w:shd w:val="clear" w:color="auto" w:fill="000046"/>
          </w:tcPr>
          <w:p>
            <w:pPr>
              <w:spacing w:after="0"/>
              <w:rPr>
                <w:sz w:val="5"/>
                <w:szCs w:val="5"/>
                <w:color w:val="auto"/>
              </w:rPr>
            </w:pPr>
          </w:p>
        </w:tc>
        <w:tc>
          <w:tcPr>
            <w:tcW w:w="660" w:type="dxa"/>
            <w:vAlign w:val="bottom"/>
            <w:shd w:val="clear" w:color="auto" w:fill="000046"/>
          </w:tcPr>
          <w:p>
            <w:pPr>
              <w:spacing w:after="0"/>
              <w:rPr>
                <w:sz w:val="5"/>
                <w:szCs w:val="5"/>
                <w:color w:val="auto"/>
              </w:rPr>
            </w:pPr>
          </w:p>
        </w:tc>
        <w:tc>
          <w:tcPr>
            <w:tcW w:w="880" w:type="dxa"/>
            <w:vAlign w:val="bottom"/>
            <w:shd w:val="clear" w:color="auto" w:fill="000046"/>
          </w:tcPr>
          <w:p>
            <w:pPr>
              <w:spacing w:after="0"/>
              <w:rPr>
                <w:sz w:val="5"/>
                <w:szCs w:val="5"/>
                <w:color w:val="auto"/>
              </w:rPr>
            </w:pPr>
          </w:p>
        </w:tc>
        <w:tc>
          <w:tcPr>
            <w:tcW w:w="580" w:type="dxa"/>
            <w:vAlign w:val="bottom"/>
            <w:shd w:val="clear" w:color="auto" w:fill="000046"/>
          </w:tcPr>
          <w:p>
            <w:pPr>
              <w:spacing w:after="0"/>
              <w:rPr>
                <w:sz w:val="5"/>
                <w:szCs w:val="5"/>
                <w:color w:val="auto"/>
              </w:rPr>
            </w:pPr>
          </w:p>
        </w:tc>
        <w:tc>
          <w:tcPr>
            <w:tcW w:w="680" w:type="dxa"/>
            <w:vAlign w:val="bottom"/>
            <w:shd w:val="clear" w:color="auto" w:fill="000046"/>
          </w:tcPr>
          <w:p>
            <w:pPr>
              <w:spacing w:after="0"/>
              <w:rPr>
                <w:sz w:val="5"/>
                <w:szCs w:val="5"/>
                <w:color w:val="auto"/>
              </w:rPr>
            </w:pPr>
          </w:p>
        </w:tc>
        <w:tc>
          <w:tcPr>
            <w:tcW w:w="860" w:type="dxa"/>
            <w:vAlign w:val="bottom"/>
            <w:shd w:val="clear" w:color="auto" w:fill="000046"/>
          </w:tcPr>
          <w:p>
            <w:pPr>
              <w:spacing w:after="0"/>
              <w:rPr>
                <w:sz w:val="5"/>
                <w:szCs w:val="5"/>
                <w:color w:val="auto"/>
              </w:rPr>
            </w:pPr>
          </w:p>
        </w:tc>
        <w:tc>
          <w:tcPr>
            <w:tcW w:w="780" w:type="dxa"/>
            <w:vAlign w:val="bottom"/>
            <w:shd w:val="clear" w:color="auto" w:fill="000046"/>
          </w:tcPr>
          <w:p>
            <w:pPr>
              <w:spacing w:after="0"/>
              <w:rPr>
                <w:sz w:val="5"/>
                <w:szCs w:val="5"/>
                <w:color w:val="auto"/>
              </w:rPr>
            </w:pPr>
          </w:p>
        </w:tc>
        <w:tc>
          <w:tcPr>
            <w:tcW w:w="760" w:type="dxa"/>
            <w:vAlign w:val="bottom"/>
            <w:shd w:val="clear" w:color="auto" w:fill="000046"/>
          </w:tcPr>
          <w:p>
            <w:pPr>
              <w:spacing w:after="0"/>
              <w:rPr>
                <w:sz w:val="5"/>
                <w:szCs w:val="5"/>
                <w:color w:val="auto"/>
              </w:rPr>
            </w:pPr>
          </w:p>
        </w:tc>
        <w:tc>
          <w:tcPr>
            <w:tcW w:w="88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00" w:type="dxa"/>
            <w:vAlign w:val="bottom"/>
            <w:tcBorders>
              <w:bottom w:val="single" w:sz="8" w:color="4454A7"/>
            </w:tcBorders>
          </w:tcPr>
          <w:p>
            <w:pPr>
              <w:spacing w:after="0"/>
              <w:rPr>
                <w:sz w:val="2"/>
                <w:szCs w:val="2"/>
                <w:color w:val="auto"/>
              </w:rPr>
            </w:pPr>
          </w:p>
        </w:tc>
        <w:tc>
          <w:tcPr>
            <w:tcW w:w="180" w:type="dxa"/>
            <w:vAlign w:val="bottom"/>
            <w:tcBorders>
              <w:bottom w:val="single" w:sz="8" w:color="4454A7"/>
            </w:tcBorders>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368</w:t>
            </w: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gridSpan w:val="2"/>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90"/>
              </w:rPr>
              <w:t>3URPRWLRQ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08"/>
        </w:trPr>
        <w:tc>
          <w:tcPr>
            <w:tcW w:w="840" w:type="dxa"/>
            <w:vAlign w:val="bottom"/>
            <w:vMerge w:val="restart"/>
          </w:tcPr>
          <w:p>
            <w:pPr>
              <w:ind w:left="100"/>
              <w:spacing w:after="0" w:line="135" w:lineRule="exact"/>
              <w:rPr>
                <w:sz w:val="20"/>
                <w:szCs w:val="20"/>
                <w:color w:val="auto"/>
              </w:rPr>
            </w:pPr>
            <w:r>
              <w:rPr>
                <w:rFonts w:ascii="PMingLiU" w:cs="PMingLiU" w:eastAsia="PMingLiU" w:hAnsi="PMingLiU"/>
                <w:sz w:val="12"/>
                <w:szCs w:val="12"/>
                <w:b w:val="1"/>
                <w:bCs w:val="1"/>
                <w:color w:val="5C004D"/>
              </w:rPr>
              <w:t>5HQHH'</w:t>
            </w:r>
          </w:p>
        </w:tc>
        <w:tc>
          <w:tcPr>
            <w:tcW w:w="680" w:type="dxa"/>
            <w:vAlign w:val="bottom"/>
          </w:tcPr>
          <w:p>
            <w:pPr>
              <w:ind w:left="40"/>
              <w:spacing w:after="0" w:line="108" w:lineRule="exact"/>
              <w:rPr>
                <w:sz w:val="20"/>
                <w:szCs w:val="20"/>
                <w:color w:val="auto"/>
              </w:rPr>
            </w:pPr>
            <w:r>
              <w:rPr>
                <w:rFonts w:ascii="PMingLiU" w:cs="PMingLiU" w:eastAsia="PMingLiU" w:hAnsi="PMingLiU"/>
                <w:sz w:val="12"/>
                <w:szCs w:val="12"/>
                <w:color w:val="auto"/>
              </w:rPr>
              <w:t>368</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40" w:type="dxa"/>
            <w:vAlign w:val="bottom"/>
            <w:vMerge w:val="continue"/>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00" w:type="dxa"/>
            <w:vAlign w:val="bottom"/>
            <w:tcBorders>
              <w:bottom w:val="single" w:sz="8" w:color="4454A7"/>
            </w:tcBorders>
          </w:tcPr>
          <w:p>
            <w:pPr>
              <w:spacing w:after="0"/>
              <w:rPr>
                <w:sz w:val="2"/>
                <w:szCs w:val="2"/>
                <w:color w:val="auto"/>
              </w:rPr>
            </w:pPr>
          </w:p>
        </w:tc>
        <w:tc>
          <w:tcPr>
            <w:tcW w:w="180" w:type="dxa"/>
            <w:vAlign w:val="bottom"/>
            <w:tcBorders>
              <w:bottom w:val="single" w:sz="8" w:color="4454A7"/>
            </w:tcBorders>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*DOD</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83"/>
              </w:rPr>
              <w:t>5HWHQWLRQ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90"/>
              </w:rPr>
              <w:t>3URPRWLRQ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3"/>
        </w:trPr>
        <w:tc>
          <w:tcPr>
            <w:tcW w:w="84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ind w:left="40"/>
              <w:spacing w:after="0" w:line="133"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00" w:type="dxa"/>
            <w:vAlign w:val="bottom"/>
            <w:tcBorders>
              <w:bottom w:val="single" w:sz="8" w:color="4454A7"/>
            </w:tcBorders>
          </w:tcPr>
          <w:p>
            <w:pPr>
              <w:spacing w:after="0"/>
              <w:rPr>
                <w:sz w:val="2"/>
                <w:szCs w:val="2"/>
                <w:color w:val="auto"/>
              </w:rPr>
            </w:pPr>
          </w:p>
        </w:tc>
        <w:tc>
          <w:tcPr>
            <w:tcW w:w="180" w:type="dxa"/>
            <w:vAlign w:val="bottom"/>
            <w:tcBorders>
              <w:bottom w:val="single" w:sz="8" w:color="4454A7"/>
            </w:tcBorders>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87"/>
        </w:trPr>
        <w:tc>
          <w:tcPr>
            <w:tcW w:w="840" w:type="dxa"/>
            <w:vAlign w:val="bottom"/>
            <w:vMerge w:val="restart"/>
          </w:tcPr>
          <w:p>
            <w:pPr>
              <w:ind w:left="100"/>
              <w:spacing w:after="0"/>
              <w:rPr>
                <w:sz w:val="20"/>
                <w:szCs w:val="20"/>
                <w:color w:val="auto"/>
              </w:rPr>
            </w:pPr>
            <w:r>
              <w:rPr>
                <w:rFonts w:ascii="PMingLiU" w:cs="PMingLiU" w:eastAsia="PMingLiU" w:hAnsi="PMingLiU"/>
                <w:sz w:val="12"/>
                <w:szCs w:val="12"/>
                <w:b w:val="1"/>
                <w:bCs w:val="1"/>
                <w:color w:val="5C004D"/>
              </w:rPr>
              <w:t>3KLOLS/</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368</w:t>
            </w: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40" w:type="dxa"/>
            <w:vAlign w:val="bottom"/>
            <w:vMerge w:val="continue"/>
          </w:tcPr>
          <w:p>
            <w:pPr>
              <w:spacing w:after="0"/>
              <w:rPr>
                <w:sz w:val="8"/>
                <w:szCs w:val="8"/>
                <w:color w:val="auto"/>
              </w:rPr>
            </w:pPr>
          </w:p>
        </w:tc>
        <w:tc>
          <w:tcPr>
            <w:tcW w:w="680" w:type="dxa"/>
            <w:vAlign w:val="bottom"/>
            <w:tcBorders>
              <w:bottom w:val="single" w:sz="8" w:color="4454A7"/>
            </w:tcBorders>
            <w:vMerge w:val="continue"/>
          </w:tcPr>
          <w:p>
            <w:pPr>
              <w:spacing w:after="0"/>
              <w:rPr>
                <w:sz w:val="8"/>
                <w:szCs w:val="8"/>
                <w:color w:val="auto"/>
              </w:rPr>
            </w:pPr>
          </w:p>
        </w:tc>
        <w:tc>
          <w:tcPr>
            <w:tcW w:w="600" w:type="dxa"/>
            <w:vAlign w:val="bottom"/>
            <w:tcBorders>
              <w:bottom w:val="single" w:sz="8" w:color="4454A7"/>
            </w:tcBorders>
          </w:tcPr>
          <w:p>
            <w:pPr>
              <w:spacing w:after="0"/>
              <w:rPr>
                <w:sz w:val="8"/>
                <w:szCs w:val="8"/>
                <w:color w:val="auto"/>
              </w:rPr>
            </w:pPr>
          </w:p>
        </w:tc>
        <w:tc>
          <w:tcPr>
            <w:tcW w:w="18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58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80" w:type="dxa"/>
            <w:vAlign w:val="bottom"/>
            <w:tcBorders>
              <w:bottom w:val="single" w:sz="8" w:color="4454A7"/>
            </w:tcBorders>
          </w:tcPr>
          <w:p>
            <w:pPr>
              <w:spacing w:after="0"/>
              <w:rPr>
                <w:sz w:val="8"/>
                <w:szCs w:val="8"/>
                <w:color w:val="auto"/>
              </w:rPr>
            </w:pPr>
          </w:p>
        </w:tc>
        <w:tc>
          <w:tcPr>
            <w:tcW w:w="7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-RKQVRQ</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83"/>
              </w:rPr>
              <w:t>5HWHQWLRQ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3"/>
        </w:trPr>
        <w:tc>
          <w:tcPr>
            <w:tcW w:w="84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ind w:left="40"/>
              <w:spacing w:after="0" w:line="133"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gridSpan w:val="2"/>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vMerge w:val="restart"/>
          </w:tcPr>
          <w:p>
            <w:pPr>
              <w:ind w:left="100"/>
              <w:spacing w:after="0"/>
              <w:rPr>
                <w:sz w:val="20"/>
                <w:szCs w:val="20"/>
                <w:color w:val="auto"/>
              </w:rPr>
            </w:pPr>
            <w:r>
              <w:rPr>
                <w:rFonts w:ascii="PMingLiU" w:cs="PMingLiU" w:eastAsia="PMingLiU" w:hAnsi="PMingLiU"/>
                <w:sz w:val="12"/>
                <w:szCs w:val="12"/>
                <w:b w:val="1"/>
                <w:bCs w:val="1"/>
                <w:color w:val="5C004D"/>
              </w:rPr>
              <w:t>%UXFH&amp;</w:t>
            </w: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5"/>
        </w:trPr>
        <w:tc>
          <w:tcPr>
            <w:tcW w:w="840" w:type="dxa"/>
            <w:vAlign w:val="bottom"/>
            <w:vMerge w:val="continue"/>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&amp;R]DGG</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'LUHFWRU</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0RGLILHG</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760" w:type="dxa"/>
            <w:vAlign w:val="bottom"/>
          </w:tcPr>
          <w:p>
            <w:pPr>
              <w:jc w:val="right"/>
              <w:ind w:right="3"/>
              <w:spacing w:after="0"/>
              <w:rPr>
                <w:sz w:val="20"/>
                <w:szCs w:val="20"/>
                <w:color w:val="auto"/>
              </w:rPr>
            </w:pPr>
            <w:r>
              <w:rPr>
                <w:rFonts w:ascii="PMingLiU" w:cs="PMingLiU" w:eastAsia="PMingLiU" w:hAnsi="PMingLiU"/>
                <w:sz w:val="8"/>
                <w:szCs w:val="8"/>
                <w:color w:val="auto"/>
              </w:rPr>
              <w:t/>
            </w: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81"/>
        </w:trPr>
        <w:tc>
          <w:tcPr>
            <w:tcW w:w="840" w:type="dxa"/>
            <w:vAlign w:val="bottom"/>
            <w:tcBorders>
              <w:bottom w:val="single" w:sz="8" w:color="4454A7"/>
            </w:tcBorders>
          </w:tcPr>
          <w:p>
            <w:pPr>
              <w:spacing w:after="0"/>
              <w:rPr>
                <w:sz w:val="15"/>
                <w:szCs w:val="15"/>
                <w:color w:val="auto"/>
              </w:rPr>
            </w:pPr>
          </w:p>
        </w:tc>
        <w:tc>
          <w:tcPr>
            <w:tcW w:w="680" w:type="dxa"/>
            <w:vAlign w:val="bottom"/>
            <w:tcBorders>
              <w:bottom w:val="single" w:sz="8" w:color="4454A7"/>
            </w:tcBorders>
          </w:tcPr>
          <w:p>
            <w:pPr>
              <w:ind w:left="40"/>
              <w:spacing w:after="0"/>
              <w:rPr>
                <w:sz w:val="20"/>
                <w:szCs w:val="20"/>
                <w:color w:val="auto"/>
              </w:rPr>
            </w:pPr>
            <w:r>
              <w:rPr>
                <w:rFonts w:ascii="PMingLiU" w:cs="PMingLiU" w:eastAsia="PMingLiU" w:hAnsi="PMingLiU"/>
                <w:sz w:val="12"/>
                <w:szCs w:val="12"/>
                <w:color w:val="auto"/>
              </w:rPr>
              <w:t>2SWLRQV</w:t>
            </w:r>
            <w:r>
              <w:rPr>
                <w:rFonts w:ascii="PMingLiU" w:cs="PMingLiU" w:eastAsia="PMingLiU" w:hAnsi="PMingLiU"/>
                <w:sz w:val="15"/>
                <w:szCs w:val="15"/>
                <w:color w:val="auto"/>
                <w:vertAlign w:val="superscript"/>
              </w:rPr>
              <w:t/>
            </w:r>
          </w:p>
        </w:tc>
        <w:tc>
          <w:tcPr>
            <w:tcW w:w="600" w:type="dxa"/>
            <w:vAlign w:val="bottom"/>
            <w:tcBorders>
              <w:bottom w:val="single" w:sz="8" w:color="4454A7"/>
            </w:tcBorders>
          </w:tcPr>
          <w:p>
            <w:pPr>
              <w:spacing w:after="0"/>
              <w:rPr>
                <w:sz w:val="15"/>
                <w:szCs w:val="15"/>
                <w:color w:val="auto"/>
              </w:rPr>
            </w:pPr>
          </w:p>
        </w:tc>
        <w:tc>
          <w:tcPr>
            <w:tcW w:w="180" w:type="dxa"/>
            <w:vAlign w:val="bottom"/>
            <w:tcBorders>
              <w:bottom w:val="single" w:sz="8" w:color="4454A7"/>
            </w:tcBorders>
          </w:tcPr>
          <w:p>
            <w:pPr>
              <w:spacing w:after="0"/>
              <w:rPr>
                <w:sz w:val="15"/>
                <w:szCs w:val="15"/>
                <w:color w:val="auto"/>
              </w:rPr>
            </w:pPr>
          </w:p>
        </w:tc>
        <w:tc>
          <w:tcPr>
            <w:tcW w:w="720" w:type="dxa"/>
            <w:vAlign w:val="bottom"/>
            <w:tcBorders>
              <w:bottom w:val="single" w:sz="8" w:color="4454A7"/>
            </w:tcBorders>
          </w:tcPr>
          <w:p>
            <w:pPr>
              <w:spacing w:after="0"/>
              <w:rPr>
                <w:sz w:val="15"/>
                <w:szCs w:val="15"/>
                <w:color w:val="auto"/>
              </w:rPr>
            </w:pPr>
          </w:p>
        </w:tc>
        <w:tc>
          <w:tcPr>
            <w:tcW w:w="680" w:type="dxa"/>
            <w:vAlign w:val="bottom"/>
            <w:tcBorders>
              <w:bottom w:val="single" w:sz="8" w:color="4454A7"/>
            </w:tcBorders>
          </w:tcPr>
          <w:p>
            <w:pPr>
              <w:spacing w:after="0"/>
              <w:rPr>
                <w:sz w:val="15"/>
                <w:szCs w:val="15"/>
                <w:color w:val="auto"/>
              </w:rPr>
            </w:pPr>
          </w:p>
        </w:tc>
        <w:tc>
          <w:tcPr>
            <w:tcW w:w="660" w:type="dxa"/>
            <w:vAlign w:val="bottom"/>
            <w:tcBorders>
              <w:bottom w:val="single" w:sz="8" w:color="4454A7"/>
            </w:tcBorders>
            <w:vMerge w:val="continue"/>
          </w:tcPr>
          <w:p>
            <w:pPr>
              <w:spacing w:after="0"/>
              <w:rPr>
                <w:sz w:val="15"/>
                <w:szCs w:val="15"/>
                <w:color w:val="auto"/>
              </w:rPr>
            </w:pPr>
          </w:p>
        </w:tc>
        <w:tc>
          <w:tcPr>
            <w:tcW w:w="660" w:type="dxa"/>
            <w:vAlign w:val="bottom"/>
            <w:tcBorders>
              <w:bottom w:val="single" w:sz="8" w:color="4454A7"/>
            </w:tcBorders>
            <w:vMerge w:val="continue"/>
          </w:tcPr>
          <w:p>
            <w:pPr>
              <w:spacing w:after="0"/>
              <w:rPr>
                <w:sz w:val="15"/>
                <w:szCs w:val="15"/>
                <w:color w:val="auto"/>
              </w:rPr>
            </w:pPr>
          </w:p>
        </w:tc>
        <w:tc>
          <w:tcPr>
            <w:tcW w:w="880" w:type="dxa"/>
            <w:vAlign w:val="bottom"/>
            <w:tcBorders>
              <w:bottom w:val="single" w:sz="8" w:color="4454A7"/>
            </w:tcBorders>
            <w:vMerge w:val="continue"/>
          </w:tcPr>
          <w:p>
            <w:pPr>
              <w:spacing w:after="0"/>
              <w:rPr>
                <w:sz w:val="15"/>
                <w:szCs w:val="15"/>
                <w:color w:val="auto"/>
              </w:rPr>
            </w:pPr>
          </w:p>
        </w:tc>
        <w:tc>
          <w:tcPr>
            <w:tcW w:w="580" w:type="dxa"/>
            <w:vAlign w:val="bottom"/>
            <w:tcBorders>
              <w:bottom w:val="single" w:sz="8" w:color="4454A7"/>
            </w:tcBorders>
            <w:vMerge w:val="continue"/>
          </w:tcPr>
          <w:p>
            <w:pPr>
              <w:spacing w:after="0"/>
              <w:rPr>
                <w:sz w:val="15"/>
                <w:szCs w:val="15"/>
                <w:color w:val="auto"/>
              </w:rPr>
            </w:pPr>
          </w:p>
        </w:tc>
        <w:tc>
          <w:tcPr>
            <w:tcW w:w="680" w:type="dxa"/>
            <w:vAlign w:val="bottom"/>
            <w:tcBorders>
              <w:bottom w:val="single" w:sz="8" w:color="4454A7"/>
            </w:tcBorders>
            <w:vMerge w:val="continue"/>
          </w:tcPr>
          <w:p>
            <w:pPr>
              <w:spacing w:after="0"/>
              <w:rPr>
                <w:sz w:val="15"/>
                <w:szCs w:val="15"/>
                <w:color w:val="auto"/>
              </w:rPr>
            </w:pPr>
          </w:p>
        </w:tc>
        <w:tc>
          <w:tcPr>
            <w:tcW w:w="860" w:type="dxa"/>
            <w:vAlign w:val="bottom"/>
            <w:tcBorders>
              <w:bottom w:val="single" w:sz="8" w:color="4454A7"/>
            </w:tcBorders>
            <w:vMerge w:val="continue"/>
          </w:tcPr>
          <w:p>
            <w:pPr>
              <w:spacing w:after="0"/>
              <w:rPr>
                <w:sz w:val="15"/>
                <w:szCs w:val="15"/>
                <w:color w:val="auto"/>
              </w:rPr>
            </w:pPr>
          </w:p>
        </w:tc>
        <w:tc>
          <w:tcPr>
            <w:tcW w:w="780" w:type="dxa"/>
            <w:vAlign w:val="bottom"/>
            <w:tcBorders>
              <w:bottom w:val="single" w:sz="8" w:color="4454A7"/>
            </w:tcBorders>
            <w:vMerge w:val="continue"/>
          </w:tcPr>
          <w:p>
            <w:pPr>
              <w:spacing w:after="0"/>
              <w:rPr>
                <w:sz w:val="15"/>
                <w:szCs w:val="15"/>
                <w:color w:val="auto"/>
              </w:rPr>
            </w:pPr>
          </w:p>
        </w:tc>
        <w:tc>
          <w:tcPr>
            <w:tcW w:w="760" w:type="dxa"/>
            <w:vAlign w:val="bottom"/>
            <w:tcBorders>
              <w:bottom w:val="single" w:sz="8" w:color="4454A7"/>
            </w:tcBorders>
          </w:tcPr>
          <w:p>
            <w:pPr>
              <w:spacing w:after="0"/>
              <w:rPr>
                <w:sz w:val="15"/>
                <w:szCs w:val="15"/>
                <w:color w:val="auto"/>
              </w:rPr>
            </w:pPr>
          </w:p>
        </w:tc>
        <w:tc>
          <w:tcPr>
            <w:tcW w:w="880" w:type="dxa"/>
            <w:vAlign w:val="bottom"/>
            <w:tcBorders>
              <w:bottom w:val="single" w:sz="8" w:color="4454A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gridSpan w:val="2"/>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5REHUW</w:t>
            </w: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5"/>
        </w:trPr>
        <w:tc>
          <w:tcPr>
            <w:tcW w:w="840" w:type="dxa"/>
            <w:vAlign w:val="bottom"/>
          </w:tcPr>
          <w:p>
            <w:pPr>
              <w:ind w:left="100"/>
              <w:spacing w:after="0" w:line="135" w:lineRule="exact"/>
              <w:rPr>
                <w:sz w:val="20"/>
                <w:szCs w:val="20"/>
                <w:color w:val="auto"/>
              </w:rPr>
            </w:pPr>
            <w:r>
              <w:rPr>
                <w:rFonts w:ascii="PMingLiU" w:cs="PMingLiU" w:eastAsia="PMingLiU" w:hAnsi="PMingLiU"/>
                <w:sz w:val="12"/>
                <w:szCs w:val="12"/>
                <w:b w:val="1"/>
                <w:bCs w:val="1"/>
                <w:color w:val="5C004D"/>
              </w:rPr>
              <w:t>,DQQRQH</w:t>
            </w: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368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ind w:left="100"/>
              <w:spacing w:after="0" w:line="133" w:lineRule="exact"/>
              <w:rPr>
                <w:sz w:val="20"/>
                <w:szCs w:val="20"/>
                <w:color w:val="auto"/>
              </w:rPr>
            </w:pPr>
            <w:r>
              <w:rPr>
                <w:rFonts w:ascii="PMingLiU" w:cs="PMingLiU" w:eastAsia="PMingLiU" w:hAnsi="PMingLiU"/>
                <w:sz w:val="12"/>
                <w:szCs w:val="12"/>
                <w:b w:val="1"/>
                <w:bCs w:val="1"/>
                <w:color w:val="5C004D"/>
              </w:rPr>
              <w:t>0'</w:t>
            </w:r>
          </w:p>
        </w:tc>
        <w:tc>
          <w:tcPr>
            <w:tcW w:w="680" w:type="dxa"/>
            <w:vAlign w:val="bottom"/>
          </w:tcPr>
          <w:p>
            <w:pPr>
              <w:ind w:left="40"/>
              <w:spacing w:after="0" w:line="133" w:lineRule="exact"/>
              <w:rPr>
                <w:sz w:val="20"/>
                <w:szCs w:val="20"/>
                <w:color w:val="auto"/>
              </w:rPr>
            </w:pPr>
            <w:r>
              <w:rPr>
                <w:rFonts w:ascii="PMingLiU" w:cs="PMingLiU" w:eastAsia="PMingLiU" w:hAnsi="PMingLiU"/>
                <w:sz w:val="12"/>
                <w:szCs w:val="12"/>
                <w:color w:val="auto"/>
              </w:rPr>
              <w:t>$QQXDO</w:t>
            </w:r>
          </w:p>
        </w:tc>
        <w:tc>
          <w:tcPr>
            <w:tcW w:w="60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180" w:type="dxa"/>
            <w:vAlign w:val="bottom"/>
          </w:tcPr>
          <w:p>
            <w:pPr>
              <w:jc w:val="right"/>
              <w:ind w:right="41"/>
              <w:spacing w:after="0"/>
              <w:rPr>
                <w:sz w:val="20"/>
                <w:szCs w:val="20"/>
                <w:color w:val="auto"/>
              </w:rPr>
            </w:pPr>
            <w:r>
              <w:rPr>
                <w:rFonts w:ascii="PMingLiU" w:cs="PMingLiU" w:eastAsia="PMingLiU" w:hAnsi="PMingLiU"/>
                <w:sz w:val="8"/>
                <w:szCs w:val="8"/>
                <w:color w:val="auto"/>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82"/>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06&amp;(</w:t>
            </w: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568</w:t>
            </w: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gridSpan w:val="2"/>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83"/>
              </w:rPr>
              <w:t>5HWHQWLRQ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3"/>
        </w:trPr>
        <w:tc>
          <w:tcPr>
            <w:tcW w:w="84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ind w:left="40"/>
              <w:spacing w:after="0" w:line="133"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00" w:type="dxa"/>
            <w:vAlign w:val="bottom"/>
            <w:tcBorders>
              <w:bottom w:val="single" w:sz="8" w:color="4454A7"/>
            </w:tcBorders>
          </w:tcPr>
          <w:p>
            <w:pPr>
              <w:spacing w:after="0"/>
              <w:rPr>
                <w:sz w:val="2"/>
                <w:szCs w:val="2"/>
                <w:color w:val="auto"/>
              </w:rPr>
            </w:pPr>
          </w:p>
        </w:tc>
        <w:tc>
          <w:tcPr>
            <w:tcW w:w="180" w:type="dxa"/>
            <w:vAlign w:val="bottom"/>
            <w:tcBorders>
              <w:bottom w:val="single" w:sz="8" w:color="4454A7"/>
            </w:tcBorders>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87"/>
        </w:trPr>
        <w:tc>
          <w:tcPr>
            <w:tcW w:w="840" w:type="dxa"/>
            <w:vAlign w:val="bottom"/>
            <w:vMerge w:val="restart"/>
          </w:tcPr>
          <w:p>
            <w:pPr>
              <w:ind w:left="100"/>
              <w:spacing w:after="0"/>
              <w:rPr>
                <w:sz w:val="20"/>
                <w:szCs w:val="20"/>
                <w:color w:val="auto"/>
              </w:rPr>
            </w:pPr>
            <w:r>
              <w:rPr>
                <w:rFonts w:ascii="PMingLiU" w:cs="PMingLiU" w:eastAsia="PMingLiU" w:hAnsi="PMingLiU"/>
                <w:sz w:val="12"/>
                <w:szCs w:val="12"/>
                <w:b w:val="1"/>
                <w:bCs w:val="1"/>
                <w:color w:val="5C004D"/>
              </w:rPr>
              <w:t>1HHQD0</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368</w:t>
            </w: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40" w:type="dxa"/>
            <w:vAlign w:val="bottom"/>
            <w:vMerge w:val="continue"/>
          </w:tcPr>
          <w:p>
            <w:pPr>
              <w:spacing w:after="0"/>
              <w:rPr>
                <w:sz w:val="8"/>
                <w:szCs w:val="8"/>
                <w:color w:val="auto"/>
              </w:rPr>
            </w:pPr>
          </w:p>
        </w:tc>
        <w:tc>
          <w:tcPr>
            <w:tcW w:w="680" w:type="dxa"/>
            <w:vAlign w:val="bottom"/>
            <w:tcBorders>
              <w:bottom w:val="single" w:sz="8" w:color="4454A7"/>
            </w:tcBorders>
            <w:vMerge w:val="continue"/>
          </w:tcPr>
          <w:p>
            <w:pPr>
              <w:spacing w:after="0"/>
              <w:rPr>
                <w:sz w:val="8"/>
                <w:szCs w:val="8"/>
                <w:color w:val="auto"/>
              </w:rPr>
            </w:pPr>
          </w:p>
        </w:tc>
        <w:tc>
          <w:tcPr>
            <w:tcW w:w="600" w:type="dxa"/>
            <w:vAlign w:val="bottom"/>
            <w:tcBorders>
              <w:bottom w:val="single" w:sz="8" w:color="4454A7"/>
            </w:tcBorders>
          </w:tcPr>
          <w:p>
            <w:pPr>
              <w:spacing w:after="0"/>
              <w:rPr>
                <w:sz w:val="8"/>
                <w:szCs w:val="8"/>
                <w:color w:val="auto"/>
              </w:rPr>
            </w:pPr>
          </w:p>
        </w:tc>
        <w:tc>
          <w:tcPr>
            <w:tcW w:w="18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58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80" w:type="dxa"/>
            <w:vAlign w:val="bottom"/>
            <w:tcBorders>
              <w:bottom w:val="single" w:sz="8" w:color="4454A7"/>
            </w:tcBorders>
          </w:tcPr>
          <w:p>
            <w:pPr>
              <w:spacing w:after="0"/>
              <w:rPr>
                <w:sz w:val="8"/>
                <w:szCs w:val="8"/>
                <w:color w:val="auto"/>
              </w:rPr>
            </w:pPr>
          </w:p>
        </w:tc>
        <w:tc>
          <w:tcPr>
            <w:tcW w:w="7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3DWLO</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83"/>
              </w:rPr>
              <w:t>5HWHQWLRQ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33"/>
        </w:trPr>
        <w:tc>
          <w:tcPr>
            <w:tcW w:w="84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ind w:left="40"/>
              <w:spacing w:after="0" w:line="133"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66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&amp;DVK</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00" w:type="dxa"/>
            <w:vAlign w:val="bottom"/>
            <w:tcBorders>
              <w:bottom w:val="single" w:sz="8" w:color="4454A7"/>
            </w:tcBorders>
          </w:tcPr>
          <w:p>
            <w:pPr>
              <w:spacing w:after="0"/>
              <w:rPr>
                <w:sz w:val="2"/>
                <w:szCs w:val="2"/>
                <w:color w:val="auto"/>
              </w:rPr>
            </w:pPr>
          </w:p>
        </w:tc>
        <w:tc>
          <w:tcPr>
            <w:tcW w:w="180" w:type="dxa"/>
            <w:vAlign w:val="bottom"/>
            <w:tcBorders>
              <w:bottom w:val="single" w:sz="8" w:color="4454A7"/>
            </w:tcBorders>
          </w:tcPr>
          <w:p>
            <w:pPr>
              <w:spacing w:after="0"/>
              <w:rPr>
                <w:sz w:val="2"/>
                <w:szCs w:val="2"/>
                <w:color w:val="auto"/>
              </w:rPr>
            </w:pPr>
          </w:p>
        </w:tc>
        <w:tc>
          <w:tcPr>
            <w:tcW w:w="72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6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580" w:type="dxa"/>
            <w:vAlign w:val="bottom"/>
            <w:tcBorders>
              <w:bottom w:val="single" w:sz="8" w:color="4454A7"/>
            </w:tcBorders>
          </w:tcPr>
          <w:p>
            <w:pPr>
              <w:spacing w:after="0"/>
              <w:rPr>
                <w:sz w:val="2"/>
                <w:szCs w:val="2"/>
                <w:color w:val="auto"/>
              </w:rPr>
            </w:pPr>
          </w:p>
        </w:tc>
        <w:tc>
          <w:tcPr>
            <w:tcW w:w="680" w:type="dxa"/>
            <w:vAlign w:val="bottom"/>
            <w:tcBorders>
              <w:bottom w:val="single" w:sz="8" w:color="4454A7"/>
            </w:tcBorders>
          </w:tcPr>
          <w:p>
            <w:pPr>
              <w:spacing w:after="0"/>
              <w:rPr>
                <w:sz w:val="2"/>
                <w:szCs w:val="2"/>
                <w:color w:val="auto"/>
              </w:rPr>
            </w:pPr>
          </w:p>
        </w:tc>
        <w:tc>
          <w:tcPr>
            <w:tcW w:w="86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76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580" w:type="dxa"/>
            <w:vAlign w:val="bottom"/>
            <w:vMerge w:val="restart"/>
          </w:tcPr>
          <w:p>
            <w:pPr>
              <w:jc w:val="right"/>
              <w:ind w:right="40"/>
              <w:spacing w:after="0"/>
              <w:rPr>
                <w:sz w:val="20"/>
                <w:szCs w:val="20"/>
                <w:color w:val="auto"/>
              </w:rPr>
            </w:pPr>
            <w:r>
              <w:rPr>
                <w:rFonts w:ascii="PMingLiU" w:cs="PMingLiU" w:eastAsia="PMingLiU" w:hAnsi="PMingLiU"/>
                <w:sz w:val="12"/>
                <w:szCs w:val="12"/>
                <w:color w:val="auto"/>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87"/>
        </w:trPr>
        <w:tc>
          <w:tcPr>
            <w:tcW w:w="840" w:type="dxa"/>
            <w:vAlign w:val="bottom"/>
            <w:vMerge w:val="restart"/>
          </w:tcPr>
          <w:p>
            <w:pPr>
              <w:ind w:left="100"/>
              <w:spacing w:after="0"/>
              <w:rPr>
                <w:sz w:val="20"/>
                <w:szCs w:val="20"/>
                <w:color w:val="auto"/>
              </w:rPr>
            </w:pPr>
            <w:r>
              <w:rPr>
                <w:rFonts w:ascii="PMingLiU" w:cs="PMingLiU" w:eastAsia="PMingLiU" w:hAnsi="PMingLiU"/>
                <w:sz w:val="12"/>
                <w:szCs w:val="12"/>
                <w:b w:val="1"/>
                <w:bCs w:val="1"/>
                <w:color w:val="5C004D"/>
              </w:rPr>
              <w:t>6DPDQWKD</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368</w:t>
            </w: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40" w:type="dxa"/>
            <w:vAlign w:val="bottom"/>
            <w:vMerge w:val="continue"/>
          </w:tcPr>
          <w:p>
            <w:pPr>
              <w:spacing w:after="0"/>
              <w:rPr>
                <w:sz w:val="8"/>
                <w:szCs w:val="8"/>
                <w:color w:val="auto"/>
              </w:rPr>
            </w:pPr>
          </w:p>
        </w:tc>
        <w:tc>
          <w:tcPr>
            <w:tcW w:w="680" w:type="dxa"/>
            <w:vAlign w:val="bottom"/>
            <w:tcBorders>
              <w:bottom w:val="single" w:sz="8" w:color="4454A7"/>
            </w:tcBorders>
            <w:vMerge w:val="continue"/>
          </w:tcPr>
          <w:p>
            <w:pPr>
              <w:spacing w:after="0"/>
              <w:rPr>
                <w:sz w:val="8"/>
                <w:szCs w:val="8"/>
                <w:color w:val="auto"/>
              </w:rPr>
            </w:pPr>
          </w:p>
        </w:tc>
        <w:tc>
          <w:tcPr>
            <w:tcW w:w="600" w:type="dxa"/>
            <w:vAlign w:val="bottom"/>
            <w:tcBorders>
              <w:bottom w:val="single" w:sz="8" w:color="4454A7"/>
            </w:tcBorders>
          </w:tcPr>
          <w:p>
            <w:pPr>
              <w:spacing w:after="0"/>
              <w:rPr>
                <w:sz w:val="8"/>
                <w:szCs w:val="8"/>
                <w:color w:val="auto"/>
              </w:rPr>
            </w:pPr>
          </w:p>
        </w:tc>
        <w:tc>
          <w:tcPr>
            <w:tcW w:w="180" w:type="dxa"/>
            <w:vAlign w:val="bottom"/>
            <w:tcBorders>
              <w:bottom w:val="single" w:sz="8" w:color="4454A7"/>
            </w:tcBorders>
          </w:tcPr>
          <w:p>
            <w:pPr>
              <w:spacing w:after="0"/>
              <w:rPr>
                <w:sz w:val="8"/>
                <w:szCs w:val="8"/>
                <w:color w:val="auto"/>
              </w:rPr>
            </w:pPr>
          </w:p>
        </w:tc>
        <w:tc>
          <w:tcPr>
            <w:tcW w:w="72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6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580" w:type="dxa"/>
            <w:vAlign w:val="bottom"/>
            <w:tcBorders>
              <w:bottom w:val="single" w:sz="8" w:color="4454A7"/>
            </w:tcBorders>
          </w:tcPr>
          <w:p>
            <w:pPr>
              <w:spacing w:after="0"/>
              <w:rPr>
                <w:sz w:val="8"/>
                <w:szCs w:val="8"/>
                <w:color w:val="auto"/>
              </w:rPr>
            </w:pPr>
          </w:p>
        </w:tc>
        <w:tc>
          <w:tcPr>
            <w:tcW w:w="680" w:type="dxa"/>
            <w:vAlign w:val="bottom"/>
            <w:tcBorders>
              <w:bottom w:val="single" w:sz="8" w:color="4454A7"/>
            </w:tcBorders>
          </w:tcPr>
          <w:p>
            <w:pPr>
              <w:spacing w:after="0"/>
              <w:rPr>
                <w:sz w:val="8"/>
                <w:szCs w:val="8"/>
                <w:color w:val="auto"/>
              </w:rPr>
            </w:pPr>
          </w:p>
        </w:tc>
        <w:tc>
          <w:tcPr>
            <w:tcW w:w="860" w:type="dxa"/>
            <w:vAlign w:val="bottom"/>
            <w:tcBorders>
              <w:bottom w:val="single" w:sz="8" w:color="4454A7"/>
            </w:tcBorders>
          </w:tcPr>
          <w:p>
            <w:pPr>
              <w:spacing w:after="0"/>
              <w:rPr>
                <w:sz w:val="8"/>
                <w:szCs w:val="8"/>
                <w:color w:val="auto"/>
              </w:rPr>
            </w:pPr>
          </w:p>
        </w:tc>
        <w:tc>
          <w:tcPr>
            <w:tcW w:w="780" w:type="dxa"/>
            <w:vAlign w:val="bottom"/>
            <w:tcBorders>
              <w:bottom w:val="single" w:sz="8" w:color="4454A7"/>
            </w:tcBorders>
          </w:tcPr>
          <w:p>
            <w:pPr>
              <w:spacing w:after="0"/>
              <w:rPr>
                <w:sz w:val="8"/>
                <w:szCs w:val="8"/>
                <w:color w:val="auto"/>
              </w:rPr>
            </w:pPr>
          </w:p>
        </w:tc>
        <w:tc>
          <w:tcPr>
            <w:tcW w:w="7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40" w:type="dxa"/>
            <w:vAlign w:val="bottom"/>
          </w:tcPr>
          <w:p>
            <w:pPr>
              <w:ind w:left="100"/>
              <w:spacing w:after="0"/>
              <w:rPr>
                <w:sz w:val="20"/>
                <w:szCs w:val="20"/>
                <w:color w:val="auto"/>
              </w:rPr>
            </w:pPr>
            <w:r>
              <w:rPr>
                <w:rFonts w:ascii="PMingLiU" w:cs="PMingLiU" w:eastAsia="PMingLiU" w:hAnsi="PMingLiU"/>
                <w:sz w:val="12"/>
                <w:szCs w:val="12"/>
                <w:b w:val="1"/>
                <w:bCs w:val="1"/>
                <w:color w:val="5C004D"/>
              </w:rPr>
              <w:t>3HDUFH</w:t>
            </w:r>
          </w:p>
        </w:tc>
        <w:tc>
          <w:tcPr>
            <w:tcW w:w="680" w:type="dxa"/>
            <w:vAlign w:val="bottom"/>
            <w:vMerge w:val="restart"/>
          </w:tcPr>
          <w:p>
            <w:pPr>
              <w:ind w:left="40"/>
              <w:spacing w:after="0"/>
              <w:rPr>
                <w:sz w:val="20"/>
                <w:szCs w:val="20"/>
                <w:color w:val="auto"/>
              </w:rPr>
            </w:pPr>
            <w:r>
              <w:rPr>
                <w:rFonts w:ascii="PMingLiU" w:cs="PMingLiU" w:eastAsia="PMingLiU" w:hAnsi="PMingLiU"/>
                <w:sz w:val="12"/>
                <w:szCs w:val="12"/>
                <w:color w:val="auto"/>
              </w:rPr>
              <w:t>$QQXDO</w:t>
            </w:r>
          </w:p>
        </w:tc>
        <w:tc>
          <w:tcPr>
            <w:tcW w:w="780" w:type="dxa"/>
            <w:vAlign w:val="bottom"/>
            <w:gridSpan w:val="2"/>
            <w:vMerge w:val="restart"/>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vMerge w:val="restart"/>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60"/>
        </w:trPr>
        <w:tc>
          <w:tcPr>
            <w:tcW w:w="8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680" w:type="dxa"/>
            <w:vAlign w:val="bottom"/>
            <w:tcBorders>
              <w:bottom w:val="single" w:sz="8" w:color="4454A7"/>
            </w:tcBorders>
          </w:tcPr>
          <w:p>
            <w:pPr>
              <w:ind w:left="40"/>
              <w:spacing w:after="0" w:line="135"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4454A7"/>
            </w:tcBorders>
          </w:tcPr>
          <w:p>
            <w:pPr>
              <w:spacing w:after="0"/>
              <w:rPr>
                <w:sz w:val="11"/>
                <w:szCs w:val="11"/>
                <w:color w:val="auto"/>
              </w:rPr>
            </w:pPr>
          </w:p>
        </w:tc>
        <w:tc>
          <w:tcPr>
            <w:tcW w:w="180" w:type="dxa"/>
            <w:vAlign w:val="bottom"/>
            <w:tcBorders>
              <w:bottom w:val="single" w:sz="8" w:color="4454A7"/>
            </w:tcBorders>
          </w:tcPr>
          <w:p>
            <w:pPr>
              <w:spacing w:after="0"/>
              <w:rPr>
                <w:sz w:val="11"/>
                <w:szCs w:val="11"/>
                <w:color w:val="auto"/>
              </w:rPr>
            </w:pPr>
          </w:p>
        </w:tc>
        <w:tc>
          <w:tcPr>
            <w:tcW w:w="72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6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580" w:type="dxa"/>
            <w:vAlign w:val="bottom"/>
            <w:tcBorders>
              <w:bottom w:val="single" w:sz="8" w:color="4454A7"/>
            </w:tcBorders>
          </w:tcPr>
          <w:p>
            <w:pPr>
              <w:spacing w:after="0"/>
              <w:rPr>
                <w:sz w:val="11"/>
                <w:szCs w:val="11"/>
                <w:color w:val="auto"/>
              </w:rPr>
            </w:pPr>
          </w:p>
        </w:tc>
        <w:tc>
          <w:tcPr>
            <w:tcW w:w="680" w:type="dxa"/>
            <w:vAlign w:val="bottom"/>
            <w:tcBorders>
              <w:bottom w:val="single" w:sz="8" w:color="4454A7"/>
            </w:tcBorders>
          </w:tcPr>
          <w:p>
            <w:pPr>
              <w:spacing w:after="0"/>
              <w:rPr>
                <w:sz w:val="11"/>
                <w:szCs w:val="11"/>
                <w:color w:val="auto"/>
              </w:rPr>
            </w:pPr>
          </w:p>
        </w:tc>
        <w:tc>
          <w:tcPr>
            <w:tcW w:w="860" w:type="dxa"/>
            <w:vAlign w:val="bottom"/>
            <w:tcBorders>
              <w:bottom w:val="single" w:sz="8" w:color="4454A7"/>
            </w:tcBorders>
          </w:tcPr>
          <w:p>
            <w:pPr>
              <w:spacing w:after="0"/>
              <w:rPr>
                <w:sz w:val="11"/>
                <w:szCs w:val="11"/>
                <w:color w:val="auto"/>
              </w:rPr>
            </w:pPr>
          </w:p>
        </w:tc>
        <w:tc>
          <w:tcPr>
            <w:tcW w:w="780" w:type="dxa"/>
            <w:vAlign w:val="bottom"/>
            <w:tcBorders>
              <w:bottom w:val="single" w:sz="8" w:color="4454A7"/>
            </w:tcBorders>
          </w:tcPr>
          <w:p>
            <w:pPr>
              <w:spacing w:after="0"/>
              <w:rPr>
                <w:sz w:val="11"/>
                <w:szCs w:val="11"/>
                <w:color w:val="auto"/>
              </w:rPr>
            </w:pPr>
          </w:p>
        </w:tc>
        <w:tc>
          <w:tcPr>
            <w:tcW w:w="760" w:type="dxa"/>
            <w:vAlign w:val="bottom"/>
            <w:tcBorders>
              <w:bottom w:val="single" w:sz="8" w:color="4454A7"/>
            </w:tcBorders>
          </w:tcPr>
          <w:p>
            <w:pPr>
              <w:spacing w:after="0"/>
              <w:rPr>
                <w:sz w:val="11"/>
                <w:szCs w:val="11"/>
                <w:color w:val="auto"/>
              </w:rPr>
            </w:pPr>
          </w:p>
        </w:tc>
        <w:tc>
          <w:tcPr>
            <w:tcW w:w="880" w:type="dxa"/>
            <w:vAlign w:val="bottom"/>
            <w:tcBorders>
              <w:bottom w:val="single" w:sz="8" w:color="4454A7"/>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PMingLiU" w:cs="PMingLiU" w:eastAsia="PMingLiU" w:hAnsi="PMingLiU"/>
                <w:sz w:val="12"/>
                <w:szCs w:val="12"/>
                <w:color w:val="auto"/>
                <w:w w:val="83"/>
              </w:rPr>
              <w:t>5HWHQWLRQ</w:t>
            </w:r>
          </w:p>
        </w:tc>
        <w:tc>
          <w:tcPr>
            <w:tcW w:w="780" w:type="dxa"/>
            <w:vAlign w:val="bottom"/>
            <w:gridSpan w:val="2"/>
          </w:tcPr>
          <w:p>
            <w:pPr>
              <w:jc w:val="center"/>
              <w:spacing w:after="0"/>
              <w:rPr>
                <w:sz w:val="20"/>
                <w:szCs w:val="20"/>
                <w:color w:val="auto"/>
              </w:rPr>
            </w:pPr>
            <w:r>
              <w:rPr>
                <w:rFonts w:ascii="PMingLiU" w:cs="PMingLiU" w:eastAsia="PMingLiU" w:hAnsi="PMingLiU"/>
                <w:sz w:val="12"/>
                <w:szCs w:val="12"/>
                <w:color w:val="auto"/>
              </w:rPr>
              <w:t/>
            </w:r>
            <w:r>
              <w:rPr>
                <w:rFonts w:ascii="PMingLiU" w:cs="PMingLiU" w:eastAsia="PMingLiU" w:hAnsi="PMingLiU"/>
                <w:sz w:val="15"/>
                <w:szCs w:val="15"/>
                <w:color w:val="auto"/>
                <w:vertAlign w:val="superscript"/>
              </w:rPr>
              <w:t/>
            </w:r>
          </w:p>
        </w:tc>
        <w:tc>
          <w:tcPr>
            <w:tcW w:w="720" w:type="dxa"/>
            <w:vAlign w:val="bottom"/>
          </w:tcPr>
          <w:p>
            <w:pPr>
              <w:jc w:val="center"/>
              <w:spacing w:after="0"/>
              <w:rPr>
                <w:sz w:val="20"/>
                <w:szCs w:val="20"/>
                <w:color w:val="auto"/>
              </w:rPr>
            </w:pPr>
            <w:r>
              <w:rPr>
                <w:rFonts w:ascii="PMingLiU" w:cs="PMingLiU" w:eastAsia="PMingLiU" w:hAnsi="PMingLiU"/>
                <w:sz w:val="12"/>
                <w:szCs w:val="12"/>
                <w:color w:val="auto"/>
              </w:rPr>
              <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28"/>
        </w:trPr>
        <w:tc>
          <w:tcPr>
            <w:tcW w:w="840" w:type="dxa"/>
            <w:vAlign w:val="bottom"/>
            <w:tcBorders>
              <w:bottom w:val="single" w:sz="8" w:color="5C004D"/>
            </w:tcBorders>
          </w:tcPr>
          <w:p>
            <w:pPr>
              <w:spacing w:after="0"/>
              <w:rPr>
                <w:sz w:val="11"/>
                <w:szCs w:val="11"/>
                <w:color w:val="auto"/>
              </w:rPr>
            </w:pPr>
          </w:p>
        </w:tc>
        <w:tc>
          <w:tcPr>
            <w:tcW w:w="680" w:type="dxa"/>
            <w:vAlign w:val="bottom"/>
            <w:tcBorders>
              <w:bottom w:val="single" w:sz="8" w:color="5C004D"/>
            </w:tcBorders>
          </w:tcPr>
          <w:p>
            <w:pPr>
              <w:ind w:left="40"/>
              <w:spacing w:after="0" w:line="128" w:lineRule="exact"/>
              <w:rPr>
                <w:sz w:val="20"/>
                <w:szCs w:val="20"/>
                <w:color w:val="auto"/>
              </w:rPr>
            </w:pPr>
            <w:r>
              <w:rPr>
                <w:rFonts w:ascii="PMingLiU" w:cs="PMingLiU" w:eastAsia="PMingLiU" w:hAnsi="PMingLiU"/>
                <w:sz w:val="12"/>
                <w:szCs w:val="12"/>
                <w:color w:val="auto"/>
              </w:rPr>
              <w:t>568</w:t>
            </w:r>
          </w:p>
        </w:tc>
        <w:tc>
          <w:tcPr>
            <w:tcW w:w="600" w:type="dxa"/>
            <w:vAlign w:val="bottom"/>
            <w:tcBorders>
              <w:bottom w:val="single" w:sz="8" w:color="5C004D"/>
            </w:tcBorders>
          </w:tcPr>
          <w:p>
            <w:pPr>
              <w:spacing w:after="0"/>
              <w:rPr>
                <w:sz w:val="11"/>
                <w:szCs w:val="11"/>
                <w:color w:val="auto"/>
              </w:rPr>
            </w:pPr>
          </w:p>
        </w:tc>
        <w:tc>
          <w:tcPr>
            <w:tcW w:w="180" w:type="dxa"/>
            <w:vAlign w:val="bottom"/>
            <w:tcBorders>
              <w:bottom w:val="single" w:sz="8" w:color="5C004D"/>
            </w:tcBorders>
          </w:tcPr>
          <w:p>
            <w:pPr>
              <w:spacing w:after="0"/>
              <w:rPr>
                <w:sz w:val="11"/>
                <w:szCs w:val="11"/>
                <w:color w:val="auto"/>
              </w:rPr>
            </w:pPr>
          </w:p>
        </w:tc>
        <w:tc>
          <w:tcPr>
            <w:tcW w:w="720" w:type="dxa"/>
            <w:vAlign w:val="bottom"/>
            <w:tcBorders>
              <w:bottom w:val="single" w:sz="8" w:color="5C004D"/>
            </w:tcBorders>
          </w:tcPr>
          <w:p>
            <w:pPr>
              <w:spacing w:after="0"/>
              <w:rPr>
                <w:sz w:val="11"/>
                <w:szCs w:val="11"/>
                <w:color w:val="auto"/>
              </w:rPr>
            </w:pPr>
          </w:p>
        </w:tc>
        <w:tc>
          <w:tcPr>
            <w:tcW w:w="680" w:type="dxa"/>
            <w:vAlign w:val="bottom"/>
            <w:tcBorders>
              <w:bottom w:val="single" w:sz="8" w:color="5C004D"/>
            </w:tcBorders>
          </w:tcPr>
          <w:p>
            <w:pPr>
              <w:spacing w:after="0"/>
              <w:rPr>
                <w:sz w:val="11"/>
                <w:szCs w:val="11"/>
                <w:color w:val="auto"/>
              </w:rPr>
            </w:pPr>
          </w:p>
        </w:tc>
        <w:tc>
          <w:tcPr>
            <w:tcW w:w="660" w:type="dxa"/>
            <w:vAlign w:val="bottom"/>
            <w:tcBorders>
              <w:bottom w:val="single" w:sz="8" w:color="5C004D"/>
            </w:tcBorders>
          </w:tcPr>
          <w:p>
            <w:pPr>
              <w:spacing w:after="0"/>
              <w:rPr>
                <w:sz w:val="11"/>
                <w:szCs w:val="11"/>
                <w:color w:val="auto"/>
              </w:rPr>
            </w:pPr>
          </w:p>
        </w:tc>
        <w:tc>
          <w:tcPr>
            <w:tcW w:w="660" w:type="dxa"/>
            <w:vAlign w:val="bottom"/>
            <w:tcBorders>
              <w:bottom w:val="single" w:sz="8" w:color="5C004D"/>
            </w:tcBorders>
          </w:tcPr>
          <w:p>
            <w:pPr>
              <w:spacing w:after="0"/>
              <w:rPr>
                <w:sz w:val="11"/>
                <w:szCs w:val="11"/>
                <w:color w:val="auto"/>
              </w:rPr>
            </w:pPr>
          </w:p>
        </w:tc>
        <w:tc>
          <w:tcPr>
            <w:tcW w:w="880" w:type="dxa"/>
            <w:vAlign w:val="bottom"/>
            <w:tcBorders>
              <w:bottom w:val="single" w:sz="8" w:color="5C004D"/>
            </w:tcBorders>
          </w:tcPr>
          <w:p>
            <w:pPr>
              <w:spacing w:after="0"/>
              <w:rPr>
                <w:sz w:val="11"/>
                <w:szCs w:val="11"/>
                <w:color w:val="auto"/>
              </w:rPr>
            </w:pPr>
          </w:p>
        </w:tc>
        <w:tc>
          <w:tcPr>
            <w:tcW w:w="580" w:type="dxa"/>
            <w:vAlign w:val="bottom"/>
            <w:tcBorders>
              <w:bottom w:val="single" w:sz="8" w:color="5C004D"/>
            </w:tcBorders>
          </w:tcPr>
          <w:p>
            <w:pPr>
              <w:spacing w:after="0"/>
              <w:rPr>
                <w:sz w:val="11"/>
                <w:szCs w:val="11"/>
                <w:color w:val="auto"/>
              </w:rPr>
            </w:pPr>
          </w:p>
        </w:tc>
        <w:tc>
          <w:tcPr>
            <w:tcW w:w="680" w:type="dxa"/>
            <w:vAlign w:val="bottom"/>
            <w:tcBorders>
              <w:bottom w:val="single" w:sz="8" w:color="5C004D"/>
            </w:tcBorders>
          </w:tcPr>
          <w:p>
            <w:pPr>
              <w:spacing w:after="0"/>
              <w:rPr>
                <w:sz w:val="11"/>
                <w:szCs w:val="11"/>
                <w:color w:val="auto"/>
              </w:rPr>
            </w:pPr>
          </w:p>
        </w:tc>
        <w:tc>
          <w:tcPr>
            <w:tcW w:w="860" w:type="dxa"/>
            <w:vAlign w:val="bottom"/>
            <w:tcBorders>
              <w:bottom w:val="single" w:sz="8" w:color="5C004D"/>
            </w:tcBorders>
          </w:tcPr>
          <w:p>
            <w:pPr>
              <w:spacing w:after="0"/>
              <w:rPr>
                <w:sz w:val="11"/>
                <w:szCs w:val="11"/>
                <w:color w:val="auto"/>
              </w:rPr>
            </w:pPr>
          </w:p>
        </w:tc>
        <w:tc>
          <w:tcPr>
            <w:tcW w:w="780" w:type="dxa"/>
            <w:vAlign w:val="bottom"/>
            <w:tcBorders>
              <w:bottom w:val="single" w:sz="8" w:color="5C004D"/>
            </w:tcBorders>
          </w:tcPr>
          <w:p>
            <w:pPr>
              <w:spacing w:after="0"/>
              <w:rPr>
                <w:sz w:val="11"/>
                <w:szCs w:val="11"/>
                <w:color w:val="auto"/>
              </w:rPr>
            </w:pPr>
          </w:p>
        </w:tc>
        <w:tc>
          <w:tcPr>
            <w:tcW w:w="760" w:type="dxa"/>
            <w:vAlign w:val="bottom"/>
            <w:tcBorders>
              <w:bottom w:val="single" w:sz="8" w:color="5C004D"/>
            </w:tcBorders>
          </w:tcPr>
          <w:p>
            <w:pPr>
              <w:spacing w:after="0"/>
              <w:rPr>
                <w:sz w:val="11"/>
                <w:szCs w:val="11"/>
                <w:color w:val="auto"/>
              </w:rPr>
            </w:pPr>
          </w:p>
        </w:tc>
        <w:tc>
          <w:tcPr>
            <w:tcW w:w="880" w:type="dxa"/>
            <w:vAlign w:val="bottom"/>
            <w:tcBorders>
              <w:bottom w:val="single" w:sz="8" w:color="5C004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-6352540</wp:posOffset>
            </wp:positionV>
            <wp:extent cx="266382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309">
                      <a:extLst>
                        <a:ext uri="{28A0092B-C50C-407E-A947-70E740481C1C}"/>
                      </a:extLst>
                    </a:blip>
                    <a:srcRect/>
                    <a:stretch>
                      <a:fillRect/>
                    </a:stretch>
                  </pic:blipFill>
                  <pic:spPr bwMode="auto">
                    <a:xfrm>
                      <a:off x="0" y="0"/>
                      <a:ext cx="2663825" cy="25400"/>
                    </a:xfrm>
                    <a:prstGeom prst="rect">
                      <a:avLst/>
                    </a:prstGeom>
                    <a:noFill/>
                  </pic:spPr>
                </pic:pic>
              </a:graphicData>
            </a:graphic>
          </wp:anchor>
        </w:drawing>
      </w:r>
    </w:p>
    <w:p>
      <w:pPr>
        <w:spacing w:after="0" w:line="8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5"/>
          <w:szCs w:val="15"/>
          <w:color w:val="auto"/>
        </w:rPr>
        <w:t>7KLVFROXPQVHWVIRUWKWKHWDUJHWDQGPD[LPXPERQXVDPRXQWIRUHDFK1(2IRUWKH\HDUHQGHG'HFHPEHUXQGHURXU</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SHUIRUPDQFHERQXVSODQ7KHUHDUHQRWKUHVKROGDPRXQWVIRUHDFKLQGLYLGXDORIILFHUHVWDEOLVKHGXQGHURXUSHUIRUPDQFHERQXVSODQ7KH</w:t>
      </w:r>
    </w:p>
    <w:p>
      <w:pPr>
        <w:spacing w:after="0" w:line="24"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DPRXQWVVKRZQXQGHU³7DUJHW´UHIOHFWWKHDSSOLFDEOHWDUJHWSD\PHQWXQGHUWKHSHUIRUPDQFHERQXVSODQLILZHDFKLHYHGRIWKH</w:t>
      </w:r>
    </w:p>
    <w:p>
      <w:pPr>
        <w:spacing w:after="0" w:line="12"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SUHGHWHUPLQHGFRUSRUDWHJRDOVHVWDEOLVKHGE\RXU&amp;RPSHQVDWLRQ&amp;RPPLWWHHDQGLLDVDSSOLFDEOHHDFK1(2¶VLQGLYLGXDO</w:t>
      </w:r>
    </w:p>
    <w:p>
      <w:pPr>
        <w:spacing w:after="0" w:line="1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SHUIRUPDQFHSHUFHQWDJHZDVDVVHVVHGDWE\RXU&amp;RPSHQVDWLRQ&amp;RPPLWWHHZLWKUHVSHFWWRKLVRUKHUFRQWULEXWLRQVWRZDUGWKH</w:t>
      </w:r>
    </w:p>
    <w:p>
      <w:pPr>
        <w:spacing w:after="0" w:line="24"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DFKLHYHPHQWRIRXUFRUSRUDWHJRDOV7KHDPRXQWVVKRZQXQGHU³0D[LPXP´UHIOHFWWKHDSSOLFDEOHPD[LPXPSD\PHQWXQGHURXU</w:t>
      </w:r>
    </w:p>
    <w:p>
      <w:pPr>
        <w:ind w:left="360"/>
        <w:spacing w:after="0"/>
        <w:rPr>
          <w:sz w:val="20"/>
          <w:szCs w:val="20"/>
          <w:color w:val="auto"/>
        </w:rPr>
      </w:pPr>
      <w:r>
        <w:rPr>
          <w:rFonts w:ascii="PMingLiU" w:cs="PMingLiU" w:eastAsia="PMingLiU" w:hAnsi="PMingLiU"/>
          <w:sz w:val="15"/>
          <w:szCs w:val="15"/>
          <w:color w:val="auto"/>
        </w:rPr>
        <w:t>SHUIRUPDQFHERQXVSODQLILZHDFKLHYHGPD[LPXPSUHGHWHUPLQHGFRUSRUDWHJRDOVHVWDEOLVKHGE\RXU&amp;RPSHQVDWLRQ&amp;RPPLWWHH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204470</wp:posOffset>
            </wp:positionV>
            <wp:extent cx="1389380" cy="2343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310">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300"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440"/>
          </w:cols>
          <w:pgMar w:left="900" w:top="377" w:right="539" w:bottom="0" w:gutter="0" w:footer="0" w:header="0"/>
        </w:sectPr>
      </w:pPr>
    </w:p>
    <w:bookmarkStart w:id="88" w:name="page89"/>
    <w:bookmarkEnd w:id="88"/>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44" o:spid="_x0000_s1469"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8" w:lineRule="exact"/>
        <w:rPr>
          <w:sz w:val="20"/>
          <w:szCs w:val="20"/>
          <w:color w:val="auto"/>
        </w:rPr>
      </w:pPr>
    </w:p>
    <w:p>
      <w:pPr>
        <w:ind w:left="360"/>
        <w:spacing w:after="0" w:line="280" w:lineRule="auto"/>
        <w:rPr>
          <w:sz w:val="20"/>
          <w:szCs w:val="20"/>
          <w:color w:val="auto"/>
        </w:rPr>
      </w:pPr>
      <w:r>
        <w:rPr>
          <w:rFonts w:ascii="PMingLiU" w:cs="PMingLiU" w:eastAsia="PMingLiU" w:hAnsi="PMingLiU"/>
          <w:sz w:val="14"/>
          <w:szCs w:val="14"/>
          <w:color w:val="auto"/>
        </w:rPr>
        <w:t>DQGLLDVDSSOLFDEOHHDFK1(2DFKLHYHGPD[LPXPLQGLYLGXDOSHUIRUPDQFHDVDVVHVVHGE\RXU&amp;RPSHQVDWLRQ&amp;RPPLWWHHZLWKUHVSHFW WRKLVRUKHUFRQWULEXWLRQVWRZDUGWKHDFKLHYHPHQWRIRXUFRUSRUDWHJRDOVSURYLGHGKRZHYHUWKDWWKHERQXVSD\DEOHXQGHUWKH SHUIRUPDQFHERQXVSODQPD\QRWH[FHHGRIWKHRIILFHU¶VWDUJHWERQXVLQWKHFDVHRIWKH0V*DODRXU3UHVLGHQW&amp;(2DQG'LUHFWRU DQG0U&amp;R]DGGRXU&amp;KDLUSHUVRQDQGIRUPHU&amp;(2ZKRVHERQXVHVDUHGHWHUPLQHGVROHO\EDVHGRQFRUSRUDWHREMHFWLYHDFKLHYHPHQW</w:t>
      </w:r>
    </w:p>
    <w:p>
      <w:pPr>
        <w:spacing w:after="0" w:line="1" w:lineRule="exact"/>
        <w:rPr>
          <w:sz w:val="20"/>
          <w:szCs w:val="20"/>
          <w:color w:val="auto"/>
        </w:rPr>
      </w:pPr>
    </w:p>
    <w:p>
      <w:pPr>
        <w:ind w:left="360" w:right="40"/>
        <w:spacing w:after="0" w:line="295" w:lineRule="auto"/>
        <w:rPr>
          <w:sz w:val="20"/>
          <w:szCs w:val="20"/>
          <w:color w:val="auto"/>
        </w:rPr>
      </w:pPr>
      <w:r>
        <w:rPr>
          <w:rFonts w:ascii="PMingLiU" w:cs="PMingLiU" w:eastAsia="PMingLiU" w:hAnsi="PMingLiU"/>
          <w:sz w:val="13"/>
          <w:szCs w:val="13"/>
          <w:color w:val="auto"/>
        </w:rPr>
        <w:t>DQGIRUHDFKRWKHU1(27DUJHWERQXVHVZHUHVHWDVDSHUFHQWDJHRIHDFK1(2¶VEDVHVDODU\UDWHDVRI'HFHPEHUDQG RULJLQDOO\ZHUHIRUHDFKRI0V*DODDQG0U&amp;R]DGGDQGIRUHDFKRI0U-RKQVRQ'U,DQQRQH0V3DWLODQG0V3HDUFH 7KHGROODUYDOXHRIWKHDFWXDOERQXVDZDUGHDUQHGIRUWKH\HDUHQGHG'HFHPEHUIRUHDFK1(2LVVHWIRUWKLQWKH6XPPDU\ &amp;RPSHQVDWLRQ7DEOHDERYH$VVXFKWKHDPRXQWVVHWIRUWKLQWKLVFROXPQGRQRWUHSUHVHQWHLWKHUDGGLWLRQDORUDFWXDOFRPSHQVDWLRQ HDUQHGE\WKH1(2VIRUWKH\HDUHQGHG'HFHPEHU)RUDGHVFULSWLRQRIWKHSHUIRUPDQFHERQXVSODQVHH³</w:t>
      </w:r>
      <w:r>
        <w:rPr>
          <w:rFonts w:ascii="PMingLiU" w:cs="PMingLiU" w:eastAsia="PMingLiU" w:hAnsi="PMingLiU"/>
          <w:sz w:val="13"/>
          <w:szCs w:val="13"/>
          <w:i w:val="1"/>
          <w:iCs w:val="1"/>
          <w:color w:val="auto"/>
        </w:rPr>
        <w:t>536,49(:054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09*;99054(4+4(2?909 5(29-58(4+*/0,&lt;,3,4:5-  !,8-583(4*,(9,+536,49(:054  !,8-583(4*,54;9!85.8(3</w:t>
      </w:r>
      <w:r>
        <w:rPr>
          <w:rFonts w:ascii="PMingLiU" w:cs="PMingLiU" w:eastAsia="PMingLiU" w:hAnsi="PMingLiU"/>
          <w:sz w:val="13"/>
          <w:szCs w:val="13"/>
          <w:color w:val="auto"/>
        </w:rPr>
        <w:t>´</w:t>
      </w:r>
    </w:p>
    <w:p>
      <w:pPr>
        <w:spacing w:after="0" w:line="2"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DERYH</w:t>
      </w:r>
    </w:p>
    <w:p>
      <w:pPr>
        <w:spacing w:after="0" w:line="74" w:lineRule="exact"/>
        <w:rPr>
          <w:sz w:val="20"/>
          <w:szCs w:val="20"/>
          <w:color w:val="auto"/>
        </w:rPr>
      </w:pPr>
    </w:p>
    <w:p>
      <w:pPr>
        <w:ind w:left="360" w:right="220" w:hanging="359"/>
        <w:spacing w:after="0" w:line="279" w:lineRule="auto"/>
        <w:tabs>
          <w:tab w:leader="none" w:pos="340" w:val="left"/>
        </w:tabs>
        <w:rPr>
          <w:sz w:val="20"/>
          <w:szCs w:val="20"/>
          <w:color w:val="auto"/>
        </w:rPr>
      </w:pPr>
      <w:r>
        <w:rPr>
          <w:rFonts w:ascii="PMingLiU" w:cs="PMingLiU" w:eastAsia="PMingLiU" w:hAnsi="PMingLiU"/>
          <w:sz w:val="14"/>
          <w:szCs w:val="14"/>
          <w:color w:val="auto"/>
        </w:rPr>
        <w:t/>
        <w:tab/>
        <w:t>368DZDUGVZHUHJUDQWHGWRRXU1(2VRQ)HEUXDU\SXUVXDQWWRWKH3ODQZLWKWKHH[FHSWLRQRIWKHDGGLWLRQDO368V JUDQWHGWR0V*DODRQ$XJXVWLQFRQQHFWLRQZLWKKHUDSSRLQWPHQWDV3UHVLGHQWDQG&amp;(2(DFKRIWKH368DZDUGVYHVWV GHSHQGLQJRQWKHDFKLHYHPHQWRIIRXUREMHFWLYHSHUIRUPDQFHPHWULFVWREHDVVHVVHGRYHUDSHUIRUPDQFHSHULRGRI-DQXDU\WR 'HFHPEHULQFOXGLQJRXU&amp;RPSDQ\¶VUHODWLYH765IRUWKHWKUHH\HDUSHULRG7KHSHHUJURXSXVHGIRUSXUSRVHVRIFDOFXODWLQJ UHODWLYH765ZHLJKWHGDWLVWKH1DVGDT%LRWHFKQRORJ\,QGH[7KHSHUIRUPDQFHPHWULFZHLJKWHGDWLVFRPSULVHGRIFHUWDLQ</w:t>
      </w:r>
    </w:p>
    <w:p>
      <w:pPr>
        <w:ind w:left="360" w:right="80"/>
        <w:spacing w:after="0" w:line="320" w:lineRule="auto"/>
        <w:rPr>
          <w:sz w:val="20"/>
          <w:szCs w:val="20"/>
          <w:color w:val="auto"/>
        </w:rPr>
      </w:pPr>
      <w:r>
        <w:rPr>
          <w:rFonts w:ascii="PMingLiU" w:cs="PMingLiU" w:eastAsia="PMingLiU" w:hAnsi="PMingLiU"/>
          <w:sz w:val="12"/>
          <w:szCs w:val="12"/>
          <w:color w:val="auto"/>
        </w:rPr>
        <w:t>UHYHQXHPHWULFVSLSHOLQHUHDGRXWVDQGDSSURYDOVDQGFRUSRUDWHGHYHORSPHQWDFKLHYHPHQWVIXUWKHURXWOLQHGLQWKHRSHUDWLRQDOH[HFXWLRQ VFRUHFDUG7KHDPRXQWVVKRZQUHIOHFWWKHQXPEHURIVKDUHVWKDWPD\EHHDUQHGIRUWKUHVKROGSHUIRUPDQFHDWRIWDUJHWIRUWKH UHODWLYH765PHWULFWKHQXPEHURIVKDUHVWKDWPD\EHHDUQHGIRUWDUJHWSHUIRUPDQFHDWRIWDUJHWDQGWKHQXPEHURIVKDUHVWKDW PD\EHHDUQHGIRUPD[LPXPSHUIRUPDQFHDWRIWDUJHW)RUDGGLWLRQDOLQIRUPDWLRQRQ368VJUDQWHGWRRXU1(2VLQVHH</w:t>
      </w:r>
    </w:p>
    <w:p>
      <w:pPr>
        <w:spacing w:after="0" w:line="1" w:lineRule="exact"/>
        <w:rPr>
          <w:sz w:val="20"/>
          <w:szCs w:val="20"/>
          <w:color w:val="auto"/>
        </w:rPr>
      </w:pPr>
    </w:p>
    <w:p>
      <w:pPr>
        <w:ind w:left="360"/>
        <w:spacing w:after="0"/>
        <w:tabs>
          <w:tab w:leader="none" w:pos="3440" w:val="left"/>
          <w:tab w:leader="none" w:pos="6680" w:val="left"/>
        </w:tabs>
        <w:rPr>
          <w:sz w:val="20"/>
          <w:szCs w:val="20"/>
          <w:color w:val="auto"/>
        </w:rPr>
      </w:pPr>
      <w:r>
        <w:rPr>
          <w:rFonts w:ascii="PMingLiU" w:cs="PMingLiU" w:eastAsia="PMingLiU" w:hAnsi="PMingLiU"/>
          <w:sz w:val="16"/>
          <w:szCs w:val="16"/>
          <w:color w:val="auto"/>
        </w:rPr>
        <w:t>³</w:t>
      </w:r>
      <w:r>
        <w:rPr>
          <w:rFonts w:ascii="PMingLiU" w:cs="PMingLiU" w:eastAsia="PMingLiU" w:hAnsi="PMingLiU"/>
          <w:sz w:val="16"/>
          <w:szCs w:val="16"/>
          <w:i w:val="1"/>
          <w:iCs w:val="1"/>
          <w:color w:val="auto"/>
        </w:rPr>
        <w:t>536,49(:05409*;99054(4+4(2?909</w:t>
      </w:r>
      <w:r>
        <w:rPr>
          <w:sz w:val="20"/>
          <w:szCs w:val="20"/>
          <w:color w:val="auto"/>
        </w:rPr>
        <w:tab/>
      </w:r>
      <w:r>
        <w:rPr>
          <w:rFonts w:ascii="PMingLiU" w:cs="PMingLiU" w:eastAsia="PMingLiU" w:hAnsi="PMingLiU"/>
          <w:sz w:val="16"/>
          <w:szCs w:val="16"/>
          <w:i w:val="1"/>
          <w:iCs w:val="1"/>
          <w:color w:val="auto"/>
        </w:rPr>
        <w:t> 536,49(:054,*090549-58  ;8  9</w:t>
        <w:tab/>
        <w:t>54.$,834*,4:0&lt;,!85.8(3</w:t>
      </w:r>
      <w:r>
        <w:rPr>
          <w:rFonts w:ascii="PMingLiU" w:cs="PMingLiU" w:eastAsia="PMingLiU" w:hAnsi="PMingLiU"/>
          <w:sz w:val="16"/>
          <w:szCs w:val="16"/>
          <w:color w:val="auto"/>
        </w:rPr>
        <w:t>´DQG</w:t>
      </w:r>
    </w:p>
    <w:p>
      <w:pPr>
        <w:ind w:left="360"/>
        <w:spacing w:after="0"/>
        <w:tabs>
          <w:tab w:leader="none" w:pos="3340" w:val="left"/>
          <w:tab w:leader="none" w:pos="8640" w:val="left"/>
        </w:tabs>
        <w:rPr>
          <w:sz w:val="20"/>
          <w:szCs w:val="20"/>
          <w:color w:val="auto"/>
        </w:rPr>
      </w:pPr>
      <w:r>
        <w:rPr>
          <w:rFonts w:ascii="PMingLiU" w:cs="PMingLiU" w:eastAsia="PMingLiU" w:hAnsi="PMingLiU"/>
          <w:sz w:val="16"/>
          <w:szCs w:val="16"/>
          <w:color w:val="auto"/>
        </w:rPr>
        <w:t>³</w:t>
      </w:r>
      <w:r>
        <w:rPr>
          <w:rFonts w:ascii="PMingLiU" w:cs="PMingLiU" w:eastAsia="PMingLiU" w:hAnsi="PMingLiU"/>
          <w:sz w:val="16"/>
          <w:szCs w:val="16"/>
          <w:i w:val="1"/>
          <w:iCs w:val="1"/>
          <w:color w:val="auto"/>
        </w:rPr>
        <w:t>536,49(:05409*;99054(4+4(2?909</w:t>
      </w:r>
      <w:r>
        <w:rPr>
          <w:sz w:val="20"/>
          <w:szCs w:val="20"/>
          <w:color w:val="auto"/>
        </w:rPr>
        <w:tab/>
      </w:r>
      <w:r>
        <w:rPr>
          <w:rFonts w:ascii="PMingLiU" w:cs="PMingLiU" w:eastAsia="PMingLiU" w:hAnsi="PMingLiU"/>
          <w:sz w:val="16"/>
          <w:szCs w:val="16"/>
          <w:i w:val="1"/>
          <w:iCs w:val="1"/>
          <w:color w:val="auto"/>
        </w:rPr>
        <w:t>5(29-58(4+*/0,&lt;,3,4:5-  !,8-583(4*,(9,+536,49(:054</w:t>
        <w:tab/>
        <w:t> A  !#%</w:t>
      </w:r>
    </w:p>
    <w:p>
      <w:pPr>
        <w:ind w:left="360" w:right="180"/>
        <w:spacing w:after="0" w:line="369" w:lineRule="auto"/>
        <w:rPr>
          <w:sz w:val="20"/>
          <w:szCs w:val="20"/>
          <w:color w:val="auto"/>
        </w:rPr>
      </w:pPr>
      <w:r>
        <w:rPr>
          <w:rFonts w:ascii="PMingLiU" w:cs="PMingLiU" w:eastAsia="PMingLiU" w:hAnsi="PMingLiU"/>
          <w:sz w:val="14"/>
          <w:szCs w:val="14"/>
          <w:i w:val="1"/>
          <w:iCs w:val="1"/>
          <w:color w:val="auto"/>
        </w:rPr>
        <w:t>!85.8(3</w:t>
      </w:r>
      <w:r>
        <w:rPr>
          <w:rFonts w:ascii="PMingLiU" w:cs="PMingLiU" w:eastAsia="PMingLiU" w:hAnsi="PMingLiU"/>
          <w:sz w:val="14"/>
          <w:szCs w:val="14"/>
          <w:color w:val="auto"/>
        </w:rPr>
        <w:t>´DERYH7KH368DZDUGVDUHVXEMHFWWRSRWHQWLDOYHVWLQJDFFHOHUDWLRQDVGHVFULEHGEHORZXQGHUWKHKHDGLQJ³</w:t>
      </w:r>
      <w:r>
        <w:rPr>
          <w:rFonts w:ascii="PMingLiU" w:cs="PMingLiU" w:eastAsia="PMingLiU" w:hAnsi="PMingLiU"/>
          <w:sz w:val="14"/>
          <w:szCs w:val="14"/>
          <w:i w:val="1"/>
          <w:iCs w:val="1"/>
          <w:color w:val="auto"/>
        </w:rPr>
        <w:t>!5:,4:0(2 !(?3,4:9;654$,8304(:05458/(4.,0454:852 $8,(:3,4:5-    (4+  !#%9</w:t>
      </w:r>
      <w:r>
        <w:rPr>
          <w:rFonts w:ascii="PMingLiU" w:cs="PMingLiU" w:eastAsia="PMingLiU" w:hAnsi="PMingLiU"/>
          <w:sz w:val="14"/>
          <w:szCs w:val="14"/>
          <w:color w:val="auto"/>
        </w:rPr>
        <w:t>´DQG³</w:t>
      </w:r>
      <w:r>
        <w:rPr>
          <w:rFonts w:ascii="PMingLiU" w:cs="PMingLiU" w:eastAsia="PMingLiU" w:hAnsi="PMingLiU"/>
          <w:sz w:val="14"/>
          <w:szCs w:val="14"/>
          <w:i w:val="1"/>
          <w:iCs w:val="1"/>
          <w:color w:val="auto"/>
        </w:rPr>
        <w:t>,9*806:0545-536,49(:054 88(4.,3,4:9 7;0:?536,49(:05488(4.,3,4:9 7;0:?4*,4:0&lt;,!2(4</w:t>
      </w:r>
      <w:r>
        <w:rPr>
          <w:rFonts w:ascii="PMingLiU" w:cs="PMingLiU" w:eastAsia="PMingLiU" w:hAnsi="PMingLiU"/>
          <w:sz w:val="14"/>
          <w:szCs w:val="14"/>
          <w:color w:val="auto"/>
        </w:rPr>
        <w:t>´6HHDOVR³</w:t>
      </w:r>
      <w:r>
        <w:rPr>
          <w:rFonts w:ascii="PMingLiU" w:cs="PMingLiU" w:eastAsia="PMingLiU" w:hAnsi="PMingLiU"/>
          <w:sz w:val="14"/>
          <w:szCs w:val="14"/>
          <w:i w:val="1"/>
          <w:iCs w:val="1"/>
          <w:color w:val="auto"/>
        </w:rPr>
        <w:t>,9*806:0545-536,49(:054 88(4.,3,4:9 7;0:?536,49(:05488(4.,3,4:9 7;0:?4*,4:0&lt;,!2(4</w:t>
      </w:r>
      <w:r>
        <w:rPr>
          <w:rFonts w:ascii="PMingLiU" w:cs="PMingLiU" w:eastAsia="PMingLiU" w:hAnsi="PMingLiU"/>
          <w:sz w:val="14"/>
          <w:szCs w:val="14"/>
          <w:color w:val="auto"/>
        </w:rPr>
        <w:t>´EHORZIRUDJHQHUDOGHVFULSWLRQRIWKHPDWHULDOWHUPV</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RIWKH3ODQ</w:t>
      </w:r>
    </w:p>
    <w:p>
      <w:pPr>
        <w:spacing w:after="0" w:line="1" w:lineRule="exact"/>
        <w:rPr>
          <w:sz w:val="20"/>
          <w:szCs w:val="20"/>
          <w:color w:val="auto"/>
        </w:rPr>
      </w:pPr>
    </w:p>
    <w:p>
      <w:pPr>
        <w:jc w:val="center"/>
        <w:ind w:right="60"/>
        <w:spacing w:after="0"/>
        <w:tabs>
          <w:tab w:leader="none" w:pos="1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3"/>
          <w:szCs w:val="13"/>
          <w:color w:val="auto"/>
        </w:rPr>
        <w:t>7KHGROODUDPRXQWVLQWKLVFROXPQUHSUHVHQWWKHJUDQWGDWHIDLUYDOXHRIHDFK368DQG568DZDUGDVDSSOLFDEOHJUDQWHGWRWKH1(2VLQ</w:t>
      </w:r>
    </w:p>
    <w:p>
      <w:pPr>
        <w:spacing w:after="0" w:line="16" w:lineRule="exact"/>
        <w:rPr>
          <w:sz w:val="20"/>
          <w:szCs w:val="20"/>
          <w:color w:val="auto"/>
        </w:rPr>
      </w:pPr>
    </w:p>
    <w:p>
      <w:pPr>
        <w:ind w:left="360" w:right="100"/>
        <w:spacing w:after="0" w:line="295" w:lineRule="auto"/>
        <w:rPr>
          <w:sz w:val="20"/>
          <w:szCs w:val="20"/>
          <w:color w:val="auto"/>
        </w:rPr>
      </w:pPr>
      <w:r>
        <w:rPr>
          <w:rFonts w:ascii="PMingLiU" w:cs="PMingLiU" w:eastAsia="PMingLiU" w:hAnsi="PMingLiU"/>
          <w:sz w:val="13"/>
          <w:szCs w:val="13"/>
          <w:color w:val="auto"/>
        </w:rPr>
        <w:t>7KHVHDPRXQWVKDYHEHHQFDOFXODWHGLQDFFRUGDQFHZLWK)$6%$6&amp;7KHJUDQWGDWHIDLUYDOXHIRU568VLVEDVHGRQWKH FORVLQJSULFHRIRXURUGLQDU\VKDUHVRQWKHGDWHRIJUDQW7KHJUDQWGDWHIDLUYDOXHIRU368VLVFDOFXODWHGXVLQJD0RQWH&amp;DUORVLPXODWLRQ PRGHOIRUWKHYDOXHRIRIWKHQXPEHURI368VDQGWKHFORVLQJSULFHRIRXURUGLQDU\VKDUHVRQWKHGDWHRIWKHJUDQWIRUWKHYDOXHRI RIWKHQXPEHURI368V7KHVHDPRXQWVGRQRWQHFHVVDULO\FRUUHVSRQGWRWKHDFWXDOYDOXHUHFRJQL]HGRUWKDWPD\EHUHFRJQL]HGE\WKH 1(2V7KHIDLUYDOXHIRUHDFKDZDUGPD\GLIIHUEDVHGRQWKHDSSOLFDEOHGDWDDVVXPSWLRQVDQGHVWLPDWHVXVHGLQWKHPRGHO:LWK</w:t>
      </w:r>
    </w:p>
    <w:p>
      <w:pPr>
        <w:spacing w:after="0" w:line="2" w:lineRule="exact"/>
        <w:rPr>
          <w:sz w:val="20"/>
          <w:szCs w:val="20"/>
          <w:color w:val="auto"/>
        </w:rPr>
      </w:pPr>
    </w:p>
    <w:p>
      <w:pPr>
        <w:ind w:left="360" w:right="260"/>
        <w:spacing w:after="0" w:line="405" w:lineRule="auto"/>
        <w:rPr>
          <w:sz w:val="20"/>
          <w:szCs w:val="20"/>
          <w:color w:val="auto"/>
        </w:rPr>
      </w:pPr>
      <w:r>
        <w:rPr>
          <w:rFonts w:ascii="PMingLiU" w:cs="PMingLiU" w:eastAsia="PMingLiU" w:hAnsi="PMingLiU"/>
          <w:sz w:val="12"/>
          <w:szCs w:val="12"/>
          <w:color w:val="auto"/>
        </w:rPr>
        <w:t>UHVSHFWWR0U&amp;R]DGGWKHGROODUDPRXQWVLQWKLVFROXPQDOVRUHSUHVHQWWKHDJJUHJDWHLQFUHPHQWDOIDLUYDOXHFDOFXODWHGLQDFFRUGDQFH ZLWK)$6%$6&amp;LQFRQQHFWLRQZLWKWKHPRGLILFDWLRQLQRIVHYHUDORXWVWDQGLQJVWRFNRSWLRQDZDUGVKHOGE\0U&amp;R]DGGDV GHVFULEHGLQIRRWQRWHEHORZ</w:t>
      </w:r>
    </w:p>
    <w:p>
      <w:pPr>
        <w:spacing w:after="0" w:line="159" w:lineRule="exact"/>
        <w:rPr>
          <w:sz w:val="20"/>
          <w:szCs w:val="20"/>
          <w:color w:val="auto"/>
        </w:rPr>
      </w:pPr>
    </w:p>
    <w:p>
      <w:pPr>
        <w:ind w:left="360" w:right="140" w:hanging="359"/>
        <w:spacing w:after="0" w:line="293" w:lineRule="auto"/>
        <w:tabs>
          <w:tab w:leader="none" w:pos="34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Arial" w:cs="Arial" w:eastAsia="Arial" w:hAnsi="Arial"/>
          <w:sz w:val="17"/>
          <w:szCs w:val="17"/>
          <w:color w:val="auto"/>
        </w:rPr>
        <w:t>,</w:t>
      </w:r>
      <w:r>
        <w:rPr>
          <w:rFonts w:ascii="PMingLiU" w:cs="PMingLiU" w:eastAsia="PMingLiU" w:hAnsi="PMingLiU"/>
          <w:sz w:val="15"/>
          <w:szCs w:val="15"/>
          <w:color w:val="auto"/>
        </w:rPr>
        <w:t>QFRQQHFWLRQZLWKKHUDSSRLQWPHQWDV3UHVLGHQWDQG&amp;(2DVRI$XJXVW0V*DODUHFHLYHGDGGLWLRQDORQHWLPHSURPRWLRQ368</w:t>
      </w:r>
      <w:r>
        <w:rPr>
          <w:rFonts w:ascii="Arial" w:cs="Arial" w:eastAsia="Arial" w:hAnsi="Arial"/>
          <w:sz w:val="17"/>
          <w:szCs w:val="17"/>
          <w:color w:val="auto"/>
        </w:rPr>
        <w:t xml:space="preserve"> </w:t>
      </w:r>
      <w:r>
        <w:rPr>
          <w:rFonts w:ascii="PMingLiU" w:cs="PMingLiU" w:eastAsia="PMingLiU" w:hAnsi="PMingLiU"/>
          <w:sz w:val="15"/>
          <w:szCs w:val="15"/>
          <w:color w:val="auto"/>
        </w:rPr>
        <w:t>DQG568DZDUGVLQFUHPHQWDOWRKHUDQQXDOHTXLW\JUDQW</w:t>
      </w:r>
    </w:p>
    <w:p>
      <w:pPr>
        <w:spacing w:after="0" w:line="26" w:lineRule="exact"/>
        <w:rPr>
          <w:sz w:val="20"/>
          <w:szCs w:val="20"/>
          <w:color w:val="auto"/>
        </w:rPr>
      </w:pPr>
    </w:p>
    <w:p>
      <w:pPr>
        <w:ind w:left="360" w:right="60" w:hanging="359"/>
        <w:spacing w:after="0" w:line="312" w:lineRule="auto"/>
        <w:tabs>
          <w:tab w:leader="none" w:pos="340" w:val="left"/>
        </w:tabs>
        <w:rPr>
          <w:sz w:val="20"/>
          <w:szCs w:val="20"/>
          <w:color w:val="auto"/>
        </w:rPr>
      </w:pPr>
      <w:r>
        <w:rPr>
          <w:rFonts w:ascii="PMingLiU" w:cs="PMingLiU" w:eastAsia="PMingLiU" w:hAnsi="PMingLiU"/>
          <w:sz w:val="13"/>
          <w:szCs w:val="13"/>
          <w:color w:val="auto"/>
        </w:rPr>
        <w:t/>
        <w:tab/>
        <w:t>(DFKRIWKHDQQXDO568DZDUGVYHVWVLQIRXUHTXDODQQXDOLQVWDOOPHQWVRQWKHDQQLYHUVDU\RIWKHYHVWLQJFRPPHQFHPHQWGDWHRI0DUFK ZLWKWKHH[FHSWLRQRIWKH568VJUDQWHGWRL0V*DODRQ$XJXVWLQFRQQHFWLRQZLWKKHUDSSRLQWPHQWDV3UHVLGHQWDQG &amp;(2LL0U&amp;R]DGGRQ1RYHPEHULQFRQQHFWLRQZLWKKLVFRQWLQXHGVHUYLFHDV&amp;KDLUSHUVRQDQGLLLWKHUHWHQWLRQ568VJUDQWHG WRHDFKRIWKH1(2VH[FOXGLQJ0U&amp;R]DGGLQ)HEUXDU\$VDJHQHUDOPDWWHUWLPHEDVHG568VZLOOFHDVHYHVWLQJXSRQHDFK 1(2¶VODVWGD\RIVHUYLFH568DZDUGVDUHVXEMHFWWRSRWHQWLDOYHVWLQJDFFHOHUDWLRQDVGHVFULEHGEHORZXQGHUWKHKHDGLQJV³</w:t>
      </w:r>
      <w:r>
        <w:rPr>
          <w:rFonts w:ascii="PMingLiU" w:cs="PMingLiU" w:eastAsia="PMingLiU" w:hAnsi="PMingLiU"/>
          <w:sz w:val="13"/>
          <w:szCs w:val="13"/>
          <w:i w:val="1"/>
          <w:iCs w:val="1"/>
          <w:color w:val="auto"/>
        </w:rPr>
        <w:t>,9*806:054</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5-536,49(:05488(4.,3,4:9 7;0:?536,49(:05488(4.,3,4:9 7;0:?4*,4:0&lt;,!2(4</w:t>
      </w:r>
      <w:r>
        <w:rPr>
          <w:rFonts w:ascii="PMingLiU" w:cs="PMingLiU" w:eastAsia="PMingLiU" w:hAnsi="PMingLiU"/>
          <w:sz w:val="13"/>
          <w:szCs w:val="13"/>
          <w:color w:val="auto"/>
        </w:rPr>
        <w:t>´DQG³</w:t>
      </w:r>
      <w:r>
        <w:rPr>
          <w:rFonts w:ascii="PMingLiU" w:cs="PMingLiU" w:eastAsia="PMingLiU" w:hAnsi="PMingLiU"/>
          <w:sz w:val="13"/>
          <w:szCs w:val="13"/>
          <w:i w:val="1"/>
          <w:iCs w:val="1"/>
          <w:color w:val="auto"/>
        </w:rPr>
        <w:t>!5:,4:0(2!(?3,4:9;654 $,8304(:05458/(4.,0454:852 /(4.,0454:852!2(4</w:t>
      </w:r>
      <w:r>
        <w:rPr>
          <w:rFonts w:ascii="PMingLiU" w:cs="PMingLiU" w:eastAsia="PMingLiU" w:hAnsi="PMingLiU"/>
          <w:sz w:val="13"/>
          <w:szCs w:val="13"/>
          <w:color w:val="auto"/>
        </w:rPr>
        <w:t>´</w:t>
      </w:r>
    </w:p>
    <w:p>
      <w:pPr>
        <w:spacing w:after="0" w:line="218"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5HSUHVHQWVUHWHQWLRQ568DZDUGVZKLFKZLOOYHVWLQIXOORQ-XQHVXEMHFWWRFRQWLQXHGVHUYLFHWKURXJKVXFKGDWH</w:t>
      </w:r>
    </w:p>
    <w:p>
      <w:pPr>
        <w:spacing w:after="0" w:line="90" w:lineRule="exact"/>
        <w:rPr>
          <w:sz w:val="20"/>
          <w:szCs w:val="20"/>
          <w:color w:val="auto"/>
        </w:rPr>
      </w:pPr>
    </w:p>
    <w:p>
      <w:pPr>
        <w:ind w:left="360" w:right="80" w:hanging="359"/>
        <w:spacing w:after="0" w:line="337" w:lineRule="auto"/>
        <w:tabs>
          <w:tab w:leader="none" w:pos="340" w:val="left"/>
        </w:tabs>
        <w:rPr>
          <w:sz w:val="20"/>
          <w:szCs w:val="20"/>
          <w:color w:val="auto"/>
        </w:rPr>
      </w:pPr>
      <w:r>
        <w:rPr>
          <w:rFonts w:ascii="PMingLiU" w:cs="PMingLiU" w:eastAsia="PMingLiU" w:hAnsi="PMingLiU"/>
          <w:sz w:val="13"/>
          <w:szCs w:val="13"/>
          <w:color w:val="auto"/>
        </w:rPr>
        <w:t/>
        <w:tab/>
        <w:t>,QFRQQHFWLRQZLWKKLVFRQWLQXHGVHUYLFHDV&amp;KDLUSHUVRQIROORZLQJUHWLUHPHQWDV&amp;(20U&amp;R]DGGUHFHLYHGDSURUDWHGDQQXDOGLUHFWRU 568DZDUGZKLFKYHVWVLQIXOORQ-XO\VXEMHFWWRFRQWLQXHGVHUYLFHWKURXJKVXFKGDWH7KH'LUHFWRU568DZDUGJUDQWHGWR0U &amp;R]DGGLQ1RYHPEHUZDVJUDQWHGSXUVXDQWWRWKH'LUHFWRUV3ODQ</w:t>
      </w:r>
    </w:p>
    <w:p>
      <w:pPr>
        <w:spacing w:after="0" w:line="9" w:lineRule="exact"/>
        <w:rPr>
          <w:sz w:val="20"/>
          <w:szCs w:val="20"/>
          <w:color w:val="auto"/>
        </w:rPr>
      </w:pPr>
    </w:p>
    <w:p>
      <w:pPr>
        <w:ind w:left="360" w:right="20" w:hanging="359"/>
        <w:spacing w:after="0" w:line="287" w:lineRule="auto"/>
        <w:tabs>
          <w:tab w:leader="none" w:pos="340" w:val="left"/>
        </w:tabs>
        <w:rPr>
          <w:sz w:val="20"/>
          <w:szCs w:val="20"/>
          <w:color w:val="auto"/>
        </w:rPr>
      </w:pPr>
      <w:r>
        <w:rPr>
          <w:rFonts w:ascii="PMingLiU" w:cs="PMingLiU" w:eastAsia="PMingLiU" w:hAnsi="PMingLiU"/>
          <w:sz w:val="14"/>
          <w:szCs w:val="14"/>
          <w:color w:val="auto"/>
        </w:rPr>
        <w:t/>
        <w:tab/>
        <w:t>0U&amp;R]DGGZDVQRWJUDQWHGDQ\QHZVWRFNRSWLRQDZDUGVLQ7KHYDOXHLQWKLVURZUHSUHVHQWVWKHDJJUHJDWHLQFUHPHQWDOIDLUYDOXH FDOFXODWHGLQDFFRUGDQFHZLWK)$6%$6&amp;LQFRQQHFWLRQZLWKWKHPRGLILFDWLRQLQRIVHYHUDORXWVWDQGLQJVWRFNRSWLRQDZDUGVKHOG E\0U&amp;R]DGGDVGHVFULEHGXQGHU³</w:t>
      </w:r>
      <w:r>
        <w:rPr>
          <w:rFonts w:ascii="PMingLiU" w:cs="PMingLiU" w:eastAsia="PMingLiU" w:hAnsi="PMingLiU"/>
          <w:sz w:val="14"/>
          <w:szCs w:val="14"/>
          <w:i w:val="1"/>
          <w:iCs w:val="1"/>
          <w:color w:val="auto"/>
        </w:rPr>
        <w:t>536,49(:05409*;99054(4+4(2?909  536,49(:054,*090549-58 ;8 9 5+0-0*(:054</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 ;:9:(4+04.#:5*1 6:0549</w:t>
      </w:r>
      <w:r>
        <w:rPr>
          <w:rFonts w:ascii="PMingLiU" w:cs="PMingLiU" w:eastAsia="PMingLiU" w:hAnsi="PMingLiU"/>
          <w:sz w:val="14"/>
          <w:szCs w:val="14"/>
          <w:color w:val="auto"/>
        </w:rPr>
        <w:t>´7KHVWRFNRSWLRQDZDUGVWKDWZHUHPRGLILHGLQFOXGHWKHIROORZLQJVWRFNRSWLRQVZLWKDQH[HUFLVH</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SULFHRIVWRFNRSWLRQVZLWKDQH[HUFLVHSULFHRIVWRFNRSWLRQVZLWKDQH[HUFLVHSULFHRI VWRFNRSWLRQVZLWKDQH[HUFLVHSULFHRIDQGVWRFNRSWLRQVZLWKDQH[HUFLVHSULFHRI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1576070</wp:posOffset>
            </wp:positionV>
            <wp:extent cx="1386840" cy="2336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31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00"/>
          </w:cols>
          <w:pgMar w:left="900" w:top="377" w:right="879" w:bottom="0" w:gutter="0" w:footer="0" w:header="0"/>
        </w:sectPr>
      </w:pPr>
    </w:p>
    <w:bookmarkStart w:id="89" w:name="page90"/>
    <w:bookmarkEnd w:id="8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46" o:spid="_x0000_s1471"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'HVFULSWLRQRI&amp;RPSHQVDWLRQ$UUDQJHPHQWV</w:t>
      </w:r>
    </w:p>
    <w:p>
      <w:pPr>
        <w:spacing w:after="0" w:line="26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([HFXWLYH(PSOR\PHQWDQG6HYHUDQFH$JUHHPHQWV</w:t>
      </w:r>
    </w:p>
    <w:p>
      <w:pPr>
        <w:spacing w:after="0" w:line="191" w:lineRule="exact"/>
        <w:rPr>
          <w:sz w:val="20"/>
          <w:szCs w:val="20"/>
          <w:color w:val="auto"/>
        </w:rPr>
      </w:pPr>
    </w:p>
    <w:p>
      <w:pPr>
        <w:ind w:right="100"/>
        <w:spacing w:after="0" w:line="319" w:lineRule="auto"/>
        <w:rPr>
          <w:sz w:val="20"/>
          <w:szCs w:val="20"/>
          <w:color w:val="auto"/>
        </w:rPr>
      </w:pPr>
      <w:r>
        <w:rPr>
          <w:rFonts w:ascii="PMingLiU" w:cs="PMingLiU" w:eastAsia="PMingLiU" w:hAnsi="PMingLiU"/>
          <w:sz w:val="15"/>
          <w:szCs w:val="15"/>
          <w:color w:val="auto"/>
        </w:rPr>
        <w:t>:LWKWKHH[FHSWLRQRI0V*DODZHGRQRWKDYHHPSOR\PHQWDJUHHPHQWVFXUUHQWO\LQHIIHFWZLWKDQ\RIRXU1(2VEDVHGLQWKH 86/LNHRWKHUHPSOR\HHVVXFKH[HFXWLYHRIILFHUVDUHHOLJLEOHIRUDQQXDOVDODU\LQFUHDVHVSDUWLFLSDWLRQLQWKHSHUIRUPDQFH ERQXVSODQDQGGLVFUHWLRQDU\HTXLW\JUDQWV)URPWLPHWRWLPHZHKDYHSURYLGHGDQRIIHUOHWWHULQFRQQHFWLRQZLWKWKH FRPPHQFHPHQWRIHPSOR\PHQWRIDQH[HFXWLYHRIILFHUEDVHGLQWKH86ZKLFKGHVFULEHVVXFKH[HFXWLYHRIILFHU¶VLQLWLDOWHUPV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color w:val="auto"/>
        </w:rPr>
        <w:t>RIHPSOR\PHQW,QZHHQWHUHGLQWRRIIHUOHWWHUVZLWKHDFKRI0V3HDUFHDQG0U-RKQVRQ,QFRQQHFWLRQZLWK0U</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5"/>
          <w:szCs w:val="15"/>
          <w:color w:val="auto"/>
        </w:rPr>
        <w:t>-RKQVRQ¶VRIIHUOHWWHUZHDOVRHQWHUHGLQWRDVLJQRQERQXVUHSD\PHQWDJUHHPHQWZLWKKLPWKDWGHVFULEHVWKHWHUPVRIKLV</w:t>
      </w:r>
    </w:p>
    <w:p>
      <w:pPr>
        <w:spacing w:after="0" w:line="60" w:lineRule="exact"/>
        <w:rPr>
          <w:sz w:val="20"/>
          <w:szCs w:val="20"/>
          <w:color w:val="auto"/>
        </w:rPr>
      </w:pPr>
    </w:p>
    <w:p>
      <w:pPr>
        <w:spacing w:after="0"/>
        <w:tabs>
          <w:tab w:leader="none" w:pos="6720" w:val="left"/>
        </w:tabs>
        <w:rPr>
          <w:sz w:val="20"/>
          <w:szCs w:val="20"/>
          <w:color w:val="auto"/>
        </w:rPr>
      </w:pPr>
      <w:r>
        <w:rPr>
          <w:rFonts w:ascii="PMingLiU" w:cs="PMingLiU" w:eastAsia="PMingLiU" w:hAnsi="PMingLiU"/>
          <w:sz w:val="18"/>
          <w:szCs w:val="18"/>
          <w:color w:val="auto"/>
        </w:rPr>
        <w:t>VLJQLQJERQXVIRUPRUHLQIRUPDWLRQVHH³</w:t>
      </w:r>
      <w:r>
        <w:rPr>
          <w:rFonts w:ascii="PMingLiU" w:cs="PMingLiU" w:eastAsia="PMingLiU" w:hAnsi="PMingLiU"/>
          <w:sz w:val="18"/>
          <w:szCs w:val="18"/>
          <w:i w:val="1"/>
          <w:iCs w:val="1"/>
          <w:color w:val="auto"/>
        </w:rPr>
        <w:t>536,49(:05409*;99054(4+4(2?909</w:t>
      </w:r>
      <w:r>
        <w:rPr>
          <w:sz w:val="20"/>
          <w:szCs w:val="20"/>
          <w:color w:val="auto"/>
        </w:rPr>
        <w:tab/>
      </w:r>
      <w:r>
        <w:rPr>
          <w:rFonts w:ascii="PMingLiU" w:cs="PMingLiU" w:eastAsia="PMingLiU" w:hAnsi="PMingLiU"/>
          <w:sz w:val="18"/>
          <w:szCs w:val="18"/>
          <w:i w:val="1"/>
          <w:iCs w:val="1"/>
          <w:color w:val="auto"/>
        </w:rPr>
        <w:t> 536,49(:054,*090549-58  ;8</w:t>
      </w:r>
    </w:p>
    <w:p>
      <w:pPr>
        <w:spacing w:after="0" w:line="24" w:lineRule="exact"/>
        <w:rPr>
          <w:sz w:val="20"/>
          <w:szCs w:val="20"/>
          <w:color w:val="auto"/>
        </w:rPr>
      </w:pPr>
    </w:p>
    <w:p>
      <w:pPr>
        <w:spacing w:after="0"/>
        <w:tabs>
          <w:tab w:leader="none" w:pos="640" w:val="left"/>
        </w:tabs>
        <w:rPr>
          <w:sz w:val="20"/>
          <w:szCs w:val="20"/>
          <w:color w:val="auto"/>
        </w:rPr>
      </w:pPr>
      <w:r>
        <w:rPr>
          <w:rFonts w:ascii="PMingLiU" w:cs="PMingLiU" w:eastAsia="PMingLiU" w:hAnsi="PMingLiU"/>
          <w:sz w:val="18"/>
          <w:szCs w:val="18"/>
          <w:i w:val="1"/>
          <w:iCs w:val="1"/>
          <w:color w:val="auto"/>
        </w:rPr>
        <w:t>  9</w:t>
        <w:tab/>
        <w:t>4+0&lt;0+;(2  536,49(:054,*090549</w:t>
      </w:r>
      <w:r>
        <w:rPr>
          <w:rFonts w:ascii="PMingLiU" w:cs="PMingLiU" w:eastAsia="PMingLiU" w:hAnsi="PMingLiU"/>
          <w:sz w:val="18"/>
          <w:szCs w:val="18"/>
          <w:color w:val="auto"/>
        </w:rPr>
        <w:t>´DERYH</w:t>
      </w:r>
    </w:p>
    <w:p>
      <w:pPr>
        <w:spacing w:after="0" w:line="204" w:lineRule="exact"/>
        <w:rPr>
          <w:sz w:val="20"/>
          <w:szCs w:val="20"/>
          <w:color w:val="auto"/>
        </w:rPr>
      </w:pPr>
    </w:p>
    <w:p>
      <w:pPr>
        <w:ind w:right="160"/>
        <w:spacing w:after="0" w:line="319" w:lineRule="auto"/>
        <w:rPr>
          <w:sz w:val="20"/>
          <w:szCs w:val="20"/>
          <w:color w:val="auto"/>
        </w:rPr>
      </w:pPr>
      <w:r>
        <w:rPr>
          <w:rFonts w:ascii="PMingLiU" w:cs="PMingLiU" w:eastAsia="PMingLiU" w:hAnsi="PMingLiU"/>
          <w:sz w:val="15"/>
          <w:szCs w:val="15"/>
          <w:color w:val="auto"/>
        </w:rPr>
        <w:t>2Q-XO\ZHHQWHUHGLQWRD&amp;(2(PSOR\PHQW$JUHHPHQWZLWK0V*DODDSSRLQWLQJKHUDVWKH3UHVLGHQW&amp;(2DQG 'LUHFWRUHIIHFWLYH$XJXVW7KHDJUHHPHQWLQFOXGHG0V*DOD¶VLQLWLDOEDVHVDODU\GLVFUHWLRQDU\WDUJHWERQXVHTXLW\ JUDQWDQGVHYHUDQFHEHQHILWV3XUVXDQWWRWKH&amp;(2(PSOR\PHQW$JUHHPHQW0V*DODZLOOEHHQWLWOHGWRDFDVKVHYHUDQFH SD\PHQWHTXDOWRPRQWKVRIKHUEDVHVDODU\LQWKHFDVHRIDQLQYROXQWDU\WHUPLQDWLRQDVGHILQHGLQWKHDJUHHPHQW,Q DGGLWLRQ0V*DODZLOOEHHQWLWOHGWRDERQXVVHYHUDQFHSD\PHQWLIVKHLVHPSOR\HGZLWKRXU&amp;RPSDQ\RULWVDIILOLDWHVWKURXJK DWOHDVW-DQXDU\RIWKHFDOHQGDU\HDULQZKLFKDQLQYROXQWDU\WHUPLQDWLRQRFFXUV)XUWKHUPRUHLIWKHGDWHRILQYROXQWDU\</w:t>
      </w:r>
    </w:p>
    <w:p>
      <w:pPr>
        <w:spacing w:after="0" w:line="2" w:lineRule="exact"/>
        <w:rPr>
          <w:sz w:val="20"/>
          <w:szCs w:val="20"/>
          <w:color w:val="auto"/>
        </w:rPr>
      </w:pPr>
    </w:p>
    <w:p>
      <w:pPr>
        <w:ind w:right="260"/>
        <w:spacing w:after="0" w:line="676" w:lineRule="auto"/>
        <w:rPr>
          <w:sz w:val="20"/>
          <w:szCs w:val="20"/>
          <w:color w:val="auto"/>
        </w:rPr>
      </w:pPr>
      <w:r>
        <w:rPr>
          <w:rFonts w:ascii="PMingLiU" w:cs="PMingLiU" w:eastAsia="PMingLiU" w:hAnsi="PMingLiU"/>
          <w:sz w:val="14"/>
          <w:szCs w:val="14"/>
          <w:color w:val="auto"/>
        </w:rPr>
        <w:t>WHUPLQDWLRQRFFXUVLQWKHILUVWTXDUWHURIWKHFDOHQGDU\HDUDQGVXFKGDWHLVSULRUWRWKHVFKHGXOHGSD\PHQWGDWHIRUSUHYLRXV \HDUDQQXDOERQXVHV0V*DODZLOOUHFHLYHSD\PHQWRIWKHDQQXDOERQXVIRUVXFKSUHYLRXVFDOHQGDU\HDUDWWKHWDUJHW DPRXQW</w:t>
      </w:r>
    </w:p>
    <w:p>
      <w:pPr>
        <w:spacing w:after="0" w:line="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&amp;KDQJHLQ&amp;RQWURODQG6HYHUDQFH%HQHILWV</w:t>
      </w:r>
    </w:p>
    <w:p>
      <w:pPr>
        <w:spacing w:after="0" w:line="191" w:lineRule="exact"/>
        <w:rPr>
          <w:sz w:val="20"/>
          <w:szCs w:val="20"/>
          <w:color w:val="auto"/>
        </w:rPr>
      </w:pPr>
    </w:p>
    <w:p>
      <w:pPr>
        <w:ind w:right="300"/>
        <w:spacing w:after="0" w:line="311" w:lineRule="auto"/>
        <w:rPr>
          <w:sz w:val="20"/>
          <w:szCs w:val="20"/>
          <w:color w:val="auto"/>
        </w:rPr>
      </w:pPr>
      <w:r>
        <w:rPr>
          <w:rFonts w:ascii="PMingLiU" w:cs="PMingLiU" w:eastAsia="PMingLiU" w:hAnsi="PMingLiU"/>
          <w:sz w:val="16"/>
          <w:szCs w:val="16"/>
          <w:color w:val="auto"/>
        </w:rPr>
        <w:t>(DFKRIRXU1(2VLVDSDUWLFLSDQWLQWKH&amp;,&amp;3ODQDGHVFULSWLRQRIZKLFKLVLQFOXGHGEHORZXQGHUWKHKHDGLQJ³</w:t>
      </w:r>
      <w:r>
        <w:rPr>
          <w:rFonts w:ascii="PMingLiU" w:cs="PMingLiU" w:eastAsia="PMingLiU" w:hAnsi="PMingLiU"/>
          <w:sz w:val="16"/>
          <w:szCs w:val="16"/>
          <w:i w:val="1"/>
          <w:iCs w:val="1"/>
          <w:color w:val="auto"/>
        </w:rPr>
        <w:t>!5:,4:0(2</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!(?3,4:9;654$,8304(:05458/(4.,0454:852 /(4.,0454:852!2(4</w:t>
      </w:r>
      <w:r>
        <w:rPr>
          <w:rFonts w:ascii="PMingLiU" w:cs="PMingLiU" w:eastAsia="PMingLiU" w:hAnsi="PMingLiU"/>
          <w:sz w:val="16"/>
          <w:szCs w:val="16"/>
          <w:color w:val="auto"/>
        </w:rPr>
        <w:t>´(DFKRIRXU1(2VRWKHUWKDQ0U&amp;R]DGGRXU</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&amp;KDLUSHUVRQDQGIRUPHU&amp;(2DQG0V*DODRXU3UHVLGHQW&amp;(2DQG'LUHFWRULVDSDUWLFLSDQWLQWKH6HYHUDQFH3ODQD GHVFULSWLRQRIZKLFKLVLQFOXGHGEHORZXQGHUWKHKHDGLQJ³</w:t>
      </w:r>
      <w:r>
        <w:rPr>
          <w:rFonts w:ascii="PMingLiU" w:cs="PMingLiU" w:eastAsia="PMingLiU" w:hAnsi="PMingLiU"/>
          <w:sz w:val="16"/>
          <w:szCs w:val="16"/>
          <w:i w:val="1"/>
          <w:iCs w:val="1"/>
          <w:color w:val="auto"/>
        </w:rPr>
        <w:t>!5:,4:0(2!(?3,4:9;654$,8304(:05458/(4.,0454:852</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#,&lt;,8(4*,!2(4</w:t>
      </w:r>
      <w:r>
        <w:rPr>
          <w:rFonts w:ascii="PMingLiU" w:cs="PMingLiU" w:eastAsia="PMingLiU" w:hAnsi="PMingLiU"/>
          <w:sz w:val="16"/>
          <w:szCs w:val="16"/>
          <w:color w:val="auto"/>
        </w:rPr>
        <w:t>´0V*DODZDVDSDUWLFLSDQWLQWKH6HYHUDQFH3ODQZKLOHLQKHUUROHDV3UHVLGHQWDQG&amp;22XQWLOKHU</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DSSRLQWPHQWDV3UHVLGHQW&amp;(2DQG'LUHFWRULQ$XJXVW</w:t>
      </w:r>
    </w:p>
    <w:p>
      <w:pPr>
        <w:spacing w:after="0" w:line="173"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(TXLW\&amp;RPSHQVDWLRQ$UUDQJHPHQWV</w:t>
      </w:r>
    </w:p>
    <w:p>
      <w:pPr>
        <w:spacing w:after="0" w:line="191" w:lineRule="exact"/>
        <w:rPr>
          <w:sz w:val="20"/>
          <w:szCs w:val="20"/>
          <w:color w:val="auto"/>
        </w:rPr>
      </w:pPr>
    </w:p>
    <w:p>
      <w:pPr>
        <w:spacing w:after="0" w:line="1157" w:lineRule="auto"/>
        <w:rPr>
          <w:sz w:val="20"/>
          <w:szCs w:val="20"/>
          <w:color w:val="auto"/>
        </w:rPr>
      </w:pPr>
      <w:r>
        <w:rPr>
          <w:rFonts w:ascii="PMingLiU" w:cs="PMingLiU" w:eastAsia="PMingLiU" w:hAnsi="PMingLiU"/>
          <w:sz w:val="8"/>
          <w:szCs w:val="8"/>
          <w:color w:val="auto"/>
        </w:rPr>
        <w:t>6LQFHWKH$]XU0HUJHUZHKDYHJUDQWHGHTXLW\DZDUGVWRHPSOR\HHVLQFOXGLQJWKH1(2VRWKHUWKDQ0U&amp;R]DGG¶V'LUHFWRU 568DZDUGLQ1RYHPEHUZKLFKZDVJUDQWHGXQGHUWKH'LUHFWRUV3ODQXQGHUWKH3ODQ)URPWKHLQLWLDO SXEOLFRIIHULQJRI-D]]3KDUPDFHXWLFDOV,QFXQWLOWKH$]XU0HUJHUZHJUDQWHGHTXLW\DZDUGVWRRXUHPSOR\HHVLQFOXGLQJ VRPHRIWKH1(2VXQGHUWKH(TXLW\,QFHQWLYH3ODQ$VDUHVXOWRIWKH*:$FTXLVLWLRQZHDVVXPHGWKH*:(TXLW\ ,QFHQWLYH3ODQ)RUPRUHLQIRUPDWLRQRQRXUFXUUHQWHTXLW\FRPSHQVDWLRQSURJUDPDQGGHFLVLRQVUHJDUGLQJWKHJUDQWVRIHTXLW\ DZDUGVLQIRURXU1(2VVHH³</w:t>
      </w:r>
      <w:r>
        <w:rPr>
          <w:rFonts w:ascii="PMingLiU" w:cs="PMingLiU" w:eastAsia="PMingLiU" w:hAnsi="PMingLiU"/>
          <w:sz w:val="8"/>
          <w:szCs w:val="8"/>
          <w:i w:val="1"/>
          <w:iCs w:val="1"/>
          <w:color w:val="auto"/>
        </w:rPr>
        <w:t>536,49(:05409*;99054(4+4(2?909  536,49(:054,*090549-58 ;8 9</w:t>
      </w:r>
      <w:r>
        <w:rPr>
          <w:rFonts w:ascii="PMingLiU" w:cs="PMingLiU" w:eastAsia="PMingLiU" w:hAnsi="PMingLiU"/>
          <w:sz w:val="8"/>
          <w:szCs w:val="8"/>
          <w:color w:val="auto"/>
        </w:rPr>
        <w:t>´ DERYH7KHIROORZLQJLVDEULHIVXPPDU\RIWKHPDWHULDOWHUPVRIHDFKRIRXUHTXLW\FRPSHQVDWLRQSODQV</w:t>
      </w:r>
    </w:p>
    <w:p>
      <w:pPr>
        <w:spacing w:after="0"/>
        <w:rPr>
          <w:sz w:val="20"/>
          <w:szCs w:val="20"/>
          <w:color w:val="auto"/>
        </w:rPr>
      </w:pPr>
      <w:r>
        <w:rPr>
          <w:rFonts w:ascii="PMingLiU" w:cs="PMingLiU" w:eastAsia="PMingLiU" w:hAnsi="PMingLiU"/>
          <w:sz w:val="20"/>
          <w:szCs w:val="20"/>
          <w:b w:val="1"/>
          <w:bCs w:val="1"/>
          <w:color w:val="5C004D"/>
        </w:rPr>
        <w:t>(TXLW\,QFHQWLYH3ODQ</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7KHIROORZLQJLVDEULHIVXPPDU\RIWKHPDWHULDOWHUPVRIWKH3ODQDVDPHQGHGDQGUHVWDWHG</w:t>
      </w:r>
    </w:p>
    <w:p>
      <w:pPr>
        <w:spacing w:after="0" w:line="216" w:lineRule="exact"/>
        <w:rPr>
          <w:sz w:val="20"/>
          <w:szCs w:val="20"/>
          <w:color w:val="auto"/>
        </w:rPr>
      </w:pPr>
    </w:p>
    <w:p>
      <w:pPr>
        <w:ind w:right="120"/>
        <w:spacing w:after="0" w:line="358" w:lineRule="auto"/>
        <w:rPr>
          <w:sz w:val="20"/>
          <w:szCs w:val="20"/>
          <w:color w:val="auto"/>
        </w:rPr>
      </w:pPr>
      <w:r>
        <w:rPr>
          <w:rFonts w:ascii="PMingLiU" w:cs="PMingLiU" w:eastAsia="PMingLiU" w:hAnsi="PMingLiU"/>
          <w:sz w:val="15"/>
          <w:szCs w:val="15"/>
          <w:b w:val="1"/>
          <w:bCs w:val="1"/>
          <w:color w:val="000046"/>
        </w:rPr>
        <w:t>7\SHVRI$ZDUGV</w:t>
      </w:r>
      <w:r>
        <w:rPr>
          <w:rFonts w:ascii="PMingLiU" w:cs="PMingLiU" w:eastAsia="PMingLiU" w:hAnsi="PMingLiU"/>
          <w:sz w:val="15"/>
          <w:szCs w:val="15"/>
          <w:color w:val="000000"/>
        </w:rPr>
        <w:t>7KH3ODQSURYLGHVIRUWKHJUDQWRILQFHQWLYHVWRFNRSWLRQVQRQVWDWXWRU\VWRFNRSWLRQVVWRFN</w:t>
      </w:r>
      <w:r>
        <w:rPr>
          <w:rFonts w:ascii="PMingLiU" w:cs="PMingLiU" w:eastAsia="PMingLiU" w:hAnsi="PMingLiU"/>
          <w:sz w:val="15"/>
          <w:szCs w:val="15"/>
          <w:b w:val="1"/>
          <w:bCs w:val="1"/>
          <w:color w:val="000046"/>
        </w:rPr>
        <w:t xml:space="preserve"> </w:t>
      </w:r>
      <w:r>
        <w:rPr>
          <w:rFonts w:ascii="PMingLiU" w:cs="PMingLiU" w:eastAsia="PMingLiU" w:hAnsi="PMingLiU"/>
          <w:sz w:val="15"/>
          <w:szCs w:val="15"/>
          <w:color w:val="000000"/>
        </w:rPr>
        <w:t>DSSUHFLDWLRQULJKWV568DZDUGVRWKHUVWRFNDZDUGVDQGSHUIRUPDQFHDZDUGVLQFOXGLQJ368DZDUGVWKDWPD\EHVHWWOHGLQ FDVKVKDUHVRURWKHUSURSHUW\ZKLFKPD\EHJUDQWHGWRHPSOR\HHVLQFOXGLQJH[HFXWLYHRIILFHUV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1383665</wp:posOffset>
            </wp:positionV>
            <wp:extent cx="1386840" cy="2336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1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90" w:name="page91"/>
    <w:bookmarkEnd w:id="90"/>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48" o:spid="_x0000_s1473"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342" w:lineRule="auto"/>
        <w:rPr>
          <w:sz w:val="20"/>
          <w:szCs w:val="20"/>
          <w:color w:val="auto"/>
        </w:rPr>
      </w:pPr>
      <w:r>
        <w:rPr>
          <w:rFonts w:ascii="PMingLiU" w:cs="PMingLiU" w:eastAsia="PMingLiU" w:hAnsi="PMingLiU"/>
          <w:sz w:val="14"/>
          <w:szCs w:val="14"/>
          <w:b w:val="1"/>
          <w:bCs w:val="1"/>
          <w:color w:val="000046"/>
        </w:rPr>
        <w:t>&amp;RUSRUDWH7UDQVDFWLRQV</w:t>
      </w:r>
      <w:r>
        <w:rPr>
          <w:rFonts w:ascii="PMingLiU" w:cs="PMingLiU" w:eastAsia="PMingLiU" w:hAnsi="PMingLiU"/>
          <w:sz w:val="14"/>
          <w:szCs w:val="14"/>
          <w:color w:val="000000"/>
        </w:rPr>
        <w:t>,QWKHHYHQWRIFHUWDLQVLJQLILFDQWFRUSRUDWHWUDQVDFWLRQVDVGHILQHGLQWKH3ODQDQGGHVFULEHG</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EHORZRXU%RDUGZLOOKDYHWKHGLVFUHWLRQWRWDNHRQHRUPRUHRIWKHIROORZLQJDFWLRQVZLWKUHVSHFWWRRXWVWDQGLQJVWRFNDZDUGV FRQWLQJHQWXSRQWKHFORVLQJRUFRPSOHWLRQRIVXFKFRUSRUDWHWUDQVDFWLRQXQOHVVRWKHUZLVHSURYLGHGLQWKHVWRFNDZDUG</w:t>
      </w:r>
    </w:p>
    <w:p>
      <w:pPr>
        <w:spacing w:after="0"/>
        <w:rPr>
          <w:sz w:val="20"/>
          <w:szCs w:val="20"/>
          <w:color w:val="auto"/>
        </w:rPr>
      </w:pPr>
      <w:r>
        <w:rPr>
          <w:rFonts w:ascii="PMingLiU" w:cs="PMingLiU" w:eastAsia="PMingLiU" w:hAnsi="PMingLiU"/>
          <w:sz w:val="15"/>
          <w:szCs w:val="15"/>
          <w:color w:val="auto"/>
        </w:rPr>
        <w:t>DJUHHPHQWRURWKHUZULWWHQDJUHHPHQWZLWKWKHSDUWLFLSDQWRUXQOHVVRWKHUZLVHSURYLGHGE\RXU%RDUGDWWKHWLPHRIJUDQW</w:t>
      </w:r>
    </w:p>
    <w:p>
      <w:pPr>
        <w:spacing w:after="0" w:line="240"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DUUDQJHIRUDVVXPSWLRQFRQWLQXDWLRQRUVXEVWLWXWLRQRIDVWRFNDZDUGE\DVXUYLYLQJRUDFTXLULQJFRUSRUDWLRQRULWVSDUHQW</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FRPSDQ\</w:t>
      </w:r>
    </w:p>
    <w:p>
      <w:pPr>
        <w:spacing w:after="0" w:line="136"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DUUDQJHIRUWKHDVVLJQPHQWRIDQ\UHDFTXLVLWLRQRUUHSXUFKDVHULJKWVDSSOLFDEOHWRDQ\VKDUHVLVVXHGSXUVXDQWWRDVWRFN</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DZDUGWRWKHVXUYLYLQJRUDFTXLULQJFRUSRUDWLRQRULWVSDUHQWFRPSDQ\</w:t>
      </w:r>
    </w:p>
    <w:p>
      <w:pPr>
        <w:spacing w:after="0" w:line="136"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DFFHOHUDWHWKHYHVWLQJLQZKROHRULQSDUWDQGH[HUFLVDELOLW\RIDVWRFNDZDUGDQGSURYLGHIRULWVWHUPLQDWLRQLILWLVQRW</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H[HUFLVHGDWRUSULRUWRWKHFRUSRUDWHWUDQVDFWLRQ</w:t>
      </w:r>
    </w:p>
    <w:p>
      <w:pPr>
        <w:spacing w:after="0" w:line="136"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DUUDQJHIRUWKHODSVHRIDQ\UHDFTXLVLWLRQRUUHSXUFKDVHULJKWVDSSOLFDEOHWRDQ\VKDUHVLVVXHGSXUVXDQWWRDVWRFNDZDUG</w:t>
      </w:r>
    </w:p>
    <w:p>
      <w:pPr>
        <w:spacing w:after="0" w:line="19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FDQFHORUDUUDQJHIRUWKHFDQFHOODWLRQRIDVWRFNDZDUGWRWKHH[WHQWQRWYHVWHGRUH[HUFLVHGSULRUWRWKHHIIHFWLYHWLPHRI</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WKHFRUSRUDWHWUDQVDFWLRQLQH[FKDQJHIRUVXFKFDVKFRQVLGHUDWLRQLIDQ\DVRXU%RDUGPD\FRQVLGHUDSSURSULDWHRU</w:t>
      </w:r>
    </w:p>
    <w:p>
      <w:pPr>
        <w:spacing w:after="0" w:line="17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PDNHDSD\PHQWHTXDOWRWKHH[FHVVLIDQ\RIDWKHYDOXHRIWKHSURSHUW\WKDWWKHSDUWLFLSDQWZRXOGKDYHUHFHLYHGXSRQ</w:t>
      </w:r>
    </w:p>
    <w:p>
      <w:pPr>
        <w:spacing w:after="0" w:line="67"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WKHH[HUFLVHRIWKHVWRFNDZDUGRYHUEDQ\H[HUFLVHSULFHSD\DEOHLQFRQQHFWLRQZLWKVXFKH[HUFLVH</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18"/>
          <w:szCs w:val="18"/>
          <w:color w:val="auto"/>
        </w:rPr>
        <w:t>2XU%RDUGQHHGQRWWDNHWKHVDPHDFWLRQIRUHDFKVWRFNDZDUGRUZLWKUHJDUGWRDOOSDUWLFLSDQWV</w:t>
      </w:r>
    </w:p>
    <w:p>
      <w:pPr>
        <w:spacing w:after="0" w:line="204" w:lineRule="exact"/>
        <w:rPr>
          <w:sz w:val="20"/>
          <w:szCs w:val="20"/>
          <w:color w:val="auto"/>
        </w:rPr>
      </w:pPr>
    </w:p>
    <w:p>
      <w:pPr>
        <w:ind w:right="160"/>
        <w:spacing w:after="0" w:line="376" w:lineRule="auto"/>
        <w:rPr>
          <w:sz w:val="20"/>
          <w:szCs w:val="20"/>
          <w:color w:val="auto"/>
        </w:rPr>
      </w:pPr>
      <w:r>
        <w:rPr>
          <w:rFonts w:ascii="PMingLiU" w:cs="PMingLiU" w:eastAsia="PMingLiU" w:hAnsi="PMingLiU"/>
          <w:sz w:val="14"/>
          <w:szCs w:val="14"/>
          <w:color w:val="auto"/>
        </w:rPr>
        <w:t>)RUSXUSRVHVRIWKH3ODQD³FRUSRUDWHWUDQVDFWLRQ´JHQHUDOO\PHDQVLDVDOHRUGLVSRVLWLRQRIDOORUVXEVWDQWLDOO\DOORXU DVVHWVRUDVDOHRUGLVSRVLWLRQRIDWOHDVWRIRXURXWVWDQGLQJVHFXULWLHVLLDPHUJHUFRQVROLGDWLRQRUVLPLODUWUDQVDFWLRQ DIWHUZKLFKZHDUHQRWWKHVXUYLYLQJFRUSRUDWLRQRULLLDPHUJHUFRQVROLGDWLRQRUVLPLODUWUDQVDFWLRQDIWHUZKLFKZHDUHWKH VXUYLYLQJFRUSRUDWLRQEXWRXURUGLQDU\VKDUHVDUHFRQYHUWHGRUH[FKDQJHGLQWRRWKHUSURSHUW\</w:t>
      </w:r>
    </w:p>
    <w:p>
      <w:pPr>
        <w:spacing w:after="0" w:line="85" w:lineRule="exact"/>
        <w:rPr>
          <w:sz w:val="20"/>
          <w:szCs w:val="20"/>
          <w:color w:val="auto"/>
        </w:rPr>
      </w:pPr>
    </w:p>
    <w:p>
      <w:pPr>
        <w:spacing w:after="0" w:line="342" w:lineRule="auto"/>
        <w:rPr>
          <w:sz w:val="20"/>
          <w:szCs w:val="20"/>
          <w:color w:val="auto"/>
        </w:rPr>
      </w:pPr>
      <w:r>
        <w:rPr>
          <w:rFonts w:ascii="PMingLiU" w:cs="PMingLiU" w:eastAsia="PMingLiU" w:hAnsi="PMingLiU"/>
          <w:sz w:val="14"/>
          <w:szCs w:val="14"/>
          <w:b w:val="1"/>
          <w:bCs w:val="1"/>
          <w:color w:val="000046"/>
        </w:rPr>
        <w:t>&amp;,&amp;</w:t>
      </w:r>
      <w:r>
        <w:rPr>
          <w:rFonts w:ascii="PMingLiU" w:cs="PMingLiU" w:eastAsia="PMingLiU" w:hAnsi="PMingLiU"/>
          <w:sz w:val="14"/>
          <w:szCs w:val="14"/>
          <w:color w:val="000000"/>
        </w:rPr>
        <w:t>2XU%RDUGKDVWKHGLVFUHWLRQWRSURYLGHDGGLWLRQDODFFHOHUDWLRQRIYHVWLQJDQGH[HUFLVDELOLW\XSRQRUDIWHUD&amp;,&amp;DV</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GHILQHGLQWKH3ODQDQGGHVFULEHGEHORZDVPD\EHSURYLGHGLQDVWRFNDZDUGDJUHHPHQWRUDQ\RWKHUZULWWHQDJUHHPHQW EHWZHHQXVRUDQ\RIRXUDIILOLDWHVDQGDSDUWLFLSDQW7KHIRUPVRIVWRFNRSWLRQDJUHHPHQWDQG568DZDUGDJUHHPHQWDGRSWHG E\RXU%RDUGXQGHUWKH3ODQSURYLGHWKDWLQWKHHYHQWDSDUWLFLSDQW¶VVHUYLFHUHODWLRQVKLSZLWKXVRUDVXFFHVVRUHQWLW\LV</w:t>
      </w:r>
    </w:p>
    <w:p>
      <w:pPr>
        <w:spacing w:after="0" w:line="1" w:lineRule="exact"/>
        <w:rPr>
          <w:sz w:val="20"/>
          <w:szCs w:val="20"/>
          <w:color w:val="auto"/>
        </w:rPr>
      </w:pPr>
    </w:p>
    <w:p>
      <w:pPr>
        <w:ind w:right="60"/>
        <w:spacing w:after="0" w:line="342" w:lineRule="auto"/>
        <w:rPr>
          <w:sz w:val="20"/>
          <w:szCs w:val="20"/>
          <w:color w:val="auto"/>
        </w:rPr>
      </w:pPr>
      <w:r>
        <w:rPr>
          <w:rFonts w:ascii="PMingLiU" w:cs="PMingLiU" w:eastAsia="PMingLiU" w:hAnsi="PMingLiU"/>
          <w:sz w:val="14"/>
          <w:szCs w:val="14"/>
          <w:color w:val="auto"/>
        </w:rPr>
        <w:t>WHUPLQDWHGGXHWRDQLQYROXQWDU\WHUPLQDWLRQZLWKRXWFDXVHDVGHILQHGLQWKHVWRFNDZDUGDJUHHPHQWDQGDVGHVFULEHGEHORZ ZLWKLQPRQWKVIROORZLQJRURQHPRQWKSULRUWRWKHHIIHFWLYHGDWHRID&amp;,&amp;WKHYHVWLQJDQGLQWKHFDVHRIVWRFNRSWLRQV</w:t>
      </w:r>
    </w:p>
    <w:p>
      <w:pPr>
        <w:ind w:right="280"/>
        <w:spacing w:after="0" w:line="599" w:lineRule="auto"/>
        <w:rPr>
          <w:sz w:val="20"/>
          <w:szCs w:val="20"/>
          <w:color w:val="auto"/>
        </w:rPr>
      </w:pPr>
      <w:r>
        <w:rPr>
          <w:rFonts w:ascii="PMingLiU" w:cs="PMingLiU" w:eastAsia="PMingLiU" w:hAnsi="PMingLiU"/>
          <w:sz w:val="15"/>
          <w:szCs w:val="15"/>
          <w:color w:val="auto"/>
        </w:rPr>
        <w:t>H[HUFLVDELOLW\RIWKHVWRFNDZDUGZLOODFFHOHUDWHLQIXOO7KHWUHDWPHQWRIWKH368VLQWKHHYHQWRID&amp;,&amp;LVGHVFULEHG EHORZXQGHUWKHKHDGLQJ³</w:t>
      </w:r>
      <w:r>
        <w:rPr>
          <w:rFonts w:ascii="PMingLiU" w:cs="PMingLiU" w:eastAsia="PMingLiU" w:hAnsi="PMingLiU"/>
          <w:sz w:val="15"/>
          <w:szCs w:val="15"/>
          <w:i w:val="1"/>
          <w:iCs w:val="1"/>
          <w:color w:val="auto"/>
        </w:rPr>
        <w:t>!5:,4:0(2!(?3,4:9;654$,8304(:05458/(4.,0454:852 $8,(:3,4:5-    (4+  </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!#%9</w:t>
      </w:r>
      <w:r>
        <w:rPr>
          <w:rFonts w:ascii="PMingLiU" w:cs="PMingLiU" w:eastAsia="PMingLiU" w:hAnsi="PMingLiU"/>
          <w:sz w:val="15"/>
          <w:szCs w:val="15"/>
          <w:color w:val="auto"/>
        </w:rPr>
        <w:t>´</w:t>
      </w:r>
    </w:p>
    <w:p>
      <w:pPr>
        <w:ind w:right="80"/>
        <w:spacing w:after="0" w:line="319" w:lineRule="auto"/>
        <w:rPr>
          <w:sz w:val="20"/>
          <w:szCs w:val="20"/>
          <w:color w:val="auto"/>
        </w:rPr>
      </w:pPr>
      <w:r>
        <w:rPr>
          <w:rFonts w:ascii="PMingLiU" w:cs="PMingLiU" w:eastAsia="PMingLiU" w:hAnsi="PMingLiU"/>
          <w:sz w:val="15"/>
          <w:szCs w:val="15"/>
          <w:color w:val="auto"/>
        </w:rPr>
        <w:t>)RUSXUSRVHVRIWKH3ODQDQGWKHIRUPVRIDZDUGDJUHHPHQWVLVVXHGWKHUHXQGHUD³FKDQJHLQFRQWURO´RU³&amp;,&amp;´JHQHUDOO\ PHDQVLDSHUVRQRUJURXSDFTXLUHVRZQHUVKLSRIPRUHWKDQRIWKHFRPELQHGYRWLQJSRZHURIRXURXWVWDQGLQJVHFXULWLHV RWKHUWKDQGLUHFWO\IURPRXU&amp;RPSDQ\LLFHUWDLQFRPSURPLVHVRUDUUDQJHPHQWVVDQFWLRQHGE\WKH,ULVKFRXUWVFHUWDLQ VFKHPHVFRQWUDFWVRURIIHUVWKDWKDYHEHFRPHELQGLQJRQDOORIRXUVKDUHKROGHUVFHUWDLQWDNHRYHUELGVFHUWDLQRIIHUVRU</w:t>
      </w:r>
    </w:p>
    <w:p>
      <w:pPr>
        <w:spacing w:after="0" w:line="1" w:lineRule="exact"/>
        <w:rPr>
          <w:sz w:val="20"/>
          <w:szCs w:val="20"/>
          <w:color w:val="auto"/>
        </w:rPr>
      </w:pPr>
    </w:p>
    <w:p>
      <w:pPr>
        <w:ind w:right="260"/>
        <w:spacing w:after="0" w:line="342" w:lineRule="auto"/>
        <w:rPr>
          <w:sz w:val="20"/>
          <w:szCs w:val="20"/>
          <w:color w:val="auto"/>
        </w:rPr>
      </w:pPr>
      <w:r>
        <w:rPr>
          <w:rFonts w:ascii="PMingLiU" w:cs="PMingLiU" w:eastAsia="PMingLiU" w:hAnsi="PMingLiU"/>
          <w:sz w:val="14"/>
          <w:szCs w:val="14"/>
          <w:color w:val="auto"/>
        </w:rPr>
        <w:t>UHYHUVHWDNHRYHUWUDQVDFWLRQVRUDUHRUJDQL]DWLRQPHUJHUVWDWXWRU\VKDUHH[FKDQJHFRQVROLGDWLRQRUVLPLODUWUDQVDFWLRQ LQYROYLQJXVDQG$DIWHUZKLFKRXUVKDUHKROGHUVGRQRWRZQPRUHWKDQRIWKHFRPELQHGYRWLQJSRZHURIWKHVXUYLYLQJ</w:t>
      </w:r>
    </w:p>
    <w:p>
      <w:pPr>
        <w:ind w:right="80"/>
        <w:spacing w:after="0" w:line="353" w:lineRule="auto"/>
        <w:rPr>
          <w:sz w:val="20"/>
          <w:szCs w:val="20"/>
          <w:color w:val="auto"/>
        </w:rPr>
      </w:pPr>
      <w:r>
        <w:rPr>
          <w:rFonts w:ascii="PMingLiU" w:cs="PMingLiU" w:eastAsia="PMingLiU" w:hAnsi="PMingLiU"/>
          <w:sz w:val="14"/>
          <w:szCs w:val="14"/>
          <w:color w:val="auto"/>
        </w:rPr>
        <w:t>HQWLW\RULWVSDUHQWLQVXEVWDQWLDOO\WKHVDPHSURSRUWLRQDVWKHLURZQHUVKLSRIRXURXWVWDQGLQJYRWLQJVHFXULWLHVLPPHGLDWHO\ EHIRUHWKHWUDQVDFWLRQ%DSHUVRQRUJURXSDFTXLUHVRZQHUVKLSRIPRUHWKDQRIWKHFRPELQHGYRWLQJSRZHURIWKH VXUYLYLQJHQWLW\RULWVSDUHQWRU&amp;DWOHDVWDPDMRULW\RIWKHPHPEHUVRIWKHERDUGRIGLUHFWRUVRIWKHSDUHQWRUWKHVXUYLYLQJ HQWLW\LIWKHUHLVQRSDUHQWIROORZLQJVXFKWUDQVDFWLRQDUHQRWLQFXPEHQW%RDUGPHPEHUVDVGHILQHGLQYEHORZDWWKHWLPH RXU%RDUGDSSURYHVWKHWUDQVDFWLRQLLLRXUVKDUHKROGHUVRURXU%RDUGDSSURYHVDFRPSOHWHGLVVROXWLRQRUOLTXLGDWLRQRIRXU &amp;RPSDQ\RUDFRPSOHWHGLVVROXWLRQRUOLTXLGDWLRQRIRXU&amp;RPSDQ\RWKHUZLVHRFFXUVH[FHSWIRUDOLTXLGDWLRQLQWRDSDUHQW FRPSDQ\LYDVDOHOHDVHH[FOXVLYHOLFHQVHRURWKHUGLVSRVLWLRQRIDOORUVXEVWDQWLDOO\DOORIRXUDVVHWVRWKHUWKDQWRFHUWDLQ HQWLWLHVRUYLQGLYLGXDOVZKRZHUHPHPEHUVRIRXU%RDUGRQWKHGDWHRIDGRSWLRQRIWKH3ODQRUPHPEHUVRIRXU%RDUG DSSURYHGRUUHFRPPHQGHGE\DPDMRULW\YRWHRIVXFKPHPEHUVVWLOOLQRIILFHUHIHUUHGWRDV³LQFXPEHQWERDUGPHPEHUV´ FHDVHWRFRQVWLWXWHDWOHDVWDPDMRULW\RIRXU%RDUG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892175</wp:posOffset>
            </wp:positionV>
            <wp:extent cx="1386840" cy="2336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1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91" w:name="page92"/>
    <w:bookmarkEnd w:id="9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50" o:spid="_x0000_s1475"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right="40"/>
        <w:spacing w:after="0" w:line="342" w:lineRule="auto"/>
        <w:rPr>
          <w:sz w:val="20"/>
          <w:szCs w:val="20"/>
          <w:color w:val="auto"/>
        </w:rPr>
      </w:pPr>
      <w:r>
        <w:rPr>
          <w:rFonts w:ascii="PMingLiU" w:cs="PMingLiU" w:eastAsia="PMingLiU" w:hAnsi="PMingLiU"/>
          <w:sz w:val="14"/>
          <w:szCs w:val="14"/>
          <w:color w:val="auto"/>
        </w:rPr>
        <w:t>$Q³LQYROXQWDU\WHUPLQDWLRQZLWKRXWFDXVH´JHQHUDOO\PHDQVWKDWDSDUWLFLSDQW¶VVHUYLFHUHODWLRQVKLSZLWKXVLVWHUPLQDWHGIRU DQ\UHDVRQRWKHUWKDQIRUWKHIROORZLQJUHDVRQVDQGQRWXSRQDSDUWLFLSDQW¶VGHDWKRUGLVDELOLW\LSDUWLFLSDQW¶VFRPPLVVLRQRI DQ\IHORQ\RUFULPHLQYROYLQJIUDXGGLVKRQHVW\RUPRUDOWXUSLWXGHXQGHUWKHODZVRIWKH86RUDQ\VWDWHWKHUHRIZLWKUHVSHFW</w:t>
      </w:r>
    </w:p>
    <w:p>
      <w:pPr>
        <w:ind w:right="60"/>
        <w:spacing w:after="0" w:line="362" w:lineRule="auto"/>
        <w:rPr>
          <w:sz w:val="20"/>
          <w:szCs w:val="20"/>
          <w:color w:val="auto"/>
        </w:rPr>
      </w:pPr>
      <w:r>
        <w:rPr>
          <w:rFonts w:ascii="PMingLiU" w:cs="PMingLiU" w:eastAsia="PMingLiU" w:hAnsi="PMingLiU"/>
          <w:sz w:val="14"/>
          <w:szCs w:val="14"/>
          <w:color w:val="auto"/>
        </w:rPr>
        <w:t>WR,ULVKSDUWLFLSDQWVWKHSDUWLFLSDQW¶VFRQYLFWLRQIRUDQ\FULPLQDORIIHQVHRWKHUWKDQDQRIIHQVHXQGHUDQ\URDGWUDIILFOHJLVODWLRQ LQ,UHODQGWKH8QLWHG.LQJGRPRUHOVHZKHUHIRUZKLFKDILQHRUQRQFXVWRGLDOSHQDOW\LVLPSRVHGRUDQ\RIIHQVHXQGHUDQ\ UHJXODWLRQRUOHJLVODWLRQUHODWLQJWRLQVLGHUGHDOLQJIUDXGRUGLVKRQHVW\LLSDUWLFLSDQW¶VDWWHPSWHGFRPPLVVLRQRIRU SDUWLFLSDWLRQLQDIUDXGRUDFWRIGLVKRQHVW\DJDLQVWXVLLLSDUWLFLSDQW¶VLQWHQWLRQDOPDWHULDOYLRODWLRQRIDQ\FRQWUDFWRU DJUHHPHQWZLWKXVRURIDQ\VWDWXWRU\GXW\RZHGWRXVLYSDUWLFLSDQW¶VXQDXWKRUL]HGXVHRUGLVFORVXUHRIRXUFRQILGHQWLDO LQIRUPDWLRQRUWUDGHVHFUHWVRUYSDUWLFLSDQW¶VJURVVPLVFRQGXFW</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(PSOR\HH6WRFN3XUFKDVH3ODQ</w:t>
      </w:r>
    </w:p>
    <w:p>
      <w:pPr>
        <w:spacing w:after="0" w:line="126" w:lineRule="exact"/>
        <w:rPr>
          <w:sz w:val="20"/>
          <w:szCs w:val="20"/>
          <w:color w:val="auto"/>
        </w:rPr>
      </w:pPr>
    </w:p>
    <w:p>
      <w:pPr>
        <w:spacing w:after="0" w:line="326" w:lineRule="auto"/>
        <w:rPr>
          <w:sz w:val="20"/>
          <w:szCs w:val="20"/>
          <w:color w:val="auto"/>
        </w:rPr>
      </w:pPr>
      <w:r>
        <w:rPr>
          <w:rFonts w:ascii="PMingLiU" w:cs="PMingLiU" w:eastAsia="PMingLiU" w:hAnsi="PMingLiU"/>
          <w:sz w:val="15"/>
          <w:szCs w:val="15"/>
          <w:color w:val="auto"/>
        </w:rPr>
        <w:t>$GGLWLRQDOORQJWHUPHTXLW\LQFHQWLYHVDUHSURYLGHGWKURXJKWKH(6337KH(633LVLQWHQGHGWRTXDOLI\DVDQ³HPSOR\HHVWRFN SXUFKDVHSODQ´ZLWKLQWKHPHDQLQJRI6HFWLRQRIWKH&amp;RGH8QGHUWKH(633DOORIRXUUHJXODUHPSOR\HHVDQGHPSOR\HHV RIDQ\RIRXUSDUHQWRUVXEVLGLDU\FRPSDQLHVGHVLJQDWHGE\RXU%RDUGDVHOLJLEOHWRSDUWLFLSDWHPD\SDUWLFLSDWHDQGPD\ FRQWULEXWHQRUPDOO\WKURXJKSD\UROOGHGXFWLRQVXSWRRIWKHLUHDUQLQJVXSWRDWRWDORISHUSXUFKDVHSHULRGIRUWKH SXUFKDVHRIRXURUGLQDU\VKDUHVXQGHUWKH(6337KH(633LVFXUUHQWO\RIIHUHGWRRXUUHJXODUHPSOR\HHVLQ,UHODQG&amp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3HUIRUPDQFH%RQXV3ODQ</w:t>
      </w:r>
    </w:p>
    <w:p>
      <w:pPr>
        <w:spacing w:after="0" w:line="126" w:lineRule="exact"/>
        <w:rPr>
          <w:sz w:val="20"/>
          <w:szCs w:val="20"/>
          <w:color w:val="auto"/>
        </w:rPr>
      </w:pPr>
    </w:p>
    <w:p>
      <w:pPr>
        <w:ind w:right="520"/>
        <w:spacing w:after="0" w:line="319" w:lineRule="auto"/>
        <w:rPr>
          <w:sz w:val="20"/>
          <w:szCs w:val="20"/>
          <w:color w:val="auto"/>
        </w:rPr>
      </w:pPr>
      <w:r>
        <w:rPr>
          <w:rFonts w:ascii="PMingLiU" w:cs="PMingLiU" w:eastAsia="PMingLiU" w:hAnsi="PMingLiU"/>
          <w:sz w:val="15"/>
          <w:szCs w:val="15"/>
          <w:color w:val="auto"/>
        </w:rPr>
        <w:t>:HPDLQWDLQDSHUIRUPDQFHERQXVSODQWRUHZDUGH[HFXWLYHRIILFHUVDQGRWKHUHPSOR\HHVIRUVXFFHVVIXODFKLHYHPHQWRI FRPSDQ\ZLGHSHUIRUPDQFHREMHFWLYHVDQGLQGLYLGXDOFRQWULEXWLRQVWRZDUGWKRVHREMHFWLYHVRQDQDQQXDOEDVLV0RUH LQIRUPDWLRQUHJDUGLQJWKHSHUIRUPDQFHERQXVSODQLVSURYLGHGDERYHXQGHUWKHKHDGLQJV³</w:t>
      </w:r>
      <w:r>
        <w:rPr>
          <w:rFonts w:ascii="PMingLiU" w:cs="PMingLiU" w:eastAsia="PMingLiU" w:hAnsi="PMingLiU"/>
          <w:sz w:val="15"/>
          <w:szCs w:val="15"/>
          <w:i w:val="1"/>
          <w:iCs w:val="1"/>
          <w:color w:val="auto"/>
        </w:rPr>
        <w:t>536,49(:05409*;99054(4+</w:t>
      </w:r>
    </w:p>
    <w:p>
      <w:pPr>
        <w:spacing w:after="0" w:line="1" w:lineRule="exact"/>
        <w:rPr>
          <w:sz w:val="20"/>
          <w:szCs w:val="20"/>
          <w:color w:val="auto"/>
        </w:rPr>
      </w:pPr>
    </w:p>
    <w:p>
      <w:pPr>
        <w:ind w:right="140"/>
        <w:spacing w:after="0" w:line="291" w:lineRule="auto"/>
        <w:rPr>
          <w:sz w:val="20"/>
          <w:szCs w:val="20"/>
          <w:color w:val="auto"/>
        </w:rPr>
      </w:pPr>
      <w:r>
        <w:rPr>
          <w:rFonts w:ascii="PMingLiU" w:cs="PMingLiU" w:eastAsia="PMingLiU" w:hAnsi="PMingLiU"/>
          <w:sz w:val="18"/>
          <w:szCs w:val="18"/>
          <w:i w:val="1"/>
          <w:iCs w:val="1"/>
          <w:color w:val="auto"/>
        </w:rPr>
        <w:t>4(2?909 5(29-58(4+*/0,&lt;,3,4:5-  !,8-583(4*,(9,+536,49(:054  !,8-583(4*,54;9!85.8(3</w:t>
      </w:r>
      <w:r>
        <w:rPr>
          <w:rFonts w:ascii="PMingLiU" w:cs="PMingLiU" w:eastAsia="PMingLiU" w:hAnsi="PMingLiU"/>
          <w:sz w:val="18"/>
          <w:szCs w:val="18"/>
          <w:color w:val="auto"/>
        </w:rPr>
        <w:t>´DQG</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³</w:t>
      </w:r>
      <w:r>
        <w:rPr>
          <w:rFonts w:ascii="PMingLiU" w:cs="PMingLiU" w:eastAsia="PMingLiU" w:hAnsi="PMingLiU"/>
          <w:sz w:val="18"/>
          <w:szCs w:val="18"/>
          <w:i w:val="1"/>
          <w:iCs w:val="1"/>
          <w:color w:val="auto"/>
        </w:rPr>
        <w:t>536,49(:05409*;99054(4+4(2?909  536,49(:054,*090549-58 ;8 9</w:t>
      </w:r>
      <w:r>
        <w:rPr>
          <w:rFonts w:ascii="PMingLiU" w:cs="PMingLiU" w:eastAsia="PMingLiU" w:hAnsi="PMingLiU"/>
          <w:sz w:val="18"/>
          <w:szCs w:val="18"/>
          <w:color w:val="auto"/>
        </w:rPr>
        <w:t>´</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5C004D"/>
        </w:rPr>
        <w:t>N3ODQ</w:t>
      </w:r>
    </w:p>
    <w:p>
      <w:pPr>
        <w:spacing w:after="0" w:line="126" w:lineRule="exact"/>
        <w:rPr>
          <w:sz w:val="20"/>
          <w:szCs w:val="20"/>
          <w:color w:val="auto"/>
        </w:rPr>
      </w:pPr>
    </w:p>
    <w:p>
      <w:pPr>
        <w:spacing w:after="0" w:line="359" w:lineRule="auto"/>
        <w:rPr>
          <w:sz w:val="20"/>
          <w:szCs w:val="20"/>
          <w:color w:val="auto"/>
        </w:rPr>
      </w:pPr>
      <w:r>
        <w:rPr>
          <w:rFonts w:ascii="PMingLiU" w:cs="PMingLiU" w:eastAsia="PMingLiU" w:hAnsi="PMingLiU"/>
          <w:sz w:val="14"/>
          <w:szCs w:val="14"/>
          <w:color w:val="auto"/>
        </w:rPr>
        <w:t>2XUHPSOR\HHVEDVHGLQWKH86DUHHOLJLEOHWRSDUWLFLSDWHLQWKHN3ODQ7KHN3ODQLVLQWHQGHGWRTXDOLI\DVDWD[ TXDOLILHGSODQXQGHU6HFWLRQRIWKH&amp;RGH(PSOR\HHFRQWULEXWLRQVDUHKHOGDQGLQYHVWHGE\WKHN3ODQ¶VWUXVWHH7KH N3ODQSURYLGHVWKDWHDFKSDUWLFLSDQWPD\FRQWULEXWHDSRUWLRQRIKLVRUKHUSUHWD[FRPSHQVDWLRQXSWRDVWDWXWRU\DQQXDO OLPLWZKLFKZDVIRUHPSOR\HHVXQGHUDJHDQGIRUHPSOR\HHVDJHDQGRYHULQ7KHN3ODQ DOVRSHUPLWVXVWRPDNHGLVFUHWLRQDU\FRQWULEXWLRQVDQGPDWFKLQJFRQWULEXWLRQVVXEMHFWWRHVWDEOLVKHGOLPLWVDQGDYHVWLQJ VFKHGXOH,QZHEHJDQPDNLQJGLVFUHWLRQDU\PDWFKLQJFRQWULEXWLRQVZKLFKIRUFRQVLVWHGRIDPDWFKRIRIXS WRWKHILUVWRIHOLJLEOHFRPSHQVDWLRQFRQWULEXWHGE\HDFKHPSOR\HHWRZDUGKLVRUKHUNSODQ</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$GGLWLRQDO%HQHILWV</w:t>
      </w:r>
    </w:p>
    <w:p>
      <w:pPr>
        <w:spacing w:after="0" w:line="191" w:lineRule="exact"/>
        <w:rPr>
          <w:sz w:val="20"/>
          <w:szCs w:val="20"/>
          <w:color w:val="auto"/>
        </w:rPr>
      </w:pPr>
    </w:p>
    <w:p>
      <w:pPr>
        <w:ind w:right="220"/>
        <w:spacing w:after="0" w:line="398" w:lineRule="auto"/>
        <w:rPr>
          <w:sz w:val="20"/>
          <w:szCs w:val="20"/>
          <w:color w:val="auto"/>
        </w:rPr>
      </w:pPr>
      <w:r>
        <w:rPr>
          <w:rFonts w:ascii="PMingLiU" w:cs="PMingLiU" w:eastAsia="PMingLiU" w:hAnsi="PMingLiU"/>
          <w:sz w:val="15"/>
          <w:szCs w:val="15"/>
          <w:color w:val="auto"/>
        </w:rPr>
        <w:t>7KH1(2VDUHHOLJLEOHWRSDUWLFLSDWHLQRXUEHQHILWSODQVJHQHUDOO\DYDLODEOHWRDOOHPSOR\HHVDVGHVFULEHGLQ³</w:t>
      </w:r>
      <w:r>
        <w:rPr>
          <w:rFonts w:ascii="PMingLiU" w:cs="PMingLiU" w:eastAsia="PMingLiU" w:hAnsi="PMingLiU"/>
          <w:sz w:val="15"/>
          <w:szCs w:val="15"/>
          <w:i w:val="1"/>
          <w:iCs w:val="1"/>
          <w:color w:val="auto"/>
        </w:rPr>
        <w:t>536,49(:054</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09*;99054(4+4(2?909 ,?53654,4:9(4+,90.45-:/,&gt;,*;:0&lt;,536,49(:054!85.8(3</w:t>
      </w:r>
      <w:r>
        <w:rPr>
          <w:rFonts w:ascii="PMingLiU" w:cs="PMingLiU" w:eastAsia="PMingLiU" w:hAnsi="PMingLiU"/>
          <w:sz w:val="15"/>
          <w:szCs w:val="15"/>
          <w:color w:val="auto"/>
        </w:rPr>
        <w:t>´</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3HQVLRQ%HQHILWV</w:t>
      </w:r>
    </w:p>
    <w:p>
      <w:pPr>
        <w:spacing w:after="0" w:line="191" w:lineRule="exact"/>
        <w:rPr>
          <w:sz w:val="20"/>
          <w:szCs w:val="20"/>
          <w:color w:val="auto"/>
        </w:rPr>
      </w:pPr>
    </w:p>
    <w:p>
      <w:pPr>
        <w:ind w:right="520"/>
        <w:spacing w:after="0" w:line="376" w:lineRule="auto"/>
        <w:rPr>
          <w:sz w:val="20"/>
          <w:szCs w:val="20"/>
          <w:color w:val="auto"/>
        </w:rPr>
      </w:pPr>
      <w:r>
        <w:rPr>
          <w:rFonts w:ascii="PMingLiU" w:cs="PMingLiU" w:eastAsia="PMingLiU" w:hAnsi="PMingLiU"/>
          <w:sz w:val="14"/>
          <w:szCs w:val="14"/>
          <w:color w:val="auto"/>
        </w:rPr>
        <w:t>2WKHUWKDQZLWKUHVSHFWWRWD[TXDOLILHGGHILQHGFRQWULEXWLRQSODQVVXFKDVWKHN3ODQLQWKH86WKH1(2VGRQRW SDUWLFLSDWHLQDQ\SODQWKDWSURYLGHVIRUUHWLUHPHQWSD\PHQWVDQGEHQHILWVRUSD\PHQWVDQGEHQHILWVWKDWZLOOEHSURYLGHG SULPDULO\IROORZLQJUHWLUHPHQW)RU1(2VEDVHGRXWVLGHWKH86ZHRIIHUSHQVLRQRURWKHUUHWLUHPHQWEHQHILWVWKDWDUH FRQVLVWHQWZLWKORFDOUHJXODWLRQVDQGRQWKHVDPHEDVLVDVRWKHUHPSOR\HHVLQVXFKMXULVGLFWLRQV</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1RQTXDOLILHG'HIHUUHG&amp;RPSHQVDWLRQ</w:t>
      </w:r>
    </w:p>
    <w:p>
      <w:pPr>
        <w:spacing w:after="0" w:line="191" w:lineRule="exact"/>
        <w:rPr>
          <w:sz w:val="20"/>
          <w:szCs w:val="20"/>
          <w:color w:val="auto"/>
        </w:rPr>
      </w:pPr>
    </w:p>
    <w:p>
      <w:pPr>
        <w:ind w:right="180"/>
        <w:spacing w:after="0" w:line="443" w:lineRule="auto"/>
        <w:rPr>
          <w:sz w:val="20"/>
          <w:szCs w:val="20"/>
          <w:color w:val="auto"/>
        </w:rPr>
      </w:pPr>
      <w:r>
        <w:rPr>
          <w:rFonts w:ascii="PMingLiU" w:cs="PMingLiU" w:eastAsia="PMingLiU" w:hAnsi="PMingLiU"/>
          <w:sz w:val="14"/>
          <w:szCs w:val="14"/>
          <w:color w:val="auto"/>
        </w:rPr>
        <w:t>'XULQJWKH\HDUHQGHG'HFHPEHUWKH1(2VGLGQRWFRQWULEXWHWRRUHDUQDQ\DPRXQWVZLWKUHVSHFWWRDQ\GHILQHG FRQWULEXWLRQRURWKHUSODQVSRQVRUHGE\XVWKDWSURYLGHVIRUWKHGHIHUUDORIFRPSHQVDWLRQRQDEDVLVWKDWLVQRWWD[TXDOLILHG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79375</wp:posOffset>
            </wp:positionV>
            <wp:extent cx="1386840" cy="2336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14">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92" w:name="page93"/>
    <w:bookmarkEnd w:id="92"/>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52" o:spid="_x0000_s1477"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2XWVWDQGLQJ(TXLW\$ZDUGVDW)LVFDO&lt;HDU(QG</w:t>
      </w:r>
    </w:p>
    <w:p>
      <w:pPr>
        <w:spacing w:after="0" w:line="219" w:lineRule="exact"/>
        <w:rPr>
          <w:sz w:val="20"/>
          <w:szCs w:val="20"/>
          <w:color w:val="auto"/>
        </w:rPr>
      </w:pPr>
    </w:p>
    <w:p>
      <w:pPr>
        <w:ind w:right="180"/>
        <w:spacing w:after="0" w:line="398" w:lineRule="auto"/>
        <w:rPr>
          <w:sz w:val="20"/>
          <w:szCs w:val="20"/>
          <w:color w:val="auto"/>
        </w:rPr>
      </w:pPr>
      <w:r>
        <w:rPr>
          <w:rFonts w:ascii="PMingLiU" w:cs="PMingLiU" w:eastAsia="PMingLiU" w:hAnsi="PMingLiU"/>
          <w:sz w:val="15"/>
          <w:szCs w:val="15"/>
          <w:color w:val="auto"/>
        </w:rPr>
        <w:t>7KHIROORZLQJWDEOHVHWVIRUWKIRUWKHILVFDO\HDUHQGHG'HFHPEHUFHUWDLQLQIRUPDWLRQUHJDUGLQJRXWVWDQGLQJHTXLW\ DZDUGVKHOGDWILVFDO\HDUHQGIRUWKH1(2V</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2XWVWDQGLQJ(TXLW\$ZDUGVDW)LVFDO&lt;HDU(QG7DEOH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140335</wp:posOffset>
            </wp:positionV>
            <wp:extent cx="456247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315">
                      <a:extLst>
                        <a:ext uri="{28A0092B-C50C-407E-A947-70E740481C1C}"/>
                      </a:extLst>
                    </a:blip>
                    <a:srcRect/>
                    <a:stretch>
                      <a:fillRect/>
                    </a:stretch>
                  </pic:blipFill>
                  <pic:spPr bwMode="auto">
                    <a:xfrm>
                      <a:off x="0" y="0"/>
                      <a:ext cx="4562475" cy="254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920" w:type="dxa"/>
            <w:vAlign w:val="bottom"/>
            <w:tcBorders>
              <w:right w:val="single" w:sz="8" w:color="000046"/>
            </w:tcBorders>
          </w:tcPr>
          <w:p>
            <w:pPr>
              <w:spacing w:after="0"/>
              <w:rPr>
                <w:sz w:val="24"/>
                <w:szCs w:val="24"/>
                <w:color w:val="auto"/>
              </w:rPr>
            </w:pPr>
          </w:p>
        </w:tc>
        <w:tc>
          <w:tcPr>
            <w:tcW w:w="960" w:type="dxa"/>
            <w:vAlign w:val="bottom"/>
            <w:tcBorders>
              <w:top w:val="single" w:sz="8" w:color="000046"/>
            </w:tcBorders>
          </w:tcPr>
          <w:p>
            <w:pPr>
              <w:spacing w:after="0"/>
              <w:rPr>
                <w:sz w:val="24"/>
                <w:szCs w:val="24"/>
                <w:color w:val="auto"/>
              </w:rPr>
            </w:pPr>
          </w:p>
        </w:tc>
        <w:tc>
          <w:tcPr>
            <w:tcW w:w="1780" w:type="dxa"/>
            <w:vAlign w:val="bottom"/>
            <w:tcBorders>
              <w:top w:val="single" w:sz="8" w:color="000046"/>
            </w:tcBorders>
            <w:gridSpan w:val="2"/>
          </w:tcPr>
          <w:p>
            <w:pPr>
              <w:jc w:val="right"/>
              <w:ind w:right="290"/>
              <w:spacing w:after="0"/>
              <w:rPr>
                <w:sz w:val="20"/>
                <w:szCs w:val="20"/>
                <w:color w:val="auto"/>
              </w:rPr>
            </w:pPr>
            <w:r>
              <w:rPr>
                <w:rFonts w:ascii="PMingLiU" w:cs="PMingLiU" w:eastAsia="PMingLiU" w:hAnsi="PMingLiU"/>
                <w:sz w:val="16"/>
                <w:szCs w:val="16"/>
                <w:b w:val="1"/>
                <w:bCs w:val="1"/>
                <w:color w:val="000046"/>
              </w:rPr>
              <w:t>2SWLRQ$ZDUGV</w:t>
            </w:r>
            <w:r>
              <w:rPr>
                <w:rFonts w:ascii="PMingLiU" w:cs="PMingLiU" w:eastAsia="PMingLiU" w:hAnsi="PMingLiU"/>
                <w:sz w:val="20"/>
                <w:szCs w:val="20"/>
                <w:b w:val="1"/>
                <w:bCs w:val="1"/>
                <w:color w:val="000046"/>
                <w:vertAlign w:val="superscript"/>
              </w:rPr>
              <w:t/>
            </w:r>
          </w:p>
        </w:tc>
        <w:tc>
          <w:tcPr>
            <w:tcW w:w="780" w:type="dxa"/>
            <w:vAlign w:val="bottom"/>
            <w:tcBorders>
              <w:top w:val="single" w:sz="8" w:color="000046"/>
              <w:right w:val="single" w:sz="8" w:color="000046"/>
            </w:tcBorders>
          </w:tcPr>
          <w:p>
            <w:pPr>
              <w:spacing w:after="0"/>
              <w:rPr>
                <w:sz w:val="24"/>
                <w:szCs w:val="24"/>
                <w:color w:val="auto"/>
              </w:rPr>
            </w:pPr>
          </w:p>
        </w:tc>
        <w:tc>
          <w:tcPr>
            <w:tcW w:w="60" w:type="dxa"/>
            <w:vAlign w:val="bottom"/>
            <w:tcBorders>
              <w:right w:val="single" w:sz="8" w:color="000046"/>
            </w:tcBorders>
          </w:tcPr>
          <w:p>
            <w:pPr>
              <w:spacing w:after="0"/>
              <w:rPr>
                <w:sz w:val="24"/>
                <w:szCs w:val="24"/>
                <w:color w:val="auto"/>
              </w:rPr>
            </w:pPr>
          </w:p>
        </w:tc>
        <w:tc>
          <w:tcPr>
            <w:tcW w:w="820" w:type="dxa"/>
            <w:vAlign w:val="bottom"/>
            <w:tcBorders>
              <w:top w:val="single" w:sz="8" w:color="000046"/>
            </w:tcBorders>
          </w:tcPr>
          <w:p>
            <w:pPr>
              <w:spacing w:after="0"/>
              <w:rPr>
                <w:sz w:val="24"/>
                <w:szCs w:val="24"/>
                <w:color w:val="auto"/>
              </w:rPr>
            </w:pPr>
          </w:p>
        </w:tc>
        <w:tc>
          <w:tcPr>
            <w:tcW w:w="280" w:type="dxa"/>
            <w:vAlign w:val="bottom"/>
            <w:tcBorders>
              <w:top w:val="single" w:sz="8" w:color="000046"/>
            </w:tcBorders>
          </w:tcPr>
          <w:p>
            <w:pPr>
              <w:spacing w:after="0"/>
              <w:rPr>
                <w:sz w:val="24"/>
                <w:szCs w:val="24"/>
                <w:color w:val="auto"/>
              </w:rPr>
            </w:pPr>
          </w:p>
        </w:tc>
        <w:tc>
          <w:tcPr>
            <w:tcW w:w="1020" w:type="dxa"/>
            <w:vAlign w:val="bottom"/>
            <w:tcBorders>
              <w:top w:val="single" w:sz="8" w:color="000046"/>
            </w:tcBorders>
          </w:tcPr>
          <w:p>
            <w:pPr>
              <w:spacing w:after="0"/>
              <w:rPr>
                <w:sz w:val="24"/>
                <w:szCs w:val="24"/>
                <w:color w:val="auto"/>
              </w:rPr>
            </w:pPr>
          </w:p>
        </w:tc>
        <w:tc>
          <w:tcPr>
            <w:tcW w:w="1580" w:type="dxa"/>
            <w:vAlign w:val="bottom"/>
            <w:tcBorders>
              <w:top w:val="single" w:sz="8" w:color="000046"/>
            </w:tcBorders>
          </w:tcPr>
          <w:p>
            <w:pPr>
              <w:jc w:val="right"/>
              <w:ind w:right="290"/>
              <w:spacing w:after="0"/>
              <w:rPr>
                <w:sz w:val="20"/>
                <w:szCs w:val="20"/>
                <w:color w:val="auto"/>
              </w:rPr>
            </w:pPr>
            <w:r>
              <w:rPr>
                <w:rFonts w:ascii="PMingLiU" w:cs="PMingLiU" w:eastAsia="PMingLiU" w:hAnsi="PMingLiU"/>
                <w:sz w:val="16"/>
                <w:szCs w:val="16"/>
                <w:b w:val="1"/>
                <w:bCs w:val="1"/>
                <w:color w:val="000046"/>
              </w:rPr>
              <w:t>6WRFN$ZDUGV</w:t>
            </w:r>
            <w:r>
              <w:rPr>
                <w:rFonts w:ascii="PMingLiU" w:cs="PMingLiU" w:eastAsia="PMingLiU" w:hAnsi="PMingLiU"/>
                <w:sz w:val="20"/>
                <w:szCs w:val="20"/>
                <w:b w:val="1"/>
                <w:bCs w:val="1"/>
                <w:color w:val="000046"/>
                <w:vertAlign w:val="superscript"/>
              </w:rPr>
              <w:t/>
            </w:r>
          </w:p>
        </w:tc>
        <w:tc>
          <w:tcPr>
            <w:tcW w:w="240" w:type="dxa"/>
            <w:vAlign w:val="bottom"/>
            <w:tcBorders>
              <w:top w:val="single" w:sz="8" w:color="000046"/>
            </w:tcBorders>
          </w:tcPr>
          <w:p>
            <w:pPr>
              <w:spacing w:after="0"/>
              <w:rPr>
                <w:sz w:val="24"/>
                <w:szCs w:val="24"/>
                <w:color w:val="auto"/>
              </w:rPr>
            </w:pPr>
          </w:p>
        </w:tc>
        <w:tc>
          <w:tcPr>
            <w:tcW w:w="1660" w:type="dxa"/>
            <w:vAlign w:val="bottom"/>
            <w:tcBorders>
              <w:top w:val="single" w:sz="8" w:color="000046"/>
              <w:right w:val="single" w:sz="8" w:color="000046"/>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20" w:type="dxa"/>
            <w:vAlign w:val="bottom"/>
            <w:tcBorders>
              <w:right w:val="single" w:sz="8" w:color="000046"/>
            </w:tcBorders>
            <w:shd w:val="clear" w:color="auto" w:fill="000046"/>
          </w:tcPr>
          <w:p>
            <w:pPr>
              <w:spacing w:after="0"/>
              <w:rPr>
                <w:sz w:val="23"/>
                <w:szCs w:val="23"/>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1XPEHURI</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1XPEHURI</w:t>
            </w:r>
          </w:p>
        </w:tc>
        <w:tc>
          <w:tcPr>
            <w:tcW w:w="700" w:type="dxa"/>
            <w:vAlign w:val="bottom"/>
            <w:shd w:val="clear" w:color="auto" w:fill="000046"/>
          </w:tcPr>
          <w:p>
            <w:pPr>
              <w:spacing w:after="0"/>
              <w:rPr>
                <w:sz w:val="23"/>
                <w:szCs w:val="23"/>
                <w:color w:val="auto"/>
              </w:rPr>
            </w:pPr>
          </w:p>
        </w:tc>
        <w:tc>
          <w:tcPr>
            <w:tcW w:w="780" w:type="dxa"/>
            <w:vAlign w:val="bottom"/>
            <w:tcBorders>
              <w:right w:val="single" w:sz="8" w:color="000046"/>
            </w:tcBorders>
            <w:shd w:val="clear" w:color="auto" w:fill="000046"/>
          </w:tcPr>
          <w:p>
            <w:pPr>
              <w:spacing w:after="0"/>
              <w:rPr>
                <w:sz w:val="23"/>
                <w:szCs w:val="23"/>
                <w:color w:val="auto"/>
              </w:rPr>
            </w:pPr>
          </w:p>
        </w:tc>
        <w:tc>
          <w:tcPr>
            <w:tcW w:w="60" w:type="dxa"/>
            <w:vAlign w:val="bottom"/>
            <w:tcBorders>
              <w:right w:val="single" w:sz="8" w:color="000046"/>
            </w:tcBorders>
            <w:shd w:val="clear" w:color="auto" w:fill="000046"/>
          </w:tcPr>
          <w:p>
            <w:pPr>
              <w:spacing w:after="0"/>
              <w:rPr>
                <w:sz w:val="23"/>
                <w:szCs w:val="23"/>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1XPEHURI</w:t>
            </w:r>
          </w:p>
        </w:tc>
        <w:tc>
          <w:tcPr>
            <w:tcW w:w="280" w:type="dxa"/>
            <w:vAlign w:val="bottom"/>
            <w:shd w:val="clear" w:color="auto" w:fill="000046"/>
          </w:tcPr>
          <w:p>
            <w:pPr>
              <w:spacing w:after="0"/>
              <w:rPr>
                <w:sz w:val="23"/>
                <w:szCs w:val="23"/>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w w:val="94"/>
              </w:rPr>
              <w:t>0DUNHW9DOXH</w:t>
            </w:r>
          </w:p>
        </w:tc>
        <w:tc>
          <w:tcPr>
            <w:tcW w:w="15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w w:val="95"/>
              </w:rPr>
              <w:t>(TXLW\,QFHQWLYH3ODQ</w:t>
            </w:r>
          </w:p>
        </w:tc>
        <w:tc>
          <w:tcPr>
            <w:tcW w:w="240" w:type="dxa"/>
            <w:vAlign w:val="bottom"/>
            <w:shd w:val="clear" w:color="auto" w:fill="000046"/>
          </w:tcPr>
          <w:p>
            <w:pPr>
              <w:spacing w:after="0"/>
              <w:rPr>
                <w:sz w:val="23"/>
                <w:szCs w:val="23"/>
                <w:color w:val="auto"/>
              </w:rPr>
            </w:pPr>
          </w:p>
        </w:tc>
        <w:tc>
          <w:tcPr>
            <w:tcW w:w="1660" w:type="dxa"/>
            <w:vAlign w:val="bottom"/>
            <w:tcBorders>
              <w:right w:val="single" w:sz="8" w:color="000046"/>
            </w:tcBorders>
            <w:shd w:val="clear" w:color="auto" w:fill="000046"/>
          </w:tcPr>
          <w:p>
            <w:pPr>
              <w:jc w:val="right"/>
              <w:ind w:right="30"/>
              <w:spacing w:after="0"/>
              <w:rPr>
                <w:sz w:val="20"/>
                <w:szCs w:val="20"/>
                <w:color w:val="auto"/>
              </w:rPr>
            </w:pPr>
            <w:r>
              <w:rPr>
                <w:rFonts w:ascii="PMingLiU" w:cs="PMingLiU" w:eastAsia="PMingLiU" w:hAnsi="PMingLiU"/>
                <w:sz w:val="14"/>
                <w:szCs w:val="14"/>
                <w:b w:val="1"/>
                <w:bCs w:val="1"/>
                <w:color w:val="FFFFFF"/>
                <w:w w:val="96"/>
              </w:rPr>
              <w:t>(TXLW\,QFHQWLYH3ODQ</w:t>
            </w:r>
          </w:p>
        </w:tc>
        <w:tc>
          <w:tcPr>
            <w:tcW w:w="0" w:type="dxa"/>
            <w:vAlign w:val="bottom"/>
          </w:tcPr>
          <w:p>
            <w:pPr>
              <w:spacing w:after="0"/>
              <w:rPr>
                <w:sz w:val="1"/>
                <w:szCs w:val="1"/>
                <w:color w:val="auto"/>
              </w:rPr>
            </w:pPr>
          </w:p>
        </w:tc>
      </w:tr>
      <w:tr>
        <w:trPr>
          <w:trHeight w:val="168"/>
        </w:trPr>
        <w:tc>
          <w:tcPr>
            <w:tcW w:w="920" w:type="dxa"/>
            <w:vAlign w:val="bottom"/>
            <w:tcBorders>
              <w:right w:val="single" w:sz="8" w:color="000046"/>
            </w:tcBorders>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6HFXULWLHV</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6HFXULWLHV</w:t>
            </w:r>
          </w:p>
        </w:tc>
        <w:tc>
          <w:tcPr>
            <w:tcW w:w="700" w:type="dxa"/>
            <w:vAlign w:val="bottom"/>
            <w:shd w:val="clear" w:color="auto" w:fill="000046"/>
          </w:tcPr>
          <w:p>
            <w:pPr>
              <w:spacing w:after="0"/>
              <w:rPr>
                <w:sz w:val="14"/>
                <w:szCs w:val="14"/>
                <w:color w:val="auto"/>
              </w:rPr>
            </w:pPr>
          </w:p>
        </w:tc>
        <w:tc>
          <w:tcPr>
            <w:tcW w:w="780" w:type="dxa"/>
            <w:vAlign w:val="bottom"/>
            <w:tcBorders>
              <w:right w:val="single" w:sz="8" w:color="000046"/>
            </w:tcBorders>
            <w:shd w:val="clear" w:color="auto" w:fill="000046"/>
          </w:tcPr>
          <w:p>
            <w:pPr>
              <w:spacing w:after="0"/>
              <w:rPr>
                <w:sz w:val="14"/>
                <w:szCs w:val="14"/>
                <w:color w:val="auto"/>
              </w:rPr>
            </w:pPr>
          </w:p>
        </w:tc>
        <w:tc>
          <w:tcPr>
            <w:tcW w:w="60" w:type="dxa"/>
            <w:vAlign w:val="bottom"/>
            <w:tcBorders>
              <w:right w:val="single" w:sz="8" w:color="000046"/>
            </w:tcBorders>
            <w:shd w:val="clear" w:color="auto" w:fill="000046"/>
          </w:tcPr>
          <w:p>
            <w:pPr>
              <w:spacing w:after="0"/>
              <w:rPr>
                <w:sz w:val="14"/>
                <w:szCs w:val="14"/>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6KDUHVRU</w:t>
            </w:r>
          </w:p>
        </w:tc>
        <w:tc>
          <w:tcPr>
            <w:tcW w:w="280" w:type="dxa"/>
            <w:vAlign w:val="bottom"/>
            <w:shd w:val="clear" w:color="auto" w:fill="000046"/>
          </w:tcPr>
          <w:p>
            <w:pPr>
              <w:spacing w:after="0"/>
              <w:rPr>
                <w:sz w:val="14"/>
                <w:szCs w:val="14"/>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RI6KDUHVRU</w:t>
            </w:r>
          </w:p>
        </w:tc>
        <w:tc>
          <w:tcPr>
            <w:tcW w:w="15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$ZDUGV1XPEHURI</w:t>
            </w:r>
          </w:p>
        </w:tc>
        <w:tc>
          <w:tcPr>
            <w:tcW w:w="240" w:type="dxa"/>
            <w:vAlign w:val="bottom"/>
            <w:shd w:val="clear" w:color="auto" w:fill="000046"/>
          </w:tcPr>
          <w:p>
            <w:pPr>
              <w:spacing w:after="0"/>
              <w:rPr>
                <w:sz w:val="14"/>
                <w:szCs w:val="14"/>
                <w:color w:val="auto"/>
              </w:rPr>
            </w:pPr>
          </w:p>
        </w:tc>
        <w:tc>
          <w:tcPr>
            <w:tcW w:w="1660" w:type="dxa"/>
            <w:vAlign w:val="bottom"/>
            <w:tcBorders>
              <w:right w:val="single" w:sz="8" w:color="000046"/>
            </w:tcBorders>
            <w:shd w:val="clear" w:color="auto" w:fill="000046"/>
          </w:tcPr>
          <w:p>
            <w:pPr>
              <w:jc w:val="right"/>
              <w:ind w:right="30"/>
              <w:spacing w:after="0"/>
              <w:rPr>
                <w:sz w:val="20"/>
                <w:szCs w:val="20"/>
                <w:color w:val="auto"/>
              </w:rPr>
            </w:pPr>
            <w:r>
              <w:rPr>
                <w:rFonts w:ascii="PMingLiU" w:cs="PMingLiU" w:eastAsia="PMingLiU" w:hAnsi="PMingLiU"/>
                <w:sz w:val="14"/>
                <w:szCs w:val="14"/>
                <w:b w:val="1"/>
                <w:bCs w:val="1"/>
                <w:color w:val="FFFFFF"/>
                <w:w w:val="99"/>
              </w:rPr>
              <w:t>$ZDUGV0DUNHW9DOXH</w:t>
            </w:r>
          </w:p>
        </w:tc>
        <w:tc>
          <w:tcPr>
            <w:tcW w:w="0" w:type="dxa"/>
            <w:vAlign w:val="bottom"/>
          </w:tcPr>
          <w:p>
            <w:pPr>
              <w:spacing w:after="0"/>
              <w:rPr>
                <w:sz w:val="1"/>
                <w:szCs w:val="1"/>
                <w:color w:val="auto"/>
              </w:rPr>
            </w:pPr>
          </w:p>
        </w:tc>
      </w:tr>
      <w:tr>
        <w:trPr>
          <w:trHeight w:val="168"/>
        </w:trPr>
        <w:tc>
          <w:tcPr>
            <w:tcW w:w="920" w:type="dxa"/>
            <w:vAlign w:val="bottom"/>
            <w:tcBorders>
              <w:right w:val="single" w:sz="8" w:color="000046"/>
            </w:tcBorders>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8QGHUO\LQJ</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8QGHUO\LQJ</w:t>
            </w:r>
          </w:p>
        </w:tc>
        <w:tc>
          <w:tcPr>
            <w:tcW w:w="700" w:type="dxa"/>
            <w:vAlign w:val="bottom"/>
            <w:shd w:val="clear" w:color="auto" w:fill="000046"/>
          </w:tcPr>
          <w:p>
            <w:pPr>
              <w:spacing w:after="0"/>
              <w:rPr>
                <w:sz w:val="14"/>
                <w:szCs w:val="14"/>
                <w:color w:val="auto"/>
              </w:rPr>
            </w:pPr>
          </w:p>
        </w:tc>
        <w:tc>
          <w:tcPr>
            <w:tcW w:w="780" w:type="dxa"/>
            <w:vAlign w:val="bottom"/>
            <w:tcBorders>
              <w:right w:val="single" w:sz="8" w:color="000046"/>
            </w:tcBorders>
            <w:shd w:val="clear" w:color="auto" w:fill="000046"/>
          </w:tcPr>
          <w:p>
            <w:pPr>
              <w:spacing w:after="0"/>
              <w:rPr>
                <w:sz w:val="14"/>
                <w:szCs w:val="14"/>
                <w:color w:val="auto"/>
              </w:rPr>
            </w:pPr>
          </w:p>
        </w:tc>
        <w:tc>
          <w:tcPr>
            <w:tcW w:w="60" w:type="dxa"/>
            <w:vAlign w:val="bottom"/>
            <w:tcBorders>
              <w:right w:val="single" w:sz="8" w:color="000046"/>
            </w:tcBorders>
            <w:shd w:val="clear" w:color="auto" w:fill="000046"/>
          </w:tcPr>
          <w:p>
            <w:pPr>
              <w:spacing w:after="0"/>
              <w:rPr>
                <w:sz w:val="14"/>
                <w:szCs w:val="14"/>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8QLWVRI</w:t>
            </w:r>
          </w:p>
        </w:tc>
        <w:tc>
          <w:tcPr>
            <w:tcW w:w="280" w:type="dxa"/>
            <w:vAlign w:val="bottom"/>
            <w:shd w:val="clear" w:color="auto" w:fill="000046"/>
          </w:tcPr>
          <w:p>
            <w:pPr>
              <w:spacing w:after="0"/>
              <w:rPr>
                <w:sz w:val="14"/>
                <w:szCs w:val="14"/>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8QLWVRI</w:t>
            </w:r>
          </w:p>
        </w:tc>
        <w:tc>
          <w:tcPr>
            <w:tcW w:w="15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8QHDUQHG6KDUHV</w:t>
            </w:r>
          </w:p>
        </w:tc>
        <w:tc>
          <w:tcPr>
            <w:tcW w:w="240" w:type="dxa"/>
            <w:vAlign w:val="bottom"/>
            <w:shd w:val="clear" w:color="auto" w:fill="000046"/>
          </w:tcPr>
          <w:p>
            <w:pPr>
              <w:spacing w:after="0"/>
              <w:rPr>
                <w:sz w:val="14"/>
                <w:szCs w:val="14"/>
                <w:color w:val="auto"/>
              </w:rPr>
            </w:pPr>
          </w:p>
        </w:tc>
        <w:tc>
          <w:tcPr>
            <w:tcW w:w="1660" w:type="dxa"/>
            <w:vAlign w:val="bottom"/>
            <w:tcBorders>
              <w:right w:val="single" w:sz="8" w:color="000046"/>
            </w:tcBorders>
            <w:shd w:val="clear" w:color="auto" w:fill="000046"/>
          </w:tcPr>
          <w:p>
            <w:pPr>
              <w:jc w:val="right"/>
              <w:ind w:right="30"/>
              <w:spacing w:after="0"/>
              <w:rPr>
                <w:sz w:val="20"/>
                <w:szCs w:val="20"/>
                <w:color w:val="auto"/>
              </w:rPr>
            </w:pPr>
            <w:r>
              <w:rPr>
                <w:rFonts w:ascii="PMingLiU" w:cs="PMingLiU" w:eastAsia="PMingLiU" w:hAnsi="PMingLiU"/>
                <w:sz w:val="14"/>
                <w:szCs w:val="14"/>
                <w:b w:val="1"/>
                <w:bCs w:val="1"/>
                <w:color w:val="FFFFFF"/>
              </w:rPr>
              <w:t>RU3D\RXW9DOXHRI</w:t>
            </w:r>
          </w:p>
        </w:tc>
        <w:tc>
          <w:tcPr>
            <w:tcW w:w="0" w:type="dxa"/>
            <w:vAlign w:val="bottom"/>
          </w:tcPr>
          <w:p>
            <w:pPr>
              <w:spacing w:after="0"/>
              <w:rPr>
                <w:sz w:val="1"/>
                <w:szCs w:val="1"/>
                <w:color w:val="auto"/>
              </w:rPr>
            </w:pPr>
          </w:p>
        </w:tc>
      </w:tr>
      <w:tr>
        <w:trPr>
          <w:trHeight w:val="168"/>
        </w:trPr>
        <w:tc>
          <w:tcPr>
            <w:tcW w:w="920" w:type="dxa"/>
            <w:vAlign w:val="bottom"/>
            <w:tcBorders>
              <w:right w:val="single" w:sz="8" w:color="000046"/>
            </w:tcBorders>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w w:val="96"/>
              </w:rPr>
              <w:t>8QH[HUFLVHG</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8QH[HUFLVHG</w:t>
            </w:r>
          </w:p>
        </w:tc>
        <w:tc>
          <w:tcPr>
            <w:tcW w:w="70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2SWLRQ</w:t>
            </w:r>
          </w:p>
        </w:tc>
        <w:tc>
          <w:tcPr>
            <w:tcW w:w="780" w:type="dxa"/>
            <w:vAlign w:val="bottom"/>
            <w:tcBorders>
              <w:right w:val="single" w:sz="8" w:color="000046"/>
            </w:tcBorders>
            <w:shd w:val="clear" w:color="auto" w:fill="000046"/>
          </w:tcPr>
          <w:p>
            <w:pPr>
              <w:spacing w:after="0"/>
              <w:rPr>
                <w:sz w:val="14"/>
                <w:szCs w:val="14"/>
                <w:color w:val="auto"/>
              </w:rPr>
            </w:pPr>
          </w:p>
        </w:tc>
        <w:tc>
          <w:tcPr>
            <w:tcW w:w="60" w:type="dxa"/>
            <w:vAlign w:val="bottom"/>
            <w:tcBorders>
              <w:right w:val="single" w:sz="8" w:color="000046"/>
            </w:tcBorders>
            <w:shd w:val="clear" w:color="auto" w:fill="000046"/>
          </w:tcPr>
          <w:p>
            <w:pPr>
              <w:spacing w:after="0"/>
              <w:rPr>
                <w:sz w:val="14"/>
                <w:szCs w:val="14"/>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w w:val="94"/>
              </w:rPr>
              <w:t>6WRFN7KDW</w:t>
            </w:r>
          </w:p>
        </w:tc>
        <w:tc>
          <w:tcPr>
            <w:tcW w:w="280" w:type="dxa"/>
            <w:vAlign w:val="bottom"/>
            <w:shd w:val="clear" w:color="auto" w:fill="000046"/>
          </w:tcPr>
          <w:p>
            <w:pPr>
              <w:spacing w:after="0"/>
              <w:rPr>
                <w:sz w:val="14"/>
                <w:szCs w:val="14"/>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6WRFN7KDW</w:t>
            </w:r>
          </w:p>
        </w:tc>
        <w:tc>
          <w:tcPr>
            <w:tcW w:w="15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8QLWVRU2WKHU</w:t>
            </w:r>
          </w:p>
        </w:tc>
        <w:tc>
          <w:tcPr>
            <w:tcW w:w="240" w:type="dxa"/>
            <w:vAlign w:val="bottom"/>
            <w:shd w:val="clear" w:color="auto" w:fill="000046"/>
          </w:tcPr>
          <w:p>
            <w:pPr>
              <w:spacing w:after="0"/>
              <w:rPr>
                <w:sz w:val="14"/>
                <w:szCs w:val="14"/>
                <w:color w:val="auto"/>
              </w:rPr>
            </w:pPr>
          </w:p>
        </w:tc>
        <w:tc>
          <w:tcPr>
            <w:tcW w:w="1660" w:type="dxa"/>
            <w:vAlign w:val="bottom"/>
            <w:tcBorders>
              <w:right w:val="single" w:sz="8" w:color="000046"/>
            </w:tcBorders>
            <w:shd w:val="clear" w:color="auto" w:fill="000046"/>
          </w:tcPr>
          <w:p>
            <w:pPr>
              <w:jc w:val="right"/>
              <w:ind w:right="30"/>
              <w:spacing w:after="0"/>
              <w:rPr>
                <w:sz w:val="20"/>
                <w:szCs w:val="20"/>
                <w:color w:val="auto"/>
              </w:rPr>
            </w:pPr>
            <w:r>
              <w:rPr>
                <w:rFonts w:ascii="PMingLiU" w:cs="PMingLiU" w:eastAsia="PMingLiU" w:hAnsi="PMingLiU"/>
                <w:sz w:val="14"/>
                <w:szCs w:val="14"/>
                <w:b w:val="1"/>
                <w:bCs w:val="1"/>
                <w:color w:val="FFFFFF"/>
              </w:rPr>
              <w:t>8QHDUQHG6KDUHV</w:t>
            </w:r>
          </w:p>
        </w:tc>
        <w:tc>
          <w:tcPr>
            <w:tcW w:w="0" w:type="dxa"/>
            <w:vAlign w:val="bottom"/>
          </w:tcPr>
          <w:p>
            <w:pPr>
              <w:spacing w:after="0"/>
              <w:rPr>
                <w:sz w:val="1"/>
                <w:szCs w:val="1"/>
                <w:color w:val="auto"/>
              </w:rPr>
            </w:pPr>
          </w:p>
        </w:tc>
      </w:tr>
      <w:tr>
        <w:trPr>
          <w:trHeight w:val="168"/>
        </w:trPr>
        <w:tc>
          <w:tcPr>
            <w:tcW w:w="920" w:type="dxa"/>
            <w:vAlign w:val="bottom"/>
            <w:tcBorders>
              <w:right w:val="single" w:sz="8" w:color="000046"/>
            </w:tcBorders>
            <w:shd w:val="clear" w:color="auto" w:fill="000046"/>
          </w:tcPr>
          <w:p>
            <w:pPr>
              <w:spacing w:after="0"/>
              <w:rPr>
                <w:sz w:val="14"/>
                <w:szCs w:val="14"/>
                <w:color w:val="auto"/>
              </w:rPr>
            </w:pPr>
          </w:p>
        </w:tc>
        <w:tc>
          <w:tcPr>
            <w:tcW w:w="96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rPr>
              <w:t>2SWLRQV</w:t>
            </w:r>
          </w:p>
        </w:tc>
        <w:tc>
          <w:tcPr>
            <w:tcW w:w="108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rPr>
              <w:t>2SWLRQV</w:t>
            </w:r>
          </w:p>
        </w:tc>
        <w:tc>
          <w:tcPr>
            <w:tcW w:w="70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([HUFLVH</w:t>
            </w:r>
          </w:p>
        </w:tc>
        <w:tc>
          <w:tcPr>
            <w:tcW w:w="780" w:type="dxa"/>
            <w:vAlign w:val="bottom"/>
            <w:tcBorders>
              <w:right w:val="single" w:sz="8" w:color="000046"/>
            </w:tcBorders>
            <w:shd w:val="clear" w:color="auto" w:fill="000046"/>
          </w:tcPr>
          <w:p>
            <w:pPr>
              <w:ind w:left="140"/>
              <w:spacing w:after="0"/>
              <w:rPr>
                <w:sz w:val="20"/>
                <w:szCs w:val="20"/>
                <w:color w:val="auto"/>
              </w:rPr>
            </w:pPr>
            <w:r>
              <w:rPr>
                <w:rFonts w:ascii="PMingLiU" w:cs="PMingLiU" w:eastAsia="PMingLiU" w:hAnsi="PMingLiU"/>
                <w:sz w:val="14"/>
                <w:szCs w:val="14"/>
                <w:b w:val="1"/>
                <w:bCs w:val="1"/>
                <w:color w:val="FFFFFF"/>
              </w:rPr>
              <w:t>2SWLRQ</w:t>
            </w:r>
          </w:p>
        </w:tc>
        <w:tc>
          <w:tcPr>
            <w:tcW w:w="60" w:type="dxa"/>
            <w:vAlign w:val="bottom"/>
            <w:tcBorders>
              <w:right w:val="single" w:sz="8" w:color="000046"/>
            </w:tcBorders>
            <w:shd w:val="clear" w:color="auto" w:fill="000046"/>
          </w:tcPr>
          <w:p>
            <w:pPr>
              <w:spacing w:after="0"/>
              <w:rPr>
                <w:sz w:val="14"/>
                <w:szCs w:val="14"/>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+DYH1RW</w:t>
            </w:r>
          </w:p>
        </w:tc>
        <w:tc>
          <w:tcPr>
            <w:tcW w:w="280" w:type="dxa"/>
            <w:vAlign w:val="bottom"/>
            <w:shd w:val="clear" w:color="auto" w:fill="000046"/>
          </w:tcPr>
          <w:p>
            <w:pPr>
              <w:spacing w:after="0"/>
              <w:rPr>
                <w:sz w:val="14"/>
                <w:szCs w:val="14"/>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+DYH1RW</w:t>
            </w:r>
          </w:p>
        </w:tc>
        <w:tc>
          <w:tcPr>
            <w:tcW w:w="15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5LJKWV7KDW+DYH</w:t>
            </w:r>
          </w:p>
        </w:tc>
        <w:tc>
          <w:tcPr>
            <w:tcW w:w="240" w:type="dxa"/>
            <w:vAlign w:val="bottom"/>
            <w:shd w:val="clear" w:color="auto" w:fill="000046"/>
          </w:tcPr>
          <w:p>
            <w:pPr>
              <w:spacing w:after="0"/>
              <w:rPr>
                <w:sz w:val="14"/>
                <w:szCs w:val="14"/>
                <w:color w:val="auto"/>
              </w:rPr>
            </w:pPr>
          </w:p>
        </w:tc>
        <w:tc>
          <w:tcPr>
            <w:tcW w:w="1660" w:type="dxa"/>
            <w:vAlign w:val="bottom"/>
            <w:tcBorders>
              <w:right w:val="single" w:sz="8" w:color="000046"/>
            </w:tcBorders>
            <w:shd w:val="clear" w:color="auto" w:fill="000046"/>
          </w:tcPr>
          <w:p>
            <w:pPr>
              <w:jc w:val="right"/>
              <w:ind w:right="30"/>
              <w:spacing w:after="0"/>
              <w:rPr>
                <w:sz w:val="20"/>
                <w:szCs w:val="20"/>
                <w:color w:val="auto"/>
              </w:rPr>
            </w:pPr>
            <w:r>
              <w:rPr>
                <w:rFonts w:ascii="PMingLiU" w:cs="PMingLiU" w:eastAsia="PMingLiU" w:hAnsi="PMingLiU"/>
                <w:sz w:val="14"/>
                <w:szCs w:val="14"/>
                <w:b w:val="1"/>
                <w:bCs w:val="1"/>
                <w:color w:val="FFFFFF"/>
                <w:w w:val="94"/>
              </w:rPr>
              <w:t>8QLWVRU2WKHU5LJKWV</w:t>
            </w:r>
          </w:p>
        </w:tc>
        <w:tc>
          <w:tcPr>
            <w:tcW w:w="0" w:type="dxa"/>
            <w:vAlign w:val="bottom"/>
          </w:tcPr>
          <w:p>
            <w:pPr>
              <w:spacing w:after="0"/>
              <w:rPr>
                <w:sz w:val="1"/>
                <w:szCs w:val="1"/>
                <w:color w:val="auto"/>
              </w:rPr>
            </w:pPr>
          </w:p>
        </w:tc>
      </w:tr>
      <w:tr>
        <w:trPr>
          <w:trHeight w:val="168"/>
        </w:trPr>
        <w:tc>
          <w:tcPr>
            <w:tcW w:w="920" w:type="dxa"/>
            <w:vAlign w:val="bottom"/>
            <w:tcBorders>
              <w:right w:val="single" w:sz="8" w:color="000046"/>
            </w:tcBorders>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
            </w:r>
          </w:p>
        </w:tc>
        <w:tc>
          <w:tcPr>
            <w:tcW w:w="1480" w:type="dxa"/>
            <w:vAlign w:val="bottom"/>
            <w:tcBorders>
              <w:right w:val="single" w:sz="8" w:color="000046"/>
            </w:tcBorders>
            <w:gridSpan w:val="2"/>
            <w:shd w:val="clear" w:color="auto" w:fill="000046"/>
          </w:tcPr>
          <w:p>
            <w:pPr>
              <w:ind w:left="280"/>
              <w:spacing w:after="0"/>
              <w:rPr>
                <w:sz w:val="20"/>
                <w:szCs w:val="20"/>
                <w:color w:val="auto"/>
              </w:rPr>
            </w:pPr>
            <w:r>
              <w:rPr>
                <w:rFonts w:ascii="PMingLiU" w:cs="PMingLiU" w:eastAsia="PMingLiU" w:hAnsi="PMingLiU"/>
                <w:sz w:val="14"/>
                <w:szCs w:val="14"/>
                <w:b w:val="1"/>
                <w:bCs w:val="1"/>
                <w:color w:val="FFFFFF"/>
                <w:w w:val="91"/>
              </w:rPr>
              <w:t>3ULFH ([SLUDWLRQ</w:t>
            </w:r>
          </w:p>
        </w:tc>
        <w:tc>
          <w:tcPr>
            <w:tcW w:w="60" w:type="dxa"/>
            <w:vAlign w:val="bottom"/>
            <w:tcBorders>
              <w:right w:val="single" w:sz="8" w:color="000046"/>
            </w:tcBorders>
            <w:shd w:val="clear" w:color="auto" w:fill="000046"/>
          </w:tcPr>
          <w:p>
            <w:pPr>
              <w:spacing w:after="0"/>
              <w:rPr>
                <w:sz w:val="14"/>
                <w:szCs w:val="14"/>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9HVWHG</w:t>
            </w:r>
          </w:p>
        </w:tc>
        <w:tc>
          <w:tcPr>
            <w:tcW w:w="280" w:type="dxa"/>
            <w:vAlign w:val="bottom"/>
            <w:shd w:val="clear" w:color="auto" w:fill="000046"/>
          </w:tcPr>
          <w:p>
            <w:pPr>
              <w:spacing w:after="0"/>
              <w:rPr>
                <w:sz w:val="14"/>
                <w:szCs w:val="14"/>
                <w:color w:val="auto"/>
              </w:rPr>
            </w:pPr>
          </w:p>
        </w:tc>
        <w:tc>
          <w:tcPr>
            <w:tcW w:w="102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9HVWHG</w:t>
            </w:r>
          </w:p>
        </w:tc>
        <w:tc>
          <w:tcPr>
            <w:tcW w:w="158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rPr>
              <w:t>1RW9HVWHG</w:t>
            </w:r>
          </w:p>
        </w:tc>
        <w:tc>
          <w:tcPr>
            <w:tcW w:w="240" w:type="dxa"/>
            <w:vAlign w:val="bottom"/>
            <w:shd w:val="clear" w:color="auto" w:fill="000046"/>
          </w:tcPr>
          <w:p>
            <w:pPr>
              <w:spacing w:after="0"/>
              <w:rPr>
                <w:sz w:val="14"/>
                <w:szCs w:val="14"/>
                <w:color w:val="auto"/>
              </w:rPr>
            </w:pPr>
          </w:p>
        </w:tc>
        <w:tc>
          <w:tcPr>
            <w:tcW w:w="1660" w:type="dxa"/>
            <w:vAlign w:val="bottom"/>
            <w:tcBorders>
              <w:right w:val="single" w:sz="8" w:color="000046"/>
            </w:tcBorders>
            <w:shd w:val="clear" w:color="auto" w:fill="000046"/>
          </w:tcPr>
          <w:p>
            <w:pPr>
              <w:jc w:val="right"/>
              <w:ind w:right="70"/>
              <w:spacing w:after="0"/>
              <w:rPr>
                <w:sz w:val="20"/>
                <w:szCs w:val="20"/>
                <w:color w:val="auto"/>
              </w:rPr>
            </w:pPr>
            <w:r>
              <w:rPr>
                <w:rFonts w:ascii="PMingLiU" w:cs="PMingLiU" w:eastAsia="PMingLiU" w:hAnsi="PMingLiU"/>
                <w:sz w:val="14"/>
                <w:szCs w:val="14"/>
                <w:b w:val="1"/>
                <w:bCs w:val="1"/>
                <w:color w:val="FFFFFF"/>
                <w:w w:val="94"/>
              </w:rPr>
              <w:t>7KDW+DYH1RW9HVWHG</w:t>
            </w:r>
          </w:p>
        </w:tc>
        <w:tc>
          <w:tcPr>
            <w:tcW w:w="0" w:type="dxa"/>
            <w:vAlign w:val="bottom"/>
          </w:tcPr>
          <w:p>
            <w:pPr>
              <w:spacing w:after="0"/>
              <w:rPr>
                <w:sz w:val="1"/>
                <w:szCs w:val="1"/>
                <w:color w:val="auto"/>
              </w:rPr>
            </w:pPr>
          </w:p>
        </w:tc>
      </w:tr>
      <w:tr>
        <w:trPr>
          <w:trHeight w:val="260"/>
        </w:trPr>
        <w:tc>
          <w:tcPr>
            <w:tcW w:w="920" w:type="dxa"/>
            <w:vAlign w:val="bottom"/>
            <w:tcBorders>
              <w:right w:val="single" w:sz="8" w:color="000046"/>
            </w:tcBorders>
            <w:shd w:val="clear" w:color="auto" w:fill="000046"/>
          </w:tcPr>
          <w:p>
            <w:pPr>
              <w:ind w:left="100"/>
              <w:spacing w:after="0"/>
              <w:rPr>
                <w:sz w:val="20"/>
                <w:szCs w:val="20"/>
                <w:color w:val="auto"/>
              </w:rPr>
            </w:pPr>
            <w:r>
              <w:rPr>
                <w:rFonts w:ascii="PMingLiU" w:cs="PMingLiU" w:eastAsia="PMingLiU" w:hAnsi="PMingLiU"/>
                <w:sz w:val="14"/>
                <w:szCs w:val="14"/>
                <w:b w:val="1"/>
                <w:bCs w:val="1"/>
                <w:color w:val="FFFFFF"/>
              </w:rPr>
              <w:t>1DPH</w:t>
            </w:r>
          </w:p>
        </w:tc>
        <w:tc>
          <w:tcPr>
            <w:tcW w:w="96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w w:val="96"/>
              </w:rPr>
              <w:t>([HUFLVDEOH</w:t>
            </w:r>
          </w:p>
        </w:tc>
        <w:tc>
          <w:tcPr>
            <w:tcW w:w="1080" w:type="dxa"/>
            <w:vAlign w:val="bottom"/>
            <w:shd w:val="clear" w:color="auto" w:fill="000046"/>
          </w:tcPr>
          <w:p>
            <w:pPr>
              <w:jc w:val="right"/>
              <w:spacing w:after="0"/>
              <w:rPr>
                <w:sz w:val="20"/>
                <w:szCs w:val="20"/>
                <w:color w:val="auto"/>
              </w:rPr>
            </w:pPr>
            <w:r>
              <w:rPr>
                <w:rFonts w:ascii="PMingLiU" w:cs="PMingLiU" w:eastAsia="PMingLiU" w:hAnsi="PMingLiU"/>
                <w:sz w:val="14"/>
                <w:szCs w:val="14"/>
                <w:b w:val="1"/>
                <w:bCs w:val="1"/>
                <w:color w:val="FFFFFF"/>
                <w:w w:val="90"/>
              </w:rPr>
              <w:t>8QH[HUFLVDEOH</w:t>
            </w:r>
          </w:p>
        </w:tc>
        <w:tc>
          <w:tcPr>
            <w:tcW w:w="70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rPr>
              <w:t/>
            </w:r>
          </w:p>
        </w:tc>
        <w:tc>
          <w:tcPr>
            <w:tcW w:w="780" w:type="dxa"/>
            <w:vAlign w:val="bottom"/>
            <w:tcBorders>
              <w:right w:val="single" w:sz="8" w:color="000046"/>
            </w:tcBorders>
            <w:shd w:val="clear" w:color="auto" w:fill="000046"/>
          </w:tcPr>
          <w:p>
            <w:pPr>
              <w:ind w:left="160"/>
              <w:spacing w:after="0"/>
              <w:rPr>
                <w:sz w:val="20"/>
                <w:szCs w:val="20"/>
                <w:color w:val="auto"/>
              </w:rPr>
            </w:pPr>
            <w:r>
              <w:rPr>
                <w:rFonts w:ascii="PMingLiU" w:cs="PMingLiU" w:eastAsia="PMingLiU" w:hAnsi="PMingLiU"/>
                <w:sz w:val="14"/>
                <w:szCs w:val="14"/>
                <w:b w:val="1"/>
                <w:bCs w:val="1"/>
                <w:color w:val="FFFFFF"/>
              </w:rPr>
              <w:t>'DWH</w:t>
            </w:r>
            <w:r>
              <w:rPr>
                <w:rFonts w:ascii="PMingLiU" w:cs="PMingLiU" w:eastAsia="PMingLiU" w:hAnsi="PMingLiU"/>
                <w:sz w:val="18"/>
                <w:szCs w:val="18"/>
                <w:b w:val="1"/>
                <w:bCs w:val="1"/>
                <w:color w:val="FFFFFF"/>
                <w:vertAlign w:val="superscript"/>
              </w:rPr>
              <w:t/>
            </w:r>
          </w:p>
        </w:tc>
        <w:tc>
          <w:tcPr>
            <w:tcW w:w="880" w:type="dxa"/>
            <w:vAlign w:val="bottom"/>
            <w:gridSpan w:val="2"/>
            <w:shd w:val="clear" w:color="auto" w:fill="000046"/>
          </w:tcPr>
          <w:p>
            <w:pPr>
              <w:jc w:val="right"/>
              <w:spacing w:after="0"/>
              <w:rPr>
                <w:sz w:val="20"/>
                <w:szCs w:val="20"/>
                <w:color w:val="auto"/>
              </w:rPr>
            </w:pPr>
            <w:r>
              <w:rPr>
                <w:rFonts w:ascii="PMingLiU" w:cs="PMingLiU" w:eastAsia="PMingLiU" w:hAnsi="PMingLiU"/>
                <w:sz w:val="14"/>
                <w:szCs w:val="14"/>
                <w:b w:val="1"/>
                <w:bCs w:val="1"/>
                <w:color w:val="FFFFFF"/>
              </w:rPr>
              <w:t/>
            </w:r>
          </w:p>
        </w:tc>
        <w:tc>
          <w:tcPr>
            <w:tcW w:w="280" w:type="dxa"/>
            <w:vAlign w:val="bottom"/>
            <w:shd w:val="clear" w:color="auto" w:fill="000046"/>
          </w:tcPr>
          <w:p>
            <w:pPr>
              <w:spacing w:after="0"/>
              <w:rPr>
                <w:sz w:val="22"/>
                <w:szCs w:val="22"/>
                <w:color w:val="auto"/>
              </w:rPr>
            </w:pPr>
          </w:p>
        </w:tc>
        <w:tc>
          <w:tcPr>
            <w:tcW w:w="1020" w:type="dxa"/>
            <w:vAlign w:val="bottom"/>
            <w:shd w:val="clear" w:color="auto" w:fill="000046"/>
          </w:tcPr>
          <w:p>
            <w:pPr>
              <w:jc w:val="right"/>
              <w:ind w:right="11"/>
              <w:spacing w:after="0" w:line="259" w:lineRule="exact"/>
              <w:rPr>
                <w:sz w:val="20"/>
                <w:szCs w:val="20"/>
                <w:color w:val="auto"/>
              </w:rPr>
            </w:pPr>
            <w:r>
              <w:rPr>
                <w:rFonts w:ascii="PMingLiU" w:cs="PMingLiU" w:eastAsia="PMingLiU" w:hAnsi="PMingLiU"/>
                <w:sz w:val="28"/>
                <w:szCs w:val="28"/>
                <w:b w:val="1"/>
                <w:bCs w:val="1"/>
                <w:color w:val="FFFFFF"/>
                <w:vertAlign w:val="subscript"/>
              </w:rPr>
              <w:t/>
            </w:r>
            <w:r>
              <w:rPr>
                <w:rFonts w:ascii="PMingLiU" w:cs="PMingLiU" w:eastAsia="PMingLiU" w:hAnsi="PMingLiU"/>
                <w:sz w:val="9"/>
                <w:szCs w:val="9"/>
                <w:b w:val="1"/>
                <w:bCs w:val="1"/>
                <w:color w:val="FFFFFF"/>
              </w:rPr>
              <w:t/>
            </w:r>
          </w:p>
        </w:tc>
        <w:tc>
          <w:tcPr>
            <w:tcW w:w="1580" w:type="dxa"/>
            <w:vAlign w:val="bottom"/>
            <w:shd w:val="clear" w:color="auto" w:fill="000046"/>
          </w:tcPr>
          <w:p>
            <w:pPr>
              <w:jc w:val="right"/>
              <w:ind w:right="10"/>
              <w:spacing w:after="0"/>
              <w:rPr>
                <w:sz w:val="20"/>
                <w:szCs w:val="20"/>
                <w:color w:val="auto"/>
              </w:rPr>
            </w:pPr>
            <w:r>
              <w:rPr>
                <w:rFonts w:ascii="PMingLiU" w:cs="PMingLiU" w:eastAsia="PMingLiU" w:hAnsi="PMingLiU"/>
                <w:sz w:val="14"/>
                <w:szCs w:val="14"/>
                <w:b w:val="1"/>
                <w:bCs w:val="1"/>
                <w:color w:val="FFFFFF"/>
              </w:rPr>
              <w:t/>
            </w:r>
          </w:p>
        </w:tc>
        <w:tc>
          <w:tcPr>
            <w:tcW w:w="240" w:type="dxa"/>
            <w:vAlign w:val="bottom"/>
            <w:shd w:val="clear" w:color="auto" w:fill="000046"/>
          </w:tcPr>
          <w:p>
            <w:pPr>
              <w:spacing w:after="0"/>
              <w:rPr>
                <w:sz w:val="22"/>
                <w:szCs w:val="22"/>
                <w:color w:val="auto"/>
              </w:rPr>
            </w:pPr>
          </w:p>
        </w:tc>
        <w:tc>
          <w:tcPr>
            <w:tcW w:w="1660" w:type="dxa"/>
            <w:vAlign w:val="bottom"/>
            <w:tcBorders>
              <w:right w:val="single" w:sz="8" w:color="000046"/>
            </w:tcBorders>
            <w:shd w:val="clear" w:color="auto" w:fill="000046"/>
          </w:tcPr>
          <w:p>
            <w:pPr>
              <w:jc w:val="right"/>
              <w:ind w:right="70"/>
              <w:spacing w:after="0"/>
              <w:rPr>
                <w:sz w:val="20"/>
                <w:szCs w:val="20"/>
                <w:color w:val="auto"/>
              </w:rPr>
            </w:pPr>
            <w:r>
              <w:rPr>
                <w:rFonts w:ascii="PMingLiU" w:cs="PMingLiU" w:eastAsia="PMingLiU" w:hAnsi="PMingLiU"/>
                <w:sz w:val="14"/>
                <w:szCs w:val="14"/>
                <w:b w:val="1"/>
                <w:bCs w:val="1"/>
                <w:color w:val="FFFFFF"/>
              </w:rPr>
              <w:t/>
            </w:r>
            <w:r>
              <w:rPr>
                <w:rFonts w:ascii="PMingLiU" w:cs="PMingLiU" w:eastAsia="PMingLiU" w:hAnsi="PMingLiU"/>
                <w:sz w:val="18"/>
                <w:szCs w:val="18"/>
                <w:b w:val="1"/>
                <w:bCs w:val="1"/>
                <w:color w:val="FFFFFF"/>
                <w:vertAlign w:val="superscript"/>
              </w:rPr>
              <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920" w:type="dxa"/>
            <w:vAlign w:val="bottom"/>
          </w:tcPr>
          <w:p>
            <w:pPr>
              <w:ind w:left="100"/>
              <w:spacing w:after="0"/>
              <w:rPr>
                <w:sz w:val="20"/>
                <w:szCs w:val="20"/>
                <w:color w:val="auto"/>
              </w:rPr>
            </w:pPr>
            <w:r>
              <w:rPr>
                <w:rFonts w:ascii="PMingLiU" w:cs="PMingLiU" w:eastAsia="PMingLiU" w:hAnsi="PMingLiU"/>
                <w:sz w:val="14"/>
                <w:szCs w:val="14"/>
                <w:b w:val="1"/>
                <w:bCs w:val="1"/>
                <w:color w:val="5C004D"/>
              </w:rPr>
              <w:t>5HQHH'</w:t>
            </w:r>
          </w:p>
        </w:tc>
        <w:tc>
          <w:tcPr>
            <w:tcW w:w="96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Borders>
              <w:bottom w:val="single" w:sz="8" w:color="4454A7"/>
            </w:tcBorders>
          </w:tcPr>
          <w:p>
            <w:pPr>
              <w:spacing w:after="0"/>
              <w:rPr>
                <w:sz w:val="20"/>
                <w:szCs w:val="20"/>
                <w:color w:val="auto"/>
              </w:rPr>
            </w:pPr>
          </w:p>
        </w:tc>
        <w:tc>
          <w:tcPr>
            <w:tcW w:w="880" w:type="dxa"/>
            <w:vAlign w:val="bottom"/>
            <w:tcBorders>
              <w:bottom w:val="single" w:sz="8" w:color="4454A7"/>
            </w:tcBorders>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Borders>
              <w:bottom w:val="single" w:sz="8" w:color="4454A7"/>
            </w:tcBorders>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Borders>
              <w:bottom w:val="single" w:sz="8" w:color="4454A7"/>
            </w:tcBorders>
          </w:tcPr>
          <w:p>
            <w:pPr>
              <w:spacing w:after="0"/>
              <w:rPr>
                <w:sz w:val="20"/>
                <w:szCs w:val="20"/>
                <w:color w:val="auto"/>
              </w:rPr>
            </w:pPr>
          </w:p>
        </w:tc>
        <w:tc>
          <w:tcPr>
            <w:tcW w:w="1660" w:type="dxa"/>
            <w:vAlign w:val="bottom"/>
            <w:tcBorders>
              <w:bottom w:val="single" w:sz="8" w:color="4454A7"/>
            </w:tcBorders>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01"/>
        </w:trPr>
        <w:tc>
          <w:tcPr>
            <w:tcW w:w="920" w:type="dxa"/>
            <w:vAlign w:val="bottom"/>
          </w:tcPr>
          <w:p>
            <w:pPr>
              <w:ind w:left="100"/>
              <w:spacing w:after="0"/>
              <w:rPr>
                <w:sz w:val="20"/>
                <w:szCs w:val="20"/>
                <w:color w:val="auto"/>
              </w:rPr>
            </w:pPr>
            <w:r>
              <w:rPr>
                <w:rFonts w:ascii="PMingLiU" w:cs="PMingLiU" w:eastAsia="PMingLiU" w:hAnsi="PMingLiU"/>
                <w:sz w:val="14"/>
                <w:szCs w:val="14"/>
                <w:b w:val="1"/>
                <w:bCs w:val="1"/>
                <w:color w:val="5C004D"/>
              </w:rPr>
              <w:t>*DOD</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1"/>
        </w:trPr>
        <w:tc>
          <w:tcPr>
            <w:tcW w:w="92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3KLOLS/</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vMerge w:val="continue"/>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3"/>
                <w:szCs w:val="13"/>
                <w:color w:val="auto"/>
              </w:rPr>
            </w:pPr>
          </w:p>
        </w:tc>
        <w:tc>
          <w:tcPr>
            <w:tcW w:w="880" w:type="dxa"/>
            <w:vAlign w:val="bottom"/>
            <w:gridSpan w:val="2"/>
          </w:tcPr>
          <w:p>
            <w:pPr>
              <w:jc w:val="right"/>
              <w:spacing w:after="0" w:line="158" w:lineRule="exact"/>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line="15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8"/>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-RKQVRQ</w:t>
            </w:r>
          </w:p>
        </w:tc>
        <w:tc>
          <w:tcPr>
            <w:tcW w:w="960" w:type="dxa"/>
            <w:vAlign w:val="bottom"/>
            <w:tcBorders>
              <w:bottom w:val="single" w:sz="8" w:color="4454A7"/>
            </w:tcBorders>
          </w:tcPr>
          <w:p>
            <w:pPr>
              <w:spacing w:after="0"/>
              <w:rPr>
                <w:sz w:val="6"/>
                <w:szCs w:val="6"/>
                <w:color w:val="auto"/>
              </w:rPr>
            </w:pPr>
          </w:p>
        </w:tc>
        <w:tc>
          <w:tcPr>
            <w:tcW w:w="1080" w:type="dxa"/>
            <w:vAlign w:val="bottom"/>
            <w:tcBorders>
              <w:bottom w:val="single" w:sz="8" w:color="4454A7"/>
            </w:tcBorders>
          </w:tcPr>
          <w:p>
            <w:pPr>
              <w:spacing w:after="0"/>
              <w:rPr>
                <w:sz w:val="6"/>
                <w:szCs w:val="6"/>
                <w:color w:val="auto"/>
              </w:rPr>
            </w:pPr>
          </w:p>
        </w:tc>
        <w:tc>
          <w:tcPr>
            <w:tcW w:w="700" w:type="dxa"/>
            <w:vAlign w:val="bottom"/>
            <w:tcBorders>
              <w:bottom w:val="single" w:sz="8" w:color="4454A7"/>
            </w:tcBorders>
          </w:tcPr>
          <w:p>
            <w:pPr>
              <w:spacing w:after="0"/>
              <w:rPr>
                <w:sz w:val="6"/>
                <w:szCs w:val="6"/>
                <w:color w:val="auto"/>
              </w:rPr>
            </w:pPr>
          </w:p>
        </w:tc>
        <w:tc>
          <w:tcPr>
            <w:tcW w:w="78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820" w:type="dxa"/>
            <w:vAlign w:val="bottom"/>
            <w:tcBorders>
              <w:bottom w:val="single" w:sz="8" w:color="4454A7"/>
            </w:tcBorders>
          </w:tcPr>
          <w:p>
            <w:pPr>
              <w:spacing w:after="0"/>
              <w:rPr>
                <w:sz w:val="6"/>
                <w:szCs w:val="6"/>
                <w:color w:val="auto"/>
              </w:rPr>
            </w:pPr>
          </w:p>
        </w:tc>
        <w:tc>
          <w:tcPr>
            <w:tcW w:w="280" w:type="dxa"/>
            <w:vAlign w:val="bottom"/>
            <w:tcBorders>
              <w:bottom w:val="single" w:sz="8" w:color="4454A7"/>
            </w:tcBorders>
          </w:tcPr>
          <w:p>
            <w:pPr>
              <w:spacing w:after="0"/>
              <w:rPr>
                <w:sz w:val="6"/>
                <w:szCs w:val="6"/>
                <w:color w:val="auto"/>
              </w:rPr>
            </w:pPr>
          </w:p>
        </w:tc>
        <w:tc>
          <w:tcPr>
            <w:tcW w:w="1020" w:type="dxa"/>
            <w:vAlign w:val="bottom"/>
            <w:tcBorders>
              <w:bottom w:val="single" w:sz="8" w:color="4454A7"/>
            </w:tcBorders>
          </w:tcPr>
          <w:p>
            <w:pPr>
              <w:spacing w:after="0"/>
              <w:rPr>
                <w:sz w:val="6"/>
                <w:szCs w:val="6"/>
                <w:color w:val="auto"/>
              </w:rPr>
            </w:pPr>
          </w:p>
        </w:tc>
        <w:tc>
          <w:tcPr>
            <w:tcW w:w="1580" w:type="dxa"/>
            <w:vAlign w:val="bottom"/>
            <w:tcBorders>
              <w:bottom w:val="single" w:sz="8" w:color="4454A7"/>
            </w:tcBorders>
          </w:tcPr>
          <w:p>
            <w:pPr>
              <w:spacing w:after="0"/>
              <w:rPr>
                <w:sz w:val="6"/>
                <w:szCs w:val="6"/>
                <w:color w:val="auto"/>
              </w:rPr>
            </w:pPr>
          </w:p>
        </w:tc>
        <w:tc>
          <w:tcPr>
            <w:tcW w:w="240" w:type="dxa"/>
            <w:vAlign w:val="bottom"/>
            <w:tcBorders>
              <w:bottom w:val="single" w:sz="8" w:color="4454A7"/>
            </w:tcBorders>
          </w:tcPr>
          <w:p>
            <w:pPr>
              <w:spacing w:after="0"/>
              <w:rPr>
                <w:sz w:val="6"/>
                <w:szCs w:val="6"/>
                <w:color w:val="auto"/>
              </w:rPr>
            </w:pPr>
          </w:p>
        </w:tc>
        <w:tc>
          <w:tcPr>
            <w:tcW w:w="16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8"/>
                <w:szCs w:val="8"/>
                <w:color w:val="auto"/>
              </w:rPr>
            </w:pPr>
          </w:p>
        </w:tc>
        <w:tc>
          <w:tcPr>
            <w:tcW w:w="88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vMerge w:val="restart"/>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8"/>
                <w:szCs w:val="8"/>
                <w:color w:val="auto"/>
              </w:rPr>
            </w:pPr>
          </w:p>
        </w:tc>
        <w:tc>
          <w:tcPr>
            <w:tcW w:w="1660" w:type="dxa"/>
            <w:vAlign w:val="bottom"/>
            <w:vMerge w:val="restart"/>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92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%UXFH&amp;</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vMerge w:val="continue"/>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920" w:type="dxa"/>
            <w:vAlign w:val="bottom"/>
            <w:vMerge w:val="continue"/>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line="158" w:lineRule="exact"/>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line="158" w:lineRule="exact"/>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3"/>
                <w:szCs w:val="13"/>
                <w:color w:val="auto"/>
              </w:rPr>
            </w:pPr>
          </w:p>
        </w:tc>
        <w:tc>
          <w:tcPr>
            <w:tcW w:w="1660" w:type="dxa"/>
            <w:vAlign w:val="bottom"/>
          </w:tcPr>
          <w:p>
            <w:pPr>
              <w:jc w:val="right"/>
              <w:ind w:right="30"/>
              <w:spacing w:after="0" w:line="15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8"/>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&amp;R]DGG</w:t>
            </w:r>
          </w:p>
        </w:tc>
        <w:tc>
          <w:tcPr>
            <w:tcW w:w="960" w:type="dxa"/>
            <w:vAlign w:val="bottom"/>
            <w:tcBorders>
              <w:bottom w:val="single" w:sz="8" w:color="4454A7"/>
            </w:tcBorders>
          </w:tcPr>
          <w:p>
            <w:pPr>
              <w:spacing w:after="0"/>
              <w:rPr>
                <w:sz w:val="6"/>
                <w:szCs w:val="6"/>
                <w:color w:val="auto"/>
              </w:rPr>
            </w:pPr>
          </w:p>
        </w:tc>
        <w:tc>
          <w:tcPr>
            <w:tcW w:w="1080" w:type="dxa"/>
            <w:vAlign w:val="bottom"/>
            <w:tcBorders>
              <w:bottom w:val="single" w:sz="8" w:color="4454A7"/>
            </w:tcBorders>
          </w:tcPr>
          <w:p>
            <w:pPr>
              <w:spacing w:after="0"/>
              <w:rPr>
                <w:sz w:val="6"/>
                <w:szCs w:val="6"/>
                <w:color w:val="auto"/>
              </w:rPr>
            </w:pPr>
          </w:p>
        </w:tc>
        <w:tc>
          <w:tcPr>
            <w:tcW w:w="700" w:type="dxa"/>
            <w:vAlign w:val="bottom"/>
            <w:tcBorders>
              <w:bottom w:val="single" w:sz="8" w:color="4454A7"/>
            </w:tcBorders>
          </w:tcPr>
          <w:p>
            <w:pPr>
              <w:spacing w:after="0"/>
              <w:rPr>
                <w:sz w:val="6"/>
                <w:szCs w:val="6"/>
                <w:color w:val="auto"/>
              </w:rPr>
            </w:pPr>
          </w:p>
        </w:tc>
        <w:tc>
          <w:tcPr>
            <w:tcW w:w="78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820" w:type="dxa"/>
            <w:vAlign w:val="bottom"/>
            <w:tcBorders>
              <w:bottom w:val="single" w:sz="8" w:color="4454A7"/>
            </w:tcBorders>
          </w:tcPr>
          <w:p>
            <w:pPr>
              <w:spacing w:after="0"/>
              <w:rPr>
                <w:sz w:val="6"/>
                <w:szCs w:val="6"/>
                <w:color w:val="auto"/>
              </w:rPr>
            </w:pPr>
          </w:p>
        </w:tc>
        <w:tc>
          <w:tcPr>
            <w:tcW w:w="280" w:type="dxa"/>
            <w:vAlign w:val="bottom"/>
            <w:tcBorders>
              <w:bottom w:val="single" w:sz="8" w:color="4454A7"/>
            </w:tcBorders>
          </w:tcPr>
          <w:p>
            <w:pPr>
              <w:spacing w:after="0"/>
              <w:rPr>
                <w:sz w:val="6"/>
                <w:szCs w:val="6"/>
                <w:color w:val="auto"/>
              </w:rPr>
            </w:pPr>
          </w:p>
        </w:tc>
        <w:tc>
          <w:tcPr>
            <w:tcW w:w="1020" w:type="dxa"/>
            <w:vAlign w:val="bottom"/>
            <w:tcBorders>
              <w:bottom w:val="single" w:sz="8" w:color="4454A7"/>
            </w:tcBorders>
          </w:tcPr>
          <w:p>
            <w:pPr>
              <w:spacing w:after="0"/>
              <w:rPr>
                <w:sz w:val="6"/>
                <w:szCs w:val="6"/>
                <w:color w:val="auto"/>
              </w:rPr>
            </w:pPr>
          </w:p>
        </w:tc>
        <w:tc>
          <w:tcPr>
            <w:tcW w:w="1580" w:type="dxa"/>
            <w:vAlign w:val="bottom"/>
            <w:tcBorders>
              <w:bottom w:val="single" w:sz="8" w:color="4454A7"/>
            </w:tcBorders>
          </w:tcPr>
          <w:p>
            <w:pPr>
              <w:spacing w:after="0"/>
              <w:rPr>
                <w:sz w:val="6"/>
                <w:szCs w:val="6"/>
                <w:color w:val="auto"/>
              </w:rPr>
            </w:pPr>
          </w:p>
        </w:tc>
        <w:tc>
          <w:tcPr>
            <w:tcW w:w="240" w:type="dxa"/>
            <w:vAlign w:val="bottom"/>
            <w:tcBorders>
              <w:bottom w:val="single" w:sz="8" w:color="4454A7"/>
            </w:tcBorders>
          </w:tcPr>
          <w:p>
            <w:pPr>
              <w:spacing w:after="0"/>
              <w:rPr>
                <w:sz w:val="6"/>
                <w:szCs w:val="6"/>
                <w:color w:val="auto"/>
              </w:rPr>
            </w:pPr>
          </w:p>
        </w:tc>
        <w:tc>
          <w:tcPr>
            <w:tcW w:w="16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vMerge w:val="restart"/>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8"/>
                <w:szCs w:val="8"/>
                <w:color w:val="auto"/>
              </w:rPr>
            </w:pPr>
          </w:p>
        </w:tc>
        <w:tc>
          <w:tcPr>
            <w:tcW w:w="1660" w:type="dxa"/>
            <w:vAlign w:val="bottom"/>
            <w:vMerge w:val="restart"/>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1"/>
        </w:trPr>
        <w:tc>
          <w:tcPr>
            <w:tcW w:w="92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5REHUW</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4"/>
        </w:trPr>
        <w:tc>
          <w:tcPr>
            <w:tcW w:w="920" w:type="dxa"/>
            <w:vAlign w:val="bottom"/>
            <w:vMerge w:val="continue"/>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60" w:type="dxa"/>
            <w:vAlign w:val="bottom"/>
            <w:tcBorders>
              <w:bottom w:val="single" w:sz="8" w:color="4454A7"/>
            </w:tcBorders>
          </w:tcPr>
          <w:p>
            <w:pPr>
              <w:spacing w:after="0"/>
              <w:rPr>
                <w:sz w:val="2"/>
                <w:szCs w:val="2"/>
                <w:color w:val="auto"/>
              </w:rPr>
            </w:pPr>
          </w:p>
        </w:tc>
        <w:tc>
          <w:tcPr>
            <w:tcW w:w="820" w:type="dxa"/>
            <w:vAlign w:val="bottom"/>
            <w:tcBorders>
              <w:bottom w:val="single" w:sz="8" w:color="4454A7"/>
            </w:tcBorders>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920" w:type="dxa"/>
            <w:vAlign w:val="bottom"/>
            <w:vMerge w:val="continue"/>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5"/>
                <w:szCs w:val="5"/>
                <w:color w:val="auto"/>
              </w:rPr>
            </w:pPr>
          </w:p>
        </w:tc>
        <w:tc>
          <w:tcPr>
            <w:tcW w:w="88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vMerge w:val="restart"/>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5"/>
                <w:szCs w:val="5"/>
                <w:color w:val="auto"/>
              </w:rPr>
            </w:pPr>
          </w:p>
        </w:tc>
        <w:tc>
          <w:tcPr>
            <w:tcW w:w="1660" w:type="dxa"/>
            <w:vAlign w:val="bottom"/>
            <w:vMerge w:val="restart"/>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75"/>
        </w:trPr>
        <w:tc>
          <w:tcPr>
            <w:tcW w:w="920" w:type="dxa"/>
            <w:vAlign w:val="bottom"/>
          </w:tcPr>
          <w:p>
            <w:pPr>
              <w:ind w:left="100"/>
              <w:spacing w:after="0"/>
              <w:rPr>
                <w:sz w:val="20"/>
                <w:szCs w:val="20"/>
                <w:color w:val="auto"/>
              </w:rPr>
            </w:pPr>
            <w:r>
              <w:rPr>
                <w:rFonts w:ascii="PMingLiU" w:cs="PMingLiU" w:eastAsia="PMingLiU" w:hAnsi="PMingLiU"/>
                <w:sz w:val="14"/>
                <w:szCs w:val="14"/>
                <w:b w:val="1"/>
                <w:bCs w:val="1"/>
                <w:color w:val="5C004D"/>
              </w:rPr>
              <w:t>,DQQRQH</w:t>
            </w:r>
          </w:p>
        </w:tc>
        <w:tc>
          <w:tcPr>
            <w:tcW w:w="960" w:type="dxa"/>
            <w:vAlign w:val="bottom"/>
            <w:tcBorders>
              <w:bottom w:val="single" w:sz="8" w:color="4454A7"/>
            </w:tcBorders>
            <w:vMerge w:val="continue"/>
          </w:tcPr>
          <w:p>
            <w:pPr>
              <w:spacing w:after="0"/>
              <w:rPr>
                <w:sz w:val="15"/>
                <w:szCs w:val="15"/>
                <w:color w:val="auto"/>
              </w:rPr>
            </w:pPr>
          </w:p>
        </w:tc>
        <w:tc>
          <w:tcPr>
            <w:tcW w:w="1080" w:type="dxa"/>
            <w:vAlign w:val="bottom"/>
            <w:tcBorders>
              <w:bottom w:val="single" w:sz="8" w:color="4454A7"/>
            </w:tcBorders>
            <w:vMerge w:val="continue"/>
          </w:tcPr>
          <w:p>
            <w:pPr>
              <w:spacing w:after="0"/>
              <w:rPr>
                <w:sz w:val="15"/>
                <w:szCs w:val="15"/>
                <w:color w:val="auto"/>
              </w:rPr>
            </w:pPr>
          </w:p>
        </w:tc>
        <w:tc>
          <w:tcPr>
            <w:tcW w:w="700" w:type="dxa"/>
            <w:vAlign w:val="bottom"/>
            <w:tcBorders>
              <w:bottom w:val="single" w:sz="8" w:color="4454A7"/>
            </w:tcBorders>
            <w:vMerge w:val="continue"/>
          </w:tcPr>
          <w:p>
            <w:pPr>
              <w:spacing w:after="0"/>
              <w:rPr>
                <w:sz w:val="15"/>
                <w:szCs w:val="15"/>
                <w:color w:val="auto"/>
              </w:rPr>
            </w:pPr>
          </w:p>
        </w:tc>
        <w:tc>
          <w:tcPr>
            <w:tcW w:w="780" w:type="dxa"/>
            <w:vAlign w:val="bottom"/>
            <w:tcBorders>
              <w:bottom w:val="single" w:sz="8" w:color="4454A7"/>
            </w:tcBorders>
          </w:tcPr>
          <w:p>
            <w:pPr>
              <w:spacing w:after="0"/>
              <w:rPr>
                <w:sz w:val="15"/>
                <w:szCs w:val="15"/>
                <w:color w:val="auto"/>
              </w:rPr>
            </w:pPr>
          </w:p>
        </w:tc>
        <w:tc>
          <w:tcPr>
            <w:tcW w:w="880" w:type="dxa"/>
            <w:vAlign w:val="bottom"/>
            <w:tcBorders>
              <w:bottom w:val="single" w:sz="8" w:color="4454A7"/>
            </w:tcBorders>
            <w:gridSpan w:val="2"/>
            <w:vMerge w:val="continue"/>
          </w:tcPr>
          <w:p>
            <w:pPr>
              <w:spacing w:after="0"/>
              <w:rPr>
                <w:sz w:val="15"/>
                <w:szCs w:val="15"/>
                <w:color w:val="auto"/>
              </w:rPr>
            </w:pPr>
          </w:p>
        </w:tc>
        <w:tc>
          <w:tcPr>
            <w:tcW w:w="280" w:type="dxa"/>
            <w:vAlign w:val="bottom"/>
            <w:tcBorders>
              <w:bottom w:val="single" w:sz="8" w:color="4454A7"/>
            </w:tcBorders>
            <w:vMerge w:val="continue"/>
          </w:tcPr>
          <w:p>
            <w:pPr>
              <w:spacing w:after="0"/>
              <w:rPr>
                <w:sz w:val="15"/>
                <w:szCs w:val="15"/>
                <w:color w:val="auto"/>
              </w:rPr>
            </w:pPr>
          </w:p>
        </w:tc>
        <w:tc>
          <w:tcPr>
            <w:tcW w:w="1020" w:type="dxa"/>
            <w:vAlign w:val="bottom"/>
            <w:tcBorders>
              <w:bottom w:val="single" w:sz="8" w:color="4454A7"/>
            </w:tcBorders>
            <w:vMerge w:val="continue"/>
          </w:tcPr>
          <w:p>
            <w:pPr>
              <w:spacing w:after="0"/>
              <w:rPr>
                <w:sz w:val="15"/>
                <w:szCs w:val="15"/>
                <w:color w:val="auto"/>
              </w:rPr>
            </w:pPr>
          </w:p>
        </w:tc>
        <w:tc>
          <w:tcPr>
            <w:tcW w:w="1580" w:type="dxa"/>
            <w:vAlign w:val="bottom"/>
            <w:tcBorders>
              <w:bottom w:val="single" w:sz="8" w:color="4454A7"/>
            </w:tcBorders>
            <w:vMerge w:val="continue"/>
          </w:tcPr>
          <w:p>
            <w:pPr>
              <w:spacing w:after="0"/>
              <w:rPr>
                <w:sz w:val="15"/>
                <w:szCs w:val="15"/>
                <w:color w:val="auto"/>
              </w:rPr>
            </w:pPr>
          </w:p>
        </w:tc>
        <w:tc>
          <w:tcPr>
            <w:tcW w:w="240" w:type="dxa"/>
            <w:vAlign w:val="bottom"/>
            <w:tcBorders>
              <w:bottom w:val="single" w:sz="8" w:color="4454A7"/>
            </w:tcBorders>
          </w:tcPr>
          <w:p>
            <w:pPr>
              <w:spacing w:after="0"/>
              <w:rPr>
                <w:sz w:val="15"/>
                <w:szCs w:val="15"/>
                <w:color w:val="auto"/>
              </w:rPr>
            </w:pPr>
          </w:p>
        </w:tc>
        <w:tc>
          <w:tcPr>
            <w:tcW w:w="1660" w:type="dxa"/>
            <w:vAlign w:val="bottom"/>
            <w:tcBorders>
              <w:bottom w:val="single" w:sz="8" w:color="4454A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20" w:type="dxa"/>
            <w:vAlign w:val="bottom"/>
          </w:tcPr>
          <w:p>
            <w:pPr>
              <w:ind w:left="100"/>
              <w:spacing w:after="0" w:line="158" w:lineRule="exact"/>
              <w:rPr>
                <w:sz w:val="20"/>
                <w:szCs w:val="20"/>
                <w:color w:val="auto"/>
              </w:rPr>
            </w:pPr>
            <w:r>
              <w:rPr>
                <w:rFonts w:ascii="PMingLiU" w:cs="PMingLiU" w:eastAsia="PMingLiU" w:hAnsi="PMingLiU"/>
                <w:sz w:val="14"/>
                <w:szCs w:val="14"/>
                <w:b w:val="1"/>
                <w:bCs w:val="1"/>
                <w:color w:val="5C004D"/>
              </w:rPr>
              <w:t>0'</w:t>
            </w:r>
          </w:p>
        </w:tc>
        <w:tc>
          <w:tcPr>
            <w:tcW w:w="96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3"/>
                <w:szCs w:val="13"/>
                <w:color w:val="auto"/>
              </w:rPr>
            </w:pPr>
          </w:p>
        </w:tc>
        <w:tc>
          <w:tcPr>
            <w:tcW w:w="880" w:type="dxa"/>
            <w:vAlign w:val="bottom"/>
            <w:gridSpan w:val="2"/>
          </w:tcPr>
          <w:p>
            <w:pPr>
              <w:jc w:val="right"/>
              <w:spacing w:after="0" w:line="158" w:lineRule="exact"/>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3"/>
                <w:szCs w:val="13"/>
                <w:color w:val="auto"/>
              </w:rPr>
            </w:pPr>
          </w:p>
        </w:tc>
        <w:tc>
          <w:tcPr>
            <w:tcW w:w="1660" w:type="dxa"/>
            <w:vAlign w:val="bottom"/>
          </w:tcPr>
          <w:p>
            <w:pPr>
              <w:jc w:val="right"/>
              <w:ind w:right="30"/>
              <w:spacing w:after="0" w:line="15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8"/>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06&amp;(</w:t>
            </w:r>
          </w:p>
        </w:tc>
        <w:tc>
          <w:tcPr>
            <w:tcW w:w="960" w:type="dxa"/>
            <w:vAlign w:val="bottom"/>
            <w:tcBorders>
              <w:bottom w:val="single" w:sz="8" w:color="4454A7"/>
            </w:tcBorders>
          </w:tcPr>
          <w:p>
            <w:pPr>
              <w:spacing w:after="0"/>
              <w:rPr>
                <w:sz w:val="6"/>
                <w:szCs w:val="6"/>
                <w:color w:val="auto"/>
              </w:rPr>
            </w:pPr>
          </w:p>
        </w:tc>
        <w:tc>
          <w:tcPr>
            <w:tcW w:w="1080" w:type="dxa"/>
            <w:vAlign w:val="bottom"/>
            <w:tcBorders>
              <w:bottom w:val="single" w:sz="8" w:color="4454A7"/>
            </w:tcBorders>
          </w:tcPr>
          <w:p>
            <w:pPr>
              <w:spacing w:after="0"/>
              <w:rPr>
                <w:sz w:val="6"/>
                <w:szCs w:val="6"/>
                <w:color w:val="auto"/>
              </w:rPr>
            </w:pPr>
          </w:p>
        </w:tc>
        <w:tc>
          <w:tcPr>
            <w:tcW w:w="700" w:type="dxa"/>
            <w:vAlign w:val="bottom"/>
            <w:tcBorders>
              <w:bottom w:val="single" w:sz="8" w:color="4454A7"/>
            </w:tcBorders>
          </w:tcPr>
          <w:p>
            <w:pPr>
              <w:spacing w:after="0"/>
              <w:rPr>
                <w:sz w:val="6"/>
                <w:szCs w:val="6"/>
                <w:color w:val="auto"/>
              </w:rPr>
            </w:pPr>
          </w:p>
        </w:tc>
        <w:tc>
          <w:tcPr>
            <w:tcW w:w="78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820" w:type="dxa"/>
            <w:vAlign w:val="bottom"/>
            <w:tcBorders>
              <w:bottom w:val="single" w:sz="8" w:color="4454A7"/>
            </w:tcBorders>
          </w:tcPr>
          <w:p>
            <w:pPr>
              <w:spacing w:after="0"/>
              <w:rPr>
                <w:sz w:val="6"/>
                <w:szCs w:val="6"/>
                <w:color w:val="auto"/>
              </w:rPr>
            </w:pPr>
          </w:p>
        </w:tc>
        <w:tc>
          <w:tcPr>
            <w:tcW w:w="280" w:type="dxa"/>
            <w:vAlign w:val="bottom"/>
            <w:tcBorders>
              <w:bottom w:val="single" w:sz="8" w:color="4454A7"/>
            </w:tcBorders>
          </w:tcPr>
          <w:p>
            <w:pPr>
              <w:spacing w:after="0"/>
              <w:rPr>
                <w:sz w:val="6"/>
                <w:szCs w:val="6"/>
                <w:color w:val="auto"/>
              </w:rPr>
            </w:pPr>
          </w:p>
        </w:tc>
        <w:tc>
          <w:tcPr>
            <w:tcW w:w="1020" w:type="dxa"/>
            <w:vAlign w:val="bottom"/>
            <w:tcBorders>
              <w:bottom w:val="single" w:sz="8" w:color="4454A7"/>
            </w:tcBorders>
          </w:tcPr>
          <w:p>
            <w:pPr>
              <w:spacing w:after="0"/>
              <w:rPr>
                <w:sz w:val="6"/>
                <w:szCs w:val="6"/>
                <w:color w:val="auto"/>
              </w:rPr>
            </w:pPr>
          </w:p>
        </w:tc>
        <w:tc>
          <w:tcPr>
            <w:tcW w:w="1580" w:type="dxa"/>
            <w:vAlign w:val="bottom"/>
            <w:tcBorders>
              <w:bottom w:val="single" w:sz="8" w:color="4454A7"/>
            </w:tcBorders>
          </w:tcPr>
          <w:p>
            <w:pPr>
              <w:spacing w:after="0"/>
              <w:rPr>
                <w:sz w:val="6"/>
                <w:szCs w:val="6"/>
                <w:color w:val="auto"/>
              </w:rPr>
            </w:pPr>
          </w:p>
        </w:tc>
        <w:tc>
          <w:tcPr>
            <w:tcW w:w="240" w:type="dxa"/>
            <w:vAlign w:val="bottom"/>
            <w:tcBorders>
              <w:bottom w:val="single" w:sz="8" w:color="4454A7"/>
            </w:tcBorders>
          </w:tcPr>
          <w:p>
            <w:pPr>
              <w:spacing w:after="0"/>
              <w:rPr>
                <w:sz w:val="6"/>
                <w:szCs w:val="6"/>
                <w:color w:val="auto"/>
              </w:rPr>
            </w:pPr>
          </w:p>
        </w:tc>
        <w:tc>
          <w:tcPr>
            <w:tcW w:w="16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8"/>
                <w:szCs w:val="8"/>
                <w:color w:val="auto"/>
              </w:rPr>
            </w:pPr>
          </w:p>
        </w:tc>
        <w:tc>
          <w:tcPr>
            <w:tcW w:w="88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vMerge w:val="restart"/>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8"/>
                <w:szCs w:val="8"/>
                <w:color w:val="auto"/>
              </w:rPr>
            </w:pPr>
          </w:p>
        </w:tc>
        <w:tc>
          <w:tcPr>
            <w:tcW w:w="1660" w:type="dxa"/>
            <w:vAlign w:val="bottom"/>
            <w:vMerge w:val="restart"/>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1"/>
        </w:trPr>
        <w:tc>
          <w:tcPr>
            <w:tcW w:w="92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920" w:type="dxa"/>
            <w:vAlign w:val="bottom"/>
          </w:tcPr>
          <w:p>
            <w:pPr>
              <w:ind w:left="100"/>
              <w:spacing w:after="0"/>
              <w:rPr>
                <w:sz w:val="20"/>
                <w:szCs w:val="20"/>
                <w:color w:val="auto"/>
              </w:rPr>
            </w:pPr>
            <w:r>
              <w:rPr>
                <w:rFonts w:ascii="PMingLiU" w:cs="PMingLiU" w:eastAsia="PMingLiU" w:hAnsi="PMingLiU"/>
                <w:sz w:val="14"/>
                <w:szCs w:val="14"/>
                <w:b w:val="1"/>
                <w:bCs w:val="1"/>
                <w:color w:val="5C004D"/>
              </w:rPr>
              <w:t>1HHQD0</w:t>
            </w:r>
          </w:p>
        </w:tc>
        <w:tc>
          <w:tcPr>
            <w:tcW w:w="96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Borders>
              <w:bottom w:val="single" w:sz="8" w:color="4454A7"/>
            </w:tcBorders>
          </w:tcPr>
          <w:p>
            <w:pPr>
              <w:spacing w:after="0"/>
              <w:rPr>
                <w:sz w:val="20"/>
                <w:szCs w:val="20"/>
                <w:color w:val="auto"/>
              </w:rPr>
            </w:pPr>
          </w:p>
        </w:tc>
        <w:tc>
          <w:tcPr>
            <w:tcW w:w="880" w:type="dxa"/>
            <w:vAlign w:val="bottom"/>
            <w:tcBorders>
              <w:bottom w:val="single" w:sz="8" w:color="4454A7"/>
            </w:tcBorders>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Borders>
              <w:bottom w:val="single" w:sz="8" w:color="4454A7"/>
            </w:tcBorders>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Borders>
              <w:bottom w:val="single" w:sz="8" w:color="4454A7"/>
            </w:tcBorders>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Borders>
              <w:bottom w:val="single" w:sz="8" w:color="4454A7"/>
            </w:tcBorders>
          </w:tcPr>
          <w:p>
            <w:pPr>
              <w:spacing w:after="0"/>
              <w:rPr>
                <w:sz w:val="20"/>
                <w:szCs w:val="20"/>
                <w:color w:val="auto"/>
              </w:rPr>
            </w:pPr>
          </w:p>
        </w:tc>
        <w:tc>
          <w:tcPr>
            <w:tcW w:w="1660" w:type="dxa"/>
            <w:vAlign w:val="bottom"/>
            <w:tcBorders>
              <w:bottom w:val="single" w:sz="8" w:color="4454A7"/>
            </w:tcBorders>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02"/>
        </w:trPr>
        <w:tc>
          <w:tcPr>
            <w:tcW w:w="920" w:type="dxa"/>
            <w:vAlign w:val="bottom"/>
          </w:tcPr>
          <w:p>
            <w:pPr>
              <w:ind w:left="100"/>
              <w:spacing w:after="0"/>
              <w:rPr>
                <w:sz w:val="20"/>
                <w:szCs w:val="20"/>
                <w:color w:val="auto"/>
              </w:rPr>
            </w:pPr>
            <w:r>
              <w:rPr>
                <w:rFonts w:ascii="PMingLiU" w:cs="PMingLiU" w:eastAsia="PMingLiU" w:hAnsi="PMingLiU"/>
                <w:sz w:val="14"/>
                <w:szCs w:val="14"/>
                <w:b w:val="1"/>
                <w:bCs w:val="1"/>
                <w:color w:val="5C004D"/>
              </w:rPr>
              <w:t>3DWLO</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1"/>
        </w:trPr>
        <w:tc>
          <w:tcPr>
            <w:tcW w:w="920" w:type="dxa"/>
            <w:vAlign w:val="bottom"/>
            <w:tcBorders>
              <w:bottom w:val="single" w:sz="8" w:color="4454A7"/>
            </w:tcBorders>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jc w:val="center"/>
              <w:spacing w:after="0"/>
              <w:rPr>
                <w:sz w:val="20"/>
                <w:szCs w:val="20"/>
                <w:color w:val="auto"/>
              </w:rPr>
            </w:pPr>
            <w:r>
              <w:rPr>
                <w:rFonts w:ascii="PMingLiU" w:cs="PMingLiU" w:eastAsia="PMingLiU" w:hAnsi="PMingLiU"/>
                <w:sz w:val="14"/>
                <w:szCs w:val="14"/>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5"/>
              <w:spacing w:after="0"/>
              <w:rPr>
                <w:sz w:val="20"/>
                <w:szCs w:val="20"/>
                <w:color w:val="auto"/>
              </w:rPr>
            </w:pPr>
            <w:r>
              <w:rPr>
                <w:rFonts w:ascii="PMingLiU" w:cs="PMingLiU" w:eastAsia="PMingLiU" w:hAnsi="PMingLiU"/>
                <w:sz w:val="9"/>
                <w:szCs w:val="9"/>
                <w:color w:val="auto"/>
              </w:rPr>
              <w:t/>
            </w: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6DPDQWKD</w:t>
            </w: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vMerge w:val="continue"/>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20" w:type="dxa"/>
            <w:vAlign w:val="bottom"/>
            <w:vMerge w:val="continue"/>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3"/>
                <w:szCs w:val="13"/>
                <w:color w:val="auto"/>
              </w:rPr>
            </w:pPr>
          </w:p>
        </w:tc>
        <w:tc>
          <w:tcPr>
            <w:tcW w:w="880" w:type="dxa"/>
            <w:vAlign w:val="bottom"/>
            <w:gridSpan w:val="2"/>
          </w:tcPr>
          <w:p>
            <w:pPr>
              <w:jc w:val="right"/>
              <w:spacing w:after="0" w:line="158" w:lineRule="exact"/>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line="158" w:lineRule="exact"/>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3"/>
                <w:szCs w:val="13"/>
                <w:color w:val="auto"/>
              </w:rPr>
            </w:pPr>
          </w:p>
        </w:tc>
        <w:tc>
          <w:tcPr>
            <w:tcW w:w="1660" w:type="dxa"/>
            <w:vAlign w:val="bottom"/>
          </w:tcPr>
          <w:p>
            <w:pPr>
              <w:jc w:val="right"/>
              <w:ind w:right="30"/>
              <w:spacing w:after="0" w:line="158" w:lineRule="exact"/>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7"/>
        </w:trPr>
        <w:tc>
          <w:tcPr>
            <w:tcW w:w="920" w:type="dxa"/>
            <w:vAlign w:val="bottom"/>
            <w:vMerge w:val="restart"/>
          </w:tcPr>
          <w:p>
            <w:pPr>
              <w:ind w:left="100"/>
              <w:spacing w:after="0"/>
              <w:rPr>
                <w:sz w:val="20"/>
                <w:szCs w:val="20"/>
                <w:color w:val="auto"/>
              </w:rPr>
            </w:pPr>
            <w:r>
              <w:rPr>
                <w:rFonts w:ascii="PMingLiU" w:cs="PMingLiU" w:eastAsia="PMingLiU" w:hAnsi="PMingLiU"/>
                <w:sz w:val="14"/>
                <w:szCs w:val="14"/>
                <w:b w:val="1"/>
                <w:bCs w:val="1"/>
                <w:color w:val="5C004D"/>
              </w:rPr>
              <w:t>3HDUFH</w:t>
            </w:r>
          </w:p>
        </w:tc>
        <w:tc>
          <w:tcPr>
            <w:tcW w:w="960" w:type="dxa"/>
            <w:vAlign w:val="bottom"/>
            <w:tcBorders>
              <w:bottom w:val="single" w:sz="8" w:color="4454A7"/>
            </w:tcBorders>
          </w:tcPr>
          <w:p>
            <w:pPr>
              <w:spacing w:after="0"/>
              <w:rPr>
                <w:sz w:val="6"/>
                <w:szCs w:val="6"/>
                <w:color w:val="auto"/>
              </w:rPr>
            </w:pPr>
          </w:p>
        </w:tc>
        <w:tc>
          <w:tcPr>
            <w:tcW w:w="1080" w:type="dxa"/>
            <w:vAlign w:val="bottom"/>
            <w:tcBorders>
              <w:bottom w:val="single" w:sz="8" w:color="4454A7"/>
            </w:tcBorders>
          </w:tcPr>
          <w:p>
            <w:pPr>
              <w:spacing w:after="0"/>
              <w:rPr>
                <w:sz w:val="6"/>
                <w:szCs w:val="6"/>
                <w:color w:val="auto"/>
              </w:rPr>
            </w:pPr>
          </w:p>
        </w:tc>
        <w:tc>
          <w:tcPr>
            <w:tcW w:w="700" w:type="dxa"/>
            <w:vAlign w:val="bottom"/>
            <w:tcBorders>
              <w:bottom w:val="single" w:sz="8" w:color="4454A7"/>
            </w:tcBorders>
          </w:tcPr>
          <w:p>
            <w:pPr>
              <w:spacing w:after="0"/>
              <w:rPr>
                <w:sz w:val="6"/>
                <w:szCs w:val="6"/>
                <w:color w:val="auto"/>
              </w:rPr>
            </w:pPr>
          </w:p>
        </w:tc>
        <w:tc>
          <w:tcPr>
            <w:tcW w:w="780" w:type="dxa"/>
            <w:vAlign w:val="bottom"/>
            <w:tcBorders>
              <w:bottom w:val="single" w:sz="8" w:color="4454A7"/>
            </w:tcBorders>
          </w:tcPr>
          <w:p>
            <w:pPr>
              <w:spacing w:after="0"/>
              <w:rPr>
                <w:sz w:val="6"/>
                <w:szCs w:val="6"/>
                <w:color w:val="auto"/>
              </w:rPr>
            </w:pPr>
          </w:p>
        </w:tc>
        <w:tc>
          <w:tcPr>
            <w:tcW w:w="60" w:type="dxa"/>
            <w:vAlign w:val="bottom"/>
            <w:tcBorders>
              <w:bottom w:val="single" w:sz="8" w:color="4454A7"/>
            </w:tcBorders>
          </w:tcPr>
          <w:p>
            <w:pPr>
              <w:spacing w:after="0"/>
              <w:rPr>
                <w:sz w:val="6"/>
                <w:szCs w:val="6"/>
                <w:color w:val="auto"/>
              </w:rPr>
            </w:pPr>
          </w:p>
        </w:tc>
        <w:tc>
          <w:tcPr>
            <w:tcW w:w="820" w:type="dxa"/>
            <w:vAlign w:val="bottom"/>
            <w:tcBorders>
              <w:bottom w:val="single" w:sz="8" w:color="4454A7"/>
            </w:tcBorders>
          </w:tcPr>
          <w:p>
            <w:pPr>
              <w:spacing w:after="0"/>
              <w:rPr>
                <w:sz w:val="6"/>
                <w:szCs w:val="6"/>
                <w:color w:val="auto"/>
              </w:rPr>
            </w:pPr>
          </w:p>
        </w:tc>
        <w:tc>
          <w:tcPr>
            <w:tcW w:w="280" w:type="dxa"/>
            <w:vAlign w:val="bottom"/>
            <w:tcBorders>
              <w:bottom w:val="single" w:sz="8" w:color="4454A7"/>
            </w:tcBorders>
          </w:tcPr>
          <w:p>
            <w:pPr>
              <w:spacing w:after="0"/>
              <w:rPr>
                <w:sz w:val="6"/>
                <w:szCs w:val="6"/>
                <w:color w:val="auto"/>
              </w:rPr>
            </w:pPr>
          </w:p>
        </w:tc>
        <w:tc>
          <w:tcPr>
            <w:tcW w:w="1020" w:type="dxa"/>
            <w:vAlign w:val="bottom"/>
            <w:tcBorders>
              <w:bottom w:val="single" w:sz="8" w:color="4454A7"/>
            </w:tcBorders>
          </w:tcPr>
          <w:p>
            <w:pPr>
              <w:spacing w:after="0"/>
              <w:rPr>
                <w:sz w:val="6"/>
                <w:szCs w:val="6"/>
                <w:color w:val="auto"/>
              </w:rPr>
            </w:pPr>
          </w:p>
        </w:tc>
        <w:tc>
          <w:tcPr>
            <w:tcW w:w="1580" w:type="dxa"/>
            <w:vAlign w:val="bottom"/>
            <w:tcBorders>
              <w:bottom w:val="single" w:sz="8" w:color="4454A7"/>
            </w:tcBorders>
          </w:tcPr>
          <w:p>
            <w:pPr>
              <w:spacing w:after="0"/>
              <w:rPr>
                <w:sz w:val="6"/>
                <w:szCs w:val="6"/>
                <w:color w:val="auto"/>
              </w:rPr>
            </w:pPr>
          </w:p>
        </w:tc>
        <w:tc>
          <w:tcPr>
            <w:tcW w:w="240" w:type="dxa"/>
            <w:vAlign w:val="bottom"/>
            <w:tcBorders>
              <w:bottom w:val="single" w:sz="8" w:color="4454A7"/>
            </w:tcBorders>
          </w:tcPr>
          <w:p>
            <w:pPr>
              <w:spacing w:after="0"/>
              <w:rPr>
                <w:sz w:val="6"/>
                <w:szCs w:val="6"/>
                <w:color w:val="auto"/>
              </w:rPr>
            </w:pPr>
          </w:p>
        </w:tc>
        <w:tc>
          <w:tcPr>
            <w:tcW w:w="1660" w:type="dxa"/>
            <w:vAlign w:val="bottom"/>
            <w:tcBorders>
              <w:bottom w:val="single" w:sz="8" w:color="4454A7"/>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20" w:type="dxa"/>
            <w:vAlign w:val="bottom"/>
            <w:vMerge w:val="continue"/>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8"/>
                <w:szCs w:val="8"/>
                <w:color w:val="auto"/>
              </w:rPr>
            </w:pPr>
          </w:p>
        </w:tc>
        <w:tc>
          <w:tcPr>
            <w:tcW w:w="880" w:type="dxa"/>
            <w:vAlign w:val="bottom"/>
            <w:gridSpan w:val="2"/>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vMerge w:val="restart"/>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8"/>
                <w:szCs w:val="8"/>
                <w:color w:val="auto"/>
              </w:rPr>
            </w:pPr>
          </w:p>
        </w:tc>
        <w:tc>
          <w:tcPr>
            <w:tcW w:w="1660" w:type="dxa"/>
            <w:vAlign w:val="bottom"/>
            <w:vMerge w:val="restart"/>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6"/>
        </w:trPr>
        <w:tc>
          <w:tcPr>
            <w:tcW w:w="9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960" w:type="dxa"/>
            <w:vAlign w:val="bottom"/>
            <w:tcBorders>
              <w:bottom w:val="single" w:sz="8" w:color="4454A7"/>
            </w:tcBorders>
          </w:tcPr>
          <w:p>
            <w:pPr>
              <w:spacing w:after="0"/>
              <w:rPr>
                <w:sz w:val="2"/>
                <w:szCs w:val="2"/>
                <w:color w:val="auto"/>
              </w:rPr>
            </w:pPr>
          </w:p>
        </w:tc>
        <w:tc>
          <w:tcPr>
            <w:tcW w:w="1080" w:type="dxa"/>
            <w:vAlign w:val="bottom"/>
            <w:tcBorders>
              <w:bottom w:val="single" w:sz="8" w:color="4454A7"/>
            </w:tcBorders>
          </w:tcPr>
          <w:p>
            <w:pPr>
              <w:spacing w:after="0"/>
              <w:rPr>
                <w:sz w:val="2"/>
                <w:szCs w:val="2"/>
                <w:color w:val="auto"/>
              </w:rPr>
            </w:pPr>
          </w:p>
        </w:tc>
        <w:tc>
          <w:tcPr>
            <w:tcW w:w="700" w:type="dxa"/>
            <w:vAlign w:val="bottom"/>
            <w:tcBorders>
              <w:bottom w:val="single" w:sz="8" w:color="4454A7"/>
            </w:tcBorders>
          </w:tcPr>
          <w:p>
            <w:pPr>
              <w:spacing w:after="0"/>
              <w:rPr>
                <w:sz w:val="2"/>
                <w:szCs w:val="2"/>
                <w:color w:val="auto"/>
              </w:rPr>
            </w:pPr>
          </w:p>
        </w:tc>
        <w:tc>
          <w:tcPr>
            <w:tcW w:w="780" w:type="dxa"/>
            <w:vAlign w:val="bottom"/>
            <w:tcBorders>
              <w:bottom w:val="single" w:sz="8" w:color="4454A7"/>
            </w:tcBorders>
          </w:tcPr>
          <w:p>
            <w:pPr>
              <w:spacing w:after="0"/>
              <w:rPr>
                <w:sz w:val="2"/>
                <w:szCs w:val="2"/>
                <w:color w:val="auto"/>
              </w:rPr>
            </w:pPr>
          </w:p>
        </w:tc>
        <w:tc>
          <w:tcPr>
            <w:tcW w:w="880" w:type="dxa"/>
            <w:vAlign w:val="bottom"/>
            <w:tcBorders>
              <w:bottom w:val="single" w:sz="8" w:color="4454A7"/>
            </w:tcBorders>
            <w:gridSpan w:val="2"/>
          </w:tcPr>
          <w:p>
            <w:pPr>
              <w:spacing w:after="0"/>
              <w:rPr>
                <w:sz w:val="2"/>
                <w:szCs w:val="2"/>
                <w:color w:val="auto"/>
              </w:rPr>
            </w:pPr>
          </w:p>
        </w:tc>
        <w:tc>
          <w:tcPr>
            <w:tcW w:w="280" w:type="dxa"/>
            <w:vAlign w:val="bottom"/>
            <w:tcBorders>
              <w:bottom w:val="single" w:sz="8" w:color="4454A7"/>
            </w:tcBorders>
          </w:tcPr>
          <w:p>
            <w:pPr>
              <w:spacing w:after="0"/>
              <w:rPr>
                <w:sz w:val="2"/>
                <w:szCs w:val="2"/>
                <w:color w:val="auto"/>
              </w:rPr>
            </w:pPr>
          </w:p>
        </w:tc>
        <w:tc>
          <w:tcPr>
            <w:tcW w:w="1020" w:type="dxa"/>
            <w:vAlign w:val="bottom"/>
            <w:tcBorders>
              <w:bottom w:val="single" w:sz="8" w:color="4454A7"/>
            </w:tcBorders>
          </w:tcPr>
          <w:p>
            <w:pPr>
              <w:spacing w:after="0"/>
              <w:rPr>
                <w:sz w:val="2"/>
                <w:szCs w:val="2"/>
                <w:color w:val="auto"/>
              </w:rPr>
            </w:pPr>
          </w:p>
        </w:tc>
        <w:tc>
          <w:tcPr>
            <w:tcW w:w="1580" w:type="dxa"/>
            <w:vAlign w:val="bottom"/>
            <w:tcBorders>
              <w:bottom w:val="single" w:sz="8" w:color="4454A7"/>
            </w:tcBorders>
          </w:tcPr>
          <w:p>
            <w:pPr>
              <w:spacing w:after="0"/>
              <w:rPr>
                <w:sz w:val="2"/>
                <w:szCs w:val="2"/>
                <w:color w:val="auto"/>
              </w:rPr>
            </w:pPr>
          </w:p>
        </w:tc>
        <w:tc>
          <w:tcPr>
            <w:tcW w:w="240" w:type="dxa"/>
            <w:vAlign w:val="bottom"/>
            <w:tcBorders>
              <w:bottom w:val="single" w:sz="8" w:color="4454A7"/>
            </w:tcBorders>
          </w:tcPr>
          <w:p>
            <w:pPr>
              <w:spacing w:after="0"/>
              <w:rPr>
                <w:sz w:val="2"/>
                <w:szCs w:val="2"/>
                <w:color w:val="auto"/>
              </w:rPr>
            </w:pPr>
          </w:p>
        </w:tc>
        <w:tc>
          <w:tcPr>
            <w:tcW w:w="16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7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tcPr>
          <w:p>
            <w:pPr>
              <w:ind w:left="40"/>
              <w:spacing w:after="0"/>
              <w:rPr>
                <w:sz w:val="20"/>
                <w:szCs w:val="20"/>
                <w:color w:val="auto"/>
              </w:rPr>
            </w:pPr>
            <w:r>
              <w:rPr>
                <w:rFonts w:ascii="PMingLiU" w:cs="PMingLiU" w:eastAsia="PMingLiU" w:hAnsi="PMingLiU"/>
                <w:sz w:val="9"/>
                <w:szCs w:val="9"/>
                <w:color w:val="auto"/>
              </w:rPr>
              <w:t/>
            </w:r>
          </w:p>
        </w:tc>
        <w:tc>
          <w:tcPr>
            <w:tcW w:w="10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5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1660" w:type="dxa"/>
            <w:vAlign w:val="bottom"/>
          </w:tcPr>
          <w:p>
            <w:pPr>
              <w:jc w:val="right"/>
              <w:ind w:right="3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6"/>
        </w:trPr>
        <w:tc>
          <w:tcPr>
            <w:tcW w:w="920" w:type="dxa"/>
            <w:vAlign w:val="bottom"/>
            <w:tcBorders>
              <w:bottom w:val="single" w:sz="8" w:color="5C004D"/>
            </w:tcBorders>
          </w:tcPr>
          <w:p>
            <w:pPr>
              <w:spacing w:after="0"/>
              <w:rPr>
                <w:sz w:val="2"/>
                <w:szCs w:val="2"/>
                <w:color w:val="auto"/>
              </w:rPr>
            </w:pPr>
          </w:p>
        </w:tc>
        <w:tc>
          <w:tcPr>
            <w:tcW w:w="960" w:type="dxa"/>
            <w:vAlign w:val="bottom"/>
            <w:tcBorders>
              <w:bottom w:val="single" w:sz="8" w:color="5C004D"/>
            </w:tcBorders>
          </w:tcPr>
          <w:p>
            <w:pPr>
              <w:spacing w:after="0"/>
              <w:rPr>
                <w:sz w:val="2"/>
                <w:szCs w:val="2"/>
                <w:color w:val="auto"/>
              </w:rPr>
            </w:pPr>
          </w:p>
        </w:tc>
        <w:tc>
          <w:tcPr>
            <w:tcW w:w="1080" w:type="dxa"/>
            <w:vAlign w:val="bottom"/>
            <w:tcBorders>
              <w:bottom w:val="single" w:sz="8" w:color="5C004D"/>
            </w:tcBorders>
          </w:tcPr>
          <w:p>
            <w:pPr>
              <w:spacing w:after="0"/>
              <w:rPr>
                <w:sz w:val="2"/>
                <w:szCs w:val="2"/>
                <w:color w:val="auto"/>
              </w:rPr>
            </w:pPr>
          </w:p>
        </w:tc>
        <w:tc>
          <w:tcPr>
            <w:tcW w:w="700" w:type="dxa"/>
            <w:vAlign w:val="bottom"/>
            <w:tcBorders>
              <w:bottom w:val="single" w:sz="8" w:color="5C004D"/>
            </w:tcBorders>
          </w:tcPr>
          <w:p>
            <w:pPr>
              <w:spacing w:after="0"/>
              <w:rPr>
                <w:sz w:val="2"/>
                <w:szCs w:val="2"/>
                <w:color w:val="auto"/>
              </w:rPr>
            </w:pPr>
          </w:p>
        </w:tc>
        <w:tc>
          <w:tcPr>
            <w:tcW w:w="780" w:type="dxa"/>
            <w:vAlign w:val="bottom"/>
            <w:tcBorders>
              <w:bottom w:val="single" w:sz="8" w:color="5C004D"/>
            </w:tcBorders>
          </w:tcPr>
          <w:p>
            <w:pPr>
              <w:spacing w:after="0"/>
              <w:rPr>
                <w:sz w:val="2"/>
                <w:szCs w:val="2"/>
                <w:color w:val="auto"/>
              </w:rPr>
            </w:pPr>
          </w:p>
        </w:tc>
        <w:tc>
          <w:tcPr>
            <w:tcW w:w="60" w:type="dxa"/>
            <w:vAlign w:val="bottom"/>
            <w:tcBorders>
              <w:bottom w:val="single" w:sz="8" w:color="5C004D"/>
            </w:tcBorders>
          </w:tcPr>
          <w:p>
            <w:pPr>
              <w:spacing w:after="0"/>
              <w:rPr>
                <w:sz w:val="2"/>
                <w:szCs w:val="2"/>
                <w:color w:val="auto"/>
              </w:rPr>
            </w:pPr>
          </w:p>
        </w:tc>
        <w:tc>
          <w:tcPr>
            <w:tcW w:w="820" w:type="dxa"/>
            <w:vAlign w:val="bottom"/>
            <w:tcBorders>
              <w:bottom w:val="single" w:sz="8" w:color="5C004D"/>
            </w:tcBorders>
          </w:tcPr>
          <w:p>
            <w:pPr>
              <w:spacing w:after="0"/>
              <w:rPr>
                <w:sz w:val="2"/>
                <w:szCs w:val="2"/>
                <w:color w:val="auto"/>
              </w:rPr>
            </w:pPr>
          </w:p>
        </w:tc>
        <w:tc>
          <w:tcPr>
            <w:tcW w:w="280" w:type="dxa"/>
            <w:vAlign w:val="bottom"/>
            <w:tcBorders>
              <w:bottom w:val="single" w:sz="8" w:color="5C004D"/>
            </w:tcBorders>
          </w:tcPr>
          <w:p>
            <w:pPr>
              <w:spacing w:after="0"/>
              <w:rPr>
                <w:sz w:val="2"/>
                <w:szCs w:val="2"/>
                <w:color w:val="auto"/>
              </w:rPr>
            </w:pPr>
          </w:p>
        </w:tc>
        <w:tc>
          <w:tcPr>
            <w:tcW w:w="1020" w:type="dxa"/>
            <w:vAlign w:val="bottom"/>
            <w:tcBorders>
              <w:bottom w:val="single" w:sz="8" w:color="5C004D"/>
            </w:tcBorders>
          </w:tcPr>
          <w:p>
            <w:pPr>
              <w:spacing w:after="0"/>
              <w:rPr>
                <w:sz w:val="2"/>
                <w:szCs w:val="2"/>
                <w:color w:val="auto"/>
              </w:rPr>
            </w:pPr>
          </w:p>
        </w:tc>
        <w:tc>
          <w:tcPr>
            <w:tcW w:w="1580" w:type="dxa"/>
            <w:vAlign w:val="bottom"/>
            <w:tcBorders>
              <w:bottom w:val="single" w:sz="8" w:color="5C004D"/>
            </w:tcBorders>
          </w:tcPr>
          <w:p>
            <w:pPr>
              <w:spacing w:after="0"/>
              <w:rPr>
                <w:sz w:val="2"/>
                <w:szCs w:val="2"/>
                <w:color w:val="auto"/>
              </w:rPr>
            </w:pPr>
          </w:p>
        </w:tc>
        <w:tc>
          <w:tcPr>
            <w:tcW w:w="240" w:type="dxa"/>
            <w:vAlign w:val="bottom"/>
            <w:tcBorders>
              <w:bottom w:val="single" w:sz="8" w:color="5C004D"/>
            </w:tcBorders>
          </w:tcPr>
          <w:p>
            <w:pPr>
              <w:spacing w:after="0"/>
              <w:rPr>
                <w:sz w:val="2"/>
                <w:szCs w:val="2"/>
                <w:color w:val="auto"/>
              </w:rPr>
            </w:pPr>
          </w:p>
        </w:tc>
        <w:tc>
          <w:tcPr>
            <w:tcW w:w="1660" w:type="dxa"/>
            <w:vAlign w:val="bottom"/>
            <w:tcBorders>
              <w:bottom w:val="single" w:sz="8" w:color="5C004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6386195</wp:posOffset>
            </wp:positionH>
            <wp:positionV relativeFrom="paragraph">
              <wp:posOffset>-6552565</wp:posOffset>
            </wp:positionV>
            <wp:extent cx="25400" cy="8921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316">
                      <a:extLst>
                        <a:ext uri="{28A0092B-C50C-407E-A947-70E740481C1C}"/>
                      </a:extLst>
                    </a:blip>
                    <a:srcRect/>
                    <a:stretch>
                      <a:fillRect/>
                    </a:stretch>
                  </pic:blipFill>
                  <pic:spPr bwMode="auto">
                    <a:xfrm>
                      <a:off x="0" y="0"/>
                      <a:ext cx="25400" cy="89217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-5523865</wp:posOffset>
            </wp:positionV>
            <wp:extent cx="1016000"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317">
                      <a:extLst>
                        <a:ext uri="{28A0092B-C50C-407E-A947-70E740481C1C}"/>
                      </a:extLst>
                    </a:blip>
                    <a:srcRect/>
                    <a:stretch>
                      <a:fillRect/>
                    </a:stretch>
                  </pic:blipFill>
                  <pic:spPr bwMode="auto">
                    <a:xfrm>
                      <a:off x="0" y="0"/>
                      <a:ext cx="1016000"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-5355590</wp:posOffset>
            </wp:positionV>
            <wp:extent cx="100330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318">
                      <a:extLst>
                        <a:ext uri="{28A0092B-C50C-407E-A947-70E740481C1C}"/>
                      </a:extLst>
                    </a:blip>
                    <a:srcRect/>
                    <a:stretch>
                      <a:fillRect/>
                    </a:stretch>
                  </pic:blipFill>
                  <pic:spPr bwMode="auto">
                    <a:xfrm>
                      <a:off x="0" y="0"/>
                      <a:ext cx="10033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-5193665</wp:posOffset>
            </wp:positionV>
            <wp:extent cx="965200" cy="1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319">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-5031740</wp:posOffset>
            </wp:positionV>
            <wp:extent cx="965200" cy="127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320">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-4869815</wp:posOffset>
            </wp:positionV>
            <wp:extent cx="460375" cy="127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321">
                      <a:extLst>
                        <a:ext uri="{28A0092B-C50C-407E-A947-70E740481C1C}"/>
                      </a:extLst>
                    </a:blip>
                    <a:srcRect/>
                    <a:stretch>
                      <a:fillRect/>
                    </a:stretch>
                  </pic:blipFill>
                  <pic:spPr bwMode="auto">
                    <a:xfrm>
                      <a:off x="0" y="0"/>
                      <a:ext cx="46037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-4707890</wp:posOffset>
            </wp:positionV>
            <wp:extent cx="4556125" cy="12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322">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-4545965</wp:posOffset>
            </wp:positionV>
            <wp:extent cx="4556125" cy="127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323">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-4384040</wp:posOffset>
            </wp:positionV>
            <wp:extent cx="4518025" cy="127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24">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-4228465</wp:posOffset>
            </wp:positionV>
            <wp:extent cx="453072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25">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-4060190</wp:posOffset>
            </wp:positionV>
            <wp:extent cx="4518025" cy="127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326">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-3898265</wp:posOffset>
            </wp:positionV>
            <wp:extent cx="1003300" cy="127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327">
                      <a:extLst>
                        <a:ext uri="{28A0092B-C50C-407E-A947-70E740481C1C}"/>
                      </a:extLst>
                    </a:blip>
                    <a:srcRect/>
                    <a:stretch>
                      <a:fillRect/>
                    </a:stretch>
                  </pic:blipFill>
                  <pic:spPr bwMode="auto">
                    <a:xfrm>
                      <a:off x="0" y="0"/>
                      <a:ext cx="1003300" cy="1270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-3742690</wp:posOffset>
            </wp:positionV>
            <wp:extent cx="101600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328">
                      <a:extLst>
                        <a:ext uri="{28A0092B-C50C-407E-A947-70E740481C1C}"/>
                      </a:extLst>
                    </a:blip>
                    <a:srcRect/>
                    <a:stretch>
                      <a:fillRect/>
                    </a:stretch>
                  </pic:blipFill>
                  <pic:spPr bwMode="auto">
                    <a:xfrm>
                      <a:off x="0" y="0"/>
                      <a:ext cx="1016000"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-3574415</wp:posOffset>
            </wp:positionV>
            <wp:extent cx="1003300" cy="127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329">
                      <a:extLst>
                        <a:ext uri="{28A0092B-C50C-407E-A947-70E740481C1C}"/>
                      </a:extLst>
                    </a:blip>
                    <a:srcRect/>
                    <a:stretch>
                      <a:fillRect/>
                    </a:stretch>
                  </pic:blipFill>
                  <pic:spPr bwMode="auto">
                    <a:xfrm>
                      <a:off x="0" y="0"/>
                      <a:ext cx="10033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-3412490</wp:posOffset>
            </wp:positionV>
            <wp:extent cx="1003300" cy="12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330">
                      <a:extLst>
                        <a:ext uri="{28A0092B-C50C-407E-A947-70E740481C1C}"/>
                      </a:extLst>
                    </a:blip>
                    <a:srcRect/>
                    <a:stretch>
                      <a:fillRect/>
                    </a:stretch>
                  </pic:blipFill>
                  <pic:spPr bwMode="auto">
                    <a:xfrm>
                      <a:off x="0" y="0"/>
                      <a:ext cx="10033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-3250565</wp:posOffset>
            </wp:positionV>
            <wp:extent cx="965200"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331">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-3088640</wp:posOffset>
            </wp:positionV>
            <wp:extent cx="4518025" cy="127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332">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-2933065</wp:posOffset>
            </wp:positionV>
            <wp:extent cx="453072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333">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-2764790</wp:posOffset>
            </wp:positionV>
            <wp:extent cx="4518025" cy="127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334">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-2602865</wp:posOffset>
            </wp:positionV>
            <wp:extent cx="4518025" cy="127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335">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-2440940</wp:posOffset>
            </wp:positionV>
            <wp:extent cx="4518025" cy="127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336">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-2279015</wp:posOffset>
            </wp:positionV>
            <wp:extent cx="4518025" cy="127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337">
                      <a:extLst>
                        <a:ext uri="{28A0092B-C50C-407E-A947-70E740481C1C}"/>
                      </a:extLst>
                    </a:blip>
                    <a:srcRect/>
                    <a:stretch>
                      <a:fillRect/>
                    </a:stretch>
                  </pic:blipFill>
                  <pic:spPr bwMode="auto">
                    <a:xfrm>
                      <a:off x="0" y="0"/>
                      <a:ext cx="45180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-2117090</wp:posOffset>
            </wp:positionV>
            <wp:extent cx="1003300"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338">
                      <a:extLst>
                        <a:ext uri="{28A0092B-C50C-407E-A947-70E740481C1C}"/>
                      </a:extLst>
                    </a:blip>
                    <a:srcRect/>
                    <a:stretch>
                      <a:fillRect/>
                    </a:stretch>
                  </pic:blipFill>
                  <pic:spPr bwMode="auto">
                    <a:xfrm>
                      <a:off x="0" y="0"/>
                      <a:ext cx="1003300" cy="1270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-1961515</wp:posOffset>
            </wp:positionV>
            <wp:extent cx="1016000"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339">
                      <a:extLst>
                        <a:ext uri="{28A0092B-C50C-407E-A947-70E740481C1C}"/>
                      </a:extLst>
                    </a:blip>
                    <a:srcRect/>
                    <a:stretch>
                      <a:fillRect/>
                    </a:stretch>
                  </pic:blipFill>
                  <pic:spPr bwMode="auto">
                    <a:xfrm>
                      <a:off x="0" y="0"/>
                      <a:ext cx="1016000"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-1793240</wp:posOffset>
            </wp:positionV>
            <wp:extent cx="96520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340">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-1631315</wp:posOffset>
            </wp:positionV>
            <wp:extent cx="965200" cy="127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341">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-1469390</wp:posOffset>
            </wp:positionV>
            <wp:extent cx="965200" cy="12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342">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-1307465</wp:posOffset>
            </wp:positionV>
            <wp:extent cx="965200" cy="127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343">
                      <a:extLst>
                        <a:ext uri="{28A0092B-C50C-407E-A947-70E740481C1C}"/>
                      </a:extLst>
                    </a:blip>
                    <a:srcRect/>
                    <a:stretch>
                      <a:fillRect/>
                    </a:stretch>
                  </pic:blipFill>
                  <pic:spPr bwMode="auto">
                    <a:xfrm>
                      <a:off x="0" y="0"/>
                      <a:ext cx="965200"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-1145540</wp:posOffset>
            </wp:positionV>
            <wp:extent cx="4556125"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344">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-989965</wp:posOffset>
            </wp:positionV>
            <wp:extent cx="456882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345">
                      <a:extLst>
                        <a:ext uri="{28A0092B-C50C-407E-A947-70E740481C1C}"/>
                      </a:extLst>
                    </a:blip>
                    <a:srcRect/>
                    <a:stretch>
                      <a:fillRect/>
                    </a:stretch>
                  </pic:blipFill>
                  <pic:spPr bwMode="auto">
                    <a:xfrm>
                      <a:off x="0" y="0"/>
                      <a:ext cx="4568825" cy="254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-821690</wp:posOffset>
            </wp:positionV>
            <wp:extent cx="4556125"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346">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-659765</wp:posOffset>
            </wp:positionV>
            <wp:extent cx="4556125"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347">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-497840</wp:posOffset>
            </wp:positionV>
            <wp:extent cx="4556125" cy="127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348">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-335915</wp:posOffset>
            </wp:positionV>
            <wp:extent cx="4556125" cy="127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349">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-173990</wp:posOffset>
            </wp:positionV>
            <wp:extent cx="4556125" cy="127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350">
                      <a:extLst>
                        <a:ext uri="{28A0092B-C50C-407E-A947-70E740481C1C}"/>
                      </a:extLst>
                    </a:blip>
                    <a:srcRect/>
                    <a:stretch>
                      <a:fillRect/>
                    </a:stretch>
                  </pic:blipFill>
                  <pic:spPr bwMode="auto">
                    <a:xfrm>
                      <a:off x="0" y="0"/>
                      <a:ext cx="4556125" cy="1270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-12065</wp:posOffset>
            </wp:positionV>
            <wp:extent cx="4556125" cy="127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351">
                      <a:extLst>
                        <a:ext uri="{28A0092B-C50C-407E-A947-70E740481C1C}"/>
                      </a:extLst>
                    </a:blip>
                    <a:srcRect/>
                    <a:stretch>
                      <a:fillRect/>
                    </a:stretch>
                  </pic:blipFill>
                  <pic:spPr bwMode="auto">
                    <a:xfrm>
                      <a:off x="0" y="0"/>
                      <a:ext cx="4556125" cy="12700"/>
                    </a:xfrm>
                    <a:prstGeom prst="rect">
                      <a:avLst/>
                    </a:prstGeom>
                    <a:noFill/>
                  </pic:spPr>
                </pic:pic>
              </a:graphicData>
            </a:graphic>
          </wp:anchor>
        </w:drawing>
      </w:r>
    </w:p>
    <w:p>
      <w:pPr>
        <w:spacing w:after="0" w:line="86" w:lineRule="exact"/>
        <w:rPr>
          <w:sz w:val="20"/>
          <w:szCs w:val="20"/>
          <w:color w:val="auto"/>
        </w:rPr>
      </w:pPr>
    </w:p>
    <w:p>
      <w:pPr>
        <w:ind w:left="360" w:right="140" w:hanging="359"/>
        <w:spacing w:after="0" w:line="317" w:lineRule="auto"/>
        <w:tabs>
          <w:tab w:leader="none" w:pos="340" w:val="left"/>
        </w:tabs>
        <w:rPr>
          <w:sz w:val="20"/>
          <w:szCs w:val="20"/>
          <w:color w:val="auto"/>
        </w:rPr>
      </w:pPr>
      <w:r>
        <w:rPr>
          <w:rFonts w:ascii="PMingLiU" w:cs="PMingLiU" w:eastAsia="PMingLiU" w:hAnsi="PMingLiU"/>
          <w:sz w:val="13"/>
          <w:szCs w:val="13"/>
          <w:color w:val="auto"/>
        </w:rPr>
        <w:t/>
        <w:tab/>
        <w:t>,QDGGLWLRQWRWKHVSHFLILFYHVWLQJVFKHGXOHIRUHDFKVWRFNDZDUGHDFKXQYHVWHGVWRFNDZDUGLVVXEMHFWWRWKHJHQHUDOWHUPVRIWKH 3ODQDVDSSOLFDEOHLQFOXGLQJWKHSRWHQWLDOIRUIXWXUHYHVWLQJDFFHOHUDWLRQGHVFULEHGDERYHXQGHUWKHKHDGLQJ³</w:t>
      </w:r>
      <w:r>
        <w:rPr>
          <w:rFonts w:ascii="PMingLiU" w:cs="PMingLiU" w:eastAsia="PMingLiU" w:hAnsi="PMingLiU"/>
          <w:sz w:val="13"/>
          <w:szCs w:val="13"/>
          <w:i w:val="1"/>
          <w:iCs w:val="1"/>
          <w:color w:val="auto"/>
        </w:rPr>
        <w:t>,9*806:0545-536,49(:05488(4.,3,4:9 7;0:?536,49(:05488(4.,3,4:9</w:t>
      </w:r>
      <w:r>
        <w:rPr>
          <w:rFonts w:ascii="PMingLiU" w:cs="PMingLiU" w:eastAsia="PMingLiU" w:hAnsi="PMingLiU"/>
          <w:sz w:val="13"/>
          <w:szCs w:val="13"/>
          <w:color w:val="auto"/>
        </w:rPr>
        <w:t>´DVZHOODVWKHSRWHQWLDOYHVWLQJDFFHOHUDWLRQLXQGHUWKHWHUPVRI</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WKH&amp;,&amp;3ODQGHVFULEHGEHORZXQGHUWKHKHDGLQJ³</w:t>
      </w:r>
      <w:r>
        <w:rPr>
          <w:rFonts w:ascii="PMingLiU" w:cs="PMingLiU" w:eastAsia="PMingLiU" w:hAnsi="PMingLiU"/>
          <w:sz w:val="13"/>
          <w:szCs w:val="13"/>
          <w:i w:val="1"/>
          <w:iCs w:val="1"/>
          <w:color w:val="auto"/>
        </w:rPr>
        <w:t>!5:,4:0(2!(?3,4:9;654$,8304(:05458/(4.,0454:852 /(4.,0454:852!2(4</w:t>
      </w:r>
      <w:r>
        <w:rPr>
          <w:rFonts w:ascii="PMingLiU" w:cs="PMingLiU" w:eastAsia="PMingLiU" w:hAnsi="PMingLiU"/>
          <w:sz w:val="13"/>
          <w:szCs w:val="13"/>
          <w:color w:val="auto"/>
        </w:rPr>
        <w:t>´ DQGLLSXUVXDQWWRWKHDQG568DQG368DZDUGDJUHHPHQWVGHVFULEHGXQGHU³</w:t>
      </w:r>
      <w:r>
        <w:rPr>
          <w:rFonts w:ascii="PMingLiU" w:cs="PMingLiU" w:eastAsia="PMingLiU" w:hAnsi="PMingLiU"/>
          <w:sz w:val="13"/>
          <w:szCs w:val="13"/>
          <w:i w:val="1"/>
          <w:iCs w:val="1"/>
          <w:color w:val="auto"/>
        </w:rPr>
        <w:t>!5:,4:0(2!(?3,4:9;654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389380" cy="2343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352">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62"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93" w:name="page94"/>
    <w:bookmarkEnd w:id="9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91" o:spid="_x0000_s1516"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8" w:lineRule="exact"/>
        <w:rPr>
          <w:sz w:val="20"/>
          <w:szCs w:val="20"/>
          <w:color w:val="auto"/>
        </w:rPr>
      </w:pPr>
    </w:p>
    <w:p>
      <w:pPr>
        <w:ind w:left="360" w:right="420"/>
        <w:spacing w:after="0" w:line="263" w:lineRule="auto"/>
        <w:rPr>
          <w:sz w:val="20"/>
          <w:szCs w:val="20"/>
          <w:color w:val="auto"/>
        </w:rPr>
      </w:pPr>
      <w:r>
        <w:rPr>
          <w:rFonts w:ascii="PMingLiU" w:cs="PMingLiU" w:eastAsia="PMingLiU" w:hAnsi="PMingLiU"/>
          <w:sz w:val="16"/>
          <w:szCs w:val="16"/>
          <w:i w:val="1"/>
          <w:iCs w:val="1"/>
          <w:color w:val="auto"/>
        </w:rPr>
        <w:t>$,8304(:05458/(4.,0454:852 $8,(:3,4:5-      (4+  "#%9</w:t>
      </w:r>
      <w:r>
        <w:rPr>
          <w:rFonts w:ascii="PMingLiU" w:cs="PMingLiU" w:eastAsia="PMingLiU" w:hAnsi="PMingLiU"/>
          <w:sz w:val="16"/>
          <w:szCs w:val="16"/>
          <w:color w:val="auto"/>
        </w:rPr>
        <w:t>´DQG³</w:t>
      </w:r>
      <w:r>
        <w:rPr>
          <w:rFonts w:ascii="PMingLiU" w:cs="PMingLiU" w:eastAsia="PMingLiU" w:hAnsi="PMingLiU"/>
          <w:sz w:val="16"/>
          <w:szCs w:val="16"/>
          <w:i w:val="1"/>
          <w:iCs w:val="1"/>
          <w:color w:val="auto"/>
        </w:rPr>
        <w:t>!5:,4:0(2!(?3,4:9;654$,8304(:05458 /(4.,0454:852 $8,(:3,4:5-    (4+  !#%9</w:t>
      </w:r>
      <w:r>
        <w:rPr>
          <w:rFonts w:ascii="PMingLiU" w:cs="PMingLiU" w:eastAsia="PMingLiU" w:hAnsi="PMingLiU"/>
          <w:sz w:val="16"/>
          <w:szCs w:val="16"/>
          <w:color w:val="auto"/>
        </w:rPr>
        <w:t>´</w:t>
      </w:r>
    </w:p>
    <w:p>
      <w:pPr>
        <w:spacing w:after="0" w:line="53" w:lineRule="exact"/>
        <w:rPr>
          <w:sz w:val="20"/>
          <w:szCs w:val="20"/>
          <w:color w:val="auto"/>
        </w:rPr>
      </w:pPr>
    </w:p>
    <w:p>
      <w:pPr>
        <w:jc w:val="both"/>
        <w:ind w:left="360" w:right="200" w:hanging="359"/>
        <w:spacing w:after="0" w:line="303" w:lineRule="auto"/>
        <w:tabs>
          <w:tab w:leader="none" w:pos="340" w:val="left"/>
        </w:tabs>
        <w:rPr>
          <w:sz w:val="20"/>
          <w:szCs w:val="20"/>
          <w:color w:val="auto"/>
        </w:rPr>
      </w:pPr>
      <w:r>
        <w:rPr>
          <w:rFonts w:ascii="PMingLiU" w:cs="PMingLiU" w:eastAsia="PMingLiU" w:hAnsi="PMingLiU"/>
          <w:sz w:val="13"/>
          <w:szCs w:val="13"/>
          <w:color w:val="auto"/>
        </w:rPr>
        <w:t/>
        <w:tab/>
        <w:t>$VDJHQHUDOPDWWHUVWRFNRSWLRQVJUDQWHGWR1(2VH[SLUHRQWKHGD\EHIRUHWKHWHQWKDQQLYHUVDU\RIWKHLUJUDQWGDWHRUHDUOLHULQWKH HYHQWRIDQ1(2¶VWHUPLQDWLRQRIVHUYLFH,QWKHHYHQWRIDQ1(2¶VWHUPLQDWLRQRIVHUYLFHVWRFNRSWLRQVJHQHUDOO\H[SLUHWKUHHPRQWKV DIWHUVXFKWHUPLQDWLRQRIVHUYLFHZLWKWKHH[FHSWLRQRI0U&amp;R]DGG¶VVWRFNRSWLRQVZKLFKH[SLUHRQWKHGDWHWKDWLVWZHOYHPRQWKV</w:t>
      </w:r>
    </w:p>
    <w:p>
      <w:pPr>
        <w:spacing w:after="0" w:line="2" w:lineRule="exact"/>
        <w:rPr>
          <w:sz w:val="20"/>
          <w:szCs w:val="20"/>
          <w:color w:val="auto"/>
        </w:rPr>
      </w:pPr>
    </w:p>
    <w:p>
      <w:pPr>
        <w:ind w:left="360"/>
        <w:spacing w:after="0"/>
        <w:rPr>
          <w:sz w:val="20"/>
          <w:szCs w:val="20"/>
          <w:color w:val="auto"/>
        </w:rPr>
      </w:pPr>
      <w:r>
        <w:rPr>
          <w:rFonts w:ascii="PMingLiU" w:cs="PMingLiU" w:eastAsia="PMingLiU" w:hAnsi="PMingLiU"/>
          <w:sz w:val="13"/>
          <w:szCs w:val="13"/>
          <w:color w:val="auto"/>
        </w:rPr>
        <w:t>IROORZLQJWKHGDWHKLVVHUYLFHDVDPHPEHURIWKH%RDUGWHUPLQDWHVVXEMHFWWRH[WHQVLRQXQGHUOLPLWHGFLUFXPVWDQFHVVXFKDVLIWKHVDOH</w:t>
      </w:r>
    </w:p>
    <w:p>
      <w:pPr>
        <w:spacing w:after="0" w:line="36" w:lineRule="exact"/>
        <w:rPr>
          <w:sz w:val="20"/>
          <w:szCs w:val="20"/>
          <w:color w:val="auto"/>
        </w:rPr>
      </w:pPr>
    </w:p>
    <w:p>
      <w:pPr>
        <w:jc w:val="both"/>
        <w:ind w:left="360" w:right="340"/>
        <w:spacing w:after="0" w:line="403" w:lineRule="auto"/>
        <w:rPr>
          <w:sz w:val="20"/>
          <w:szCs w:val="20"/>
          <w:color w:val="auto"/>
        </w:rPr>
      </w:pPr>
      <w:r>
        <w:rPr>
          <w:rFonts w:ascii="PMingLiU" w:cs="PMingLiU" w:eastAsia="PMingLiU" w:hAnsi="PMingLiU"/>
          <w:sz w:val="12"/>
          <w:szCs w:val="12"/>
          <w:color w:val="auto"/>
        </w:rPr>
        <w:t>RIVKDUHVGXULQJVXFKWLPHZDVSURKLELWHGE\RXULQVLGHUWUDGLQJSROLF\RULIH[HUFLVHZRXOGUHVXOWLQYLRODWLRQRIVHFXULWLHVUHJLVWUDWLRQ UHTXLUHPHQWV)RUPRUHLQIRUPDWLRQVHHGHVFULSWLRQXQGHUWKHKHDGLQJ³</w:t>
      </w:r>
      <w:r>
        <w:rPr>
          <w:rFonts w:ascii="PMingLiU" w:cs="PMingLiU" w:eastAsia="PMingLiU" w:hAnsi="PMingLiU"/>
          <w:sz w:val="12"/>
          <w:szCs w:val="12"/>
          <w:i w:val="1"/>
          <w:iCs w:val="1"/>
          <w:color w:val="auto"/>
        </w:rPr>
        <w:t>!5:,4:0(2!(?3,4:9;654$,8304(:05458/(4.,0454:852</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7;0:?536,49(:054!2(49</w:t>
      </w:r>
      <w:r>
        <w:rPr>
          <w:rFonts w:ascii="PMingLiU" w:cs="PMingLiU" w:eastAsia="PMingLiU" w:hAnsi="PMingLiU"/>
          <w:sz w:val="12"/>
          <w:szCs w:val="12"/>
          <w:color w:val="auto"/>
        </w:rPr>
        <w:t>´</w:t>
      </w:r>
    </w:p>
    <w:p>
      <w:pPr>
        <w:spacing w:after="0" w:line="167" w:lineRule="exact"/>
        <w:rPr>
          <w:sz w:val="20"/>
          <w:szCs w:val="20"/>
          <w:color w:val="auto"/>
        </w:rPr>
      </w:pPr>
    </w:p>
    <w:p>
      <w:pPr>
        <w:ind w:left="360" w:right="320" w:hanging="359"/>
        <w:spacing w:after="0" w:line="512" w:lineRule="auto"/>
        <w:tabs>
          <w:tab w:leader="none" w:pos="340" w:val="left"/>
        </w:tabs>
        <w:rPr>
          <w:sz w:val="20"/>
          <w:szCs w:val="20"/>
          <w:color w:val="auto"/>
        </w:rPr>
      </w:pPr>
      <w:r>
        <w:rPr>
          <w:rFonts w:ascii="PMingLiU" w:cs="PMingLiU" w:eastAsia="PMingLiU" w:hAnsi="PMingLiU"/>
          <w:sz w:val="13"/>
          <w:szCs w:val="13"/>
          <w:color w:val="auto"/>
        </w:rPr>
        <w:t/>
        <w:tab/>
        <w:t>7KHPDUNHWYDOXHVRIWKHWLPHEDVHG568DZDUGVDQG368DZDUGVWKDWKDYHQRWYHVWHGDUHFDOFXODWHGE\PXOWLSO\LQJWKHQXPEHURI VKDUHVXQGHUO\LQJWKH568DZDUGVDQG368DZDUGVVKRZQLQWKHWDEOHE\WKHFORVLQJSULFHRIRXURUGLQDU\VKDUHVRQ 'HFHPEHU</w:t>
      </w:r>
    </w:p>
    <w:p>
      <w:pPr>
        <w:spacing w:after="0" w:line="1" w:lineRule="exact"/>
        <w:rPr>
          <w:sz w:val="20"/>
          <w:szCs w:val="20"/>
          <w:color w:val="auto"/>
        </w:rPr>
      </w:pPr>
    </w:p>
    <w:p>
      <w:pPr>
        <w:ind w:left="360" w:right="460" w:hanging="359"/>
        <w:spacing w:after="0" w:line="364" w:lineRule="auto"/>
        <w:tabs>
          <w:tab w:leader="none" w:pos="340" w:val="left"/>
        </w:tabs>
        <w:rPr>
          <w:sz w:val="20"/>
          <w:szCs w:val="20"/>
          <w:color w:val="auto"/>
        </w:rPr>
      </w:pPr>
      <w:r>
        <w:rPr>
          <w:rFonts w:ascii="PMingLiU" w:cs="PMingLiU" w:eastAsia="PMingLiU" w:hAnsi="PMingLiU"/>
          <w:sz w:val="13"/>
          <w:szCs w:val="13"/>
          <w:color w:val="auto"/>
        </w:rPr>
        <w:t/>
        <w:tab/>
        <w:t>7KHPDUNHWYDOXHVRIWKH368DZDUGVWKDWKDYHQRWYHVWHGDUHFDOFXODWHGE\PXOWLSO\LQJWKHQXPEHURIVKDUHVXQGHUO\LQJWKH368 DZDUGVVKRZQLQWKHWDEOHE\WKHFORVLQJSULFHRIRXURUGLQDU\VKDUHVRQ'HFHPEHU</w:t>
      </w:r>
    </w:p>
    <w:p>
      <w:pPr>
        <w:spacing w:after="0" w:line="1" w:lineRule="exact"/>
        <w:rPr>
          <w:sz w:val="20"/>
          <w:szCs w:val="20"/>
          <w:color w:val="auto"/>
        </w:rPr>
      </w:pPr>
    </w:p>
    <w:p>
      <w:pPr>
        <w:ind w:left="360" w:right="6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568VDZDUGHGRQ$XJXVWYHVWLQJLQHTXDODQQXDOLQVWDOOPHQWVRYHUIRXU\HDUVPHDVXUHGIURPWKHYHVWLQJFRPPHQFHPHQWGDWH RI6HSWHPEHU</w:t>
      </w:r>
    </w:p>
    <w:p>
      <w:pPr>
        <w:spacing w:after="0" w:line="1" w:lineRule="exact"/>
        <w:rPr>
          <w:sz w:val="20"/>
          <w:szCs w:val="20"/>
          <w:color w:val="auto"/>
        </w:rPr>
      </w:pPr>
    </w:p>
    <w:p>
      <w:pPr>
        <w:ind w:left="360" w:right="18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568VDZDUGHGRQ)HEUXDU\YHVWLQJLQHTXDODQQXDOLQVWDOOPHQWVRYHUIRXU\HDUVPHDVXUHGIURPWKHYHVWLQJFRPPHQFHPHQW GDWHRI0DUFKVXEMHFWWRFRQWLQXHGVHUYLFHWKURXJKVXFKGDWH</w:t>
      </w:r>
    </w:p>
    <w:p>
      <w:pPr>
        <w:spacing w:after="0" w:line="1" w:lineRule="exact"/>
        <w:rPr>
          <w:sz w:val="20"/>
          <w:szCs w:val="20"/>
          <w:color w:val="auto"/>
        </w:rPr>
      </w:pPr>
    </w:p>
    <w:p>
      <w:pPr>
        <w:ind w:left="360" w:right="200" w:hanging="359"/>
        <w:spacing w:after="0" w:line="266" w:lineRule="auto"/>
        <w:tabs>
          <w:tab w:leader="none" w:pos="340" w:val="left"/>
        </w:tabs>
        <w:rPr>
          <w:sz w:val="20"/>
          <w:szCs w:val="20"/>
          <w:color w:val="auto"/>
        </w:rPr>
      </w:pPr>
      <w:r>
        <w:rPr>
          <w:rFonts w:ascii="PMingLiU" w:cs="PMingLiU" w:eastAsia="PMingLiU" w:hAnsi="PMingLiU"/>
          <w:sz w:val="16"/>
          <w:szCs w:val="16"/>
          <w:color w:val="auto"/>
        </w:rPr>
        <w:t/>
        <w:tab/>
        <w:t>568VDZDUGHGDVUHWHQWLRQJUDQWVRQ)HEUXDU\ZKLFKZLOOYHVWLQIXOORQ-XQHVXEMHFWWRFRQWLQXHGVHUYLFHWKURXJK VXFKGDWH</w:t>
      </w:r>
    </w:p>
    <w:p>
      <w:pPr>
        <w:spacing w:after="0" w:line="49" w:lineRule="exact"/>
        <w:rPr>
          <w:sz w:val="20"/>
          <w:szCs w:val="20"/>
          <w:color w:val="auto"/>
        </w:rPr>
      </w:pPr>
    </w:p>
    <w:p>
      <w:pPr>
        <w:ind w:left="360" w:right="10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568VDZDUGHGRQ0DUFKYHVWLQJLQHTXDODQQXDOLQVWDOOPHQWVRYHUIRXU\HDUVPHDVXUHGIURPWKHYHVWLQJFRPPHQFHPHQWGDWH RI0DUFKVXEMHFWWRFRQWLQXHGVHUYLFHWKURXJKVXFKGDWH</w:t>
      </w:r>
    </w:p>
    <w:p>
      <w:pPr>
        <w:spacing w:after="0" w:line="1" w:lineRule="exact"/>
        <w:rPr>
          <w:sz w:val="20"/>
          <w:szCs w:val="20"/>
          <w:color w:val="auto"/>
        </w:rPr>
      </w:pPr>
    </w:p>
    <w:p>
      <w:pPr>
        <w:ind w:left="360" w:right="8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568VDZDUGHGRQ1RYHPEHUYHVWLQJLQHTXDODQQXDOLQVWDOOPHQWVRYHUIRXU\HDUVPHDVXUHGIURPWKHYHVWLQJFRPPHQFHPHQW GDWHRI'HFHPEHUVXEMHFWWRFRQWLQXHGVHUYLFHWKURXJKVXFKGDWH</w:t>
      </w:r>
    </w:p>
    <w:p>
      <w:pPr>
        <w:spacing w:after="0" w:line="1" w:lineRule="exact"/>
        <w:rPr>
          <w:sz w:val="20"/>
          <w:szCs w:val="20"/>
          <w:color w:val="auto"/>
        </w:rPr>
      </w:pPr>
    </w:p>
    <w:p>
      <w:pPr>
        <w:ind w:left="360" w:right="100" w:hanging="359"/>
        <w:spacing w:after="0" w:line="338" w:lineRule="auto"/>
        <w:rPr>
          <w:sz w:val="20"/>
          <w:szCs w:val="20"/>
          <w:color w:val="auto"/>
        </w:rPr>
      </w:pPr>
      <w:r>
        <w:rPr>
          <w:rFonts w:ascii="PMingLiU" w:cs="PMingLiU" w:eastAsia="PMingLiU" w:hAnsi="PMingLiU"/>
          <w:sz w:val="14"/>
          <w:szCs w:val="14"/>
          <w:color w:val="auto"/>
        </w:rPr>
        <w:t> 568VDZDUGHGRQ0DUFKYHVWLQJLQHTXDODQQXDOLQVWDOOPHQWVRYHUIRXU\HDUVPHDVXUHGIURPWKHYHVWLQJFRPPHQFHPHQWGDWH RI0DUFKVXEMHFWWRFRQWLQXHGVHUYLFHWKURXJKVXFKGDWH</w:t>
      </w:r>
    </w:p>
    <w:p>
      <w:pPr>
        <w:spacing w:after="0" w:line="1" w:lineRule="exact"/>
        <w:rPr>
          <w:sz w:val="20"/>
          <w:szCs w:val="20"/>
          <w:color w:val="auto"/>
        </w:rPr>
      </w:pPr>
    </w:p>
    <w:p>
      <w:pPr>
        <w:ind w:left="360" w:right="100" w:hanging="359"/>
        <w:spacing w:after="0" w:line="335" w:lineRule="auto"/>
        <w:rPr>
          <w:sz w:val="20"/>
          <w:szCs w:val="20"/>
          <w:color w:val="auto"/>
        </w:rPr>
      </w:pPr>
      <w:r>
        <w:rPr>
          <w:rFonts w:ascii="PMingLiU" w:cs="PMingLiU" w:eastAsia="PMingLiU" w:hAnsi="PMingLiU"/>
          <w:sz w:val="14"/>
          <w:szCs w:val="14"/>
          <w:color w:val="auto"/>
        </w:rPr>
        <w:t> 568VDZDUGHGRQ0DUFKYHVWLQJLQHTXDODQQXDOLQVWDOOPHQWVRYHUIRXU\HDUVPHDVXUHGIURPWKHYHVWLQJFRPPHQFHPHQWGDWH RI0DUFKVXEMHFWWRFRQWLQXHGVHUYLFHWKURXJKVXFKGDWH</w:t>
      </w:r>
    </w:p>
    <w:p>
      <w:pPr>
        <w:spacing w:after="0" w:line="5" w:lineRule="exact"/>
        <w:rPr>
          <w:sz w:val="20"/>
          <w:szCs w:val="20"/>
          <w:color w:val="auto"/>
        </w:rPr>
      </w:pPr>
    </w:p>
    <w:p>
      <w:pPr>
        <w:ind w:left="360" w:right="240" w:hanging="359"/>
        <w:spacing w:after="0" w:line="338" w:lineRule="auto"/>
        <w:rPr>
          <w:sz w:val="20"/>
          <w:szCs w:val="20"/>
          <w:color w:val="auto"/>
        </w:rPr>
      </w:pPr>
      <w:r>
        <w:rPr>
          <w:rFonts w:ascii="PMingLiU" w:cs="PMingLiU" w:eastAsia="PMingLiU" w:hAnsi="PMingLiU"/>
          <w:sz w:val="14"/>
          <w:szCs w:val="14"/>
          <w:color w:val="auto"/>
        </w:rPr>
        <w:t> 7KLVUHIOHFWVWKHDFWXDOQXPEHURIVKDUHVHDUQHGXQGHU368VJUDQWHGLQEDVHGRQWKHSHUIRUPDQFHSHULRGHQGHG'HFHPEHU 7KH368VYHVWHGRQ-DQXDU\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 568VDZDUGHGRQ1RYHPEHUZKLFKZLOOYHVWLQIXOORQ-XO\VXEMHFWWRFRQWLQXHGVHUYLFHWKURXJKVXFKGDWH</w:t>
      </w:r>
    </w:p>
    <w:p>
      <w:pPr>
        <w:spacing w:after="0" w:line="90" w:lineRule="exact"/>
        <w:rPr>
          <w:sz w:val="20"/>
          <w:szCs w:val="20"/>
          <w:color w:val="auto"/>
        </w:rPr>
      </w:pPr>
    </w:p>
    <w:p>
      <w:pPr>
        <w:ind w:left="360" w:right="60" w:hanging="359"/>
        <w:spacing w:after="0" w:line="335" w:lineRule="auto"/>
        <w:rPr>
          <w:sz w:val="20"/>
          <w:szCs w:val="20"/>
          <w:color w:val="auto"/>
        </w:rPr>
      </w:pPr>
      <w:r>
        <w:rPr>
          <w:rFonts w:ascii="PMingLiU" w:cs="PMingLiU" w:eastAsia="PMingLiU" w:hAnsi="PMingLiU"/>
          <w:sz w:val="14"/>
          <w:szCs w:val="14"/>
          <w:color w:val="auto"/>
        </w:rPr>
        <w:t> 568VDZDUGHGRQ$XJXVWYHVWLQJLQHTXDODQQXDOLQVWDOOPHQWVRYHUIRXU\HDUVPHDVXUHGIURPWKHYHVWLQJFRPPHQFHPHQWGDWH RI$XJXVWVXEMHFWWRFRQWLQXHGVHUYLFHWKURXJKVXFKGDWH</w:t>
      </w:r>
    </w:p>
    <w:p>
      <w:pPr>
        <w:spacing w:after="0" w:line="5" w:lineRule="exact"/>
        <w:rPr>
          <w:sz w:val="20"/>
          <w:szCs w:val="20"/>
          <w:color w:val="auto"/>
        </w:rPr>
      </w:pPr>
    </w:p>
    <w:p>
      <w:pPr>
        <w:ind w:left="360" w:hanging="359"/>
        <w:spacing w:after="0" w:line="266" w:lineRule="auto"/>
        <w:rPr>
          <w:sz w:val="20"/>
          <w:szCs w:val="20"/>
          <w:color w:val="auto"/>
        </w:rPr>
      </w:pPr>
      <w:r>
        <w:rPr>
          <w:rFonts w:ascii="PMingLiU" w:cs="PMingLiU" w:eastAsia="PMingLiU" w:hAnsi="PMingLiU"/>
          <w:sz w:val="15"/>
          <w:szCs w:val="15"/>
          <w:color w:val="auto"/>
        </w:rPr>
        <w:t> )RUWKH368VJUDQWHGWR0V*DODLQ$XJXVWWKHPD[LPXPQXPEHURI368VLVVKRZQDVVXPLQJDPD[LPXPSHUIRUPDQFHRI 7KHDFWXDOQXPEHURI368VWKDWFRXOGEHHDUQHGLVQRW\HWGHWHUPLQDEOH)RUDGGLWLRQDOLQIRUPDWLRQRQWKH368VVHH</w:t>
      </w:r>
    </w:p>
    <w:p>
      <w:pPr>
        <w:spacing w:after="0" w:line="1" w:lineRule="exact"/>
        <w:rPr>
          <w:sz w:val="20"/>
          <w:szCs w:val="20"/>
          <w:color w:val="auto"/>
        </w:rPr>
      </w:pPr>
    </w:p>
    <w:p>
      <w:pPr>
        <w:ind w:left="360"/>
        <w:spacing w:after="0"/>
        <w:tabs>
          <w:tab w:leader="none" w:pos="3440" w:val="left"/>
          <w:tab w:leader="none" w:pos="6680" w:val="left"/>
        </w:tabs>
        <w:rPr>
          <w:sz w:val="20"/>
          <w:szCs w:val="20"/>
          <w:color w:val="auto"/>
        </w:rPr>
      </w:pPr>
      <w:r>
        <w:rPr>
          <w:rFonts w:ascii="PMingLiU" w:cs="PMingLiU" w:eastAsia="PMingLiU" w:hAnsi="PMingLiU"/>
          <w:sz w:val="16"/>
          <w:szCs w:val="16"/>
          <w:color w:val="auto"/>
        </w:rPr>
        <w:t>³</w:t>
      </w:r>
      <w:r>
        <w:rPr>
          <w:rFonts w:ascii="PMingLiU" w:cs="PMingLiU" w:eastAsia="PMingLiU" w:hAnsi="PMingLiU"/>
          <w:sz w:val="16"/>
          <w:szCs w:val="16"/>
          <w:i w:val="1"/>
          <w:iCs w:val="1"/>
          <w:color w:val="auto"/>
        </w:rPr>
        <w:t>536,49(:05409*;99054(4+4(2?909</w:t>
      </w:r>
      <w:r>
        <w:rPr>
          <w:sz w:val="20"/>
          <w:szCs w:val="20"/>
          <w:color w:val="auto"/>
        </w:rPr>
        <w:tab/>
      </w:r>
      <w:r>
        <w:rPr>
          <w:rFonts w:ascii="PMingLiU" w:cs="PMingLiU" w:eastAsia="PMingLiU" w:hAnsi="PMingLiU"/>
          <w:sz w:val="16"/>
          <w:szCs w:val="16"/>
          <w:i w:val="1"/>
          <w:iCs w:val="1"/>
          <w:color w:val="auto"/>
        </w:rPr>
        <w:t> 536,49(:054,*090549-58  ;8  9</w:t>
        <w:tab/>
        <w:t>54.$,834*,4:0&lt;,!85.8(3</w:t>
      </w:r>
      <w:r>
        <w:rPr>
          <w:rFonts w:ascii="PMingLiU" w:cs="PMingLiU" w:eastAsia="PMingLiU" w:hAnsi="PMingLiU"/>
          <w:sz w:val="16"/>
          <w:szCs w:val="16"/>
          <w:color w:val="auto"/>
        </w:rPr>
        <w:t>´DQG</w:t>
      </w:r>
    </w:p>
    <w:p>
      <w:pPr>
        <w:ind w:left="360"/>
        <w:spacing w:after="0"/>
        <w:tabs>
          <w:tab w:leader="none" w:pos="3340" w:val="left"/>
          <w:tab w:leader="none" w:pos="8680" w:val="left"/>
        </w:tabs>
        <w:rPr>
          <w:sz w:val="20"/>
          <w:szCs w:val="20"/>
          <w:color w:val="auto"/>
        </w:rPr>
      </w:pPr>
      <w:r>
        <w:rPr>
          <w:rFonts w:ascii="PMingLiU" w:cs="PMingLiU" w:eastAsia="PMingLiU" w:hAnsi="PMingLiU"/>
          <w:sz w:val="16"/>
          <w:szCs w:val="16"/>
          <w:color w:val="auto"/>
        </w:rPr>
        <w:t>³&amp;</w:t>
      </w:r>
      <w:r>
        <w:rPr>
          <w:rFonts w:ascii="PMingLiU" w:cs="PMingLiU" w:eastAsia="PMingLiU" w:hAnsi="PMingLiU"/>
          <w:sz w:val="16"/>
          <w:szCs w:val="16"/>
          <w:i w:val="1"/>
          <w:iCs w:val="1"/>
          <w:color w:val="auto"/>
        </w:rPr>
        <w:t>536,49(:05409*;99054(4+4(2?909</w:t>
      </w:r>
      <w:r>
        <w:rPr>
          <w:sz w:val="20"/>
          <w:szCs w:val="20"/>
          <w:color w:val="auto"/>
        </w:rPr>
        <w:tab/>
      </w:r>
      <w:r>
        <w:rPr>
          <w:rFonts w:ascii="PMingLiU" w:cs="PMingLiU" w:eastAsia="PMingLiU" w:hAnsi="PMingLiU"/>
          <w:sz w:val="16"/>
          <w:szCs w:val="16"/>
          <w:i w:val="1"/>
          <w:iCs w:val="1"/>
          <w:color w:val="auto"/>
        </w:rPr>
        <w:t>5(29-58(4+*/0,&lt;,3,4:5-  !,8-583(4*,(9,+536,49(:054</w:t>
        <w:tab/>
        <w:t> A  !#%</w:t>
      </w:r>
    </w:p>
    <w:p>
      <w:pPr>
        <w:ind w:left="360"/>
        <w:spacing w:after="0"/>
        <w:rPr>
          <w:sz w:val="20"/>
          <w:szCs w:val="20"/>
          <w:color w:val="auto"/>
        </w:rPr>
      </w:pPr>
      <w:r>
        <w:rPr>
          <w:rFonts w:ascii="PMingLiU" w:cs="PMingLiU" w:eastAsia="PMingLiU" w:hAnsi="PMingLiU"/>
          <w:sz w:val="16"/>
          <w:szCs w:val="16"/>
          <w:i w:val="1"/>
          <w:iCs w:val="1"/>
          <w:color w:val="auto"/>
        </w:rPr>
        <w:t>!85.8(3</w:t>
      </w:r>
      <w:r>
        <w:rPr>
          <w:rFonts w:ascii="PMingLiU" w:cs="PMingLiU" w:eastAsia="PMingLiU" w:hAnsi="PMingLiU"/>
          <w:sz w:val="16"/>
          <w:szCs w:val="16"/>
          <w:color w:val="auto"/>
        </w:rPr>
        <w:t>´DERYH</w:t>
      </w:r>
    </w:p>
    <w:p>
      <w:pPr>
        <w:spacing w:after="0" w:line="74" w:lineRule="exact"/>
        <w:rPr>
          <w:sz w:val="20"/>
          <w:szCs w:val="20"/>
          <w:color w:val="auto"/>
        </w:rPr>
      </w:pPr>
    </w:p>
    <w:p>
      <w:pPr>
        <w:ind w:left="360" w:hanging="359"/>
        <w:spacing w:after="0" w:line="270" w:lineRule="auto"/>
        <w:rPr>
          <w:sz w:val="20"/>
          <w:szCs w:val="20"/>
          <w:color w:val="auto"/>
        </w:rPr>
      </w:pPr>
      <w:r>
        <w:rPr>
          <w:rFonts w:ascii="PMingLiU" w:cs="PMingLiU" w:eastAsia="PMingLiU" w:hAnsi="PMingLiU"/>
          <w:sz w:val="15"/>
          <w:szCs w:val="15"/>
          <w:color w:val="auto"/>
        </w:rPr>
        <w:t> )RUWKH368VJUDQWHGLQWKHPD[LPXPQXPEHURI368VLVVKRZQLQHDFKFDVHDVVXPLQJPD[LPXPSHUIRUPDQFHRI7KH DFWXDOQXPEHURI368VWKDWZLOOEHHDUQHGLVQRW\HWGHWHUPLQDEOH)RUDGGLWLRQDOLQIRUPDWLRQRQWKH368VVHH³</w:t>
      </w:r>
      <w:r>
        <w:rPr>
          <w:rFonts w:ascii="PMingLiU" w:cs="PMingLiU" w:eastAsia="PMingLiU" w:hAnsi="PMingLiU"/>
          <w:sz w:val="15"/>
          <w:szCs w:val="15"/>
          <w:i w:val="1"/>
          <w:iCs w:val="1"/>
          <w:color w:val="auto"/>
        </w:rPr>
        <w:t>536,49(:054</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09*;99054(4+4(2?909  536,49(:054,*090549-58 ;8 9 54.$,834*,4:0&lt;,!85.8(3</w:t>
      </w:r>
      <w:r>
        <w:rPr>
          <w:rFonts w:ascii="PMingLiU" w:cs="PMingLiU" w:eastAsia="PMingLiU" w:hAnsi="PMingLiU"/>
          <w:sz w:val="15"/>
          <w:szCs w:val="15"/>
          <w:color w:val="auto"/>
        </w:rPr>
        <w:t>´DQG³</w:t>
      </w:r>
      <w:r>
        <w:rPr>
          <w:rFonts w:ascii="PMingLiU" w:cs="PMingLiU" w:eastAsia="PMingLiU" w:hAnsi="PMingLiU"/>
          <w:sz w:val="15"/>
          <w:szCs w:val="15"/>
          <w:i w:val="1"/>
          <w:iCs w:val="1"/>
          <w:color w:val="auto"/>
        </w:rPr>
        <w:t>536,49(:05409*;99054 (4+4(2?909 5(29-58(4+*/0,&lt;,3,4:5-  !,8-583(4*,(9,+536,49(:054  A  !#%!85.8(3</w:t>
      </w:r>
      <w:r>
        <w:rPr>
          <w:rFonts w:ascii="PMingLiU" w:cs="PMingLiU" w:eastAsia="PMingLiU" w:hAnsi="PMingLiU"/>
          <w:sz w:val="15"/>
          <w:szCs w:val="15"/>
          <w:color w:val="auto"/>
        </w:rPr>
        <w:t>´DERYH</w:t>
      </w:r>
    </w:p>
    <w:p>
      <w:pPr>
        <w:spacing w:after="0" w:line="49" w:lineRule="exact"/>
        <w:rPr>
          <w:sz w:val="20"/>
          <w:szCs w:val="20"/>
          <w:color w:val="auto"/>
        </w:rPr>
      </w:pPr>
    </w:p>
    <w:p>
      <w:pPr>
        <w:ind w:left="360" w:right="240" w:hanging="359"/>
        <w:spacing w:after="0" w:line="266" w:lineRule="auto"/>
        <w:rPr>
          <w:sz w:val="20"/>
          <w:szCs w:val="20"/>
          <w:color w:val="auto"/>
        </w:rPr>
      </w:pPr>
      <w:r>
        <w:rPr>
          <w:rFonts w:ascii="PMingLiU" w:cs="PMingLiU" w:eastAsia="PMingLiU" w:hAnsi="PMingLiU"/>
          <w:sz w:val="15"/>
          <w:szCs w:val="15"/>
          <w:color w:val="auto"/>
        </w:rPr>
        <w:t> )RUWKH368VJUDQWHGLQWKHPD[LPXPQXPEHURI368VLVVKRZQLQHDFKFDVHDVVXPLQJPD[LPXPSHUIRUPDQFHRI7KH DFWXDOQXPEHURI368VWKDWFRXOGEHHDUQHGLVEHWZHHQDQGRIWKHWDUJHWQXPEHURI368VZKLFKYHVWGHSHQGLQJRQRXU</w:t>
      </w:r>
    </w:p>
    <w:p>
      <w:pPr>
        <w:spacing w:after="0" w:line="1" w:lineRule="exact"/>
        <w:rPr>
          <w:sz w:val="20"/>
          <w:szCs w:val="20"/>
          <w:color w:val="auto"/>
        </w:rPr>
      </w:pPr>
    </w:p>
    <w:p>
      <w:pPr>
        <w:ind w:left="360" w:right="260"/>
        <w:spacing w:after="0" w:line="355" w:lineRule="auto"/>
        <w:rPr>
          <w:sz w:val="20"/>
          <w:szCs w:val="20"/>
          <w:color w:val="auto"/>
        </w:rPr>
      </w:pPr>
      <w:r>
        <w:rPr>
          <w:rFonts w:ascii="PMingLiU" w:cs="PMingLiU" w:eastAsia="PMingLiU" w:hAnsi="PMingLiU"/>
          <w:sz w:val="13"/>
          <w:szCs w:val="13"/>
          <w:color w:val="auto"/>
        </w:rPr>
        <w:t>&amp;RPSDQ\¶VDFKLHYHPHQWZLWKUHVSHFWWRFHUWDLQSHUIRUPDQFHFULWHULDDQGRXUUHODWLYH765FRPSDUHGWRWKHFRQVWLWXHQWVWKH1DVGDT %LRWHFKQRORJ\,QGH[RYHUWKHWKUHH\HDUSHUIRUPDQFHSHULRG7KHDFWXDOQXPEHURI368VWKDWZLOOEHHDUQHGLVQRW\HWGHWHUPLQDEOH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2148205</wp:posOffset>
            </wp:positionV>
            <wp:extent cx="1386840" cy="2336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35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20"/>
          </w:cols>
          <w:pgMar w:left="900" w:top="377" w:right="959" w:bottom="0" w:gutter="0" w:footer="0" w:header="0"/>
        </w:sectPr>
      </w:pPr>
    </w:p>
    <w:bookmarkStart w:id="94" w:name="page95"/>
    <w:bookmarkEnd w:id="94"/>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93" o:spid="_x0000_s1518"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2SWLRQ([HUFLVHVDQG6WRFN9HVWHGLQ)LVFDO</w:t>
      </w:r>
    </w:p>
    <w:p>
      <w:pPr>
        <w:spacing w:after="0" w:line="219" w:lineRule="exact"/>
        <w:rPr>
          <w:sz w:val="20"/>
          <w:szCs w:val="20"/>
          <w:color w:val="auto"/>
        </w:rPr>
      </w:pPr>
    </w:p>
    <w:p>
      <w:pPr>
        <w:ind w:right="20"/>
        <w:spacing w:after="0" w:line="659" w:lineRule="auto"/>
        <w:rPr>
          <w:sz w:val="20"/>
          <w:szCs w:val="20"/>
          <w:color w:val="auto"/>
        </w:rPr>
      </w:pPr>
      <w:r>
        <w:rPr>
          <w:rFonts w:ascii="PMingLiU" w:cs="PMingLiU" w:eastAsia="PMingLiU" w:hAnsi="PMingLiU"/>
          <w:sz w:val="14"/>
          <w:szCs w:val="14"/>
          <w:color w:val="auto"/>
        </w:rPr>
        <w:t>7KHIROORZLQJWDEOHSURYLGHVLQIRUPDWLRQRQVWRFNDZDUGVYHVWHGDQGVWRFNRSWLRQVH[HUFLVHGLQFOXGLQJWKHQXPEHURIVKDUHV DFTXLUHGXSRQH[HUFLVHDQGWKHYDOXHUHDOL]HGGHWHUPLQHGDVGHVFULEHGEHORZIRUWKH1(2VLQWKH\HDUHQGHG'HFHPEHU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-8255</wp:posOffset>
            </wp:positionV>
            <wp:extent cx="3244850"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354">
                      <a:extLst>
                        <a:ext uri="{28A0092B-C50C-407E-A947-70E740481C1C}"/>
                      </a:extLst>
                    </a:blip>
                    <a:srcRect/>
                    <a:stretch>
                      <a:fillRect/>
                    </a:stretch>
                  </pic:blipFill>
                  <pic:spPr bwMode="auto">
                    <a:xfrm>
                      <a:off x="0" y="0"/>
                      <a:ext cx="324485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9"/>
        </w:trPr>
        <w:tc>
          <w:tcPr>
            <w:tcW w:w="5020" w:type="dxa"/>
            <w:vAlign w:val="bottom"/>
            <w:tcBorders>
              <w:right w:val="single" w:sz="8" w:color="000046"/>
            </w:tcBorders>
          </w:tcPr>
          <w:p>
            <w:pPr>
              <w:spacing w:after="0"/>
              <w:rPr>
                <w:sz w:val="24"/>
                <w:szCs w:val="24"/>
                <w:color w:val="auto"/>
              </w:rPr>
            </w:pPr>
          </w:p>
        </w:tc>
        <w:tc>
          <w:tcPr>
            <w:tcW w:w="2480" w:type="dxa"/>
            <w:vAlign w:val="bottom"/>
            <w:tcBorders>
              <w:top w:val="single" w:sz="8" w:color="000046"/>
              <w:right w:val="single" w:sz="8" w:color="000046"/>
            </w:tcBorders>
            <w:gridSpan w:val="2"/>
          </w:tcPr>
          <w:p>
            <w:pPr>
              <w:jc w:val="right"/>
              <w:ind w:right="600"/>
              <w:spacing w:after="0"/>
              <w:rPr>
                <w:sz w:val="20"/>
                <w:szCs w:val="20"/>
                <w:color w:val="auto"/>
              </w:rPr>
            </w:pPr>
            <w:r>
              <w:rPr>
                <w:rFonts w:ascii="PMingLiU" w:cs="PMingLiU" w:eastAsia="PMingLiU" w:hAnsi="PMingLiU"/>
                <w:sz w:val="16"/>
                <w:szCs w:val="16"/>
                <w:b w:val="1"/>
                <w:bCs w:val="1"/>
                <w:color w:val="000046"/>
              </w:rPr>
              <w:t>2SWLRQ$ZDUGV</w:t>
            </w:r>
          </w:p>
        </w:tc>
        <w:tc>
          <w:tcPr>
            <w:tcW w:w="60" w:type="dxa"/>
            <w:vAlign w:val="bottom"/>
            <w:tcBorders>
              <w:right w:val="single" w:sz="8" w:color="000046"/>
            </w:tcBorders>
          </w:tcPr>
          <w:p>
            <w:pPr>
              <w:spacing w:after="0"/>
              <w:rPr>
                <w:sz w:val="24"/>
                <w:szCs w:val="24"/>
                <w:color w:val="auto"/>
              </w:rPr>
            </w:pPr>
          </w:p>
        </w:tc>
        <w:tc>
          <w:tcPr>
            <w:tcW w:w="2540" w:type="dxa"/>
            <w:vAlign w:val="bottom"/>
            <w:tcBorders>
              <w:top w:val="single" w:sz="8" w:color="000046"/>
              <w:right w:val="single" w:sz="8" w:color="000046"/>
            </w:tcBorders>
            <w:gridSpan w:val="2"/>
          </w:tcPr>
          <w:p>
            <w:pPr>
              <w:jc w:val="right"/>
              <w:ind w:right="723"/>
              <w:spacing w:after="0"/>
              <w:rPr>
                <w:sz w:val="20"/>
                <w:szCs w:val="20"/>
                <w:color w:val="auto"/>
              </w:rPr>
            </w:pPr>
            <w:r>
              <w:rPr>
                <w:rFonts w:ascii="PMingLiU" w:cs="PMingLiU" w:eastAsia="PMingLiU" w:hAnsi="PMingLiU"/>
                <w:sz w:val="16"/>
                <w:szCs w:val="16"/>
                <w:b w:val="1"/>
                <w:bCs w:val="1"/>
                <w:color w:val="000046"/>
              </w:rPr>
              <w:t>6WRFN$ZDUGV</w:t>
            </w:r>
          </w:p>
        </w:tc>
      </w:tr>
      <w:tr>
        <w:trPr>
          <w:trHeight w:val="67"/>
        </w:trPr>
        <w:tc>
          <w:tcPr>
            <w:tcW w:w="5020" w:type="dxa"/>
            <w:vAlign w:val="bottom"/>
            <w:tcBorders>
              <w:right w:val="single" w:sz="8" w:color="000046"/>
            </w:tcBorders>
          </w:tcPr>
          <w:p>
            <w:pPr>
              <w:spacing w:after="0"/>
              <w:rPr>
                <w:sz w:val="5"/>
                <w:szCs w:val="5"/>
                <w:color w:val="auto"/>
              </w:rPr>
            </w:pPr>
          </w:p>
        </w:tc>
        <w:tc>
          <w:tcPr>
            <w:tcW w:w="1540" w:type="dxa"/>
            <w:vAlign w:val="bottom"/>
          </w:tcPr>
          <w:p>
            <w:pPr>
              <w:spacing w:after="0"/>
              <w:rPr>
                <w:sz w:val="5"/>
                <w:szCs w:val="5"/>
                <w:color w:val="auto"/>
              </w:rPr>
            </w:pPr>
          </w:p>
        </w:tc>
        <w:tc>
          <w:tcPr>
            <w:tcW w:w="940" w:type="dxa"/>
            <w:vAlign w:val="bottom"/>
            <w:tcBorders>
              <w:right w:val="single" w:sz="8" w:color="000046"/>
            </w:tcBorders>
          </w:tcPr>
          <w:p>
            <w:pPr>
              <w:spacing w:after="0"/>
              <w:rPr>
                <w:sz w:val="5"/>
                <w:szCs w:val="5"/>
                <w:color w:val="auto"/>
              </w:rPr>
            </w:pPr>
          </w:p>
        </w:tc>
        <w:tc>
          <w:tcPr>
            <w:tcW w:w="60" w:type="dxa"/>
            <w:vAlign w:val="bottom"/>
            <w:tcBorders>
              <w:right w:val="single" w:sz="8" w:color="000046"/>
            </w:tcBorders>
          </w:tcPr>
          <w:p>
            <w:pPr>
              <w:spacing w:after="0"/>
              <w:rPr>
                <w:sz w:val="5"/>
                <w:szCs w:val="5"/>
                <w:color w:val="auto"/>
              </w:rPr>
            </w:pPr>
          </w:p>
        </w:tc>
        <w:tc>
          <w:tcPr>
            <w:tcW w:w="1480" w:type="dxa"/>
            <w:vAlign w:val="bottom"/>
          </w:tcPr>
          <w:p>
            <w:pPr>
              <w:spacing w:after="0"/>
              <w:rPr>
                <w:sz w:val="5"/>
                <w:szCs w:val="5"/>
                <w:color w:val="auto"/>
              </w:rPr>
            </w:pPr>
          </w:p>
        </w:tc>
        <w:tc>
          <w:tcPr>
            <w:tcW w:w="1060" w:type="dxa"/>
            <w:vAlign w:val="bottom"/>
            <w:tcBorders>
              <w:right w:val="single" w:sz="8" w:color="000046"/>
            </w:tcBorders>
          </w:tcPr>
          <w:p>
            <w:pPr>
              <w:spacing w:after="0"/>
              <w:rPr>
                <w:sz w:val="5"/>
                <w:szCs w:val="5"/>
                <w:color w:val="auto"/>
              </w:rPr>
            </w:pPr>
          </w:p>
        </w:tc>
      </w:tr>
      <w:tr>
        <w:trPr>
          <w:trHeight w:val="292"/>
        </w:trPr>
        <w:tc>
          <w:tcPr>
            <w:tcW w:w="5020" w:type="dxa"/>
            <w:vAlign w:val="bottom"/>
            <w:tcBorders>
              <w:right w:val="single" w:sz="8" w:color="000046"/>
            </w:tcBorders>
            <w:shd w:val="clear" w:color="auto" w:fill="000046"/>
          </w:tcPr>
          <w:p>
            <w:pPr>
              <w:spacing w:after="0"/>
              <w:rPr>
                <w:sz w:val="24"/>
                <w:szCs w:val="24"/>
                <w:color w:val="auto"/>
              </w:rPr>
            </w:pPr>
          </w:p>
        </w:tc>
        <w:tc>
          <w:tcPr>
            <w:tcW w:w="1540" w:type="dxa"/>
            <w:vAlign w:val="bottom"/>
            <w:shd w:val="clear" w:color="auto" w:fill="000046"/>
          </w:tcPr>
          <w:p>
            <w:pPr>
              <w:jc w:val="right"/>
              <w:ind w:right="80"/>
              <w:spacing w:after="0"/>
              <w:rPr>
                <w:sz w:val="20"/>
                <w:szCs w:val="20"/>
                <w:color w:val="auto"/>
              </w:rPr>
            </w:pPr>
            <w:r>
              <w:rPr>
                <w:rFonts w:ascii="PMingLiU" w:cs="PMingLiU" w:eastAsia="PMingLiU" w:hAnsi="PMingLiU"/>
                <w:sz w:val="16"/>
                <w:szCs w:val="16"/>
                <w:b w:val="1"/>
                <w:bCs w:val="1"/>
                <w:color w:val="FFFFFF"/>
              </w:rPr>
              <w:t>1XPEHURI</w:t>
            </w:r>
          </w:p>
        </w:tc>
        <w:tc>
          <w:tcPr>
            <w:tcW w:w="940" w:type="dxa"/>
            <w:vAlign w:val="bottom"/>
            <w:tcBorders>
              <w:right w:val="single" w:sz="8" w:color="000046"/>
            </w:tcBorders>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9DOXH</w:t>
            </w:r>
          </w:p>
        </w:tc>
        <w:tc>
          <w:tcPr>
            <w:tcW w:w="60" w:type="dxa"/>
            <w:vAlign w:val="bottom"/>
            <w:tcBorders>
              <w:right w:val="single" w:sz="8" w:color="000046"/>
            </w:tcBorders>
            <w:shd w:val="clear" w:color="auto" w:fill="000046"/>
          </w:tcPr>
          <w:p>
            <w:pPr>
              <w:spacing w:after="0"/>
              <w:rPr>
                <w:sz w:val="24"/>
                <w:szCs w:val="24"/>
                <w:color w:val="auto"/>
              </w:rPr>
            </w:pPr>
          </w:p>
        </w:tc>
        <w:tc>
          <w:tcPr>
            <w:tcW w:w="1480" w:type="dxa"/>
            <w:vAlign w:val="bottom"/>
            <w:shd w:val="clear" w:color="auto" w:fill="000046"/>
          </w:tcPr>
          <w:p>
            <w:pPr>
              <w:jc w:val="right"/>
              <w:ind w:right="40"/>
              <w:spacing w:after="0"/>
              <w:rPr>
                <w:sz w:val="20"/>
                <w:szCs w:val="20"/>
                <w:color w:val="auto"/>
              </w:rPr>
            </w:pPr>
            <w:r>
              <w:rPr>
                <w:rFonts w:ascii="PMingLiU" w:cs="PMingLiU" w:eastAsia="PMingLiU" w:hAnsi="PMingLiU"/>
                <w:sz w:val="16"/>
                <w:szCs w:val="16"/>
                <w:b w:val="1"/>
                <w:bCs w:val="1"/>
                <w:color w:val="FFFFFF"/>
              </w:rPr>
              <w:t>1XPEHURI</w:t>
            </w:r>
          </w:p>
        </w:tc>
        <w:tc>
          <w:tcPr>
            <w:tcW w:w="1060" w:type="dxa"/>
            <w:vAlign w:val="bottom"/>
            <w:tcBorders>
              <w:right w:val="single" w:sz="8" w:color="000046"/>
            </w:tcBorders>
            <w:shd w:val="clear" w:color="auto" w:fill="000046"/>
          </w:tcPr>
          <w:p>
            <w:pPr>
              <w:jc w:val="right"/>
              <w:ind w:right="23"/>
              <w:spacing w:after="0"/>
              <w:rPr>
                <w:sz w:val="20"/>
                <w:szCs w:val="20"/>
                <w:color w:val="auto"/>
              </w:rPr>
            </w:pPr>
            <w:r>
              <w:rPr>
                <w:rFonts w:ascii="PMingLiU" w:cs="PMingLiU" w:eastAsia="PMingLiU" w:hAnsi="PMingLiU"/>
                <w:sz w:val="16"/>
                <w:szCs w:val="16"/>
                <w:b w:val="1"/>
                <w:bCs w:val="1"/>
                <w:color w:val="FFFFFF"/>
              </w:rPr>
              <w:t>9DOXH</w:t>
            </w:r>
          </w:p>
        </w:tc>
      </w:tr>
      <w:tr>
        <w:trPr>
          <w:trHeight w:val="192"/>
        </w:trPr>
        <w:tc>
          <w:tcPr>
            <w:tcW w:w="5020" w:type="dxa"/>
            <w:vAlign w:val="bottom"/>
            <w:tcBorders>
              <w:right w:val="single" w:sz="8" w:color="000046"/>
            </w:tcBorders>
            <w:shd w:val="clear" w:color="auto" w:fill="000046"/>
          </w:tcPr>
          <w:p>
            <w:pPr>
              <w:spacing w:after="0"/>
              <w:rPr>
                <w:sz w:val="16"/>
                <w:szCs w:val="16"/>
                <w:color w:val="auto"/>
              </w:rPr>
            </w:pPr>
          </w:p>
        </w:tc>
        <w:tc>
          <w:tcPr>
            <w:tcW w:w="5080" w:type="dxa"/>
            <w:vAlign w:val="bottom"/>
            <w:tcBorders>
              <w:right w:val="single" w:sz="8" w:color="000046"/>
            </w:tcBorders>
            <w:gridSpan w:val="5"/>
            <w:shd w:val="clear" w:color="auto" w:fill="000046"/>
          </w:tcPr>
          <w:p>
            <w:pPr>
              <w:jc w:val="right"/>
              <w:ind w:right="23"/>
              <w:spacing w:after="0"/>
              <w:rPr>
                <w:sz w:val="20"/>
                <w:szCs w:val="20"/>
                <w:color w:val="auto"/>
              </w:rPr>
            </w:pPr>
            <w:r>
              <w:rPr>
                <w:rFonts w:ascii="PMingLiU" w:cs="PMingLiU" w:eastAsia="PMingLiU" w:hAnsi="PMingLiU"/>
                <w:sz w:val="16"/>
                <w:szCs w:val="16"/>
                <w:b w:val="1"/>
                <w:bCs w:val="1"/>
                <w:color w:val="FFFFFF"/>
                <w:w w:val="99"/>
              </w:rPr>
              <w:t>6KDUHV$FTXLUHG  5HDOL]HGRQ  6KDUHV$FTXLUHG  5HDOL]HGRQ</w:t>
            </w:r>
          </w:p>
        </w:tc>
      </w:tr>
      <w:tr>
        <w:trPr>
          <w:trHeight w:val="192"/>
        </w:trPr>
        <w:tc>
          <w:tcPr>
            <w:tcW w:w="5020" w:type="dxa"/>
            <w:vAlign w:val="bottom"/>
            <w:tcBorders>
              <w:right w:val="single" w:sz="8" w:color="000046"/>
            </w:tcBorders>
            <w:shd w:val="clear" w:color="auto" w:fill="000046"/>
          </w:tcPr>
          <w:p>
            <w:pPr>
              <w:spacing w:after="0"/>
              <w:rPr>
                <w:sz w:val="16"/>
                <w:szCs w:val="16"/>
                <w:color w:val="auto"/>
              </w:rPr>
            </w:pPr>
          </w:p>
        </w:tc>
        <w:tc>
          <w:tcPr>
            <w:tcW w:w="1540" w:type="dxa"/>
            <w:vAlign w:val="bottom"/>
            <w:shd w:val="clear" w:color="auto" w:fill="000046"/>
          </w:tcPr>
          <w:p>
            <w:pPr>
              <w:jc w:val="right"/>
              <w:ind w:right="80"/>
              <w:spacing w:after="0"/>
              <w:rPr>
                <w:sz w:val="20"/>
                <w:szCs w:val="20"/>
                <w:color w:val="auto"/>
              </w:rPr>
            </w:pPr>
            <w:r>
              <w:rPr>
                <w:rFonts w:ascii="PMingLiU" w:cs="PMingLiU" w:eastAsia="PMingLiU" w:hAnsi="PMingLiU"/>
                <w:sz w:val="16"/>
                <w:szCs w:val="16"/>
                <w:b w:val="1"/>
                <w:bCs w:val="1"/>
                <w:color w:val="FFFFFF"/>
              </w:rPr>
              <w:t>RQ([HUFLVH</w:t>
            </w:r>
          </w:p>
        </w:tc>
        <w:tc>
          <w:tcPr>
            <w:tcW w:w="940" w:type="dxa"/>
            <w:vAlign w:val="bottom"/>
            <w:tcBorders>
              <w:right w:val="single" w:sz="8" w:color="000046"/>
            </w:tcBorders>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([HUFLVH</w:t>
            </w:r>
          </w:p>
        </w:tc>
        <w:tc>
          <w:tcPr>
            <w:tcW w:w="60" w:type="dxa"/>
            <w:vAlign w:val="bottom"/>
            <w:tcBorders>
              <w:right w:val="single" w:sz="8" w:color="000046"/>
            </w:tcBorders>
            <w:shd w:val="clear" w:color="auto" w:fill="000046"/>
          </w:tcPr>
          <w:p>
            <w:pPr>
              <w:spacing w:after="0"/>
              <w:rPr>
                <w:sz w:val="16"/>
                <w:szCs w:val="16"/>
                <w:color w:val="auto"/>
              </w:rPr>
            </w:pPr>
          </w:p>
        </w:tc>
        <w:tc>
          <w:tcPr>
            <w:tcW w:w="1480" w:type="dxa"/>
            <w:vAlign w:val="bottom"/>
            <w:shd w:val="clear" w:color="auto" w:fill="000046"/>
          </w:tcPr>
          <w:p>
            <w:pPr>
              <w:jc w:val="right"/>
              <w:ind w:right="80"/>
              <w:spacing w:after="0"/>
              <w:rPr>
                <w:sz w:val="20"/>
                <w:szCs w:val="20"/>
                <w:color w:val="auto"/>
              </w:rPr>
            </w:pPr>
            <w:r>
              <w:rPr>
                <w:rFonts w:ascii="PMingLiU" w:cs="PMingLiU" w:eastAsia="PMingLiU" w:hAnsi="PMingLiU"/>
                <w:sz w:val="16"/>
                <w:szCs w:val="16"/>
                <w:b w:val="1"/>
                <w:bCs w:val="1"/>
                <w:color w:val="FFFFFF"/>
              </w:rPr>
              <w:t>RQ9HVWLQJ</w:t>
            </w:r>
          </w:p>
        </w:tc>
        <w:tc>
          <w:tcPr>
            <w:tcW w:w="1060" w:type="dxa"/>
            <w:vAlign w:val="bottom"/>
            <w:tcBorders>
              <w:right w:val="single" w:sz="8" w:color="000046"/>
            </w:tcBorders>
            <w:shd w:val="clear" w:color="auto" w:fill="000046"/>
          </w:tcPr>
          <w:p>
            <w:pPr>
              <w:jc w:val="right"/>
              <w:ind w:right="63"/>
              <w:spacing w:after="0"/>
              <w:rPr>
                <w:sz w:val="20"/>
                <w:szCs w:val="20"/>
                <w:color w:val="auto"/>
              </w:rPr>
            </w:pPr>
            <w:r>
              <w:rPr>
                <w:rFonts w:ascii="PMingLiU" w:cs="PMingLiU" w:eastAsia="PMingLiU" w:hAnsi="PMingLiU"/>
                <w:sz w:val="16"/>
                <w:szCs w:val="16"/>
                <w:b w:val="1"/>
                <w:bCs w:val="1"/>
                <w:color w:val="FFFFFF"/>
              </w:rPr>
              <w:t>9HVWLQJ</w:t>
            </w:r>
          </w:p>
        </w:tc>
      </w:tr>
      <w:tr>
        <w:trPr>
          <w:trHeight w:val="287"/>
        </w:trPr>
        <w:tc>
          <w:tcPr>
            <w:tcW w:w="5020" w:type="dxa"/>
            <w:vAlign w:val="bottom"/>
            <w:tcBorders>
              <w:right w:val="single" w:sz="8" w:color="000046"/>
            </w:tcBorders>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1DPH</w:t>
            </w:r>
          </w:p>
        </w:tc>
        <w:tc>
          <w:tcPr>
            <w:tcW w:w="1540" w:type="dxa"/>
            <w:vAlign w:val="bottom"/>
            <w:shd w:val="clear" w:color="auto" w:fill="000046"/>
          </w:tcPr>
          <w:p>
            <w:pPr>
              <w:jc w:val="right"/>
              <w:ind w:right="140"/>
              <w:spacing w:after="0"/>
              <w:rPr>
                <w:sz w:val="20"/>
                <w:szCs w:val="20"/>
                <w:color w:val="auto"/>
              </w:rPr>
            </w:pPr>
            <w:r>
              <w:rPr>
                <w:rFonts w:ascii="PMingLiU" w:cs="PMingLiU" w:eastAsia="PMingLiU" w:hAnsi="PMingLiU"/>
                <w:sz w:val="16"/>
                <w:szCs w:val="16"/>
                <w:b w:val="1"/>
                <w:bCs w:val="1"/>
                <w:color w:val="FFFFFF"/>
              </w:rPr>
              <w:t/>
            </w:r>
          </w:p>
        </w:tc>
        <w:tc>
          <w:tcPr>
            <w:tcW w:w="940" w:type="dxa"/>
            <w:vAlign w:val="bottom"/>
            <w:tcBorders>
              <w:right w:val="single" w:sz="8" w:color="000046"/>
            </w:tcBorders>
            <w:shd w:val="clear" w:color="auto" w:fill="000046"/>
          </w:tcPr>
          <w:p>
            <w:pPr>
              <w:jc w:val="right"/>
              <w:spacing w:after="0"/>
              <w:rPr>
                <w:sz w:val="20"/>
                <w:szCs w:val="20"/>
                <w:color w:val="auto"/>
              </w:rPr>
            </w:pPr>
            <w:r>
              <w:rPr>
                <w:rFonts w:ascii="PMingLiU" w:cs="PMingLiU" w:eastAsia="PMingLiU" w:hAnsi="PMingLiU"/>
                <w:sz w:val="16"/>
                <w:szCs w:val="16"/>
                <w:b w:val="1"/>
                <w:bCs w:val="1"/>
                <w:color w:val="FFFFFF"/>
              </w:rPr>
              <w:t/>
            </w:r>
            <w:r>
              <w:rPr>
                <w:rFonts w:ascii="PMingLiU" w:cs="PMingLiU" w:eastAsia="PMingLiU" w:hAnsi="PMingLiU"/>
                <w:sz w:val="20"/>
                <w:szCs w:val="20"/>
                <w:b w:val="1"/>
                <w:bCs w:val="1"/>
                <w:color w:val="FFFFFF"/>
                <w:vertAlign w:val="superscript"/>
              </w:rPr>
              <w:t/>
            </w:r>
          </w:p>
        </w:tc>
        <w:tc>
          <w:tcPr>
            <w:tcW w:w="1540" w:type="dxa"/>
            <w:vAlign w:val="bottom"/>
            <w:gridSpan w:val="2"/>
            <w:shd w:val="clear" w:color="auto" w:fill="000046"/>
          </w:tcPr>
          <w:p>
            <w:pPr>
              <w:jc w:val="right"/>
              <w:ind w:right="8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tcBorders>
              <w:right w:val="single" w:sz="8" w:color="000046"/>
            </w:tcBorders>
            <w:shd w:val="clear" w:color="auto" w:fill="000046"/>
          </w:tcPr>
          <w:p>
            <w:pPr>
              <w:jc w:val="right"/>
              <w:ind w:right="63"/>
              <w:spacing w:after="0" w:line="281" w:lineRule="exact"/>
              <w:rPr>
                <w:sz w:val="20"/>
                <w:szCs w:val="20"/>
                <w:color w:val="auto"/>
              </w:rPr>
            </w:pPr>
            <w:r>
              <w:rPr>
                <w:rFonts w:ascii="PMingLiU" w:cs="PMingLiU" w:eastAsia="PMingLiU" w:hAnsi="PMingLiU"/>
                <w:sz w:val="31"/>
                <w:szCs w:val="31"/>
                <w:b w:val="1"/>
                <w:bCs w:val="1"/>
                <w:color w:val="FFFFFF"/>
                <w:vertAlign w:val="subscript"/>
              </w:rPr>
              <w:t/>
            </w:r>
            <w:r>
              <w:rPr>
                <w:rFonts w:ascii="PMingLiU" w:cs="PMingLiU" w:eastAsia="PMingLiU" w:hAnsi="PMingLiU"/>
                <w:sz w:val="10"/>
                <w:szCs w:val="10"/>
                <w:b w:val="1"/>
                <w:bCs w:val="1"/>
                <w:color w:val="FFFFFF"/>
              </w:rPr>
              <w:t/>
            </w:r>
          </w:p>
        </w:tc>
      </w:tr>
      <w:tr>
        <w:trPr>
          <w:trHeight w:val="298"/>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5HQHH'*DOD</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72"/>
        </w:trPr>
        <w:tc>
          <w:tcPr>
            <w:tcW w:w="502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r>
      <w:tr>
        <w:trPr>
          <w:trHeight w:val="283"/>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3KLOLS/-RKQVRQ</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72"/>
        </w:trPr>
        <w:tc>
          <w:tcPr>
            <w:tcW w:w="502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r>
      <w:tr>
        <w:trPr>
          <w:trHeight w:val="283"/>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%UXFH&amp;&amp;R]DGG</w:t>
            </w:r>
          </w:p>
        </w:tc>
        <w:tc>
          <w:tcPr>
            <w:tcW w:w="1540" w:type="dxa"/>
            <w:vAlign w:val="bottom"/>
          </w:tcPr>
          <w:p>
            <w:pPr>
              <w:jc w:val="right"/>
              <w:ind w:right="1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72"/>
        </w:trPr>
        <w:tc>
          <w:tcPr>
            <w:tcW w:w="502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r>
      <w:tr>
        <w:trPr>
          <w:trHeight w:val="283"/>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5REHUW,DQQRQH0'06&amp;(</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72"/>
        </w:trPr>
        <w:tc>
          <w:tcPr>
            <w:tcW w:w="502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r>
      <w:tr>
        <w:trPr>
          <w:trHeight w:val="283"/>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1HHQD03DWLO</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72"/>
        </w:trPr>
        <w:tc>
          <w:tcPr>
            <w:tcW w:w="502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tcPr>
          <w:p>
            <w:pPr>
              <w:spacing w:after="0"/>
              <w:rPr>
                <w:sz w:val="6"/>
                <w:szCs w:val="6"/>
                <w:color w:val="auto"/>
              </w:rPr>
            </w:pPr>
          </w:p>
        </w:tc>
        <w:tc>
          <w:tcPr>
            <w:tcW w:w="940" w:type="dxa"/>
            <w:vAlign w:val="bottom"/>
            <w:tcBorders>
              <w:bottom w:val="single" w:sz="8" w:color="4454A7"/>
            </w:tcBorders>
          </w:tcPr>
          <w:p>
            <w:pPr>
              <w:spacing w:after="0"/>
              <w:rPr>
                <w:sz w:val="6"/>
                <w:szCs w:val="6"/>
                <w:color w:val="auto"/>
              </w:rPr>
            </w:pPr>
          </w:p>
        </w:tc>
        <w:tc>
          <w:tcPr>
            <w:tcW w:w="1540" w:type="dxa"/>
            <w:vAlign w:val="bottom"/>
            <w:tcBorders>
              <w:bottom w:val="single" w:sz="8" w:color="4454A7"/>
            </w:tcBorders>
            <w:gridSpan w:val="2"/>
          </w:tcPr>
          <w:p>
            <w:pPr>
              <w:spacing w:after="0"/>
              <w:rPr>
                <w:sz w:val="6"/>
                <w:szCs w:val="6"/>
                <w:color w:val="auto"/>
              </w:rPr>
            </w:pPr>
          </w:p>
        </w:tc>
        <w:tc>
          <w:tcPr>
            <w:tcW w:w="1060" w:type="dxa"/>
            <w:vAlign w:val="bottom"/>
            <w:tcBorders>
              <w:bottom w:val="single" w:sz="8" w:color="4454A7"/>
            </w:tcBorders>
          </w:tcPr>
          <w:p>
            <w:pPr>
              <w:spacing w:after="0"/>
              <w:rPr>
                <w:sz w:val="6"/>
                <w:szCs w:val="6"/>
                <w:color w:val="auto"/>
              </w:rPr>
            </w:pPr>
          </w:p>
        </w:tc>
      </w:tr>
      <w:tr>
        <w:trPr>
          <w:trHeight w:val="283"/>
        </w:trPr>
        <w:tc>
          <w:tcPr>
            <w:tcW w:w="5020" w:type="dxa"/>
            <w:vAlign w:val="bottom"/>
          </w:tcPr>
          <w:p>
            <w:pPr>
              <w:ind w:left="100"/>
              <w:spacing w:after="0"/>
              <w:rPr>
                <w:sz w:val="20"/>
                <w:szCs w:val="20"/>
                <w:color w:val="auto"/>
              </w:rPr>
            </w:pPr>
            <w:r>
              <w:rPr>
                <w:rFonts w:ascii="PMingLiU" w:cs="PMingLiU" w:eastAsia="PMingLiU" w:hAnsi="PMingLiU"/>
                <w:sz w:val="16"/>
                <w:szCs w:val="16"/>
                <w:b w:val="1"/>
                <w:bCs w:val="1"/>
                <w:color w:val="5C004D"/>
              </w:rPr>
              <w:t>6DPDQWKD3HDUFH</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23"/>
              <w:spacing w:after="0"/>
              <w:rPr>
                <w:sz w:val="20"/>
                <w:szCs w:val="20"/>
                <w:color w:val="auto"/>
              </w:rPr>
            </w:pPr>
            <w:r>
              <w:rPr>
                <w:rFonts w:ascii="PMingLiU" w:cs="PMingLiU" w:eastAsia="PMingLiU" w:hAnsi="PMingLiU"/>
                <w:sz w:val="16"/>
                <w:szCs w:val="16"/>
                <w:color w:val="auto"/>
              </w:rPr>
              <w:t/>
            </w:r>
          </w:p>
        </w:tc>
      </w:tr>
      <w:tr>
        <w:trPr>
          <w:trHeight w:val="65"/>
        </w:trPr>
        <w:tc>
          <w:tcPr>
            <w:tcW w:w="5020" w:type="dxa"/>
            <w:vAlign w:val="bottom"/>
            <w:tcBorders>
              <w:bottom w:val="single" w:sz="8" w:color="5C004D"/>
            </w:tcBorders>
          </w:tcPr>
          <w:p>
            <w:pPr>
              <w:spacing w:after="0"/>
              <w:rPr>
                <w:sz w:val="5"/>
                <w:szCs w:val="5"/>
                <w:color w:val="auto"/>
              </w:rPr>
            </w:pPr>
          </w:p>
        </w:tc>
        <w:tc>
          <w:tcPr>
            <w:tcW w:w="1540" w:type="dxa"/>
            <w:vAlign w:val="bottom"/>
            <w:tcBorders>
              <w:bottom w:val="single" w:sz="8" w:color="5C004D"/>
            </w:tcBorders>
          </w:tcPr>
          <w:p>
            <w:pPr>
              <w:spacing w:after="0"/>
              <w:rPr>
                <w:sz w:val="5"/>
                <w:szCs w:val="5"/>
                <w:color w:val="auto"/>
              </w:rPr>
            </w:pPr>
          </w:p>
        </w:tc>
        <w:tc>
          <w:tcPr>
            <w:tcW w:w="940" w:type="dxa"/>
            <w:vAlign w:val="bottom"/>
            <w:tcBorders>
              <w:bottom w:val="single" w:sz="8" w:color="5C004D"/>
            </w:tcBorders>
          </w:tcPr>
          <w:p>
            <w:pPr>
              <w:spacing w:after="0"/>
              <w:rPr>
                <w:sz w:val="5"/>
                <w:szCs w:val="5"/>
                <w:color w:val="auto"/>
              </w:rPr>
            </w:pPr>
          </w:p>
        </w:tc>
        <w:tc>
          <w:tcPr>
            <w:tcW w:w="60" w:type="dxa"/>
            <w:vAlign w:val="bottom"/>
            <w:tcBorders>
              <w:bottom w:val="single" w:sz="8" w:color="5C004D"/>
            </w:tcBorders>
          </w:tcPr>
          <w:p>
            <w:pPr>
              <w:spacing w:after="0"/>
              <w:rPr>
                <w:sz w:val="5"/>
                <w:szCs w:val="5"/>
                <w:color w:val="auto"/>
              </w:rPr>
            </w:pPr>
          </w:p>
        </w:tc>
        <w:tc>
          <w:tcPr>
            <w:tcW w:w="1480" w:type="dxa"/>
            <w:vAlign w:val="bottom"/>
            <w:tcBorders>
              <w:bottom w:val="single" w:sz="8" w:color="5C004D"/>
            </w:tcBorders>
          </w:tcPr>
          <w:p>
            <w:pPr>
              <w:spacing w:after="0"/>
              <w:rPr>
                <w:sz w:val="5"/>
                <w:szCs w:val="5"/>
                <w:color w:val="auto"/>
              </w:rPr>
            </w:pPr>
          </w:p>
        </w:tc>
        <w:tc>
          <w:tcPr>
            <w:tcW w:w="1060" w:type="dxa"/>
            <w:vAlign w:val="bottom"/>
            <w:tcBorders>
              <w:bottom w:val="single" w:sz="8" w:color="5C004D"/>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-1447165</wp:posOffset>
            </wp:positionV>
            <wp:extent cx="3168650"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355">
                      <a:extLst>
                        <a:ext uri="{28A0092B-C50C-407E-A947-70E740481C1C}"/>
                      </a:extLst>
                    </a:blip>
                    <a:srcRect/>
                    <a:stretch>
                      <a:fillRect/>
                    </a:stretch>
                  </pic:blipFill>
                  <pic:spPr bwMode="auto">
                    <a:xfrm>
                      <a:off x="0" y="0"/>
                      <a:ext cx="3168650" cy="25400"/>
                    </a:xfrm>
                    <a:prstGeom prst="rect">
                      <a:avLst/>
                    </a:prstGeom>
                    <a:noFill/>
                  </pic:spPr>
                </pic:pic>
              </a:graphicData>
            </a:graphic>
          </wp:anchor>
        </w:drawing>
      </w:r>
    </w:p>
    <w:p>
      <w:pPr>
        <w:spacing w:after="0" w:line="86" w:lineRule="exact"/>
        <w:rPr>
          <w:sz w:val="20"/>
          <w:szCs w:val="20"/>
          <w:color w:val="auto"/>
        </w:rPr>
      </w:pPr>
    </w:p>
    <w:p>
      <w:pPr>
        <w:jc w:val="both"/>
        <w:ind w:left="360" w:right="260" w:hanging="359"/>
        <w:spacing w:after="0" w:line="339" w:lineRule="auto"/>
        <w:tabs>
          <w:tab w:leader="none" w:pos="340" w:val="left"/>
        </w:tabs>
        <w:rPr>
          <w:sz w:val="20"/>
          <w:szCs w:val="20"/>
          <w:color w:val="auto"/>
        </w:rPr>
      </w:pPr>
      <w:r>
        <w:rPr>
          <w:rFonts w:ascii="PMingLiU" w:cs="PMingLiU" w:eastAsia="PMingLiU" w:hAnsi="PMingLiU"/>
          <w:sz w:val="13"/>
          <w:szCs w:val="13"/>
          <w:color w:val="auto"/>
        </w:rPr>
        <w:t/>
        <w:tab/>
        <w:t>7KHYDOXHUHDOL]HGRQH[HUFLVHLVEDVHGRQWKHGLIIHUHQFHEHWZHHQWKHFORVLQJSULFHRIRXURUGLQDU\VKDUHVRQWKHGDWHRIH[HUFLVHDQG WKHDSSOLFDEOHH[HUFLVHSULFHRIWKRVHRSWLRQVDQGGRHVQRWUHSUHVHQWDFWXDODPRXQWVUHFHLYHGE\0U&amp;R]DGGDVDUHVXOWRIWKHRSWLRQ H[HUFLVHV</w:t>
      </w:r>
    </w:p>
    <w:p>
      <w:pPr>
        <w:spacing w:after="0" w:line="5" w:lineRule="exact"/>
        <w:rPr>
          <w:sz w:val="20"/>
          <w:szCs w:val="20"/>
          <w:color w:val="auto"/>
        </w:rPr>
      </w:pPr>
    </w:p>
    <w:p>
      <w:pPr>
        <w:ind w:left="360" w:right="160" w:hanging="359"/>
        <w:spacing w:after="0" w:line="383" w:lineRule="auto"/>
        <w:tabs>
          <w:tab w:leader="none" w:pos="340" w:val="left"/>
        </w:tabs>
        <w:rPr>
          <w:sz w:val="20"/>
          <w:szCs w:val="20"/>
          <w:color w:val="auto"/>
        </w:rPr>
      </w:pPr>
      <w:r>
        <w:rPr>
          <w:rFonts w:ascii="PMingLiU" w:cs="PMingLiU" w:eastAsia="PMingLiU" w:hAnsi="PMingLiU"/>
          <w:sz w:val="13"/>
          <w:szCs w:val="13"/>
          <w:color w:val="auto"/>
        </w:rPr>
        <w:t/>
        <w:tab/>
        <w:t>7KHYDOXHUHDOL]HGRQYHVWLQJLVEDVHGRQWKHQXPEHURIVKDUHVXQGHUO\LQJWKH568VDQG368VWKDWYHVWHGDQGWKHFORVLQJSULFHRIRXU RUGLQDU\VKDUHVRQWKHYHVWLQJGDWH</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31"/>
          <w:szCs w:val="31"/>
          <w:color w:val="5C004D"/>
        </w:rPr>
        <w:t>3RWHQWLDO3D\PHQWVXSRQ7HUPLQDWLRQRU&amp;KDQJHLQ&amp;RQWURO</w:t>
      </w:r>
    </w:p>
    <w:p>
      <w:pPr>
        <w:spacing w:after="0" w:line="280"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&amp;KDQJHLQ&amp;RQWURO3ODQ</w:t>
      </w:r>
    </w:p>
    <w:p>
      <w:pPr>
        <w:spacing w:after="0" w:line="191" w:lineRule="exact"/>
        <w:rPr>
          <w:sz w:val="20"/>
          <w:szCs w:val="20"/>
          <w:color w:val="auto"/>
        </w:rPr>
      </w:pPr>
    </w:p>
    <w:p>
      <w:pPr>
        <w:ind w:right="80"/>
        <w:spacing w:after="0" w:line="362" w:lineRule="auto"/>
        <w:rPr>
          <w:sz w:val="20"/>
          <w:szCs w:val="20"/>
          <w:color w:val="auto"/>
        </w:rPr>
      </w:pPr>
      <w:r>
        <w:rPr>
          <w:rFonts w:ascii="PMingLiU" w:cs="PMingLiU" w:eastAsia="PMingLiU" w:hAnsi="PMingLiU"/>
          <w:sz w:val="14"/>
          <w:szCs w:val="14"/>
          <w:color w:val="auto"/>
        </w:rPr>
        <w:t>$OORIRXU1(2VDUHHOLJLEOHIRUFHUWDLQVHYHUDQFHDQG&amp;,&amp;EHQHILWVXQGHURXU&amp;,&amp;3ODQ7KH&amp;,&amp;3ODQDSSOLHVWRHOLJLEOH H[HFXWLYHHPSOR\HHVRIRXU&amp;RPSDQ\DQGSURYLGHVWKDWLQWKHHYHQWWKDWDQH[HFXWLYH¶VHPSOR\PHQWWHUPLQDWHVGXHWRDQ LQYROXQWDU\WHUPLQDWLRQZLWKRXWFDXVHRUDFRQVWUXFWLYHWHUPLQDWLRQLQHDFKFDVHXSRQRUZLWKLQPRQWKVIROORZLQJD&amp;,&amp;DV VXFKWHUPVDUHGHILQHGLQWKH&amp;,&amp;3ODQDQGGHVFULEHGJHQHUDOO\EHORZDQGDVVXPLQJDOORIWKHRWKHUFRQGLWLRQVRIWKH&amp;,&amp; 3ODQDUHPHWHDFKH[HFXWLYHZKRLVDSDUWLFLSDQWLQWKH&amp;,&amp;3ODQLQFOXGLQJHDFKRIRXU1(2VZRXOGEHHQWLWOHGWRWKH IROORZLQJEHQHILWVXQGHUWKH&amp;,&amp;3ODQ</w:t>
      </w:r>
    </w:p>
    <w:p>
      <w:pPr>
        <w:spacing w:after="0" w:line="97" w:lineRule="exact"/>
        <w:rPr>
          <w:sz w:val="20"/>
          <w:szCs w:val="20"/>
          <w:color w:val="auto"/>
        </w:rPr>
      </w:pPr>
    </w:p>
    <w:p>
      <w:pPr>
        <w:ind w:left="360" w:right="220" w:hanging="279"/>
        <w:spacing w:after="0" w:line="33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$VLQJOHOXPSVXPFDVKVHYHUDQFHSD\PHQWHTXDOWRWKHVXPRILWKHDSSOLFDEOHEDVHVDODU\GHVFULEHGEHORZ PXOWLSOLHGE\WKHDSSOLFDEOHSHUFHQWDJHVHWIRUWKEHORZSOXVLLWKHSURGXFWRI$WKHDSSOLFDEOHEDVHVDODU\%WKH DSSOLFDEOHERQXVSHUFHQWDJHGHVFULEHGEHORZDQG&amp;WKHDSSOLFDEOHSHUFHQWDJHVHWIRUWKEHORZSOXVLLLWKHSURGXFWRI $ WKHDSSOLFDEOHEDVHVDODU\%WKHDSSOLFDEOHERQXVSHUFHQWDJHDQGWKHTXRWLHQWREWDLQHGE\GLYLGLQJWKHQXPEHURI IXOOPRQWKVWKDWDQH[HFXWLYHLVHPSOR\HGLQWKH\HDURIWKHWHUPLQDWLRQE\</w:t>
      </w:r>
    </w:p>
    <w:p>
      <w:pPr>
        <w:spacing w:after="0" w:line="47" w:lineRule="exact"/>
        <w:rPr>
          <w:sz w:val="20"/>
          <w:szCs w:val="20"/>
          <w:color w:val="auto"/>
        </w:rPr>
      </w:pPr>
    </w:p>
    <w:p>
      <w:pPr>
        <w:ind w:left="720" w:hanging="279"/>
        <w:spacing w:after="0" w:line="376" w:lineRule="auto"/>
        <w:tabs>
          <w:tab w:leader="none" w:pos="700" w:val="left"/>
        </w:tabs>
        <w:rPr>
          <w:sz w:val="20"/>
          <w:szCs w:val="20"/>
          <w:color w:val="auto"/>
        </w:rPr>
      </w:pPr>
      <w:r>
        <w:rPr>
          <w:rFonts w:ascii="PMingLiU" w:cs="PMingLiU" w:eastAsia="PMingLiU" w:hAnsi="PMingLiU"/>
          <w:sz w:val="14"/>
          <w:szCs w:val="14"/>
          <w:color w:val="000046"/>
        </w:rPr>
        <w:t xml:space="preserve"> </w:t>
      </w:r>
      <w:r>
        <w:rPr>
          <w:rFonts w:ascii="PMingLiU" w:cs="PMingLiU" w:eastAsia="PMingLiU" w:hAnsi="PMingLiU"/>
          <w:sz w:val="14"/>
          <w:szCs w:val="14"/>
          <w:color w:val="auto"/>
        </w:rPr>
        <w:tab/>
        <w:t>7KH³DSSOLFDEOHEDVHVDODU\´LVWKHKLJKHURIWKHH[HFXWLYH¶VEDVHVDODU\LQHIIHFWLRQWKHGDWHRIWHUPLQDWLRQZLWKRXW JLYLQJHIIHFWWRDQ\UHGXFWLRQLQEDVHVDODU\WKDWZRXOGFRQVWLWXWHJURXQGVIRUDFRQVWUXFWLYHWHUPLQDWLRQRULL LPPHGLDWHO\SULRUWRWKH&amp;,&amp;ZLWKRXWJLYLQJHIIHFWWRDQ\YROXQWDU\SD\UHGXFWLRQWDNHQE\WKHH[HFXWLYHGXULQJWKH PRQWKVSUHFHGLQJWKHGDWHRIWHUPLQDWLRQRUWKH&amp;,&amp;</w:t>
      </w:r>
    </w:p>
    <w:p>
      <w:pPr>
        <w:spacing w:after="0" w:line="25" w:lineRule="exact"/>
        <w:rPr>
          <w:sz w:val="20"/>
          <w:szCs w:val="20"/>
          <w:color w:val="auto"/>
        </w:rPr>
      </w:pPr>
    </w:p>
    <w:p>
      <w:pPr>
        <w:ind w:left="720" w:right="840" w:hanging="279"/>
        <w:spacing w:after="0" w:line="323" w:lineRule="auto"/>
        <w:tabs>
          <w:tab w:leader="none" w:pos="700" w:val="left"/>
        </w:tabs>
        <w:rPr>
          <w:sz w:val="20"/>
          <w:szCs w:val="20"/>
          <w:color w:val="auto"/>
        </w:rPr>
      </w:pPr>
      <w:r>
        <w:rPr>
          <w:rFonts w:ascii="PMingLiU" w:cs="PMingLiU" w:eastAsia="PMingLiU" w:hAnsi="PMingLiU"/>
          <w:sz w:val="17"/>
          <w:szCs w:val="17"/>
          <w:color w:val="000046"/>
        </w:rPr>
        <w:t xml:space="preserve"> </w:t>
      </w:r>
      <w:r>
        <w:rPr>
          <w:rFonts w:ascii="PMingLiU" w:cs="PMingLiU" w:eastAsia="PMingLiU" w:hAnsi="PMingLiU"/>
          <w:sz w:val="17"/>
          <w:szCs w:val="17"/>
          <w:color w:val="auto"/>
        </w:rPr>
        <w:tab/>
        <w:t>7KH³DSSOLFDEOHSHUFHQWDJH´LVIRURXU&amp;(2H[HFXWLYHFKDLUSHUVRQRUSUHVLGHQWIRUVHQLRUYLFH SUHVLGHQWVDQGDERYHDQGIRUYLFHSUHVLGHQWV</w:t>
      </w:r>
    </w:p>
    <w:p>
      <w:pPr>
        <w:spacing w:after="0" w:line="50" w:lineRule="exact"/>
        <w:rPr>
          <w:sz w:val="20"/>
          <w:szCs w:val="20"/>
          <w:color w:val="auto"/>
        </w:rPr>
      </w:pPr>
    </w:p>
    <w:p>
      <w:pPr>
        <w:ind w:left="720" w:right="100" w:hanging="279"/>
        <w:spacing w:after="0" w:line="367" w:lineRule="auto"/>
        <w:tabs>
          <w:tab w:leader="none" w:pos="700" w:val="left"/>
        </w:tabs>
        <w:rPr>
          <w:sz w:val="20"/>
          <w:szCs w:val="20"/>
          <w:color w:val="auto"/>
        </w:rPr>
      </w:pPr>
      <w:r>
        <w:rPr>
          <w:rFonts w:ascii="PMingLiU" w:cs="PMingLiU" w:eastAsia="PMingLiU" w:hAnsi="PMingLiU"/>
          <w:sz w:val="14"/>
          <w:szCs w:val="14"/>
          <w:color w:val="000046"/>
        </w:rPr>
        <w:t xml:space="preserve"> </w:t>
      </w:r>
      <w:r>
        <w:rPr>
          <w:rFonts w:ascii="PMingLiU" w:cs="PMingLiU" w:eastAsia="PMingLiU" w:hAnsi="PMingLiU"/>
          <w:sz w:val="14"/>
          <w:szCs w:val="14"/>
          <w:color w:val="auto"/>
        </w:rPr>
        <w:tab/>
        <w:t>7KH³DSSOLFDEOHERQXVSHUFHQWDJH´LVWKHJUHDWHURILWKHKLJKHVWDPRXQWRIDQ\DQQXDOERQXVSDLGWRWKHH[HFXWLYH IRUHLWKHURIWKHODVWWZRFDOHQGDU\HDUVSULRUWR$WKHGDWHRIWHUPLQDWLRQRU%WKH&amp;,&amp;LQHDFKFDVHH[SUHVVHGDV DSHUFHQWDJHRIWKHH[HFXWLYH¶VEDVHVDODU\IRUWKHDSSOLFDEOH\HDUDQGLLWKHKLJKHURIWKHH[HFXWLYH¶VWDUJHWERQXV IRUWKHFDOHQGDU\HDULQZKLFK$WKHWHUPLQDWLRQRFFXUVRU%WKH&amp;,&amp;RFFXUVLQHDFKFDVHH[SUHVVHGDVD SHUFHQWDJHRIWKHH[HFXWLYH¶VEDVHVDODU\IRUVXFK\HDU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170815</wp:posOffset>
            </wp:positionV>
            <wp:extent cx="1389380" cy="2343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356">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75"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95" w:name="page96"/>
    <w:bookmarkEnd w:id="9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97" o:spid="_x0000_s1522"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left="360" w:hanging="279"/>
        <w:spacing w:after="0" w:line="31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)XOOSD\PHQWRIDOORIWKHDSSOLFDEOH&amp;2%5$SUHPLXPVIRUDQ\KHDOWKGHQWDORUYLVLRQSODQVSRQVRUHGE\XVIRUDSHULRGRI XSWRLPRQWKVIRURXU&amp;(2H[HFXWLYHFKDLUSHUVRQRUSUHVLGHQWLLPRQWKVIRUH[HFXWLYHYLFHSUHVLGHQWVDQG VHQLRUYLFHSUHVLGHQWVDQGLLLPRQWKVIRUYLFHSUHVLGHQWVSURYLGHGWKDWWKHH[HFXWLYHWLPHO\HOHFWVFRQWLQXHG</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FRYHUDJH</w:t>
      </w:r>
    </w:p>
    <w:p>
      <w:pPr>
        <w:spacing w:after="0" w:line="144" w:lineRule="exact"/>
        <w:rPr>
          <w:sz w:val="20"/>
          <w:szCs w:val="20"/>
          <w:color w:val="auto"/>
        </w:rPr>
      </w:pPr>
    </w:p>
    <w:p>
      <w:pPr>
        <w:ind w:left="360" w:right="280" w:hanging="279"/>
        <w:spacing w:after="0" w:line="443"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$FFHOHUDWLRQLQIXOORIWKHYHVWLQJDQGH[HUFLVDELOLW\DVDSSOLFDEOHRIRXWVWDQGLQJVWRFNRSWLRQVDQGRWKHUHTXLW\DZDUGV KHOGE\WKHH[HFXWLYH</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7KHIROORZLQJNH\WHUPVDUHGHILQHGLQWKH&amp;,&amp;3ODQ</w:t>
      </w:r>
    </w:p>
    <w:p>
      <w:pPr>
        <w:spacing w:after="0" w:line="204" w:lineRule="exact"/>
        <w:rPr>
          <w:sz w:val="20"/>
          <w:szCs w:val="20"/>
          <w:color w:val="auto"/>
        </w:rPr>
      </w:pPr>
    </w:p>
    <w:p>
      <w:pPr>
        <w:ind w:left="360" w:right="200" w:hanging="279"/>
        <w:spacing w:after="0" w:line="319"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$³FKDQJHLQFRQWURO´RU³&amp;,&amp;´JHQHUDOO\PHDQVLDSHUVRQRUJURXSDFTXLUHVRZQHUVKLSRIPRUHWKDQRIWKH FRPELQHGYRWLQJSRZHURIRXURXWVWDQGLQJVHFXULWLHVRWKHUWKDQGLUHFWO\IURPRXU&amp;RPSDQ\LLFHUWDLQFRPSURPLVHVRU</w:t>
      </w:r>
    </w:p>
    <w:p>
      <w:pPr>
        <w:spacing w:after="0" w:line="1" w:lineRule="exact"/>
        <w:rPr>
          <w:sz w:val="20"/>
          <w:szCs w:val="20"/>
          <w:color w:val="auto"/>
        </w:rPr>
      </w:pPr>
    </w:p>
    <w:p>
      <w:pPr>
        <w:ind w:left="360" w:right="20"/>
        <w:spacing w:after="0" w:line="350" w:lineRule="auto"/>
        <w:rPr>
          <w:sz w:val="20"/>
          <w:szCs w:val="20"/>
          <w:color w:val="auto"/>
        </w:rPr>
      </w:pPr>
      <w:r>
        <w:rPr>
          <w:rFonts w:ascii="PMingLiU" w:cs="PMingLiU" w:eastAsia="PMingLiU" w:hAnsi="PMingLiU"/>
          <w:sz w:val="14"/>
          <w:szCs w:val="14"/>
          <w:color w:val="auto"/>
        </w:rPr>
        <w:t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amp;RPSDQ\RUDFRPSOHWHGLVVROXWLRQRUOLTXLGDWLRQRIRXU &amp;RPSDQ\RWKHUZLVHRFFXUVH[FHSWIRUDOLTXLGDWLRQLQWRDSDUHQWFRPSDQ\LYDVDOHOHDVHH[FOXVLYHOLFHQVHRURWKHU GLVSRVLWLRQRIDOORUVXEVWDQWLDOO\DOORIRXUDVVHWVRWKHUWKDQWRFHUWDLQHQWLWLHVRUYLQGLYLGXDOVZKRZHUHPHPEHUVRIRXU %RDUGDVRI)HEUXDU\RUPHPEHUVRIRXU%RDUGDSSURYHGRUUHFRPPHQGHGE\DPDMRULW\YRWHRIVXFKPHPEHUV VWLOOLQRIILFHUHIHUUHGWRDV³LQFXPEHQWERDUGPHPEHUV´FHDVHWRFRQVWLWXWHDWOHDVWDPDMRULW\RIWKHERDUGRIGLUHFWRUV</w:t>
      </w:r>
    </w:p>
    <w:p>
      <w:pPr>
        <w:spacing w:after="0" w:line="49"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$Q³LQYROXQWDU\WHUPLQDWLRQZLWKRXWFDXVH´JHQHUDOO\PHDQVDQH[HFXWLYH¶VHPSOR\PHQWLVWHUPLQDWHGIRUDQ\UHDVRQRWKHU</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WKDQIRUWKHIROORZLQJUHDVRQVLWKHH[HFXWLYH¶VXQDXWKRUL]HGXVHRUGLVFORVXUHRIFRQILGHQWLDOLQIRUPDWLRQRUWUDGH</w:t>
      </w:r>
    </w:p>
    <w:p>
      <w:pPr>
        <w:spacing w:after="0" w:line="5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VHFUHWVZKLFKFDXVHVPDWHULDOKDUPWRXVLLWKHH[HFXWLYH¶VPDWHULDOEUHDFKRIDQ\DJUHHPHQWZLWKXVRUWKHH[HFXWLYH¶V</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PDWHULDOYLRODWLRQRIDQ\VWDWXWRU\GXW\RZHGWRXVDIWHUDQRSSRUWXQLW\WRFXUHLLLWKHH[HFXWLYH¶VPDWHULDOIDLOXUHWR</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FRPSO\ZLWKRXUZULWWHQSROLFLHVRUUXOHVDIWHUDQRSSRUWXQLW\WRFXUHLYWKHH[HFXWLYH¶VFRQYLFWLRQRUSOHDRIJXLOW\RUQR</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FRQWHVWWRDQ\FULPHLQYROYLQJIUDXGGLVKRQHVW\RUPRUDOWXUSLWXGHYWKHH[HFXWLYH¶VJURVVPLVFRQGXFWYLWKH</w:t>
      </w:r>
    </w:p>
    <w:p>
      <w:pPr>
        <w:spacing w:after="0" w:line="48" w:lineRule="exact"/>
        <w:rPr>
          <w:sz w:val="20"/>
          <w:szCs w:val="20"/>
          <w:color w:val="auto"/>
        </w:rPr>
      </w:pPr>
    </w:p>
    <w:p>
      <w:pPr>
        <w:ind w:left="360" w:right="360"/>
        <w:spacing w:after="0" w:line="376" w:lineRule="auto"/>
        <w:rPr>
          <w:sz w:val="20"/>
          <w:szCs w:val="20"/>
          <w:color w:val="auto"/>
        </w:rPr>
      </w:pPr>
      <w:r>
        <w:rPr>
          <w:rFonts w:ascii="PMingLiU" w:cs="PMingLiU" w:eastAsia="PMingLiU" w:hAnsi="PMingLiU"/>
          <w:sz w:val="14"/>
          <w:szCs w:val="14"/>
          <w:color w:val="auto"/>
        </w:rPr>
        <w:t>H[HFXWLYH¶VFRQWLQXHGIDLOXUHWRSHUIRUPKLVRUKHUDVVLJQHGGXWLHVDIWHUQRWLILFDWLRQRUYLLWKHH[HFXWLYH¶VIDLOXUHWR UHDVRQDEO\FRRSHUDWHLQJRRGIDLWKZLWKDQ\JRYHUQPHQWDORULQWHUQDOLQYHVWLJDWLRQRIXVRURXUGLUHFWRUVRIILFHUVRU HPSOR\HHV$Q³LQYROXQWDU\WHUPLQDWLRQZLWKRXWFDXVH´DOVRLQFOXGHVDQH[HFXWLYH¶VWHUPLQDWLRQRIHPSOR\PHQWGXHWR GHDWKRUGLVDELOLW\</w:t>
      </w:r>
    </w:p>
    <w:p>
      <w:pPr>
        <w:spacing w:after="0" w:line="25" w:lineRule="exact"/>
        <w:rPr>
          <w:sz w:val="20"/>
          <w:szCs w:val="20"/>
          <w:color w:val="auto"/>
        </w:rPr>
      </w:pPr>
    </w:p>
    <w:p>
      <w:pPr>
        <w:ind w:left="360" w:right="20" w:hanging="279"/>
        <w:spacing w:after="0" w:line="368" w:lineRule="auto"/>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$³FRQVWUXFWLYHWHUPLQDWLRQ´JHQHUDOO\PHDQVDQH[HFXWLYHUHVLJQVHPSOR\PHQWDIWHUDQ\RIWKHIROORZLQJDFWLRQVDUHWDNHQ RUHYHQWVRFFXUZLWKRXWWKHH[HFXWLYH¶VZULWWHQFRQVHQWLRQHRUPRUHUHGXFWLRQVLQWKHH[HFXWLYH¶VEDVHVDODU\WKDW UHVXOWVLQDWRWDOUHGXFWLRQLQWKHH[HFXWLYH¶VEDVHVDODU\DVLQHIIHFWLPPHGLDWHO\SULRUWRWKH&amp;,&amp;RUDQ\KLJKHUEDVH VDODU\LQHIIHFWIROORZLQJWKH&amp;,&amp;E\PRUHWKDQLLDUHORFDWLRQRIWKHH[HFXWLYH¶VSULQFLSDOSODFHRIHPSOR\PHQWWKDW LQFUHDVHVWKHH[HFXWLYH¶VRQHZD\FRPPXWHE\PRUHWKDQPLOHVLLLDVXEVWDQWLDOUHGXFWLRQLQWKHH[HFXWLYH¶V DXWKRULW\GXWLHVRUUHVSRQVLELOLWLHVWKDWDUHLQHIIHFWLPPHGLDWHO\SULRUWRWKH&amp;,&amp;SURYLGHGWKDWLIWKHH[HFXWLYHKROGVWKH VDPHSRVLWLRQEXWWKHVL]HRIWKHH[HFXWLYH¶VHPSOR\LQJHQWLW\RUEXVLQHVVXQLWKDVGHFUHDVHGVLJQLILFDQWO\RURXU &amp;RPSDQ\RUWKHH[HFXWLYH¶VHPSOR\LQJHQWLW\FHDVHVWREHDSXEOLFO\WUDGHGFRUSRUDWLRQWKHH[HFXWLYH¶VDXWKRULW\GXWLHV DQGUHVSRQVLELOLWLHVZLOOEHFRQVLGHUHGWREHVXEVWDQWLDOO\UHGXFHGLYDUHGXFWLRQLQWKHH[HFXWLYH¶VWLWOHRUYD</w:t>
      </w:r>
    </w:p>
    <w:p>
      <w:pPr>
        <w:spacing w:after="0" w:line="3" w:lineRule="exact"/>
        <w:rPr>
          <w:sz w:val="20"/>
          <w:szCs w:val="20"/>
          <w:color w:val="auto"/>
        </w:rPr>
      </w:pPr>
    </w:p>
    <w:p>
      <w:pPr>
        <w:ind w:left="360" w:right="380"/>
        <w:spacing w:after="0" w:line="496" w:lineRule="auto"/>
        <w:rPr>
          <w:sz w:val="20"/>
          <w:szCs w:val="20"/>
          <w:color w:val="auto"/>
        </w:rPr>
      </w:pPr>
      <w:r>
        <w:rPr>
          <w:rFonts w:ascii="PMingLiU" w:cs="PMingLiU" w:eastAsia="PMingLiU" w:hAnsi="PMingLiU"/>
          <w:sz w:val="13"/>
          <w:szCs w:val="13"/>
          <w:color w:val="auto"/>
        </w:rPr>
        <w:t>VXEVWDQWLDOLQFUHDVHLQH[HFXWLYH¶VUHTXLUHGEXVLQHVVWUDYHODVFRPSDUHGZLWKWKHH[HFXWLYH¶VUHTXLUHGEXVLQHVVWUDYHO SULRUWRWKH&amp;,&amp;</w:t>
      </w:r>
    </w:p>
    <w:p>
      <w:pPr>
        <w:spacing w:after="0" w:line="14" w:lineRule="exact"/>
        <w:rPr>
          <w:sz w:val="20"/>
          <w:szCs w:val="20"/>
          <w:color w:val="auto"/>
        </w:rPr>
      </w:pPr>
    </w:p>
    <w:p>
      <w:pPr>
        <w:ind w:right="180"/>
        <w:spacing w:after="0" w:line="358" w:lineRule="auto"/>
        <w:rPr>
          <w:sz w:val="20"/>
          <w:szCs w:val="20"/>
          <w:color w:val="auto"/>
        </w:rPr>
      </w:pPr>
      <w:r>
        <w:rPr>
          <w:rFonts w:ascii="PMingLiU" w:cs="PMingLiU" w:eastAsia="PMingLiU" w:hAnsi="PMingLiU"/>
          <w:sz w:val="15"/>
          <w:szCs w:val="15"/>
          <w:color w:val="auto"/>
        </w:rPr>
        <w:t>:HEHQHILWE\UHTXLULQJWKHH[HFXWLYHWRH[HFXWHDQHIIHFWLYHJHQHUDOZDLYHUDQGUHOHDVHRIFODLPVLQRUGHUWREHHOLJLEOHWR UHFHLYHEHQHILWVXQGHUWKH&amp;,&amp;3ODQ$OORWKHUEHQHILWVVXFKDVOLIHLQVXUDQFHGLVDELOLW\FRYHUDJHDQGN3ODQHOLJLELOLW\ ZLOOWHUPLQDWHDVRIWKHH[HFXWLYH¶VWHUPLQDWLRQGDWH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1114425</wp:posOffset>
            </wp:positionV>
            <wp:extent cx="1386840" cy="2336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35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96" w:name="page97"/>
    <w:bookmarkEnd w:id="96"/>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499" o:spid="_x0000_s1524"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spacing w:after="0" w:line="330" w:lineRule="auto"/>
        <w:rPr>
          <w:sz w:val="20"/>
          <w:szCs w:val="20"/>
          <w:color w:val="auto"/>
        </w:rPr>
      </w:pPr>
      <w:r>
        <w:rPr>
          <w:rFonts w:ascii="PMingLiU" w:cs="PMingLiU" w:eastAsia="PMingLiU" w:hAnsi="PMingLiU"/>
          <w:sz w:val="15"/>
          <w:szCs w:val="15"/>
          <w:color w:val="auto"/>
        </w:rPr>
        <w:t>7KH&amp;,&amp;3ODQGRHVQRWSURYLGHIRUWKHJURVVXSRIDQ\H[FLVHWD[HVLPSRVHGE\6HFWLRQRIWKH&amp;RGH,IDQ\RIWKH VHYHUDQFHEHQHILWVSD\DEOHXQGHUWKH&amp;,&amp;3ODQZRXOGFRQVWLWXWHD³SDUDFKXWHSD\PHQW´ZLWKLQWKHPHDQLQJRI6HFWLRQ*RI WKH&amp;RGHVXEMHFWWRWKHH[FLVHWD[LPSRVHGE\6HFWLRQRIWKH&amp;RGHWKH&amp;,&amp;3ODQSURYLGHVIRUDEHVWDIWHUWD[DQDO\VLV ZLWKUHVSHFWWRVXFKSD\PHQWVXQGHUZKLFKWKHH[HFXWLYHZLOOUHFHLYHZKLFKHYHURIWKHIROORZLQJWZRDOWHUQDWLYHIRUPVRI SD\PHQWZRXOGUHVXOWLQH[HFXWLYH¶VUHFHLSWRQDQDIWHUWD[EDVLVRIWKHJUHDWHUDPRXQWRIWKHWUDQVDFWLRQSD\PHQW QRWZLWKVWDQGLQJWKDWDOORUVRPHSRUWLRQRIWKHWUDQVDFWLRQSD\PHQWPD\EHVXEMHFWWRWKHH[FLVHWD[LSD\PHQWLQIXOORIWKH HQWLUHDPRXQWRIWKHWUDQVDFWLRQSD\PHQWRULLSD\PHQWRIRQO\DSDUWRIWKHWUDQVDFWLRQSD\PHQWVRWKDWWKHH[HFXWLYH UHFHLYHVWKHODUJHVWSD\PHQWSRVVLEOHZLWKRXWWKHLPSRVLWLRQRIWKHH[FLVHWD[</w:t>
      </w:r>
    </w:p>
    <w:p>
      <w:pPr>
        <w:spacing w:after="0" w:line="116" w:lineRule="exact"/>
        <w:rPr>
          <w:sz w:val="20"/>
          <w:szCs w:val="20"/>
          <w:color w:val="auto"/>
        </w:rPr>
      </w:pPr>
    </w:p>
    <w:p>
      <w:pPr>
        <w:ind w:right="20"/>
        <w:spacing w:after="0" w:line="362" w:lineRule="auto"/>
        <w:rPr>
          <w:sz w:val="20"/>
          <w:szCs w:val="20"/>
          <w:color w:val="auto"/>
        </w:rPr>
      </w:pPr>
      <w:r>
        <w:rPr>
          <w:rFonts w:ascii="PMingLiU" w:cs="PMingLiU" w:eastAsia="PMingLiU" w:hAnsi="PMingLiU"/>
          <w:sz w:val="14"/>
          <w:szCs w:val="14"/>
          <w:color w:val="auto"/>
        </w:rPr>
        <w:t>7KHH[HFXWLYHZRXOGQRWUHFHLYHEHQHILWVXQGHUWKH&amp;,&amp;3ODQLQFHUWDLQFLUFXPVWDQFHVLQFOXGLQJLILWKHH[HFXWLYHYROXQWDULO\ WHUPLQDWHVHPSOR\PHQWZLWKXVWRDFFHSWHPSOR\PHQWZLWKDQRWKHUHQWLW\WKDWLVFRQWUROOHGGLUHFWO\RULQGLUHFWO\E\XVRULV RWKHUZLVHDIILOLDWHGZLWKXVLLWKHH[HFXWLYHGRHVQRWFRQILUPLQZULWLQJWKDWKHRUVKHLVVXEMHFWWRDJUHHPHQWVZLWKXVUHODWLQJ WRSURSULHWDU\DQGFRQILGHQWLDOLQIRUPDWLRQDQGRXU&amp;RGHRI&amp;RQGXFWDQG(WKLFVRULLLWKHH[HFXWLYHGRHVQRWUHWXUQDOO FRPSDQ\SURSHUW\,QDGGLWLRQEHQHILWVZRXOGEHWHUPLQDWHGXQGHUWKH&amp;,&amp;3ODQLIWKHH[HFXWLYHZLOOIXOO\EUHDFKHVKLVRUKHU DJUHHPHQWVZLWKXVUHODWLQJWRSURSULHWDU\DQGFRQILGHQWLDOLQIRUPDWLRQRURXU&amp;RGHRI&amp;RQGXFWDQG(WKLFV</w:t>
      </w:r>
    </w:p>
    <w:p>
      <w:pPr>
        <w:spacing w:after="0" w:line="97" w:lineRule="exact"/>
        <w:rPr>
          <w:sz w:val="20"/>
          <w:szCs w:val="20"/>
          <w:color w:val="auto"/>
        </w:rPr>
      </w:pPr>
    </w:p>
    <w:p>
      <w:pPr>
        <w:spacing w:after="0" w:line="367" w:lineRule="auto"/>
        <w:rPr>
          <w:sz w:val="20"/>
          <w:szCs w:val="20"/>
          <w:color w:val="auto"/>
        </w:rPr>
      </w:pPr>
      <w:r>
        <w:rPr>
          <w:rFonts w:ascii="PMingLiU" w:cs="PMingLiU" w:eastAsia="PMingLiU" w:hAnsi="PMingLiU"/>
          <w:sz w:val="14"/>
          <w:szCs w:val="14"/>
          <w:color w:val="auto"/>
        </w:rPr>
        <w:t>7KHVWUXFWXUHDQGDPRXQWRIEHQHILWVSURYLGHGXQGHUWKH&amp;,&amp;3ODQDUHLQWHQGHGWREDODQFHRXUJRDOVRIDWWUDFWLQJDQGUHWDLQLQJ KLJKO\TXDOLILHGLQGLYLGXDOVSURYLGLQJWKHDSSURSULDWHLQFHQWLYHIRUVXFKLQGLYLGXDOVWRSHUIRUPLQWKHEHVWLQWHUHVWVRIRXU VKDUHKROGHUVDQGPDLQWDLQLQJUHVSRQVLEOHSD\SUDFWLFHV2XU&amp;RPSHQVDWLRQ&amp;RPPLWWHHSHULRGLFDOO\UHYLHZVPDUNHWGDWDWR JDLQDJHQHUDOXQGHUVWDQGLQJRIWKH&amp;,&amp;EHQHILWVRIIHUHGE\RXUFRPSHWLWRUVDQGUHYLHZVWKHEHQHILWVRIIHUHGXQGHUWKH&amp;,&amp; 3ODQDJDLQVWVXFKPDUNHWGDWDWRHQVXUHWKDWWKHEHQHILWVXQGHUWKH&amp;,&amp;3ODQUHPDLQDSSURSULDWH</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6HYHUDQFH3ODQ</w:t>
      </w:r>
    </w:p>
    <w:p>
      <w:pPr>
        <w:spacing w:after="0" w:line="191" w:lineRule="exact"/>
        <w:rPr>
          <w:sz w:val="20"/>
          <w:szCs w:val="20"/>
          <w:color w:val="auto"/>
        </w:rPr>
      </w:pPr>
    </w:p>
    <w:p>
      <w:pPr>
        <w:ind w:right="80"/>
        <w:spacing w:after="0" w:line="405" w:lineRule="auto"/>
        <w:rPr>
          <w:sz w:val="20"/>
          <w:szCs w:val="20"/>
          <w:color w:val="auto"/>
        </w:rPr>
      </w:pPr>
      <w:r>
        <w:rPr>
          <w:rFonts w:ascii="PMingLiU" w:cs="PMingLiU" w:eastAsia="PMingLiU" w:hAnsi="PMingLiU"/>
          <w:sz w:val="14"/>
          <w:szCs w:val="14"/>
          <w:color w:val="auto"/>
        </w:rPr>
        <w:t>:HDGRSWHGRXU6HYHUDQFH3ODQHIIHFWLYH$SULO$OORIRXU1(2VIRURWKHUWKDQ0V*DODRXU3UHVLGHQW &amp;(2DQG'LUHFWRUDQG0U&amp;R]DGGRXU&amp;KDLUSHUVRQDQGIRUPHU&amp;(2DUHHOLJLEOHIRUFHUWDLQVHYHUDQFHEHQHILWVXQGHUWKH 6HYHUDQFH3ODQ7KH6HYHUDQFH3ODQDSSOLHVWRHOLJLEOHH[HFXWLYHHPSOR\HHVRIRXU&amp;RPSDQ\ZKRVHUYHRQRXU(&amp;RWKHU WKDQRXU&amp;(2DQGSURYLGHVWKDWLQWKHHYHQWWKDWDQH[HFXWLYH¶VHPSOR\PHQWWHUPLQDWHVGXHWRDQLQYROXQWDU\WHUPLQDWLRQ ZLWKRXWFDXVHWKDWGRHVQRWRFFXUXSRQRUZLWKLQPRQWKVIROORZLQJD&amp;,&amp;DVVXFKWHUPVDUHGHILQHGLQWKH6HYHUDQFH3ODQ DQGGHVFULEHGJHQHUDOO\EHORZDQGDVVXPLQJDOORIWKHRWKHUFRQGLWLRQVRIWKH6HYHUDQFH3ODQDUHPHWHDFKH[HFXWLYHZKR LVDSDUWLFLSDQWLQWKH6HYHUDQFH3ODQLQFOXGLQJHDFKRIRXU1(2VIRURWKHUWKDQ0V*DODRXU3UHVLGHQW&amp;(2DQG 'LUHFWRUDQG0U&amp;R]DGGRXU&amp;KDLUSHUVRQDQGIRUPHU&amp;(2ZRXOGEHHQWLWOHGWRWKHIROORZLQJEHQHILWVXQGHUWKH 6HYHUDQFH3ODQ</w:t>
      </w:r>
    </w:p>
    <w:p>
      <w:pPr>
        <w:spacing w:after="0" w:line="68" w:lineRule="exact"/>
        <w:rPr>
          <w:sz w:val="20"/>
          <w:szCs w:val="20"/>
          <w:color w:val="auto"/>
        </w:rPr>
      </w:pPr>
    </w:p>
    <w:p>
      <w:pPr>
        <w:ind w:left="360" w:right="120" w:hanging="279"/>
        <w:spacing w:after="0" w:line="354"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$VLQJOHOXPSVXPFDVKVHYHUDQFHSD\PHQWHTXDOWRWKHVXPRILRIWKHH[HFXWLYH¶VDQQXDOEDVHVDODU\LQHIIHFW RQWKHGDWHRIWKHH[HFXWLYH¶VWHUPLQDWLRQSOXVLLLIWKHH[HFXWLYHKDVEHHQHPSOR\HGE\XVWKURXJKDWOHDVW-DQXDU\ RIWKHFDOHQGDU\HDULQZKLFKWKHLQYROXQWDU\WHUPLQDWLRQRFFXUVDQDPRXQWHTXDOWR$WKHH[HFXWLYH¶VWDUJHWERQXVIRU VXFKFDOHQGDU\HDUPXOWLSOLHGE\%DUDWLRWKHQXPHUDWRURIZKLFKLVWKHQXPEHURIFDOHQGDUGD\VWKDWWKHH[HFXWLYHLV HPSOR\HGE\XVGXULQJVXFKFDOHQGDU\HDUDQGGHQRPLQDWRURIZKLFKLVWKHWRWDOQXPEHURIFDOHQGDUGD\VLQVXFK FDOHQGDU\HDU,IWKHGDWHRIWKHLQYROXQWDU\WHUPLQDWLRQRFFXUVLQWKHILUVWTXDUWHURIWKHFDOHQGDU\HDUDQGVXFKGDWHLV SULRUWRWKHVFKHGXOHGSD\PHQWGDWHIRUSUHYLRXV\HDUDQQXDOERQXVHVWKHH[HFXWLYHZLOOUHFHLYHSD\PHQWRIWKHSUHYLRXV \HDUDQQXDOERQXVDWWKHWDUJHWDPRXQWSURUDWHGE\WKHQXPEHURIGD\VWKHH[HFXWLYHZDVHPSOR\HGE\XVGXULQJWKH SUHYLRXVFDOHQGDU\HDULIWKHH[HFXWLYHZDVQRWHPSOR\HGIRUWKHIXOOSUHYLRXVFDOHQGDU\HDU</w:t>
      </w:r>
    </w:p>
    <w:p>
      <w:pPr>
        <w:spacing w:after="0" w:line="46" w:lineRule="exact"/>
        <w:rPr>
          <w:sz w:val="20"/>
          <w:szCs w:val="20"/>
          <w:color w:val="auto"/>
        </w:rPr>
      </w:pPr>
    </w:p>
    <w:p>
      <w:pPr>
        <w:ind w:left="360" w:right="240" w:hanging="279"/>
        <w:spacing w:after="0" w:line="427"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)XOOSD\PHQWRIDOORIWKHDSSOLFDEOH&amp;2%5$SUHPLXPVIRUDQ\KHDOWKGHQWDORUYLVLRQSODQVSRQVRUHGE\XVIRUDSHULRG RIXSWRPRQWKVIROORZLQJWKHLQYROXQWDU\WHUPLQDWLRQSURYLGHGWKDWWKHH[HFXWLYHWLPHO\HOHFWVFRQWLQXHGFRYHUDJH</w:t>
      </w:r>
    </w:p>
    <w:p>
      <w:pPr>
        <w:spacing w:after="0" w:line="1" w:lineRule="exact"/>
        <w:rPr>
          <w:sz w:val="20"/>
          <w:szCs w:val="20"/>
          <w:color w:val="auto"/>
        </w:rPr>
      </w:pPr>
    </w:p>
    <w:p>
      <w:pPr>
        <w:ind w:left="360" w:right="120" w:hanging="279"/>
        <w:spacing w:after="0" w:line="34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&amp;RQWLQXHGYHVWLQJRIRXWVWDQGLQJWLPHEDVHG568VDQG368VWKDWZHUHJUDQWHGWRWKHH[HFXWLYHDWOHDVWPRQWKVSULRU WRWKHGDWHRIWKHLQYROXQWDU\WHUPLQDWLRQDVIROORZVLXQYHVWHGWLPHEDVHG568VZLOOFRQWLQXHWRYHVWRQHDFKYHVWLQJ</w:t>
      </w:r>
    </w:p>
    <w:p>
      <w:pPr>
        <w:ind w:left="360" w:right="100"/>
        <w:spacing w:after="0" w:line="356" w:lineRule="auto"/>
        <w:rPr>
          <w:sz w:val="20"/>
          <w:szCs w:val="20"/>
          <w:color w:val="auto"/>
        </w:rPr>
      </w:pPr>
      <w:r>
        <w:rPr>
          <w:rFonts w:ascii="PMingLiU" w:cs="PMingLiU" w:eastAsia="PMingLiU" w:hAnsi="PMingLiU"/>
          <w:sz w:val="14"/>
          <w:szCs w:val="14"/>
          <w:color w:val="auto"/>
        </w:rPr>
        <w:t>GDWHVFKHGXOHGWKDWRFFXUVGXULQJWKHPRQWKSHULRGIROORZLQJWKHLQYROXQWDU\WHUPLQDWLRQSXUVXDQWWRWKHRULJLQDO YHVWLQJVFKHGXOHXQGHUZKLFKVXFKWLPHEDVHG568VZHUHJUDQWHGDQGLL368VWKDWDUHVXEMHFWWRYHVWLQJEDVHGRQWKH DFKLHYHPHQWRISHUIRUPDQFHJRDOVGXULQJDSHUIRUPDQFHSHULRGWKDWLVVFKHGXOHGWRHQGGXULQJWKHPRQWKSHULRG IROORZLQJWKHLQYROXQWDU\WHUPLQDWLRQZLOOYHVWRQWKHGDWHRXU&amp;RPSHQVDWLRQ&amp;RPPLWWHHFHUWLILHVWKHQXPEHURIVXFK 368VLIDQ\WKDWDUHHOLJLEOHWRYHVWLQDQDPRXQWHTXDOWRDWKHQXPEHURIVXFK368VLIDQ\WKDWRXU&amp;RPSHQVDWLRQ &amp;RPPLWWHHFHUWLILHVDUHHOLJLEOHWRYHVWEDVHGRQWKHDFWXDOSHUIRUPDQFHPHDVXUHGDJDLQVWWKHSHUIRUPDQFHJRDOVIRUWKH DSSOLFDEOHSHUIRUPDQFHSHULRGPXOWLSOLHGE\EDUDWLRWKHQXPHUDWRURIZKLFKLVWKHQXPEHURIFDOHQGDUGD\VGXULQJWKH SHUIRUPDQFHSHULRGIRUVXFK368VWKDWKDGHODSVHGSULRUWRWKHLQYROXQWDU\WHUPLQDWLRQDQGWKHGHQRPLQDWRURIZKLFKLV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306070</wp:posOffset>
            </wp:positionV>
            <wp:extent cx="1386840" cy="2336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35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97" w:name="page98"/>
    <w:bookmarkEnd w:id="97"/>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01" o:spid="_x0000_s1526"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WKHWRWDOQXPEHURIFDOHQGDUGD\VLQVXFKSHUIRUPDQFHSHULRGRULIJUDQWHGWRWKHH[HFXWLYHDIWHUWKHVWDQGDUGJUDQWGDWH</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IRUVXFK368VWKHSHULRGFRPPHQFLQJRQWKHGDWHVXFK368VZHUHJUDQWHGWRWKHH[HFXWLYHDQGHQGLQJRQWKHODVWGD\</w:t>
      </w:r>
    </w:p>
    <w:p>
      <w:pPr>
        <w:spacing w:after="0" w:line="48"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RIWKHSHUIRUPDQFHSHULRGURXQGHGXSWRWKHQH[WZKROH368</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2XWSODFHPHQWVHUYLFHVIRUDSHULRGRIXSWRPRQWKVIROORZLQJWKHLQYROXQWDU\WHUPLQDWLRQ</w:t>
      </w:r>
    </w:p>
    <w:p>
      <w:pPr>
        <w:spacing w:after="0" w:line="204" w:lineRule="exact"/>
        <w:rPr>
          <w:sz w:val="20"/>
          <w:szCs w:val="20"/>
          <w:color w:val="auto"/>
        </w:rPr>
      </w:pPr>
    </w:p>
    <w:p>
      <w:pPr>
        <w:ind w:right="40"/>
        <w:spacing w:after="0" w:line="367" w:lineRule="auto"/>
        <w:rPr>
          <w:sz w:val="20"/>
          <w:szCs w:val="20"/>
          <w:color w:val="auto"/>
        </w:rPr>
      </w:pPr>
      <w:r>
        <w:rPr>
          <w:rFonts w:ascii="PMingLiU" w:cs="PMingLiU" w:eastAsia="PMingLiU" w:hAnsi="PMingLiU"/>
          <w:sz w:val="14"/>
          <w:szCs w:val="14"/>
          <w:color w:val="auto"/>
        </w:rPr>
        <w:t>:HEHQHILWE\UHTXLULQJWKHH[HFXWLYHWRH[HFXWHDQHIIHFWLYHJHQHUDOZDLYHUDQGUHOHDVHRIFODLPVLQRUGHUWREHHOLJLEOHWR UHFHLYHEHQHILWVXQGHUWKH6HYHUDQFH3ODQ,QDGGLWLRQSD\PHQWVDQGEHQHILWVXQGHUWKH6HYHUDQFH3ODQDUHVXEMHFWWRRXU &amp;ODZEDFN3ROLF\DQGPD\DWRXUGLVFUHWLRQEHUHFRXSHGXSRQFHUWDLQRWKHUVSHFLILHGUHFRXSPHQWHYHQWVLQFOXGLQJFHUWDLQ ILQDQFLDOPLVFRQGXFWFRPSOLDQFHYLRODWLRQVHWKLFDOEUHDFKHVDQGTXDOLW\FRQWUROIDLOXUHVLUUHVSHFWLYHRIZKHWKHUDFFRPSDQLHG E\DQDFFRXQWLQJUHVWDWHPHQW</w:t>
      </w:r>
    </w:p>
    <w:p>
      <w:pPr>
        <w:spacing w:after="0" w:line="93" w:lineRule="exact"/>
        <w:rPr>
          <w:sz w:val="20"/>
          <w:szCs w:val="20"/>
          <w:color w:val="auto"/>
        </w:rPr>
      </w:pPr>
    </w:p>
    <w:p>
      <w:pPr>
        <w:ind w:right="120"/>
        <w:spacing w:after="0" w:line="342" w:lineRule="auto"/>
        <w:rPr>
          <w:sz w:val="20"/>
          <w:szCs w:val="20"/>
          <w:color w:val="auto"/>
        </w:rPr>
      </w:pPr>
      <w:r>
        <w:rPr>
          <w:rFonts w:ascii="PMingLiU" w:cs="PMingLiU" w:eastAsia="PMingLiU" w:hAnsi="PMingLiU"/>
          <w:sz w:val="14"/>
          <w:szCs w:val="14"/>
          <w:color w:val="auto"/>
        </w:rPr>
        <w:t>$³FKDQJHLQFRQWURO´RU³&amp;,&amp;´DQG³LQYROXQWDU\WHUPLQDWLRQZLWKRXWFDXVH´JHQHUDOO\KDYHWKHVDPHPHDQLQJVXQGHUWKH 6HYHUDQFH3ODQDVXQGHURXU&amp;,&amp;3ODQGHVFULEHGDERYHH[FHSWWKDWDSDUWLFLSDQW¶VGHDWKRUGLVDELOLW\ZLOOQRWFRQVWLWXWHDQ ³LQYROXQWDU\WHUPLQDWLRQZLWKRXWFDXVH´IRUSXUSRVHVRIWKH6HYHUDQFH3ODQ%HFDXVHEHQHILWVXQGHUWKH6HYHUDQFH3ODQDUH RQO\SD\DEOHXSRQDQLQYROXQWDU\WHUPLQDWLRQZLWKRXWFDXVHWKDWGRHVQRWRFFXUXSRQRUZLWKLQPRQWKVIROORZLQJD&amp;,&amp;</w:t>
      </w:r>
    </w:p>
    <w:p>
      <w:pPr>
        <w:spacing w:after="0" w:line="1" w:lineRule="exact"/>
        <w:rPr>
          <w:sz w:val="20"/>
          <w:szCs w:val="20"/>
          <w:color w:val="auto"/>
        </w:rPr>
      </w:pPr>
    </w:p>
    <w:p>
      <w:pPr>
        <w:ind w:right="200"/>
        <w:spacing w:after="0" w:line="443" w:lineRule="auto"/>
        <w:rPr>
          <w:sz w:val="20"/>
          <w:szCs w:val="20"/>
          <w:color w:val="auto"/>
        </w:rPr>
      </w:pPr>
      <w:r>
        <w:rPr>
          <w:rFonts w:ascii="PMingLiU" w:cs="PMingLiU" w:eastAsia="PMingLiU" w:hAnsi="PMingLiU"/>
          <w:sz w:val="14"/>
          <w:szCs w:val="14"/>
          <w:color w:val="auto"/>
        </w:rPr>
        <w:t>WKHUHLVQRRYHUODSZKHUHDQH[HFXWLYHRIILFHUZKRLVVXEMHFWWRDQLQYROXQWDU\WHUPLQDWLRQZRXOGUHFHLYHEHQHILWVXQGHUERWK WKH&amp;,&amp;3ODQDQGWKH6HYHUDQFH3ODQ</w:t>
      </w:r>
    </w:p>
    <w:p>
      <w:pPr>
        <w:spacing w:after="0" w:line="39" w:lineRule="exact"/>
        <w:rPr>
          <w:sz w:val="20"/>
          <w:szCs w:val="20"/>
          <w:color w:val="auto"/>
        </w:rPr>
      </w:pPr>
    </w:p>
    <w:p>
      <w:pPr>
        <w:ind w:right="40"/>
        <w:spacing w:after="0" w:line="345" w:lineRule="auto"/>
        <w:rPr>
          <w:sz w:val="20"/>
          <w:szCs w:val="20"/>
          <w:color w:val="auto"/>
        </w:rPr>
      </w:pPr>
      <w:r>
        <w:rPr>
          <w:rFonts w:ascii="PMingLiU" w:cs="PMingLiU" w:eastAsia="PMingLiU" w:hAnsi="PMingLiU"/>
          <w:sz w:val="15"/>
          <w:szCs w:val="15"/>
          <w:color w:val="auto"/>
        </w:rPr>
        <w:t>7KH6HYHUDQFH3ODQGRHVQRWSURYLGHIRUWKHJURVVXSRIDQ\H[FLVHWD[HVLPSRVHGE\VHFWLRQRIWKH&amp;RGH,IDQ\RIWKH VHYHUDQFHEHQHILWVSD\DEOHXQGHUWKH6HYHUDQFH3ODQZRXOGFRQVWLWXWHD³SDUDFKXWHSD\PHQW´ZLWKLQWKHPHDQLQJRIVHFWLRQ *RIWKH&amp;RGHVXEMHFWWRWKHH[FLVHWD[LPSRVHGE\VHFWLRQRIWKH&amp;RGHWKH6HYHUDQFH3ODQSURYLGHVIRUWKHVDPH EHVWDIWHUWD[DQDO\VLVZLWKUHVSHFWWRVXFKSD\PHQWVDVGHVFULEHGDERYHIRUWKH&amp;,&amp;3ODQ</w:t>
      </w:r>
    </w:p>
    <w:p>
      <w:pPr>
        <w:spacing w:after="0" w:line="103" w:lineRule="exact"/>
        <w:rPr>
          <w:sz w:val="20"/>
          <w:szCs w:val="20"/>
          <w:color w:val="auto"/>
        </w:rPr>
      </w:pPr>
    </w:p>
    <w:p>
      <w:pPr>
        <w:spacing w:after="0" w:line="362" w:lineRule="auto"/>
        <w:rPr>
          <w:sz w:val="20"/>
          <w:szCs w:val="20"/>
          <w:color w:val="auto"/>
        </w:rPr>
      </w:pPr>
      <w:r>
        <w:rPr>
          <w:rFonts w:ascii="PMingLiU" w:cs="PMingLiU" w:eastAsia="PMingLiU" w:hAnsi="PMingLiU"/>
          <w:sz w:val="14"/>
          <w:szCs w:val="14"/>
          <w:color w:val="auto"/>
        </w:rPr>
        <w:t>7KHH[HFXWLYHZRXOGQRWUHFHLYHEHQHILWVXQGHUWKH6HYHUDQFH3ODQLQFHUWDLQFLUFXPVWDQFHVLQFOXGLQJLILWKHH[HFXWLYH YROXQWDULO\WHUPLQDWHVHPSOR\PHQWZLWKXVWRDFFHSWHPSOR\PHQWZLWKDQRWKHUHQWLW\WKDWLVFRQWUROOHGGLUHFWO\RULQGLUHFWO\E\ XVRULVRWKHUZLVHDIILOLDWHGZLWKXVLLWKHH[HFXWLYHGRHVQRWFRQILUPLQZULWLQJWKDWKHRUVKHLVVXEMHFWWRDJUHHPHQWVZLWKXV UHODWLQJWRSURSULHWDU\DQGFRQILGHQWLDOLQIRUPDWLRQDQGRXU&amp;RGHRI&amp;RQGXFWDQG(WKLFVRULLLWKHH[HFXWLYHGRHVQRWUHWXUQDOO FRPSDQ\SURSHUW\,QDGGLWLRQEHQHILWVZRXOGEHWHUPLQDWHGXQGHUWKH6HYHUDQFH3ODQLIWKHH[HFXWLYHZLOOIXOO\EUHDFKHVKLV RUKHUDJUHHPHQWVZLWKXVUHODWLQJWRSURSULHWDU\DQGFRQILGHQWLDOLQIRUPDWLRQRURXU&amp;RGHRI&amp;RQGXFWDQG(WKLFV</w:t>
      </w:r>
    </w:p>
    <w:p>
      <w:pPr>
        <w:spacing w:after="0" w:line="97" w:lineRule="exact"/>
        <w:rPr>
          <w:sz w:val="20"/>
          <w:szCs w:val="20"/>
          <w:color w:val="auto"/>
        </w:rPr>
      </w:pPr>
    </w:p>
    <w:p>
      <w:pPr>
        <w:spacing w:after="0"/>
        <w:rPr>
          <w:sz w:val="20"/>
          <w:szCs w:val="20"/>
          <w:color w:val="auto"/>
        </w:rPr>
      </w:pPr>
      <w:r>
        <w:rPr>
          <w:rFonts w:ascii="PMingLiU" w:cs="PMingLiU" w:eastAsia="PMingLiU" w:hAnsi="PMingLiU"/>
          <w:sz w:val="14"/>
          <w:szCs w:val="14"/>
          <w:color w:val="auto"/>
        </w:rPr>
        <w:t>7KHVWUXFWXUHDQGDPRXQWRIEHQHILWVSURYLGHGXQGHUWKH6HYHUDQFH3ODQDUHLQWHQGHGWREDODQFHRXUJRDOVRIDWWUDFWLQJDQG</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3"/>
          <w:szCs w:val="13"/>
          <w:color w:val="auto"/>
        </w:rPr>
        <w:t>UHWDLQLQJKLJKO\TXDOLILHGLQGLYLGXDOVSURYLGLQJWKHDSSURSULDWHLQFHQWLYHIRUVXFKLQGLYLGXDOVWRSHUIRUPLQWKHEHVWLQWHUHVWVRI</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8"/>
          <w:szCs w:val="18"/>
          <w:color w:val="auto"/>
        </w:rPr>
        <w:t>RXUVKDUHKROGHUVDQGPDLQWDLQLQJUHVSRQVLEOHSD\SUDFWLFHV</w:t>
      </w:r>
    </w:p>
    <w:p>
      <w:pPr>
        <w:spacing w:after="0" w:line="25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(TXLW\&amp;RPSHQVDWLRQ3ODQV</w:t>
      </w:r>
    </w:p>
    <w:p>
      <w:pPr>
        <w:spacing w:after="0" w:line="191" w:lineRule="exact"/>
        <w:rPr>
          <w:sz w:val="20"/>
          <w:szCs w:val="20"/>
          <w:color w:val="auto"/>
        </w:rPr>
      </w:pPr>
    </w:p>
    <w:p>
      <w:pPr>
        <w:spacing w:after="0" w:line="351" w:lineRule="auto"/>
        <w:rPr>
          <w:sz w:val="20"/>
          <w:szCs w:val="20"/>
          <w:color w:val="auto"/>
        </w:rPr>
      </w:pPr>
      <w:r>
        <w:rPr>
          <w:rFonts w:ascii="PMingLiU" w:cs="PMingLiU" w:eastAsia="PMingLiU" w:hAnsi="PMingLiU"/>
          <w:sz w:val="14"/>
          <w:szCs w:val="14"/>
          <w:color w:val="auto"/>
        </w:rPr>
        <w:t>7KH3ODQDQGDZDUGDJUHHPHQWVWKHUHXQGHUSURYLGHIRUSRWHQWLDOYHVWLQJDFFHOHUDWLRQXSRQDQH[HFXWLYH¶VWHUPLQDWLRQLQ FRQQHFWLRQZLWKD&amp;,&amp;DQGDWWKHGLVFUHWLRQRIRXU%RDUGXSRQFHUWDLQ&amp;,&amp;HYHQWVDVIXUWKHUGHVFULEHGDERYHXQGHUWKH KHDGLQJ³</w:t>
      </w:r>
      <w:r>
        <w:rPr>
          <w:rFonts w:ascii="PMingLiU" w:cs="PMingLiU" w:eastAsia="PMingLiU" w:hAnsi="PMingLiU"/>
          <w:sz w:val="14"/>
          <w:szCs w:val="14"/>
          <w:i w:val="1"/>
          <w:iCs w:val="1"/>
          <w:color w:val="auto"/>
        </w:rPr>
        <w:t>,9*806:0545-536,49(:05488(4.,3,4:9 7;0:?536,49(:05488(4.,3,4:9</w:t>
      </w:r>
      <w:r>
        <w:rPr>
          <w:rFonts w:ascii="PMingLiU" w:cs="PMingLiU" w:eastAsia="PMingLiU" w:hAnsi="PMingLiU"/>
          <w:sz w:val="14"/>
          <w:szCs w:val="14"/>
          <w:color w:val="auto"/>
        </w:rPr>
        <w:t>´,QDGGLWLRQXQGHUWKHWHUPVRI WKH3ODQDQGWKHRSWLRQDZDUGDJUHHPHQWVWKHUHXQGHUWKHYHVWHGSRUWLRQRIVWRFNRSWLRQVJUDQWHGWRWKH1(2VZLOO JHQHUDOO\H[SLUHWKUHHPRQWKVDIWHUWKHDSSOLFDEOH1(2¶VWHUPLQDWLRQRIVHUYLFHVXEMHFWWRH[WHQVLRQXQGHUOLPLWHG FLUFXPVWDQFHVVXFKDVLIWKHVDOHRIVKDUHVGXULQJVXFKWLPHZDVSURKLELWHGE\RXULQVLGHUWUDGLQJSROLF\RULIH[HUFLVHZRXOG UHVXOWLQYLRODWLRQRIVHFXULWLHVUHJLVWUDWLRQUHTXLUHPHQWV:HUHIHUWRWKHSHULRGIROORZLQJWKH1(2¶VWHUPLQDWLRQGXULQJZKLFK KHRUVKHFDQFRQWLQXHWRH[HUFLVHKLVRUKHUYHVWHGVWRFNRSWLRQVDVWKHSRVWWHUPLQDWLRQH[HUFLVHSHULRG+RZHYHULQ WHUPLQDWLRQVLWXDWLRQVLQYROYLQJWKHGHDWKRUGLVDELOLW\RIDQ1(2WKHSRVWWHUPLQDWLRQH[HUFLVHSHULRGLVJHQHUDOO\H[WHQGHGXS WRPRQWKVLQFRQQHFWLRQZLWKDWHUPLQDWLRQGXHWRGLVDELOLW\DQGXSWRPRQWKVLQFRQQHFWLRQZLWKDWHUPLQDWLRQGXHWR GHDWK$VWKHYDOXHRIVXFKH[WHQGHGSRVWWHUPLQDWLRQH[HUFLVHSHULRGVLVQRWTXDQWLILDEOHVXFKYDOXHLVQRWLQFOXGHGLQWKH WDEOHEHORZ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1524000</wp:posOffset>
            </wp:positionV>
            <wp:extent cx="1386840" cy="2336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35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00"/>
          </w:cols>
          <w:pgMar w:left="900" w:top="377" w:right="879" w:bottom="0" w:gutter="0" w:footer="0" w:header="0"/>
        </w:sectPr>
      </w:pPr>
    </w:p>
    <w:bookmarkStart w:id="98" w:name="page99"/>
    <w:bookmarkEnd w:id="98"/>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03" o:spid="_x0000_s1528"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7UHDWPHQWRIDQG568V</w:t>
      </w:r>
    </w:p>
    <w:p>
      <w:pPr>
        <w:spacing w:after="0" w:line="191" w:lineRule="exact"/>
        <w:rPr>
          <w:sz w:val="20"/>
          <w:szCs w:val="20"/>
          <w:color w:val="auto"/>
        </w:rPr>
      </w:pPr>
    </w:p>
    <w:p>
      <w:pPr>
        <w:ind w:right="60"/>
        <w:spacing w:after="0" w:line="353" w:lineRule="auto"/>
        <w:rPr>
          <w:sz w:val="20"/>
          <w:szCs w:val="20"/>
          <w:color w:val="auto"/>
        </w:rPr>
      </w:pPr>
      <w:r>
        <w:rPr>
          <w:rFonts w:ascii="PMingLiU" w:cs="PMingLiU" w:eastAsia="PMingLiU" w:hAnsi="PMingLiU"/>
          <w:sz w:val="14"/>
          <w:szCs w:val="14"/>
          <w:color w:val="auto"/>
        </w:rPr>
        <w:t>7KH568DZDUGDJUHHPHQWVDSSOLFDEOHWRWKH568VJUDQWHGLQDQGSURYLGHIRUYHVWLQJFRQWLQXDWLRQRU SRWHQWLDOYHVWLQJDFFHOHUDWLRQXSRQDQH[HFXWLYH¶VGHDWKGLVDELOLW\RUUHWLUHPHQW,IDQ1(2¶VFRQWLQXRXVVHUYLFHWHUPLQDWHV GXHWRGHDWKVXFKYHVWLQJRIWKH568VZLOOEHDFFHOHUDWHGLQIXOOHIIHFWLYHDVRIWKHGDWHRIVXFKWHUPLQDWLRQ,IDQ1(2¶V FRQWLQXRXVVHUYLFHWHUPLQDWHVGXHWRGLVDELOLW\WKH1(2¶VXQYHVWHG568VZLOOFRQWLQXHWRYHVWSXUVXDQWWRWKHRULJLQDOYHVWLQJ VFKHGXOHDVSURYLGHGLQWKH568DZDUGJUDQWQRWLFH,IRQRUDIWHUWKHILUVWDQQLYHUVDU\RIWKHGDWHRIJUDQWRIVXFK568VWKH 1(2¶VFRQWLQXRXVVHUYLFHWHUPLQDWHVGXHWRWKH1(2¶V5HJXODU5HWLUHPHQWRU1(2¶V/RQJ6HUYLFH5HWLUHPHQWHDFKDV GHILQHGEHORZWKHQSURYLGHGWKDWLWKH1(2KDVJLYHQRXU&amp;RPSDQ\DWOHDVWIRXUPRQWKVDGYDQFHZULWWHQQRWLFHRIWKH 1(2¶VLQWHQWLRQWRWHUPLQDWHKLVRUKHUFRQWLQXRXVVHUYLFHDQGLLWKH1(2H[HFXWHVDQGGHOLYHUVDQRQVROLFLWDWLRQDJUHHPHQW VDWLVIDFWRU\WRRXU&amp;RPSDQ\WKDWZLOODSSO\IRUDSHULRGRIPRQWKVDIWHUWKHWHUPLQDWLRQGDWHWKHQWKH568VZLOOEHWUHDWHG DVIROORZV</w:t>
      </w:r>
    </w:p>
    <w:p>
      <w:pPr>
        <w:spacing w:after="0" w:line="105" w:lineRule="exact"/>
        <w:rPr>
          <w:sz w:val="20"/>
          <w:szCs w:val="20"/>
          <w:color w:val="auto"/>
        </w:rPr>
      </w:pPr>
    </w:p>
    <w:p>
      <w:pPr>
        <w:ind w:left="360" w:right="100" w:hanging="359"/>
        <w:spacing w:after="0" w:line="353" w:lineRule="auto"/>
        <w:tabs>
          <w:tab w:leader="none" w:pos="340" w:val="left"/>
        </w:tabs>
        <w:rPr>
          <w:sz w:val="20"/>
          <w:szCs w:val="20"/>
          <w:color w:val="auto"/>
        </w:rPr>
      </w:pPr>
      <w:r>
        <w:rPr>
          <w:rFonts w:ascii="PMingLiU" w:cs="PMingLiU" w:eastAsia="PMingLiU" w:hAnsi="PMingLiU"/>
          <w:sz w:val="14"/>
          <w:szCs w:val="14"/>
          <w:color w:val="auto"/>
        </w:rPr>
        <w:t/>
        <w:tab/>
        <w:t>,QWKHFDVHRIDQ1(2¶V5HJXODU5HWLUHPHQWDSURUDWDSRUWLRQRIHDFKXQYHVWHGWUDQFKHRI568VZLOOFRQWLQXHWRYHVW SXUVXDQWWRWKHRULJLQDOYHVWLQJVFKHGXOHDVSURYLGHGLQWKHJUDQWQRWLFH)RUHDFKVXFKXQYHVWHGWUDQFKHRIWKH568V VXFKSURUDWDSRUWLRQZLOOEHGHWHUPLQHGE\UHIHUHQFHWRWKHQXPEHURI568VLQVXFKXQYHVWHGWUDQFKHRIWKHDZDUG PXOWLSOLHGE\WKHUDWLRRI[WKHQXPEHURIFDOHQGDUGD\VWKDWKDYHHODSVHGIURPWKHYHVWLQJFRPPHQFHPHQWGDWHWKURXJK WKHGDWHRIDQ1(2¶VWHUPLQDWLRQRIFRQWLQXRXVVHUYLFHGLYLGHGE\\WKHWRWDOQXPEHURIFDOHQGDUGD\VLQVXFKYHVWLQJ WUDQFKHZKLFKIRUFODULW\ZLOOEHHTXDOWRWKHQXPEHURIFDOHQGDUGD\VWKDWKDYHHODSVHGIURPWKHYHVWLQJ FRPPHQFHPHQWGDWHWKURXJKWKHYHVWLQJGDWHIRUVXFKWUDQFKHDQGURXQGHGGRZQWRWKHQHDUHVWZKROH568)RU SXUSRVHVRIWKHIRUHJRLQJ³5HJXODU5HWLUHPHQW´PHDQVDQ1(2¶VYROXQWDU\WHUPLQDWLRQRIFRQWLQXRXVVHUYLFHXQOHVV FLUFXPVWDQFHVH[LVWDWWKHWLPHRIVXFKWHUPLQDWLRQWKDWZRXOGFRQVWLWXWHFDXVHIROORZLQJDWKH1(2¶VFRPSOHWLRQRIILYH \HDUVRIFRQWLQXRXVVHUYLFHDQGEWKH1(2¶VDWWDLQPHQWRIDJH</w:t>
      </w:r>
    </w:p>
    <w:p>
      <w:pPr>
        <w:spacing w:after="0" w:line="45" w:lineRule="exact"/>
        <w:rPr>
          <w:sz w:val="20"/>
          <w:szCs w:val="20"/>
          <w:color w:val="auto"/>
        </w:rPr>
      </w:pPr>
    </w:p>
    <w:p>
      <w:pPr>
        <w:ind w:left="360" w:right="280" w:hanging="359"/>
        <w:spacing w:after="0" w:line="376" w:lineRule="auto"/>
        <w:tabs>
          <w:tab w:leader="none" w:pos="340" w:val="left"/>
        </w:tabs>
        <w:rPr>
          <w:sz w:val="20"/>
          <w:szCs w:val="20"/>
          <w:color w:val="auto"/>
        </w:rPr>
      </w:pPr>
      <w:r>
        <w:rPr>
          <w:rFonts w:ascii="PMingLiU" w:cs="PMingLiU" w:eastAsia="PMingLiU" w:hAnsi="PMingLiU"/>
          <w:sz w:val="14"/>
          <w:szCs w:val="14"/>
          <w:color w:val="auto"/>
        </w:rPr>
        <w:t/>
        <w:tab/>
        <w:t>,QWKHFDVHRIWKH1(2¶V/RQJ6HUYLFH5HWLUHPHQWDOORIWKH1(2¶VXQYHVWHG568VZLOOFRQWLQXHWRYHVWSXUVXDQWWRWKH RULJLQDOYHVWLQJVFKHGXOHDVSURYLGHGLQWKHJUDQWQRWLFH)RUSXUSRVHVRIWKH$ZDUG³/RQJ6HUYLFH5HWLUHPHQW´PHDQV DQ1(2¶VYROXQWDU\WHUPLQDWLRQRIFRQWLQXRXVVHUYLFHXQOHVVFLUFXPVWDQFHVH[LVWDWWKHWLPHRIVXFKWHUPLQDWLRQWKDW ZRXOGFRQVWLWXWHFDXVHIROORZLQJDWKH1(2¶VFRPSOHWLRQRI\HDUVRIFRQWLQXRXVVHUYLFHDQGEWKH1(2¶V DWWDLQPHQWRIDJH</w:t>
      </w:r>
    </w:p>
    <w:p>
      <w:pPr>
        <w:spacing w:after="0" w:line="37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7UHDWPHQWRIDQG368V</w:t>
      </w:r>
    </w:p>
    <w:p>
      <w:pPr>
        <w:spacing w:after="0" w:line="191" w:lineRule="exact"/>
        <w:rPr>
          <w:sz w:val="20"/>
          <w:szCs w:val="20"/>
          <w:color w:val="auto"/>
        </w:rPr>
      </w:pPr>
    </w:p>
    <w:p>
      <w:pPr>
        <w:ind w:right="40"/>
        <w:spacing w:after="0" w:line="352" w:lineRule="auto"/>
        <w:rPr>
          <w:sz w:val="20"/>
          <w:szCs w:val="20"/>
          <w:color w:val="auto"/>
        </w:rPr>
      </w:pPr>
      <w:r>
        <w:rPr>
          <w:rFonts w:ascii="PMingLiU" w:cs="PMingLiU" w:eastAsia="PMingLiU" w:hAnsi="PMingLiU"/>
          <w:sz w:val="14"/>
          <w:szCs w:val="14"/>
          <w:color w:val="auto"/>
        </w:rPr>
        <w:t>7KH368DZDUGDJUHHPHQWVDSSOLFDEOHWRWKH368VJUDQWHGLQDQGSURYLGHIRUYHVWLQJVFKHGXOHDGMXVWPHQWV RUYHVWLQJDFFHOHUDWLRQEHQHILWVXSRQFHUWDLQWHUPLQDWLRQDQG&amp;,&amp;HYHQWV,ID&amp;,&amp;RFFXUVSULRUWRWKHODVWGD\RIWKH SHUIRUPDQFHSHULRGDQGLIWKHDZDUGLVDVVXPHGRUFRQWLQXHGRUVXEVWLWXWHGZLWKDVLPLODUVWRFNDZDUGLQFRQQHFWLRQZLWKVXFK &amp;,&amp;WKHQWKHYHVWLQJVFKHGXOHRIWKHDZDUGZLOOEHUHYLVHGLQDPDQQHUDVWKRXJKWKHJUHDWHURILWKHQXPEHURIWDUJHW368V DQGLLWKHQXPEHURIFHUWLILHG368VDVGHWHUPLQHGLQDFFRUGDQFHZLWKWKHDZDUGDJUHHPHQWKDGEHHQVXEMHFWVROHO\WRD YHVWLQJVFKHGXOHSXUVXDQWWRZKLFKWKH&amp;,&amp;368VZRXOGKDYHYHVWHGRQWKHODVWGD\RIWKHSHUIRUPDQFHSHULRGVXEMHFWWRWKH 1(2¶VFRQWLQXRXVVHUYLFHWKURXJKVXFKGDWH,QWKHHYHQWDQ1(2¶VVHUYLFHUHODWLRQVKLSZLWKXVRUDVXFFHVVRUHQWLW\LV WHUPLQDWHGGXHWRDQLQYROXQWDU\WHUPLQDWLRQZLWKRXWFDXVHDQGRWKHUWKDQGXHWRGHDWKRUGLVDELOLW\ZLWKLQPRQWKV IROORZLQJRURQHPRQWKSULRUWRWKHHIIHFWLYHGDWHRID&amp;,&amp;DQGLQHDFKFDVHSULRUWRWKHODVWGD\RIWKHSHUIRUPDQFHSHULRG WKH&amp;,&amp;368VZLOOEHFRPHYHVWHG,IWKH1(2H[SHULHQFHVDQLQYROXQWDU\WHUPLQDWLRQZLWKRXWFDXVHRUDFRQVWUXFWLYH WHUPLQDWLRQSXUVXDQWWRWKH&amp;,&amp;3ODQSULRUWRWKHODVWGD\RIWKHSHUIRUPDQFHSHULRGWKH&amp;,&amp;368VZLOOEHFRPHYHVWHG</w:t>
      </w:r>
    </w:p>
    <w:p>
      <w:pPr>
        <w:spacing w:after="0" w:line="105" w:lineRule="exact"/>
        <w:rPr>
          <w:sz w:val="20"/>
          <w:szCs w:val="20"/>
          <w:color w:val="auto"/>
        </w:rPr>
      </w:pPr>
    </w:p>
    <w:p>
      <w:pPr>
        <w:spacing w:after="0" w:line="319" w:lineRule="auto"/>
        <w:rPr>
          <w:sz w:val="20"/>
          <w:szCs w:val="20"/>
          <w:color w:val="auto"/>
        </w:rPr>
      </w:pPr>
      <w:r>
        <w:rPr>
          <w:rFonts w:ascii="PMingLiU" w:cs="PMingLiU" w:eastAsia="PMingLiU" w:hAnsi="PMingLiU"/>
          <w:sz w:val="15"/>
          <w:szCs w:val="15"/>
          <w:color w:val="auto"/>
        </w:rPr>
        <w:t>,QDGGLWLRQLIWKH1(2¶VFRQWLQXRXVVHUYLFHWHUPLQDWHVSULRUWRWKHODVWGD\RIWKHSHUIRUPDQFHSHULRGGXHWRGHDWKWKHQ DQXPEHURI368VZLOOEHFRPHYHVWHGLQDQDPRXQWHTXDOWRLWKHQXPEHURIWDUJHW368VPXOWLSOLHGE\LLDUDWLRWKH QXPHUDWRURIZKLFKLVWKHQXPEHURIFDOHQGDUGD\VGXULQJWKHSHUIRUPDQFHSHULRGWKDWWKH1(2ZDVLQFRQWLQXRXVVHUYLFHDQG WKHGHQRPLQDWRURIZKLFKLVWKHWRWDOQXPEHURIFDOHQGDUGD\VLQWKHSHUIRUPDQFHSHULRGZLWKWKHUHVXOWLQJQXPEHUURXQGHGXS WRWKHQHDUHVWZKROH368,IWKH1(2¶VFRQWLQXRXVVHUYLFHWHUPLQDWHVSULRUWRWKHODVWGD\RIWKHSHUIRUPDQFHSHULRGGXHWR WKH1(2¶VGLVDELOLW\RUUHWLUHPHQWDVGHILQHGLQWKH368DZDUGDJUHHPHQWWKHQHIIHFWLYHDVRIWKHYHVWLQJGDWHDQXPEHU RI368VZLOOEHFRPHYHVWHGLQDQDPRXQWHTXDOWRLWKHQXPEHURIFHUWLILHG368VGHWHUPLQHGLQDFFRUGDQFHZLWKWKHDZDUG DJUHHPHQWPXOWLSOLHGE\LLDUDWLRWKHQXPHUDWRURIZKLFKLVWKHQXPEHURIFDOHQGDUGD\VGXULQJWKHSHUIRUPDQFHSHULRGWKDW WKH1(2ZDVLQFRQWLQXRXVVHUYLFHDQGWKHGHQRPLQDWRURIZKLFKLVWKHWRWDOQXPEHURIFDOHQGDUGD\VLQWKHSHUIRUPDQFH SHULRGZLWKWKHUHVXOWLQJQXPEHUURXQGHGXSWRWKHQHDUHVWZKROH368:LWKUHVSHFWWRWKH368VWKHSHUIRUPDQFH</w:t>
      </w:r>
    </w:p>
    <w:p>
      <w:pPr>
        <w:spacing w:after="0" w:line="3" w:lineRule="exact"/>
        <w:rPr>
          <w:sz w:val="20"/>
          <w:szCs w:val="20"/>
          <w:color w:val="auto"/>
        </w:rPr>
      </w:pPr>
    </w:p>
    <w:p>
      <w:pPr>
        <w:jc w:val="both"/>
        <w:ind w:right="40"/>
        <w:spacing w:after="0" w:line="785" w:lineRule="auto"/>
        <w:rPr>
          <w:sz w:val="20"/>
          <w:szCs w:val="20"/>
          <w:color w:val="auto"/>
        </w:rPr>
      </w:pPr>
      <w:r>
        <w:rPr>
          <w:rFonts w:ascii="PMingLiU" w:cs="PMingLiU" w:eastAsia="PMingLiU" w:hAnsi="PMingLiU"/>
          <w:sz w:val="14"/>
          <w:szCs w:val="14"/>
          <w:color w:val="auto"/>
        </w:rPr>
        <w:t>SHULRGIRUSXUSRVHVRIGHWHUPLQLQJWKHSURUDWHGQXPEHURI368VWKDWZLOOYHVWXSRQGHDWKGLVDELOLW\RUUHWLUHPHQWDVGHVFULEHG LQWKLVSDUDJUDSKPHDQVWKHSHULRGFRPPHQFLQJRQDQGLQFOXGLQJ-DQXDU\DQGHQGLQJRQDQGLQFOXGLQJ'HFHPEHU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22225</wp:posOffset>
            </wp:positionV>
            <wp:extent cx="1386840" cy="2336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36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4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40"/>
          </w:cols>
          <w:pgMar w:left="900" w:top="377" w:right="839" w:bottom="0" w:gutter="0" w:footer="0" w:header="0"/>
        </w:sectPr>
      </w:pPr>
    </w:p>
    <w:bookmarkStart w:id="99" w:name="page100"/>
    <w:bookmarkEnd w:id="9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05" o:spid="_x0000_s1530"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3RWHQWLDO3D\PHQWVXSRQ7HUPLQDWLRQRU&amp;KDQJHLQ&amp;RQWURO7DEOH</w:t>
      </w:r>
    </w:p>
    <w:p>
      <w:pPr>
        <w:spacing w:after="0" w:line="191"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7KHIROORZLQJWDEOHHVWLPDWHVWKHSRWHQWLDOVHYHUDQFHSD\PHQWVDQGEHQHILWVXQGHUWKH&amp;,&amp;3ODQDQG6HYHUDQFH3ODQDV DSSOLFDEOHWRZKLFKWKH1(2VZRXOGKDYHEHHQHQWLWOHGLQFRQQHFWLRQZLWKVSHFLILHGWHUPLQDWLRQHYHQWVFDOFXODWHGDVLIHDFK 1(2¶VHPSOR\PHQWKDGWHUPLQDWHGDVRI'HFHPEHUZKLFKZDVWKHODVWEXVLQHVVGD\RI(DFKRIWKH1(2VLQ</w:t>
      </w:r>
    </w:p>
    <w:p>
      <w:pPr>
        <w:ind w:right="20"/>
        <w:spacing w:after="0" w:line="359" w:lineRule="auto"/>
        <w:rPr>
          <w:sz w:val="20"/>
          <w:szCs w:val="20"/>
          <w:color w:val="auto"/>
        </w:rPr>
      </w:pPr>
      <w:r>
        <w:rPr>
          <w:rFonts w:ascii="PMingLiU" w:cs="PMingLiU" w:eastAsia="PMingLiU" w:hAnsi="PMingLiU"/>
          <w:sz w:val="14"/>
          <w:szCs w:val="14"/>
          <w:color w:val="auto"/>
        </w:rPr>
        <w:t>RWKHUWKDQ0V*DODDQG0U&amp;R]DGGZHUHHOLJLEOHWRUHFHLYHFHUWDLQVHYHUDQFHEHQHILWVSXUVXDQWWRWKH6HYHUDQFH3ODQ XSRQDQLQYROXQWDU\WHUPLQDWLRQZLWKRXWFDXVHWKDWRFFXUUHGRQRUDIWHU$SULODQGWKDWGLGQRWRFFXUXSRQRUZLWKLQ PRQWKVIROORZLQJD&amp;,&amp;,QDGGLWLRQWKHWDEOHVHWVIRUWKWKHDPRXQWVWRZKLFKWKH1(2VZRXOGKDYHEHHQHQWLWOHGXQGHUWKH 3ODQLIXSRQDFRUSRUDWHWUDQVDFWLRQRU&amp;,&amp;WUDQVDFWLRQRXU%RDUGKDGH[HUFLVHGLWVGLVFUHWLRQWRDFFHOHUDWHWKHYHVWLQJ DQGH[HUFLVDELOLW\RIVWRFNRSWLRQVDQGWKHYHVWLQJRI368DZDUGVDQG568DZDUGVDQGVXFKHYHQWKDGRFFXUUHGRQ 'HFHPEHU7KHWDEOHDOVRUHIOHFWVDPRXQWVUHODWLQJWRSRWHQWLDOYHVWLQJDFFHOHUDWLRQRIWKHDQG 368DZDUGVDQG568DZDUGVDVGHVFULEHGDERYH</w:t>
      </w:r>
    </w:p>
    <w:p>
      <w:pPr>
        <w:spacing w:after="0" w:line="98" w:lineRule="exact"/>
        <w:rPr>
          <w:sz w:val="20"/>
          <w:szCs w:val="20"/>
          <w:color w:val="auto"/>
        </w:rPr>
      </w:pPr>
    </w:p>
    <w:p>
      <w:pPr>
        <w:spacing w:after="0" w:line="376" w:lineRule="auto"/>
        <w:rPr>
          <w:sz w:val="20"/>
          <w:szCs w:val="20"/>
          <w:color w:val="auto"/>
        </w:rPr>
      </w:pPr>
      <w:r>
        <w:rPr>
          <w:rFonts w:ascii="PMingLiU" w:cs="PMingLiU" w:eastAsia="PMingLiU" w:hAnsi="PMingLiU"/>
          <w:sz w:val="14"/>
          <w:szCs w:val="14"/>
          <w:color w:val="auto"/>
        </w:rPr>
        <w:t>7KHUHDUHQRRWKHUDJUHHPHQWVDUUDQJHPHQWVRUSODQVWKDWHQWLWOHDQ\1(2VWRVHYHUDQFHSHUTXLVLWHVRURWKHUEHQHILWVXSRQ WHUPLQDWLRQRIHPSOR\PHQWRUD&amp;,&amp;DVRI'HFHPEHU)RUSXUSRVHVRIWKHWDEOHEHORZZHKDYHDVVXPHGWKDWQRQH RIWKHSRWHQWLDOVHYHUDQFHEHQHILWVSD\DEOHXQGHUWKH&amp;,&amp;3ODQRU6HYHUDQFH3ODQZRXOGEHVXEMHFWWRWKHH[FLVHWD[LPSRVHG E\6HFWLRQRIWKH&amp;RGHDQGWKHUHIRUHZRXOGQRWEHUHGXFHGLQDFFRUGDQFHZLWKWKHWHUPVRIWKH&amp;,&amp;3ODQDQG6HYHUDQFH 3ODQDVDSSOLFDEOH</w:t>
      </w:r>
    </w:p>
    <w:p>
      <w:pPr>
        <w:spacing w:after="0" w:line="374"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3RWHQWLDO3D\PHQWV8SRQ7HUPLQDWLRQRU&amp;KDQJHLQ&amp;RQWURODVRI'HFHPEHU</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00" w:type="dxa"/>
            <w:vAlign w:val="bottom"/>
            <w:shd w:val="clear" w:color="auto" w:fill="000046"/>
          </w:tcPr>
          <w:p>
            <w:pPr>
              <w:spacing w:after="0"/>
              <w:rPr>
                <w:sz w:val="22"/>
                <w:szCs w:val="22"/>
                <w:color w:val="auto"/>
              </w:rPr>
            </w:pPr>
          </w:p>
        </w:tc>
        <w:tc>
          <w:tcPr>
            <w:tcW w:w="2660" w:type="dxa"/>
            <w:vAlign w:val="bottom"/>
            <w:shd w:val="clear" w:color="auto" w:fill="000046"/>
          </w:tcPr>
          <w:p>
            <w:pPr>
              <w:spacing w:after="0"/>
              <w:rPr>
                <w:sz w:val="22"/>
                <w:szCs w:val="22"/>
                <w:color w:val="auto"/>
              </w:rPr>
            </w:pPr>
          </w:p>
        </w:tc>
        <w:tc>
          <w:tcPr>
            <w:tcW w:w="17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,QYROXQWDU\</w:t>
            </w:r>
          </w:p>
        </w:tc>
        <w:tc>
          <w:tcPr>
            <w:tcW w:w="1060" w:type="dxa"/>
            <w:vAlign w:val="bottom"/>
            <w:shd w:val="clear" w:color="auto" w:fill="000046"/>
          </w:tcPr>
          <w:p>
            <w:pPr>
              <w:spacing w:after="0"/>
              <w:rPr>
                <w:sz w:val="22"/>
                <w:szCs w:val="22"/>
                <w:color w:val="auto"/>
              </w:rPr>
            </w:pPr>
          </w:p>
        </w:tc>
        <w:tc>
          <w:tcPr>
            <w:tcW w:w="880" w:type="dxa"/>
            <w:vAlign w:val="bottom"/>
            <w:shd w:val="clear" w:color="auto" w:fill="000046"/>
          </w:tcPr>
          <w:p>
            <w:pPr>
              <w:spacing w:after="0"/>
              <w:rPr>
                <w:sz w:val="22"/>
                <w:szCs w:val="22"/>
                <w:color w:val="auto"/>
              </w:rPr>
            </w:pPr>
          </w:p>
        </w:tc>
        <w:tc>
          <w:tcPr>
            <w:tcW w:w="880" w:type="dxa"/>
            <w:vAlign w:val="bottom"/>
            <w:shd w:val="clear" w:color="auto" w:fill="000046"/>
          </w:tcPr>
          <w:p>
            <w:pPr>
              <w:spacing w:after="0"/>
              <w:rPr>
                <w:sz w:val="22"/>
                <w:szCs w:val="22"/>
                <w:color w:val="auto"/>
              </w:rPr>
            </w:pPr>
          </w:p>
        </w:tc>
        <w:tc>
          <w:tcPr>
            <w:tcW w:w="900" w:type="dxa"/>
            <w:vAlign w:val="bottom"/>
            <w:shd w:val="clear" w:color="auto" w:fill="000046"/>
          </w:tcPr>
          <w:p>
            <w:pPr>
              <w:spacing w:after="0"/>
              <w:rPr>
                <w:sz w:val="22"/>
                <w:szCs w:val="22"/>
                <w:color w:val="auto"/>
              </w:rPr>
            </w:pPr>
          </w:p>
        </w:tc>
        <w:tc>
          <w:tcPr>
            <w:tcW w:w="1020" w:type="dxa"/>
            <w:vAlign w:val="bottom"/>
            <w:vMerge w:val="restart"/>
            <w:shd w:val="clear" w:color="auto" w:fill="000046"/>
          </w:tcPr>
          <w:p>
            <w:pPr>
              <w:jc w:val="right"/>
              <w:ind w:right="5"/>
              <w:spacing w:after="0"/>
              <w:rPr>
                <w:sz w:val="20"/>
                <w:szCs w:val="20"/>
                <w:color w:val="auto"/>
              </w:rPr>
            </w:pPr>
            <w:r>
              <w:rPr>
                <w:rFonts w:ascii="PMingLiU" w:cs="PMingLiU" w:eastAsia="PMingLiU" w:hAnsi="PMingLiU"/>
                <w:sz w:val="15"/>
                <w:szCs w:val="15"/>
                <w:b w:val="1"/>
                <w:bCs w:val="1"/>
                <w:color w:val="FFFFFF"/>
                <w:w w:val="90"/>
              </w:rPr>
              <w:t>,QYROXQWDU\</w:t>
            </w:r>
          </w:p>
        </w:tc>
        <w:tc>
          <w:tcPr>
            <w:tcW w:w="0" w:type="dxa"/>
            <w:vAlign w:val="bottom"/>
          </w:tcPr>
          <w:p>
            <w:pPr>
              <w:spacing w:after="0"/>
              <w:rPr>
                <w:sz w:val="1"/>
                <w:szCs w:val="1"/>
                <w:color w:val="auto"/>
              </w:rPr>
            </w:pPr>
          </w:p>
        </w:tc>
      </w:tr>
      <w:tr>
        <w:trPr>
          <w:trHeight w:val="182"/>
        </w:trPr>
        <w:tc>
          <w:tcPr>
            <w:tcW w:w="900" w:type="dxa"/>
            <w:vAlign w:val="bottom"/>
            <w:shd w:val="clear" w:color="auto" w:fill="000046"/>
          </w:tcPr>
          <w:p>
            <w:pPr>
              <w:spacing w:after="0"/>
              <w:rPr>
                <w:sz w:val="15"/>
                <w:szCs w:val="15"/>
                <w:color w:val="auto"/>
              </w:rPr>
            </w:pPr>
          </w:p>
        </w:tc>
        <w:tc>
          <w:tcPr>
            <w:tcW w:w="2660" w:type="dxa"/>
            <w:vAlign w:val="bottom"/>
            <w:shd w:val="clear" w:color="auto" w:fill="000046"/>
          </w:tcPr>
          <w:p>
            <w:pPr>
              <w:spacing w:after="0"/>
              <w:rPr>
                <w:sz w:val="15"/>
                <w:szCs w:val="15"/>
                <w:color w:val="auto"/>
              </w:rPr>
            </w:pPr>
          </w:p>
        </w:tc>
        <w:tc>
          <w:tcPr>
            <w:tcW w:w="17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w w:val="98"/>
              </w:rPr>
              <w:t>7HUPLQDWLRQ:LWKRXW</w:t>
            </w:r>
          </w:p>
        </w:tc>
        <w:tc>
          <w:tcPr>
            <w:tcW w:w="1060" w:type="dxa"/>
            <w:vAlign w:val="bottom"/>
            <w:shd w:val="clear" w:color="auto" w:fill="000046"/>
          </w:tcPr>
          <w:p>
            <w:pPr>
              <w:spacing w:after="0"/>
              <w:rPr>
                <w:sz w:val="15"/>
                <w:szCs w:val="15"/>
                <w:color w:val="auto"/>
              </w:rPr>
            </w:pPr>
          </w:p>
        </w:tc>
        <w:tc>
          <w:tcPr>
            <w:tcW w:w="880" w:type="dxa"/>
            <w:vAlign w:val="bottom"/>
            <w:shd w:val="clear" w:color="auto" w:fill="000046"/>
          </w:tcPr>
          <w:p>
            <w:pPr>
              <w:spacing w:after="0"/>
              <w:rPr>
                <w:sz w:val="15"/>
                <w:szCs w:val="15"/>
                <w:color w:val="auto"/>
              </w:rPr>
            </w:pPr>
          </w:p>
        </w:tc>
        <w:tc>
          <w:tcPr>
            <w:tcW w:w="880" w:type="dxa"/>
            <w:vAlign w:val="bottom"/>
            <w:shd w:val="clear" w:color="auto" w:fill="000046"/>
          </w:tcPr>
          <w:p>
            <w:pPr>
              <w:spacing w:after="0"/>
              <w:rPr>
                <w:sz w:val="15"/>
                <w:szCs w:val="15"/>
                <w:color w:val="auto"/>
              </w:rPr>
            </w:pPr>
          </w:p>
        </w:tc>
        <w:tc>
          <w:tcPr>
            <w:tcW w:w="900" w:type="dxa"/>
            <w:vAlign w:val="bottom"/>
            <w:shd w:val="clear" w:color="auto" w:fill="000046"/>
          </w:tcPr>
          <w:p>
            <w:pPr>
              <w:spacing w:after="0"/>
              <w:rPr>
                <w:sz w:val="15"/>
                <w:szCs w:val="15"/>
                <w:color w:val="auto"/>
              </w:rPr>
            </w:pPr>
          </w:p>
        </w:tc>
        <w:tc>
          <w:tcPr>
            <w:tcW w:w="1020" w:type="dxa"/>
            <w:vAlign w:val="bottom"/>
            <w:vMerge w:val="continue"/>
            <w:shd w:val="clear" w:color="auto" w:fill="00004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shd w:val="clear" w:color="auto" w:fill="000046"/>
          </w:tcPr>
          <w:p>
            <w:pPr>
              <w:spacing w:after="0"/>
              <w:rPr>
                <w:sz w:val="15"/>
                <w:szCs w:val="15"/>
                <w:color w:val="auto"/>
              </w:rPr>
            </w:pPr>
          </w:p>
        </w:tc>
        <w:tc>
          <w:tcPr>
            <w:tcW w:w="2660" w:type="dxa"/>
            <w:vAlign w:val="bottom"/>
            <w:shd w:val="clear" w:color="auto" w:fill="000046"/>
          </w:tcPr>
          <w:p>
            <w:pPr>
              <w:spacing w:after="0"/>
              <w:rPr>
                <w:sz w:val="15"/>
                <w:szCs w:val="15"/>
                <w:color w:val="auto"/>
              </w:rPr>
            </w:pPr>
          </w:p>
        </w:tc>
        <w:tc>
          <w:tcPr>
            <w:tcW w:w="17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w w:val="87"/>
              </w:rPr>
              <w:t>&amp;DXVHRU&amp;RQVWUXFWLYH</w:t>
            </w:r>
          </w:p>
        </w:tc>
        <w:tc>
          <w:tcPr>
            <w:tcW w:w="106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&amp;HUWDLQ</w:t>
            </w:r>
          </w:p>
        </w:tc>
        <w:tc>
          <w:tcPr>
            <w:tcW w:w="880" w:type="dxa"/>
            <w:vAlign w:val="bottom"/>
            <w:shd w:val="clear" w:color="auto" w:fill="000046"/>
          </w:tcPr>
          <w:p>
            <w:pPr>
              <w:spacing w:after="0"/>
              <w:rPr>
                <w:sz w:val="15"/>
                <w:szCs w:val="15"/>
                <w:color w:val="auto"/>
              </w:rPr>
            </w:pPr>
          </w:p>
        </w:tc>
        <w:tc>
          <w:tcPr>
            <w:tcW w:w="880" w:type="dxa"/>
            <w:vAlign w:val="bottom"/>
            <w:shd w:val="clear" w:color="auto" w:fill="000046"/>
          </w:tcPr>
          <w:p>
            <w:pPr>
              <w:spacing w:after="0"/>
              <w:rPr>
                <w:sz w:val="15"/>
                <w:szCs w:val="15"/>
                <w:color w:val="auto"/>
              </w:rPr>
            </w:pPr>
          </w:p>
        </w:tc>
        <w:tc>
          <w:tcPr>
            <w:tcW w:w="900" w:type="dxa"/>
            <w:vAlign w:val="bottom"/>
            <w:shd w:val="clear" w:color="auto" w:fill="000046"/>
          </w:tcPr>
          <w:p>
            <w:pPr>
              <w:spacing w:after="0"/>
              <w:rPr>
                <w:sz w:val="15"/>
                <w:szCs w:val="15"/>
                <w:color w:val="auto"/>
              </w:rPr>
            </w:pPr>
          </w:p>
        </w:tc>
        <w:tc>
          <w:tcPr>
            <w:tcW w:w="1020" w:type="dxa"/>
            <w:vAlign w:val="bottom"/>
            <w:shd w:val="clear" w:color="auto" w:fill="000046"/>
          </w:tcPr>
          <w:p>
            <w:pPr>
              <w:jc w:val="right"/>
              <w:ind w:right="5"/>
              <w:spacing w:after="0"/>
              <w:rPr>
                <w:sz w:val="20"/>
                <w:szCs w:val="20"/>
                <w:color w:val="auto"/>
              </w:rPr>
            </w:pPr>
            <w:r>
              <w:rPr>
                <w:rFonts w:ascii="PMingLiU" w:cs="PMingLiU" w:eastAsia="PMingLiU" w:hAnsi="PMingLiU"/>
                <w:sz w:val="15"/>
                <w:szCs w:val="15"/>
                <w:b w:val="1"/>
                <w:bCs w:val="1"/>
                <w:color w:val="FFFFFF"/>
                <w:w w:val="87"/>
              </w:rPr>
              <w:t>7HUPLQDWLRQ</w:t>
            </w:r>
          </w:p>
        </w:tc>
        <w:tc>
          <w:tcPr>
            <w:tcW w:w="0" w:type="dxa"/>
            <w:vAlign w:val="bottom"/>
          </w:tcPr>
          <w:p>
            <w:pPr>
              <w:spacing w:after="0"/>
              <w:rPr>
                <w:sz w:val="1"/>
                <w:szCs w:val="1"/>
                <w:color w:val="auto"/>
              </w:rPr>
            </w:pPr>
          </w:p>
        </w:tc>
      </w:tr>
      <w:tr>
        <w:trPr>
          <w:trHeight w:val="182"/>
        </w:trPr>
        <w:tc>
          <w:tcPr>
            <w:tcW w:w="900" w:type="dxa"/>
            <w:vAlign w:val="bottom"/>
            <w:shd w:val="clear" w:color="auto" w:fill="000046"/>
          </w:tcPr>
          <w:p>
            <w:pPr>
              <w:spacing w:after="0"/>
              <w:rPr>
                <w:sz w:val="15"/>
                <w:szCs w:val="15"/>
                <w:color w:val="auto"/>
              </w:rPr>
            </w:pPr>
          </w:p>
        </w:tc>
        <w:tc>
          <w:tcPr>
            <w:tcW w:w="2660" w:type="dxa"/>
            <w:vAlign w:val="bottom"/>
            <w:shd w:val="clear" w:color="auto" w:fill="000046"/>
          </w:tcPr>
          <w:p>
            <w:pPr>
              <w:spacing w:after="0"/>
              <w:rPr>
                <w:sz w:val="15"/>
                <w:szCs w:val="15"/>
                <w:color w:val="auto"/>
              </w:rPr>
            </w:pPr>
          </w:p>
        </w:tc>
        <w:tc>
          <w:tcPr>
            <w:tcW w:w="17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7HUPLQDWLRQLQ</w:t>
            </w:r>
          </w:p>
        </w:tc>
        <w:tc>
          <w:tcPr>
            <w:tcW w:w="106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&amp;RUSRUDWH</w:t>
            </w:r>
          </w:p>
        </w:tc>
        <w:tc>
          <w:tcPr>
            <w:tcW w:w="8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'HDWK</w:t>
            </w:r>
          </w:p>
        </w:tc>
        <w:tc>
          <w:tcPr>
            <w:tcW w:w="1780" w:type="dxa"/>
            <w:vAlign w:val="bottom"/>
            <w:gridSpan w:val="2"/>
            <w:shd w:val="clear" w:color="auto" w:fill="000046"/>
          </w:tcPr>
          <w:p>
            <w:pPr>
              <w:jc w:val="right"/>
              <w:spacing w:after="0"/>
              <w:rPr>
                <w:sz w:val="20"/>
                <w:szCs w:val="20"/>
                <w:color w:val="auto"/>
              </w:rPr>
            </w:pPr>
            <w:r>
              <w:rPr>
                <w:rFonts w:ascii="PMingLiU" w:cs="PMingLiU" w:eastAsia="PMingLiU" w:hAnsi="PMingLiU"/>
                <w:sz w:val="15"/>
                <w:szCs w:val="15"/>
                <w:b w:val="1"/>
                <w:bCs w:val="1"/>
                <w:color w:val="FFFFFF"/>
                <w:w w:val="91"/>
              </w:rPr>
              <w:t>'LVDELOLW\ 5HWLUHPHQW</w:t>
            </w:r>
          </w:p>
        </w:tc>
        <w:tc>
          <w:tcPr>
            <w:tcW w:w="1020" w:type="dxa"/>
            <w:vAlign w:val="bottom"/>
            <w:shd w:val="clear" w:color="auto" w:fill="000046"/>
          </w:tcPr>
          <w:p>
            <w:pPr>
              <w:jc w:val="right"/>
              <w:ind w:right="5"/>
              <w:spacing w:after="0"/>
              <w:rPr>
                <w:sz w:val="20"/>
                <w:szCs w:val="20"/>
                <w:color w:val="auto"/>
              </w:rPr>
            </w:pPr>
            <w:r>
              <w:rPr>
                <w:rFonts w:ascii="PMingLiU" w:cs="PMingLiU" w:eastAsia="PMingLiU" w:hAnsi="PMingLiU"/>
                <w:sz w:val="15"/>
                <w:szCs w:val="15"/>
                <w:b w:val="1"/>
                <w:bCs w:val="1"/>
                <w:color w:val="FFFFFF"/>
              </w:rPr>
              <w:t>:LWKRXW</w:t>
            </w:r>
          </w:p>
        </w:tc>
        <w:tc>
          <w:tcPr>
            <w:tcW w:w="0" w:type="dxa"/>
            <w:vAlign w:val="bottom"/>
          </w:tcPr>
          <w:p>
            <w:pPr>
              <w:spacing w:after="0"/>
              <w:rPr>
                <w:sz w:val="1"/>
                <w:szCs w:val="1"/>
                <w:color w:val="auto"/>
              </w:rPr>
            </w:pPr>
          </w:p>
        </w:tc>
      </w:tr>
      <w:tr>
        <w:trPr>
          <w:trHeight w:val="182"/>
        </w:trPr>
        <w:tc>
          <w:tcPr>
            <w:tcW w:w="900" w:type="dxa"/>
            <w:vAlign w:val="bottom"/>
            <w:shd w:val="clear" w:color="auto" w:fill="000046"/>
          </w:tcPr>
          <w:p>
            <w:pPr>
              <w:spacing w:after="0"/>
              <w:rPr>
                <w:sz w:val="15"/>
                <w:szCs w:val="15"/>
                <w:color w:val="auto"/>
              </w:rPr>
            </w:pPr>
          </w:p>
        </w:tc>
        <w:tc>
          <w:tcPr>
            <w:tcW w:w="2660" w:type="dxa"/>
            <w:vAlign w:val="bottom"/>
            <w:shd w:val="clear" w:color="auto" w:fill="000046"/>
          </w:tcPr>
          <w:p>
            <w:pPr>
              <w:spacing w:after="0"/>
              <w:rPr>
                <w:sz w:val="15"/>
                <w:szCs w:val="15"/>
                <w:color w:val="auto"/>
              </w:rPr>
            </w:pPr>
          </w:p>
        </w:tc>
        <w:tc>
          <w:tcPr>
            <w:tcW w:w="1780" w:type="dxa"/>
            <w:vAlign w:val="bottom"/>
            <w:shd w:val="clear" w:color="auto" w:fill="000046"/>
          </w:tcPr>
          <w:p>
            <w:pPr>
              <w:jc w:val="right"/>
              <w:ind w:right="4"/>
              <w:spacing w:after="0"/>
              <w:rPr>
                <w:sz w:val="20"/>
                <w:szCs w:val="20"/>
                <w:color w:val="auto"/>
              </w:rPr>
            </w:pPr>
            <w:r>
              <w:rPr>
                <w:rFonts w:ascii="PMingLiU" w:cs="PMingLiU" w:eastAsia="PMingLiU" w:hAnsi="PMingLiU"/>
                <w:sz w:val="15"/>
                <w:szCs w:val="15"/>
                <w:b w:val="1"/>
                <w:bCs w:val="1"/>
                <w:color w:val="FFFFFF"/>
                <w:w w:val="95"/>
              </w:rPr>
              <w:t>&amp;RQQHFWLRQZLWKD&amp;,&amp;</w:t>
            </w:r>
          </w:p>
        </w:tc>
        <w:tc>
          <w:tcPr>
            <w:tcW w:w="1060" w:type="dxa"/>
            <w:vAlign w:val="bottom"/>
            <w:shd w:val="clear" w:color="auto" w:fill="000046"/>
          </w:tcPr>
          <w:p>
            <w:pPr>
              <w:jc w:val="right"/>
              <w:ind w:right="6"/>
              <w:spacing w:after="0"/>
              <w:rPr>
                <w:sz w:val="20"/>
                <w:szCs w:val="20"/>
                <w:color w:val="auto"/>
              </w:rPr>
            </w:pPr>
            <w:r>
              <w:rPr>
                <w:rFonts w:ascii="PMingLiU" w:cs="PMingLiU" w:eastAsia="PMingLiU" w:hAnsi="PMingLiU"/>
                <w:sz w:val="15"/>
                <w:szCs w:val="15"/>
                <w:b w:val="1"/>
                <w:bCs w:val="1"/>
                <w:color w:val="FFFFFF"/>
                <w:w w:val="81"/>
              </w:rPr>
              <w:t>7UDQVDFWLRQV</w:t>
            </w:r>
          </w:p>
        </w:tc>
        <w:tc>
          <w:tcPr>
            <w:tcW w:w="880" w:type="dxa"/>
            <w:vAlign w:val="bottom"/>
            <w:shd w:val="clear" w:color="auto" w:fill="000046"/>
          </w:tcPr>
          <w:p>
            <w:pPr>
              <w:jc w:val="right"/>
              <w:ind w:right="6"/>
              <w:spacing w:after="0"/>
              <w:rPr>
                <w:sz w:val="20"/>
                <w:szCs w:val="20"/>
                <w:color w:val="auto"/>
              </w:rPr>
            </w:pPr>
            <w:r>
              <w:rPr>
                <w:rFonts w:ascii="PMingLiU" w:cs="PMingLiU" w:eastAsia="PMingLiU" w:hAnsi="PMingLiU"/>
                <w:sz w:val="15"/>
                <w:szCs w:val="15"/>
                <w:b w:val="1"/>
                <w:bCs w:val="1"/>
                <w:color w:val="FFFFFF"/>
              </w:rPr>
              <w:t>1R&amp;,&amp;</w:t>
            </w:r>
          </w:p>
        </w:tc>
        <w:tc>
          <w:tcPr>
            <w:tcW w:w="88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1R&amp;,&amp;</w:t>
            </w:r>
          </w:p>
        </w:tc>
        <w:tc>
          <w:tcPr>
            <w:tcW w:w="900" w:type="dxa"/>
            <w:vAlign w:val="bottom"/>
            <w:shd w:val="clear" w:color="auto" w:fill="000046"/>
          </w:tcPr>
          <w:p>
            <w:pPr>
              <w:jc w:val="right"/>
              <w:spacing w:after="0"/>
              <w:rPr>
                <w:sz w:val="20"/>
                <w:szCs w:val="20"/>
                <w:color w:val="auto"/>
              </w:rPr>
            </w:pPr>
            <w:r>
              <w:rPr>
                <w:rFonts w:ascii="PMingLiU" w:cs="PMingLiU" w:eastAsia="PMingLiU" w:hAnsi="PMingLiU"/>
                <w:sz w:val="15"/>
                <w:szCs w:val="15"/>
                <w:b w:val="1"/>
                <w:bCs w:val="1"/>
                <w:color w:val="FFFFFF"/>
              </w:rPr>
              <w:t>1R&amp;,&amp;</w:t>
            </w:r>
          </w:p>
        </w:tc>
        <w:tc>
          <w:tcPr>
            <w:tcW w:w="1020" w:type="dxa"/>
            <w:vAlign w:val="bottom"/>
            <w:shd w:val="clear" w:color="auto" w:fill="000046"/>
          </w:tcPr>
          <w:p>
            <w:pPr>
              <w:jc w:val="right"/>
              <w:ind w:right="45"/>
              <w:spacing w:after="0"/>
              <w:rPr>
                <w:sz w:val="20"/>
                <w:szCs w:val="20"/>
                <w:color w:val="auto"/>
              </w:rPr>
            </w:pPr>
            <w:r>
              <w:rPr>
                <w:rFonts w:ascii="PMingLiU" w:cs="PMingLiU" w:eastAsia="PMingLiU" w:hAnsi="PMingLiU"/>
                <w:sz w:val="15"/>
                <w:szCs w:val="15"/>
                <w:b w:val="1"/>
                <w:bCs w:val="1"/>
                <w:color w:val="FFFFFF"/>
              </w:rPr>
              <w:t>&amp;DXVH</w:t>
            </w:r>
          </w:p>
        </w:tc>
        <w:tc>
          <w:tcPr>
            <w:tcW w:w="0" w:type="dxa"/>
            <w:vAlign w:val="bottom"/>
          </w:tcPr>
          <w:p>
            <w:pPr>
              <w:spacing w:after="0"/>
              <w:rPr>
                <w:sz w:val="1"/>
                <w:szCs w:val="1"/>
                <w:color w:val="auto"/>
              </w:rPr>
            </w:pPr>
          </w:p>
        </w:tc>
      </w:tr>
      <w:tr>
        <w:trPr>
          <w:trHeight w:val="273"/>
        </w:trPr>
        <w:tc>
          <w:tcPr>
            <w:tcW w:w="900" w:type="dxa"/>
            <w:vAlign w:val="bottom"/>
            <w:shd w:val="clear" w:color="auto" w:fill="000046"/>
          </w:tcPr>
          <w:p>
            <w:pPr>
              <w:ind w:left="100"/>
              <w:spacing w:after="0"/>
              <w:rPr>
                <w:sz w:val="20"/>
                <w:szCs w:val="20"/>
                <w:color w:val="auto"/>
              </w:rPr>
            </w:pPr>
            <w:r>
              <w:rPr>
                <w:rFonts w:ascii="PMingLiU" w:cs="PMingLiU" w:eastAsia="PMingLiU" w:hAnsi="PMingLiU"/>
                <w:sz w:val="15"/>
                <w:szCs w:val="15"/>
                <w:b w:val="1"/>
                <w:bCs w:val="1"/>
                <w:color w:val="FFFFFF"/>
              </w:rPr>
              <w:t>1DPH</w:t>
            </w:r>
          </w:p>
        </w:tc>
        <w:tc>
          <w:tcPr>
            <w:tcW w:w="2660" w:type="dxa"/>
            <w:vAlign w:val="bottom"/>
            <w:shd w:val="clear" w:color="auto" w:fill="000046"/>
          </w:tcPr>
          <w:p>
            <w:pPr>
              <w:ind w:left="40"/>
              <w:spacing w:after="0"/>
              <w:rPr>
                <w:sz w:val="20"/>
                <w:szCs w:val="20"/>
                <w:color w:val="auto"/>
              </w:rPr>
            </w:pPr>
            <w:r>
              <w:rPr>
                <w:rFonts w:ascii="PMingLiU" w:cs="PMingLiU" w:eastAsia="PMingLiU" w:hAnsi="PMingLiU"/>
                <w:sz w:val="15"/>
                <w:szCs w:val="15"/>
                <w:b w:val="1"/>
                <w:bCs w:val="1"/>
                <w:color w:val="FFFFFF"/>
              </w:rPr>
              <w:t>%HQHILW</w:t>
            </w:r>
          </w:p>
        </w:tc>
        <w:tc>
          <w:tcPr>
            <w:tcW w:w="1780" w:type="dxa"/>
            <w:vAlign w:val="bottom"/>
            <w:shd w:val="clear" w:color="auto" w:fill="000046"/>
          </w:tcPr>
          <w:p>
            <w:pPr>
              <w:jc w:val="right"/>
              <w:ind w:right="4"/>
              <w:spacing w:after="0"/>
              <w:rPr>
                <w:sz w:val="20"/>
                <w:szCs w:val="20"/>
                <w:color w:val="auto"/>
              </w:rPr>
            </w:pPr>
            <w:r>
              <w:rPr>
                <w:rFonts w:ascii="PMingLiU" w:cs="PMingLiU" w:eastAsia="PMingLiU" w:hAnsi="PMingLiU"/>
                <w:sz w:val="15"/>
                <w:szCs w:val="15"/>
                <w:b w:val="1"/>
                <w:bCs w:val="1"/>
                <w:color w:val="FFFFFF"/>
              </w:rPr>
              <w:t/>
            </w:r>
            <w:r>
              <w:rPr>
                <w:rFonts w:ascii="PMingLiU" w:cs="PMingLiU" w:eastAsia="PMingLiU" w:hAnsi="PMingLiU"/>
                <w:sz w:val="19"/>
                <w:szCs w:val="19"/>
                <w:b w:val="1"/>
                <w:bCs w:val="1"/>
                <w:color w:val="FFFFFF"/>
                <w:vertAlign w:val="superscript"/>
              </w:rPr>
              <w:t/>
            </w:r>
          </w:p>
        </w:tc>
        <w:tc>
          <w:tcPr>
            <w:tcW w:w="1060" w:type="dxa"/>
            <w:vAlign w:val="bottom"/>
            <w:shd w:val="clear" w:color="auto" w:fill="000046"/>
          </w:tcPr>
          <w:p>
            <w:pPr>
              <w:jc w:val="right"/>
              <w:ind w:right="6"/>
              <w:spacing w:after="0" w:line="273" w:lineRule="exact"/>
              <w:rPr>
                <w:sz w:val="20"/>
                <w:szCs w:val="20"/>
                <w:color w:val="auto"/>
              </w:rPr>
            </w:pPr>
            <w:r>
              <w:rPr>
                <w:rFonts w:ascii="PMingLiU" w:cs="PMingLiU" w:eastAsia="PMingLiU" w:hAnsi="PMingLiU"/>
                <w:sz w:val="30"/>
                <w:szCs w:val="30"/>
                <w:b w:val="1"/>
                <w:bCs w:val="1"/>
                <w:color w:val="FFFFFF"/>
                <w:vertAlign w:val="subscript"/>
              </w:rPr>
              <w:t/>
            </w:r>
            <w:r>
              <w:rPr>
                <w:rFonts w:ascii="PMingLiU" w:cs="PMingLiU" w:eastAsia="PMingLiU" w:hAnsi="PMingLiU"/>
                <w:sz w:val="10"/>
                <w:szCs w:val="10"/>
                <w:b w:val="1"/>
                <w:bCs w:val="1"/>
                <w:color w:val="FFFFFF"/>
              </w:rPr>
              <w:t/>
            </w:r>
          </w:p>
        </w:tc>
        <w:tc>
          <w:tcPr>
            <w:tcW w:w="880" w:type="dxa"/>
            <w:vAlign w:val="bottom"/>
            <w:shd w:val="clear" w:color="auto" w:fill="000046"/>
          </w:tcPr>
          <w:p>
            <w:pPr>
              <w:jc w:val="right"/>
              <w:ind w:right="6"/>
              <w:spacing w:after="0" w:line="273" w:lineRule="exact"/>
              <w:rPr>
                <w:sz w:val="20"/>
                <w:szCs w:val="20"/>
                <w:color w:val="auto"/>
              </w:rPr>
            </w:pPr>
            <w:r>
              <w:rPr>
                <w:rFonts w:ascii="PMingLiU" w:cs="PMingLiU" w:eastAsia="PMingLiU" w:hAnsi="PMingLiU"/>
                <w:sz w:val="30"/>
                <w:szCs w:val="30"/>
                <w:b w:val="1"/>
                <w:bCs w:val="1"/>
                <w:color w:val="FFFFFF"/>
                <w:vertAlign w:val="subscript"/>
              </w:rPr>
              <w:t/>
            </w:r>
            <w:r>
              <w:rPr>
                <w:rFonts w:ascii="PMingLiU" w:cs="PMingLiU" w:eastAsia="PMingLiU" w:hAnsi="PMingLiU"/>
                <w:sz w:val="10"/>
                <w:szCs w:val="10"/>
                <w:b w:val="1"/>
                <w:bCs w:val="1"/>
                <w:color w:val="FFFFFF"/>
              </w:rPr>
              <w:t/>
            </w:r>
          </w:p>
        </w:tc>
        <w:tc>
          <w:tcPr>
            <w:tcW w:w="880" w:type="dxa"/>
            <w:vAlign w:val="bottom"/>
            <w:shd w:val="clear" w:color="auto" w:fill="000046"/>
          </w:tcPr>
          <w:p>
            <w:pPr>
              <w:jc w:val="right"/>
              <w:ind w:right="6"/>
              <w:spacing w:after="0" w:line="273" w:lineRule="exact"/>
              <w:rPr>
                <w:sz w:val="20"/>
                <w:szCs w:val="20"/>
                <w:color w:val="auto"/>
              </w:rPr>
            </w:pPr>
            <w:r>
              <w:rPr>
                <w:rFonts w:ascii="PMingLiU" w:cs="PMingLiU" w:eastAsia="PMingLiU" w:hAnsi="PMingLiU"/>
                <w:sz w:val="30"/>
                <w:szCs w:val="30"/>
                <w:b w:val="1"/>
                <w:bCs w:val="1"/>
                <w:color w:val="FFFFFF"/>
                <w:vertAlign w:val="subscript"/>
              </w:rPr>
              <w:t/>
            </w:r>
            <w:r>
              <w:rPr>
                <w:rFonts w:ascii="PMingLiU" w:cs="PMingLiU" w:eastAsia="PMingLiU" w:hAnsi="PMingLiU"/>
                <w:sz w:val="10"/>
                <w:szCs w:val="10"/>
                <w:b w:val="1"/>
                <w:bCs w:val="1"/>
                <w:color w:val="FFFFFF"/>
              </w:rPr>
              <w:t/>
            </w:r>
          </w:p>
        </w:tc>
        <w:tc>
          <w:tcPr>
            <w:tcW w:w="900" w:type="dxa"/>
            <w:vAlign w:val="bottom"/>
            <w:shd w:val="clear" w:color="auto" w:fill="000046"/>
          </w:tcPr>
          <w:p>
            <w:pPr>
              <w:jc w:val="right"/>
              <w:ind w:right="7"/>
              <w:spacing w:after="0" w:line="273" w:lineRule="exact"/>
              <w:rPr>
                <w:sz w:val="20"/>
                <w:szCs w:val="20"/>
                <w:color w:val="auto"/>
              </w:rPr>
            </w:pPr>
            <w:r>
              <w:rPr>
                <w:rFonts w:ascii="PMingLiU" w:cs="PMingLiU" w:eastAsia="PMingLiU" w:hAnsi="PMingLiU"/>
                <w:sz w:val="30"/>
                <w:szCs w:val="30"/>
                <w:b w:val="1"/>
                <w:bCs w:val="1"/>
                <w:color w:val="FFFFFF"/>
                <w:vertAlign w:val="subscript"/>
              </w:rPr>
              <w:t/>
            </w:r>
            <w:r>
              <w:rPr>
                <w:rFonts w:ascii="PMingLiU" w:cs="PMingLiU" w:eastAsia="PMingLiU" w:hAnsi="PMingLiU"/>
                <w:sz w:val="10"/>
                <w:szCs w:val="10"/>
                <w:b w:val="1"/>
                <w:bCs w:val="1"/>
                <w:color w:val="FFFFFF"/>
              </w:rPr>
              <w:t/>
            </w:r>
          </w:p>
        </w:tc>
        <w:tc>
          <w:tcPr>
            <w:tcW w:w="1020" w:type="dxa"/>
            <w:vAlign w:val="bottom"/>
            <w:shd w:val="clear" w:color="auto" w:fill="000046"/>
          </w:tcPr>
          <w:p>
            <w:pPr>
              <w:jc w:val="right"/>
              <w:ind w:right="45"/>
              <w:spacing w:after="0" w:line="273" w:lineRule="exact"/>
              <w:rPr>
                <w:sz w:val="20"/>
                <w:szCs w:val="20"/>
                <w:color w:val="auto"/>
              </w:rPr>
            </w:pPr>
            <w:r>
              <w:rPr>
                <w:rFonts w:ascii="PMingLiU" w:cs="PMingLiU" w:eastAsia="PMingLiU" w:hAnsi="PMingLiU"/>
                <w:sz w:val="30"/>
                <w:szCs w:val="30"/>
                <w:b w:val="1"/>
                <w:bCs w:val="1"/>
                <w:color w:val="FFFFFF"/>
                <w:vertAlign w:val="subscript"/>
              </w:rPr>
              <w:t/>
            </w:r>
            <w:r>
              <w:rPr>
                <w:rFonts w:ascii="PMingLiU" w:cs="PMingLiU" w:eastAsia="PMingLiU" w:hAnsi="PMingLiU"/>
                <w:sz w:val="10"/>
                <w:szCs w:val="10"/>
                <w:b w:val="1"/>
                <w:bCs w:val="1"/>
                <w:color w:val="FFFFFF"/>
              </w:rPr>
              <w:t/>
            </w:r>
          </w:p>
        </w:tc>
        <w:tc>
          <w:tcPr>
            <w:tcW w:w="0" w:type="dxa"/>
            <w:vAlign w:val="bottom"/>
          </w:tcPr>
          <w:p>
            <w:pPr>
              <w:spacing w:after="0"/>
              <w:rPr>
                <w:sz w:val="1"/>
                <w:szCs w:val="1"/>
                <w:color w:val="auto"/>
              </w:rPr>
            </w:pPr>
          </w:p>
        </w:tc>
      </w:tr>
      <w:tr>
        <w:trPr>
          <w:trHeight w:val="249"/>
        </w:trPr>
        <w:tc>
          <w:tcPr>
            <w:tcW w:w="900" w:type="dxa"/>
            <w:vAlign w:val="bottom"/>
          </w:tcPr>
          <w:p>
            <w:pPr>
              <w:spacing w:after="0"/>
              <w:rPr>
                <w:sz w:val="21"/>
                <w:szCs w:val="21"/>
                <w:color w:val="auto"/>
              </w:rPr>
            </w:pP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5HQHH'</w:t>
            </w: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color w:val="auto"/>
              </w:rPr>
              <w:t>&amp;2%5$3D\PHQWV</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*DOD</w:t>
            </w: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93"/>
        </w:trPr>
        <w:tc>
          <w:tcPr>
            <w:tcW w:w="900" w:type="dxa"/>
            <w:vAlign w:val="bottom"/>
            <w:tcBorders>
              <w:bottom w:val="single" w:sz="8" w:color="4454A7"/>
            </w:tcBorders>
          </w:tcPr>
          <w:p>
            <w:pPr>
              <w:spacing w:after="0"/>
              <w:rPr>
                <w:sz w:val="24"/>
                <w:szCs w:val="24"/>
                <w:color w:val="auto"/>
              </w:rPr>
            </w:pP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b w:val="1"/>
                <w:bCs w:val="1"/>
                <w:color w:val="000046"/>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b w:val="1"/>
                <w:bCs w:val="1"/>
                <w:color w:val="000046"/>
              </w:rPr>
              <w:t/>
            </w:r>
          </w:p>
        </w:tc>
        <w:tc>
          <w:tcPr>
            <w:tcW w:w="0" w:type="dxa"/>
            <w:vAlign w:val="bottom"/>
          </w:tcPr>
          <w:p>
            <w:pPr>
              <w:spacing w:after="0"/>
              <w:rPr>
                <w:sz w:val="1"/>
                <w:szCs w:val="1"/>
                <w:color w:val="auto"/>
              </w:rPr>
            </w:pPr>
          </w:p>
        </w:tc>
      </w:tr>
      <w:tr>
        <w:trPr>
          <w:trHeight w:val="219"/>
        </w:trPr>
        <w:tc>
          <w:tcPr>
            <w:tcW w:w="900" w:type="dxa"/>
            <w:vAlign w:val="bottom"/>
          </w:tcPr>
          <w:p>
            <w:pPr>
              <w:spacing w:after="0"/>
              <w:rPr>
                <w:sz w:val="19"/>
                <w:szCs w:val="19"/>
                <w:color w:val="auto"/>
              </w:rPr>
            </w:pP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3KLOLS/</w:t>
            </w: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&amp;2%5$3D\PHQWV</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vMerge w:val="continue"/>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-RKQVRQ</w:t>
            </w: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95"/>
        </w:trPr>
        <w:tc>
          <w:tcPr>
            <w:tcW w:w="900" w:type="dxa"/>
            <w:vAlign w:val="bottom"/>
            <w:tcBorders>
              <w:bottom w:val="single" w:sz="8" w:color="4454A7"/>
            </w:tcBorders>
          </w:tcPr>
          <w:p>
            <w:pPr>
              <w:spacing w:after="0"/>
              <w:rPr>
                <w:sz w:val="24"/>
                <w:szCs w:val="24"/>
                <w:color w:val="auto"/>
              </w:rPr>
            </w:pP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b w:val="1"/>
                <w:bCs w:val="1"/>
                <w:color w:val="000046"/>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b w:val="1"/>
                <w:bCs w:val="1"/>
                <w:color w:val="000046"/>
              </w:rPr>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900" w:type="dxa"/>
            <w:vAlign w:val="bottom"/>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%UXFH&amp;</w:t>
            </w: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&amp;2%5$3D\PHQWV</w:t>
            </w: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00" w:type="dxa"/>
            <w:vAlign w:val="bottom"/>
            <w:vMerge w:val="continue"/>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&amp;R]DGG</w:t>
            </w:r>
            <w:r>
              <w:rPr>
                <w:rFonts w:ascii="PMingLiU" w:cs="PMingLiU" w:eastAsia="PMingLiU" w:hAnsi="PMingLiU"/>
                <w:sz w:val="19"/>
                <w:szCs w:val="19"/>
                <w:b w:val="1"/>
                <w:bCs w:val="1"/>
                <w:color w:val="5C004D"/>
                <w:vertAlign w:val="superscript"/>
              </w:rPr>
              <w:t/>
            </w: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Borders>
              <w:bottom w:val="single" w:sz="8" w:color="4454A7"/>
            </w:tcBorders>
          </w:tcPr>
          <w:p>
            <w:pPr>
              <w:spacing w:after="0"/>
              <w:rPr>
                <w:sz w:val="24"/>
                <w:szCs w:val="24"/>
                <w:color w:val="auto"/>
              </w:rPr>
            </w:pPr>
          </w:p>
        </w:tc>
        <w:tc>
          <w:tcPr>
            <w:tcW w:w="106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900" w:type="dxa"/>
            <w:vAlign w:val="bottom"/>
            <w:tcBorders>
              <w:bottom w:val="single" w:sz="8" w:color="4454A7"/>
            </w:tcBorders>
          </w:tcPr>
          <w:p>
            <w:pPr>
              <w:jc w:val="right"/>
              <w:spacing w:after="0"/>
              <w:rPr>
                <w:sz w:val="20"/>
                <w:szCs w:val="20"/>
                <w:color w:val="auto"/>
              </w:rPr>
            </w:pPr>
            <w:r>
              <w:rPr>
                <w:rFonts w:ascii="PMingLiU" w:cs="PMingLiU" w:eastAsia="PMingLiU" w:hAnsi="PMingLiU"/>
                <w:sz w:val="15"/>
                <w:szCs w:val="15"/>
                <w:color w:val="auto"/>
              </w:rPr>
              <w:t/>
            </w:r>
          </w:p>
        </w:tc>
        <w:tc>
          <w:tcPr>
            <w:tcW w:w="1020" w:type="dxa"/>
            <w:vAlign w:val="bottom"/>
            <w:tcBorders>
              <w:bottom w:val="single" w:sz="8" w:color="4454A7"/>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900" w:type="dxa"/>
            <w:vAlign w:val="bottom"/>
            <w:tcBorders>
              <w:bottom w:val="single" w:sz="8" w:color="4454A7"/>
            </w:tcBorders>
          </w:tcPr>
          <w:p>
            <w:pPr>
              <w:spacing w:after="0"/>
              <w:rPr>
                <w:sz w:val="24"/>
                <w:szCs w:val="24"/>
                <w:color w:val="auto"/>
              </w:rPr>
            </w:pP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tcBorders>
              <w:bottom w:val="single" w:sz="8" w:color="4454A7"/>
            </w:tcBorders>
          </w:tcPr>
          <w:p>
            <w:pPr>
              <w:spacing w:after="0"/>
              <w:rPr>
                <w:sz w:val="24"/>
                <w:szCs w:val="24"/>
                <w:color w:val="auto"/>
              </w:rPr>
            </w:pPr>
          </w:p>
        </w:tc>
        <w:tc>
          <w:tcPr>
            <w:tcW w:w="106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880" w:type="dxa"/>
            <w:vAlign w:val="bottom"/>
            <w:tcBorders>
              <w:bottom w:val="single" w:sz="8" w:color="4454A7"/>
            </w:tcBorders>
          </w:tcPr>
          <w:p>
            <w:pPr>
              <w:spacing w:after="0"/>
              <w:rPr>
                <w:sz w:val="24"/>
                <w:szCs w:val="24"/>
                <w:color w:val="auto"/>
              </w:rPr>
            </w:pPr>
          </w:p>
        </w:tc>
        <w:tc>
          <w:tcPr>
            <w:tcW w:w="900" w:type="dxa"/>
            <w:vAlign w:val="bottom"/>
            <w:tcBorders>
              <w:bottom w:val="single" w:sz="8" w:color="4454A7"/>
            </w:tcBorders>
          </w:tcPr>
          <w:p>
            <w:pPr>
              <w:jc w:val="right"/>
              <w:spacing w:after="0"/>
              <w:rPr>
                <w:sz w:val="20"/>
                <w:szCs w:val="20"/>
                <w:color w:val="auto"/>
              </w:rPr>
            </w:pPr>
            <w:r>
              <w:rPr>
                <w:rFonts w:ascii="PMingLiU" w:cs="PMingLiU" w:eastAsia="PMingLiU" w:hAnsi="PMingLiU"/>
                <w:sz w:val="15"/>
                <w:szCs w:val="15"/>
                <w:b w:val="1"/>
                <w:bCs w:val="1"/>
                <w:color w:val="000046"/>
              </w:rPr>
              <w:t/>
            </w:r>
          </w:p>
        </w:tc>
        <w:tc>
          <w:tcPr>
            <w:tcW w:w="1020" w:type="dxa"/>
            <w:vAlign w:val="bottom"/>
            <w:tcBorders>
              <w:bottom w:val="single" w:sz="8" w:color="4454A7"/>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5RE</w:t>
            </w: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vMerge w:val="continue"/>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2660" w:type="dxa"/>
            <w:vAlign w:val="bottom"/>
            <w:vMerge w:val="restart"/>
          </w:tcPr>
          <w:p>
            <w:pPr>
              <w:ind w:left="40"/>
              <w:spacing w:after="0"/>
              <w:rPr>
                <w:sz w:val="20"/>
                <w:szCs w:val="20"/>
                <w:color w:val="auto"/>
              </w:rPr>
            </w:pPr>
            <w:r>
              <w:rPr>
                <w:rFonts w:ascii="PMingLiU" w:cs="PMingLiU" w:eastAsia="PMingLiU" w:hAnsi="PMingLiU"/>
                <w:sz w:val="15"/>
                <w:szCs w:val="15"/>
                <w:color w:val="auto"/>
              </w:rPr>
              <w:t>&amp;2%5$3D\PHQWV</w:t>
            </w:r>
          </w:p>
        </w:tc>
        <w:tc>
          <w:tcPr>
            <w:tcW w:w="1780" w:type="dxa"/>
            <w:vAlign w:val="bottom"/>
            <w:vMerge w:val="restart"/>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20" w:type="dxa"/>
            <w:vAlign w:val="bottom"/>
            <w:vMerge w:val="restart"/>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41"/>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,DQQRQH</w:t>
            </w:r>
          </w:p>
        </w:tc>
        <w:tc>
          <w:tcPr>
            <w:tcW w:w="266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00" w:type="dxa"/>
            <w:vAlign w:val="bottom"/>
            <w:vMerge w:val="continue"/>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0'</w:t>
            </w:r>
          </w:p>
        </w:tc>
        <w:tc>
          <w:tcPr>
            <w:tcW w:w="2660" w:type="dxa"/>
            <w:vAlign w:val="bottom"/>
          </w:tcPr>
          <w:p>
            <w:pPr>
              <w:ind w:left="40"/>
              <w:spacing w:after="0" w:line="183" w:lineRule="exact"/>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Pr>
          <w:p>
            <w:pPr>
              <w:jc w:val="right"/>
              <w:ind w:right="6"/>
              <w:spacing w:after="0"/>
              <w:rPr>
                <w:sz w:val="20"/>
                <w:szCs w:val="20"/>
                <w:color w:val="auto"/>
              </w:rPr>
            </w:pPr>
            <w:r>
              <w:rPr>
                <w:rFonts w:ascii="PMingLiU" w:cs="PMingLiU" w:eastAsia="PMingLiU" w:hAnsi="PMingLiU"/>
                <w:sz w:val="15"/>
                <w:szCs w:val="15"/>
                <w:color w:val="auto"/>
              </w:rPr>
              <w:t/>
            </w:r>
          </w:p>
        </w:tc>
        <w:tc>
          <w:tcPr>
            <w:tcW w:w="900" w:type="dxa"/>
            <w:vAlign w:val="bottom"/>
          </w:tcPr>
          <w:p>
            <w:pPr>
              <w:jc w:val="right"/>
              <w:ind w:right="7"/>
              <w:spacing w:after="0"/>
              <w:rPr>
                <w:sz w:val="20"/>
                <w:szCs w:val="20"/>
                <w:color w:val="auto"/>
              </w:rPr>
            </w:pPr>
            <w:r>
              <w:rPr>
                <w:rFonts w:ascii="PMingLiU" w:cs="PMingLiU" w:eastAsia="PMingLiU" w:hAnsi="PMingLiU"/>
                <w:sz w:val="15"/>
                <w:szCs w:val="15"/>
                <w:color w:val="auto"/>
              </w:rPr>
              <w:t/>
            </w: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97"/>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06&amp;(</w:t>
            </w:r>
          </w:p>
        </w:tc>
        <w:tc>
          <w:tcPr>
            <w:tcW w:w="2660" w:type="dxa"/>
            <w:vAlign w:val="bottom"/>
            <w:tcBorders>
              <w:bottom w:val="single" w:sz="8" w:color="4454A7"/>
            </w:tcBorders>
          </w:tcPr>
          <w:p>
            <w:pPr>
              <w:spacing w:after="0"/>
              <w:rPr>
                <w:sz w:val="8"/>
                <w:szCs w:val="8"/>
                <w:color w:val="auto"/>
              </w:rPr>
            </w:pPr>
          </w:p>
        </w:tc>
        <w:tc>
          <w:tcPr>
            <w:tcW w:w="1780" w:type="dxa"/>
            <w:vAlign w:val="bottom"/>
            <w:tcBorders>
              <w:bottom w:val="single" w:sz="8" w:color="4454A7"/>
            </w:tcBorders>
          </w:tcPr>
          <w:p>
            <w:pPr>
              <w:spacing w:after="0"/>
              <w:rPr>
                <w:sz w:val="8"/>
                <w:szCs w:val="8"/>
                <w:color w:val="auto"/>
              </w:rPr>
            </w:pPr>
          </w:p>
        </w:tc>
        <w:tc>
          <w:tcPr>
            <w:tcW w:w="106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880" w:type="dxa"/>
            <w:vAlign w:val="bottom"/>
            <w:tcBorders>
              <w:bottom w:val="single" w:sz="8" w:color="4454A7"/>
            </w:tcBorders>
          </w:tcPr>
          <w:p>
            <w:pPr>
              <w:spacing w:after="0"/>
              <w:rPr>
                <w:sz w:val="8"/>
                <w:szCs w:val="8"/>
                <w:color w:val="auto"/>
              </w:rPr>
            </w:pPr>
          </w:p>
        </w:tc>
        <w:tc>
          <w:tcPr>
            <w:tcW w:w="900" w:type="dxa"/>
            <w:vAlign w:val="bottom"/>
            <w:tcBorders>
              <w:bottom w:val="single" w:sz="8" w:color="4454A7"/>
            </w:tcBorders>
          </w:tcPr>
          <w:p>
            <w:pPr>
              <w:spacing w:after="0"/>
              <w:rPr>
                <w:sz w:val="8"/>
                <w:szCs w:val="8"/>
                <w:color w:val="auto"/>
              </w:rPr>
            </w:pPr>
          </w:p>
        </w:tc>
        <w:tc>
          <w:tcPr>
            <w:tcW w:w="1020" w:type="dxa"/>
            <w:vAlign w:val="bottom"/>
            <w:tcBorders>
              <w:bottom w:val="single" w:sz="8" w:color="4454A7"/>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00" w:type="dxa"/>
            <w:vAlign w:val="bottom"/>
            <w:vMerge w:val="continue"/>
          </w:tcPr>
          <w:p>
            <w:pPr>
              <w:spacing w:after="0"/>
              <w:rPr>
                <w:sz w:val="7"/>
                <w:szCs w:val="7"/>
                <w:color w:val="auto"/>
              </w:rPr>
            </w:pPr>
          </w:p>
        </w:tc>
        <w:tc>
          <w:tcPr>
            <w:tcW w:w="2660" w:type="dxa"/>
            <w:vAlign w:val="bottom"/>
            <w:vMerge w:val="restart"/>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vMerge w:val="restart"/>
          </w:tcPr>
          <w:p>
            <w:pPr>
              <w:jc w:val="right"/>
              <w:ind w:right="4"/>
              <w:spacing w:after="0"/>
              <w:rPr>
                <w:sz w:val="20"/>
                <w:szCs w:val="20"/>
                <w:color w:val="auto"/>
              </w:rPr>
            </w:pPr>
            <w:r>
              <w:rPr>
                <w:rFonts w:ascii="PMingLiU" w:cs="PMingLiU" w:eastAsia="PMingLiU" w:hAnsi="PMingLiU"/>
                <w:sz w:val="15"/>
                <w:szCs w:val="15"/>
                <w:b w:val="1"/>
                <w:bCs w:val="1"/>
                <w:color w:val="000046"/>
              </w:rPr>
              <w:t/>
            </w:r>
          </w:p>
        </w:tc>
        <w:tc>
          <w:tcPr>
            <w:tcW w:w="1060" w:type="dxa"/>
            <w:vAlign w:val="bottom"/>
            <w:vMerge w:val="restart"/>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vMerge w:val="restart"/>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vMerge w:val="restart"/>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900" w:type="dxa"/>
            <w:vAlign w:val="bottom"/>
            <w:vMerge w:val="restart"/>
          </w:tcPr>
          <w:p>
            <w:pPr>
              <w:jc w:val="right"/>
              <w:ind w:right="7"/>
              <w:spacing w:after="0"/>
              <w:rPr>
                <w:sz w:val="20"/>
                <w:szCs w:val="20"/>
                <w:color w:val="auto"/>
              </w:rPr>
            </w:pPr>
            <w:r>
              <w:rPr>
                <w:rFonts w:ascii="PMingLiU" w:cs="PMingLiU" w:eastAsia="PMingLiU" w:hAnsi="PMingLiU"/>
                <w:sz w:val="15"/>
                <w:szCs w:val="15"/>
                <w:b w:val="1"/>
                <w:bCs w:val="1"/>
                <w:color w:val="000046"/>
              </w:rPr>
              <w:t/>
            </w:r>
          </w:p>
        </w:tc>
        <w:tc>
          <w:tcPr>
            <w:tcW w:w="1020" w:type="dxa"/>
            <w:vAlign w:val="bottom"/>
            <w:vMerge w:val="restart"/>
          </w:tcPr>
          <w:p>
            <w:pPr>
              <w:jc w:val="right"/>
              <w:ind w:right="45"/>
              <w:spacing w:after="0"/>
              <w:rPr>
                <w:sz w:val="20"/>
                <w:szCs w:val="20"/>
                <w:color w:val="auto"/>
              </w:rPr>
            </w:pPr>
            <w:r>
              <w:rPr>
                <w:rFonts w:ascii="PMingLiU" w:cs="PMingLiU" w:eastAsia="PMingLiU" w:hAnsi="PMingLiU"/>
                <w:sz w:val="15"/>
                <w:szCs w:val="15"/>
                <w:b w:val="1"/>
                <w:bCs w:val="1"/>
                <w:color w:val="000046"/>
              </w:rPr>
              <w:t/>
            </w:r>
          </w:p>
        </w:tc>
        <w:tc>
          <w:tcPr>
            <w:tcW w:w="0" w:type="dxa"/>
            <w:vAlign w:val="bottom"/>
          </w:tcPr>
          <w:p>
            <w:pPr>
              <w:spacing w:after="0"/>
              <w:rPr>
                <w:sz w:val="1"/>
                <w:szCs w:val="1"/>
                <w:color w:val="auto"/>
              </w:rPr>
            </w:pPr>
          </w:p>
        </w:tc>
      </w:tr>
      <w:tr>
        <w:trPr>
          <w:trHeight w:val="202"/>
        </w:trPr>
        <w:tc>
          <w:tcPr>
            <w:tcW w:w="900" w:type="dxa"/>
            <w:vAlign w:val="bottom"/>
            <w:tcBorders>
              <w:bottom w:val="single" w:sz="8" w:color="4454A7"/>
            </w:tcBorders>
          </w:tcPr>
          <w:p>
            <w:pPr>
              <w:spacing w:after="0"/>
              <w:rPr>
                <w:sz w:val="17"/>
                <w:szCs w:val="17"/>
                <w:color w:val="auto"/>
              </w:rPr>
            </w:pPr>
          </w:p>
        </w:tc>
        <w:tc>
          <w:tcPr>
            <w:tcW w:w="2660" w:type="dxa"/>
            <w:vAlign w:val="bottom"/>
            <w:tcBorders>
              <w:bottom w:val="single" w:sz="8" w:color="4454A7"/>
            </w:tcBorders>
            <w:vMerge w:val="continue"/>
          </w:tcPr>
          <w:p>
            <w:pPr>
              <w:spacing w:after="0"/>
              <w:rPr>
                <w:sz w:val="17"/>
                <w:szCs w:val="17"/>
                <w:color w:val="auto"/>
              </w:rPr>
            </w:pPr>
          </w:p>
        </w:tc>
        <w:tc>
          <w:tcPr>
            <w:tcW w:w="1780" w:type="dxa"/>
            <w:vAlign w:val="bottom"/>
            <w:tcBorders>
              <w:bottom w:val="single" w:sz="8" w:color="4454A7"/>
            </w:tcBorders>
            <w:vMerge w:val="continue"/>
          </w:tcPr>
          <w:p>
            <w:pPr>
              <w:spacing w:after="0"/>
              <w:rPr>
                <w:sz w:val="17"/>
                <w:szCs w:val="17"/>
                <w:color w:val="auto"/>
              </w:rPr>
            </w:pPr>
          </w:p>
        </w:tc>
        <w:tc>
          <w:tcPr>
            <w:tcW w:w="1060" w:type="dxa"/>
            <w:vAlign w:val="bottom"/>
            <w:tcBorders>
              <w:bottom w:val="single" w:sz="8" w:color="4454A7"/>
            </w:tcBorders>
            <w:vMerge w:val="continue"/>
          </w:tcPr>
          <w:p>
            <w:pPr>
              <w:spacing w:after="0"/>
              <w:rPr>
                <w:sz w:val="17"/>
                <w:szCs w:val="17"/>
                <w:color w:val="auto"/>
              </w:rPr>
            </w:pPr>
          </w:p>
        </w:tc>
        <w:tc>
          <w:tcPr>
            <w:tcW w:w="880" w:type="dxa"/>
            <w:vAlign w:val="bottom"/>
            <w:tcBorders>
              <w:bottom w:val="single" w:sz="8" w:color="4454A7"/>
            </w:tcBorders>
            <w:vMerge w:val="continue"/>
          </w:tcPr>
          <w:p>
            <w:pPr>
              <w:spacing w:after="0"/>
              <w:rPr>
                <w:sz w:val="17"/>
                <w:szCs w:val="17"/>
                <w:color w:val="auto"/>
              </w:rPr>
            </w:pPr>
          </w:p>
        </w:tc>
        <w:tc>
          <w:tcPr>
            <w:tcW w:w="880" w:type="dxa"/>
            <w:vAlign w:val="bottom"/>
            <w:tcBorders>
              <w:bottom w:val="single" w:sz="8" w:color="4454A7"/>
            </w:tcBorders>
            <w:vMerge w:val="continue"/>
          </w:tcPr>
          <w:p>
            <w:pPr>
              <w:spacing w:after="0"/>
              <w:rPr>
                <w:sz w:val="17"/>
                <w:szCs w:val="17"/>
                <w:color w:val="auto"/>
              </w:rPr>
            </w:pPr>
          </w:p>
        </w:tc>
        <w:tc>
          <w:tcPr>
            <w:tcW w:w="900" w:type="dxa"/>
            <w:vAlign w:val="bottom"/>
            <w:tcBorders>
              <w:bottom w:val="single" w:sz="8" w:color="4454A7"/>
            </w:tcBorders>
            <w:vMerge w:val="continue"/>
          </w:tcPr>
          <w:p>
            <w:pPr>
              <w:spacing w:after="0"/>
              <w:rPr>
                <w:sz w:val="17"/>
                <w:szCs w:val="17"/>
                <w:color w:val="auto"/>
              </w:rPr>
            </w:pPr>
          </w:p>
        </w:tc>
        <w:tc>
          <w:tcPr>
            <w:tcW w:w="1020" w:type="dxa"/>
            <w:vAlign w:val="bottom"/>
            <w:tcBorders>
              <w:bottom w:val="single" w:sz="8" w:color="4454A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Pr>
          <w:p>
            <w:pPr>
              <w:spacing w:after="0"/>
              <w:rPr>
                <w:sz w:val="19"/>
                <w:szCs w:val="19"/>
                <w:color w:val="auto"/>
              </w:rPr>
            </w:pP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900" w:type="dxa"/>
            <w:vAlign w:val="bottom"/>
            <w:vMerge w:val="restart"/>
          </w:tcPr>
          <w:p>
            <w:pPr>
              <w:ind w:left="100"/>
              <w:spacing w:after="0"/>
              <w:rPr>
                <w:sz w:val="20"/>
                <w:szCs w:val="20"/>
                <w:color w:val="auto"/>
              </w:rPr>
            </w:pPr>
            <w:r>
              <w:rPr>
                <w:rFonts w:ascii="PMingLiU" w:cs="PMingLiU" w:eastAsia="PMingLiU" w:hAnsi="PMingLiU"/>
                <w:sz w:val="15"/>
                <w:szCs w:val="15"/>
                <w:b w:val="1"/>
                <w:bCs w:val="1"/>
                <w:color w:val="5C004D"/>
              </w:rPr>
              <w:t>1HHQD0</w:t>
            </w: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&amp;2%5$3D\PHQWV</w:t>
            </w: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900" w:type="dxa"/>
            <w:vAlign w:val="bottom"/>
            <w:vMerge w:val="continue"/>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3DWLO</w:t>
            </w: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93"/>
        </w:trPr>
        <w:tc>
          <w:tcPr>
            <w:tcW w:w="900" w:type="dxa"/>
            <w:vAlign w:val="bottom"/>
            <w:tcBorders>
              <w:bottom w:val="single" w:sz="8" w:color="4454A7"/>
            </w:tcBorders>
          </w:tcPr>
          <w:p>
            <w:pPr>
              <w:spacing w:after="0"/>
              <w:rPr>
                <w:sz w:val="24"/>
                <w:szCs w:val="24"/>
                <w:color w:val="auto"/>
              </w:rPr>
            </w:pPr>
          </w:p>
        </w:tc>
        <w:tc>
          <w:tcPr>
            <w:tcW w:w="2660" w:type="dxa"/>
            <w:vAlign w:val="bottom"/>
            <w:tcBorders>
              <w:bottom w:val="single" w:sz="8" w:color="4454A7"/>
            </w:tcBorders>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tcBorders>
              <w:bottom w:val="single" w:sz="8" w:color="4454A7"/>
            </w:tcBorders>
          </w:tcPr>
          <w:p>
            <w:pPr>
              <w:jc w:val="right"/>
              <w:ind w:right="4"/>
              <w:spacing w:after="0"/>
              <w:rPr>
                <w:sz w:val="20"/>
                <w:szCs w:val="20"/>
                <w:color w:val="auto"/>
              </w:rPr>
            </w:pPr>
            <w:r>
              <w:rPr>
                <w:rFonts w:ascii="PMingLiU" w:cs="PMingLiU" w:eastAsia="PMingLiU" w:hAnsi="PMingLiU"/>
                <w:sz w:val="15"/>
                <w:szCs w:val="15"/>
                <w:b w:val="1"/>
                <w:bCs w:val="1"/>
                <w:color w:val="000046"/>
              </w:rPr>
              <w:t/>
            </w:r>
          </w:p>
        </w:tc>
        <w:tc>
          <w:tcPr>
            <w:tcW w:w="106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4454A7"/>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900" w:type="dxa"/>
            <w:vAlign w:val="bottom"/>
            <w:tcBorders>
              <w:bottom w:val="single" w:sz="8" w:color="4454A7"/>
            </w:tcBorders>
          </w:tcPr>
          <w:p>
            <w:pPr>
              <w:spacing w:after="0"/>
              <w:rPr>
                <w:sz w:val="24"/>
                <w:szCs w:val="24"/>
                <w:color w:val="auto"/>
              </w:rPr>
            </w:pPr>
          </w:p>
        </w:tc>
        <w:tc>
          <w:tcPr>
            <w:tcW w:w="1020" w:type="dxa"/>
            <w:vAlign w:val="bottom"/>
            <w:tcBorders>
              <w:bottom w:val="single" w:sz="8" w:color="4454A7"/>
            </w:tcBorders>
          </w:tcPr>
          <w:p>
            <w:pPr>
              <w:jc w:val="right"/>
              <w:ind w:right="45"/>
              <w:spacing w:after="0"/>
              <w:rPr>
                <w:sz w:val="20"/>
                <w:szCs w:val="20"/>
                <w:color w:val="auto"/>
              </w:rPr>
            </w:pPr>
            <w:r>
              <w:rPr>
                <w:rFonts w:ascii="PMingLiU" w:cs="PMingLiU" w:eastAsia="PMingLiU" w:hAnsi="PMingLiU"/>
                <w:sz w:val="15"/>
                <w:szCs w:val="15"/>
                <w:b w:val="1"/>
                <w:bCs w:val="1"/>
                <w:color w:val="000046"/>
              </w:rPr>
              <w:t/>
            </w:r>
          </w:p>
        </w:tc>
        <w:tc>
          <w:tcPr>
            <w:tcW w:w="0" w:type="dxa"/>
            <w:vAlign w:val="bottom"/>
          </w:tcPr>
          <w:p>
            <w:pPr>
              <w:spacing w:after="0"/>
              <w:rPr>
                <w:sz w:val="1"/>
                <w:szCs w:val="1"/>
                <w:color w:val="auto"/>
              </w:rPr>
            </w:pPr>
          </w:p>
        </w:tc>
      </w:tr>
      <w:tr>
        <w:trPr>
          <w:trHeight w:val="219"/>
        </w:trPr>
        <w:tc>
          <w:tcPr>
            <w:tcW w:w="900" w:type="dxa"/>
            <w:vAlign w:val="bottom"/>
          </w:tcPr>
          <w:p>
            <w:pPr>
              <w:spacing w:after="0"/>
              <w:rPr>
                <w:sz w:val="19"/>
                <w:szCs w:val="19"/>
                <w:color w:val="auto"/>
              </w:rPr>
            </w:pPr>
          </w:p>
        </w:tc>
        <w:tc>
          <w:tcPr>
            <w:tcW w:w="2660" w:type="dxa"/>
            <w:vAlign w:val="bottom"/>
          </w:tcPr>
          <w:p>
            <w:pPr>
              <w:ind w:left="40"/>
              <w:spacing w:after="0"/>
              <w:rPr>
                <w:sz w:val="20"/>
                <w:szCs w:val="20"/>
                <w:color w:val="auto"/>
              </w:rPr>
            </w:pPr>
            <w:r>
              <w:rPr>
                <w:rFonts w:ascii="PMingLiU" w:cs="PMingLiU" w:eastAsia="PMingLiU" w:hAnsi="PMingLiU"/>
                <w:sz w:val="15"/>
                <w:szCs w:val="15"/>
                <w:color w:val="auto"/>
              </w:rPr>
              <w:t>/XPS6XP&amp;DVK6HYHUDQFH3D\PHQW</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49"/>
        </w:trPr>
        <w:tc>
          <w:tcPr>
            <w:tcW w:w="900" w:type="dxa"/>
            <w:vAlign w:val="bottom"/>
          </w:tcPr>
          <w:p>
            <w:pPr>
              <w:spacing w:after="0"/>
              <w:rPr>
                <w:sz w:val="4"/>
                <w:szCs w:val="4"/>
                <w:color w:val="auto"/>
              </w:rPr>
            </w:pPr>
          </w:p>
        </w:tc>
        <w:tc>
          <w:tcPr>
            <w:tcW w:w="2660" w:type="dxa"/>
            <w:vAlign w:val="bottom"/>
            <w:tcBorders>
              <w:bottom w:val="single" w:sz="8" w:color="4454A7"/>
            </w:tcBorders>
          </w:tcPr>
          <w:p>
            <w:pPr>
              <w:spacing w:after="0"/>
              <w:rPr>
                <w:sz w:val="4"/>
                <w:szCs w:val="4"/>
                <w:color w:val="auto"/>
              </w:rPr>
            </w:pPr>
          </w:p>
        </w:tc>
        <w:tc>
          <w:tcPr>
            <w:tcW w:w="1780" w:type="dxa"/>
            <w:vAlign w:val="bottom"/>
            <w:tcBorders>
              <w:bottom w:val="single" w:sz="8" w:color="4454A7"/>
            </w:tcBorders>
          </w:tcPr>
          <w:p>
            <w:pPr>
              <w:spacing w:after="0"/>
              <w:rPr>
                <w:sz w:val="4"/>
                <w:szCs w:val="4"/>
                <w:color w:val="auto"/>
              </w:rPr>
            </w:pPr>
          </w:p>
        </w:tc>
        <w:tc>
          <w:tcPr>
            <w:tcW w:w="106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880" w:type="dxa"/>
            <w:vAlign w:val="bottom"/>
            <w:tcBorders>
              <w:bottom w:val="single" w:sz="8" w:color="4454A7"/>
            </w:tcBorders>
          </w:tcPr>
          <w:p>
            <w:pPr>
              <w:spacing w:after="0"/>
              <w:rPr>
                <w:sz w:val="4"/>
                <w:szCs w:val="4"/>
                <w:color w:val="auto"/>
              </w:rPr>
            </w:pPr>
          </w:p>
        </w:tc>
        <w:tc>
          <w:tcPr>
            <w:tcW w:w="900" w:type="dxa"/>
            <w:vAlign w:val="bottom"/>
            <w:tcBorders>
              <w:bottom w:val="single" w:sz="8" w:color="4454A7"/>
            </w:tcBorders>
          </w:tcPr>
          <w:p>
            <w:pPr>
              <w:spacing w:after="0"/>
              <w:rPr>
                <w:sz w:val="4"/>
                <w:szCs w:val="4"/>
                <w:color w:val="auto"/>
              </w:rPr>
            </w:pPr>
          </w:p>
        </w:tc>
        <w:tc>
          <w:tcPr>
            <w:tcW w:w="102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3560" w:type="dxa"/>
            <w:vAlign w:val="bottom"/>
            <w:gridSpan w:val="2"/>
          </w:tcPr>
          <w:p>
            <w:pPr>
              <w:ind w:left="100"/>
              <w:spacing w:after="0" w:line="279" w:lineRule="exact"/>
              <w:rPr>
                <w:sz w:val="20"/>
                <w:szCs w:val="20"/>
                <w:color w:val="auto"/>
              </w:rPr>
            </w:pPr>
            <w:r>
              <w:rPr>
                <w:rFonts w:ascii="PMingLiU" w:cs="PMingLiU" w:eastAsia="PMingLiU" w:hAnsi="PMingLiU"/>
                <w:sz w:val="30"/>
                <w:szCs w:val="30"/>
                <w:b w:val="1"/>
                <w:bCs w:val="1"/>
                <w:color w:val="5C004D"/>
                <w:vertAlign w:val="subscript"/>
              </w:rPr>
              <w:t>6DPDQWKD</w:t>
            </w:r>
            <w:r>
              <w:rPr>
                <w:rFonts w:ascii="PMingLiU" w:cs="PMingLiU" w:eastAsia="PMingLiU" w:hAnsi="PMingLiU"/>
                <w:sz w:val="15"/>
                <w:szCs w:val="15"/>
                <w:color w:val="auto"/>
              </w:rPr>
              <w:t xml:space="preserve"> &amp;2%5$3D\PHQWV</w:t>
            </w:r>
          </w:p>
        </w:tc>
        <w:tc>
          <w:tcPr>
            <w:tcW w:w="1780" w:type="dxa"/>
            <w:vAlign w:val="bottom"/>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80"/>
        </w:trPr>
        <w:tc>
          <w:tcPr>
            <w:tcW w:w="900" w:type="dxa"/>
            <w:vAlign w:val="bottom"/>
          </w:tcPr>
          <w:p>
            <w:pPr>
              <w:ind w:left="100"/>
              <w:spacing w:after="0"/>
              <w:rPr>
                <w:sz w:val="20"/>
                <w:szCs w:val="20"/>
                <w:color w:val="auto"/>
              </w:rPr>
            </w:pPr>
            <w:r>
              <w:rPr>
                <w:rFonts w:ascii="PMingLiU" w:cs="PMingLiU" w:eastAsia="PMingLiU" w:hAnsi="PMingLiU"/>
                <w:sz w:val="15"/>
                <w:szCs w:val="15"/>
                <w:b w:val="1"/>
                <w:bCs w:val="1"/>
                <w:color w:val="5C004D"/>
              </w:rPr>
              <w:t>3HDUFH</w:t>
            </w:r>
          </w:p>
        </w:tc>
        <w:tc>
          <w:tcPr>
            <w:tcW w:w="2660" w:type="dxa"/>
            <w:vAlign w:val="bottom"/>
            <w:tcBorders>
              <w:top w:val="single" w:sz="8" w:color="4454A7"/>
              <w:bottom w:val="single" w:sz="8" w:color="4454A7"/>
            </w:tcBorders>
          </w:tcPr>
          <w:p>
            <w:pPr>
              <w:ind w:left="40"/>
              <w:spacing w:after="0"/>
              <w:rPr>
                <w:sz w:val="20"/>
                <w:szCs w:val="20"/>
                <w:color w:val="auto"/>
              </w:rPr>
            </w:pPr>
            <w:r>
              <w:rPr>
                <w:rFonts w:ascii="PMingLiU" w:cs="PMingLiU" w:eastAsia="PMingLiU" w:hAnsi="PMingLiU"/>
                <w:sz w:val="15"/>
                <w:szCs w:val="15"/>
                <w:color w:val="auto"/>
              </w:rPr>
              <w:t>9HVWLQJ$FFHOHUDWLRQ</w:t>
            </w:r>
            <w:r>
              <w:rPr>
                <w:rFonts w:ascii="PMingLiU" w:cs="PMingLiU" w:eastAsia="PMingLiU" w:hAnsi="PMingLiU"/>
                <w:sz w:val="19"/>
                <w:szCs w:val="19"/>
                <w:color w:val="auto"/>
                <w:vertAlign w:val="superscript"/>
              </w:rPr>
              <w:t/>
            </w:r>
          </w:p>
        </w:tc>
        <w:tc>
          <w:tcPr>
            <w:tcW w:w="1780" w:type="dxa"/>
            <w:vAlign w:val="bottom"/>
            <w:tcBorders>
              <w:top w:val="single" w:sz="8" w:color="4454A7"/>
              <w:bottom w:val="single" w:sz="8" w:color="4454A7"/>
            </w:tcBorders>
          </w:tcPr>
          <w:p>
            <w:pPr>
              <w:jc w:val="right"/>
              <w:ind w:right="4"/>
              <w:spacing w:after="0"/>
              <w:rPr>
                <w:sz w:val="20"/>
                <w:szCs w:val="20"/>
                <w:color w:val="auto"/>
              </w:rPr>
            </w:pPr>
            <w:r>
              <w:rPr>
                <w:rFonts w:ascii="PMingLiU" w:cs="PMingLiU" w:eastAsia="PMingLiU" w:hAnsi="PMingLiU"/>
                <w:sz w:val="15"/>
                <w:szCs w:val="15"/>
                <w:color w:val="auto"/>
              </w:rPr>
              <w:t/>
            </w:r>
          </w:p>
        </w:tc>
        <w:tc>
          <w:tcPr>
            <w:tcW w:w="1060" w:type="dxa"/>
            <w:vAlign w:val="bottom"/>
            <w:tcBorders>
              <w:top w:val="single" w:sz="8" w:color="4454A7"/>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top w:val="single" w:sz="8" w:color="4454A7"/>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880" w:type="dxa"/>
            <w:vAlign w:val="bottom"/>
            <w:tcBorders>
              <w:top w:val="single" w:sz="8" w:color="4454A7"/>
              <w:bottom w:val="single" w:sz="8" w:color="4454A7"/>
            </w:tcBorders>
          </w:tcPr>
          <w:p>
            <w:pPr>
              <w:jc w:val="right"/>
              <w:ind w:right="6"/>
              <w:spacing w:after="0"/>
              <w:rPr>
                <w:sz w:val="20"/>
                <w:szCs w:val="20"/>
                <w:color w:val="auto"/>
              </w:rPr>
            </w:pPr>
            <w:r>
              <w:rPr>
                <w:rFonts w:ascii="PMingLiU" w:cs="PMingLiU" w:eastAsia="PMingLiU" w:hAnsi="PMingLiU"/>
                <w:sz w:val="15"/>
                <w:szCs w:val="15"/>
                <w:color w:val="auto"/>
              </w:rPr>
              <w:t/>
            </w:r>
          </w:p>
        </w:tc>
        <w:tc>
          <w:tcPr>
            <w:tcW w:w="900" w:type="dxa"/>
            <w:vAlign w:val="bottom"/>
            <w:tcBorders>
              <w:top w:val="single" w:sz="8" w:color="4454A7"/>
              <w:bottom w:val="single" w:sz="8" w:color="4454A7"/>
            </w:tcBorders>
          </w:tcPr>
          <w:p>
            <w:pPr>
              <w:jc w:val="right"/>
              <w:ind w:right="7"/>
              <w:spacing w:after="0"/>
              <w:rPr>
                <w:sz w:val="20"/>
                <w:szCs w:val="20"/>
                <w:color w:val="auto"/>
              </w:rPr>
            </w:pPr>
            <w:r>
              <w:rPr>
                <w:rFonts w:ascii="PMingLiU" w:cs="PMingLiU" w:eastAsia="PMingLiU" w:hAnsi="PMingLiU"/>
                <w:sz w:val="15"/>
                <w:szCs w:val="15"/>
                <w:color w:val="auto"/>
              </w:rPr>
              <w:t/>
            </w:r>
          </w:p>
        </w:tc>
        <w:tc>
          <w:tcPr>
            <w:tcW w:w="1020" w:type="dxa"/>
            <w:vAlign w:val="bottom"/>
            <w:tcBorders>
              <w:top w:val="single" w:sz="8" w:color="4454A7"/>
              <w:bottom w:val="single" w:sz="8" w:color="4454A7"/>
            </w:tcBorders>
          </w:tcPr>
          <w:p>
            <w:pPr>
              <w:jc w:val="right"/>
              <w:ind w:right="45"/>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93"/>
        </w:trPr>
        <w:tc>
          <w:tcPr>
            <w:tcW w:w="900" w:type="dxa"/>
            <w:vAlign w:val="bottom"/>
            <w:tcBorders>
              <w:bottom w:val="single" w:sz="8" w:color="5C004D"/>
            </w:tcBorders>
          </w:tcPr>
          <w:p>
            <w:pPr>
              <w:spacing w:after="0"/>
              <w:rPr>
                <w:sz w:val="24"/>
                <w:szCs w:val="24"/>
                <w:color w:val="auto"/>
              </w:rPr>
            </w:pPr>
          </w:p>
        </w:tc>
        <w:tc>
          <w:tcPr>
            <w:tcW w:w="2660" w:type="dxa"/>
            <w:vAlign w:val="bottom"/>
            <w:tcBorders>
              <w:bottom w:val="single" w:sz="8" w:color="5C004D"/>
            </w:tcBorders>
          </w:tcPr>
          <w:p>
            <w:pPr>
              <w:ind w:left="40"/>
              <w:spacing w:after="0"/>
              <w:rPr>
                <w:sz w:val="20"/>
                <w:szCs w:val="20"/>
                <w:color w:val="auto"/>
              </w:rPr>
            </w:pPr>
            <w:r>
              <w:rPr>
                <w:rFonts w:ascii="PMingLiU" w:cs="PMingLiU" w:eastAsia="PMingLiU" w:hAnsi="PMingLiU"/>
                <w:sz w:val="15"/>
                <w:szCs w:val="15"/>
                <w:b w:val="1"/>
                <w:bCs w:val="1"/>
                <w:color w:val="000046"/>
              </w:rPr>
              <w:t>%HQHILW7RWDO</w:t>
            </w:r>
          </w:p>
        </w:tc>
        <w:tc>
          <w:tcPr>
            <w:tcW w:w="1780" w:type="dxa"/>
            <w:vAlign w:val="bottom"/>
            <w:tcBorders>
              <w:bottom w:val="single" w:sz="8" w:color="5C004D"/>
            </w:tcBorders>
          </w:tcPr>
          <w:p>
            <w:pPr>
              <w:jc w:val="right"/>
              <w:ind w:right="4"/>
              <w:spacing w:after="0"/>
              <w:rPr>
                <w:sz w:val="20"/>
                <w:szCs w:val="20"/>
                <w:color w:val="auto"/>
              </w:rPr>
            </w:pPr>
            <w:r>
              <w:rPr>
                <w:rFonts w:ascii="PMingLiU" w:cs="PMingLiU" w:eastAsia="PMingLiU" w:hAnsi="PMingLiU"/>
                <w:sz w:val="15"/>
                <w:szCs w:val="15"/>
                <w:b w:val="1"/>
                <w:bCs w:val="1"/>
                <w:color w:val="000046"/>
              </w:rPr>
              <w:t/>
            </w:r>
          </w:p>
        </w:tc>
        <w:tc>
          <w:tcPr>
            <w:tcW w:w="1060" w:type="dxa"/>
            <w:vAlign w:val="bottom"/>
            <w:tcBorders>
              <w:bottom w:val="single" w:sz="8" w:color="5C004D"/>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5C004D"/>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880" w:type="dxa"/>
            <w:vAlign w:val="bottom"/>
            <w:tcBorders>
              <w:bottom w:val="single" w:sz="8" w:color="5C004D"/>
            </w:tcBorders>
          </w:tcPr>
          <w:p>
            <w:pPr>
              <w:jc w:val="right"/>
              <w:ind w:right="6"/>
              <w:spacing w:after="0"/>
              <w:rPr>
                <w:sz w:val="20"/>
                <w:szCs w:val="20"/>
                <w:color w:val="auto"/>
              </w:rPr>
            </w:pPr>
            <w:r>
              <w:rPr>
                <w:rFonts w:ascii="PMingLiU" w:cs="PMingLiU" w:eastAsia="PMingLiU" w:hAnsi="PMingLiU"/>
                <w:sz w:val="15"/>
                <w:szCs w:val="15"/>
                <w:b w:val="1"/>
                <w:bCs w:val="1"/>
                <w:color w:val="000046"/>
              </w:rPr>
              <w:t/>
            </w:r>
          </w:p>
        </w:tc>
        <w:tc>
          <w:tcPr>
            <w:tcW w:w="900" w:type="dxa"/>
            <w:vAlign w:val="bottom"/>
            <w:tcBorders>
              <w:bottom w:val="single" w:sz="8" w:color="5C004D"/>
            </w:tcBorders>
          </w:tcPr>
          <w:p>
            <w:pPr>
              <w:jc w:val="right"/>
              <w:ind w:right="7"/>
              <w:spacing w:after="0"/>
              <w:rPr>
                <w:sz w:val="20"/>
                <w:szCs w:val="20"/>
                <w:color w:val="auto"/>
              </w:rPr>
            </w:pPr>
            <w:r>
              <w:rPr>
                <w:rFonts w:ascii="PMingLiU" w:cs="PMingLiU" w:eastAsia="PMingLiU" w:hAnsi="PMingLiU"/>
                <w:sz w:val="15"/>
                <w:szCs w:val="15"/>
                <w:b w:val="1"/>
                <w:bCs w:val="1"/>
                <w:color w:val="000046"/>
              </w:rPr>
              <w:t/>
            </w:r>
          </w:p>
        </w:tc>
        <w:tc>
          <w:tcPr>
            <w:tcW w:w="1020" w:type="dxa"/>
            <w:vAlign w:val="bottom"/>
            <w:tcBorders>
              <w:bottom w:val="single" w:sz="8" w:color="5C004D"/>
            </w:tcBorders>
          </w:tcPr>
          <w:p>
            <w:pPr>
              <w:jc w:val="right"/>
              <w:ind w:right="45"/>
              <w:spacing w:after="0"/>
              <w:rPr>
                <w:sz w:val="20"/>
                <w:szCs w:val="20"/>
                <w:color w:val="auto"/>
              </w:rPr>
            </w:pPr>
            <w:r>
              <w:rPr>
                <w:rFonts w:ascii="PMingLiU" w:cs="PMingLiU" w:eastAsia="PMingLiU" w:hAnsi="PMingLiU"/>
                <w:sz w:val="15"/>
                <w:szCs w:val="15"/>
                <w:b w:val="1"/>
                <w:bCs w:val="1"/>
                <w:color w:val="000046"/>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-3847465</wp:posOffset>
            </wp:positionV>
            <wp:extent cx="4146550"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361">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-3085465</wp:posOffset>
            </wp:positionV>
            <wp:extent cx="4146550"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362">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-2323465</wp:posOffset>
            </wp:positionV>
            <wp:extent cx="4146550"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363">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-1561465</wp:posOffset>
            </wp:positionV>
            <wp:extent cx="4146550"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364">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-799465</wp:posOffset>
            </wp:positionV>
            <wp:extent cx="4146550"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365">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-37465</wp:posOffset>
            </wp:positionV>
            <wp:extent cx="4146550"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366">
                      <a:extLst>
                        <a:ext uri="{28A0092B-C50C-407E-A947-70E740481C1C}"/>
                      </a:extLst>
                    </a:blip>
                    <a:srcRect/>
                    <a:stretch>
                      <a:fillRect/>
                    </a:stretch>
                  </pic:blipFill>
                  <pic:spPr bwMode="auto">
                    <a:xfrm>
                      <a:off x="0" y="0"/>
                      <a:ext cx="4146550" cy="3810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199390</wp:posOffset>
            </wp:positionV>
            <wp:extent cx="1389380" cy="2343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367">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93"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100" w:name="page101"/>
    <w:bookmarkEnd w:id="100"/>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13" o:spid="_x0000_s1538"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8" w:lineRule="exact"/>
        <w:rPr>
          <w:sz w:val="20"/>
          <w:szCs w:val="20"/>
          <w:color w:val="auto"/>
        </w:rPr>
      </w:pPr>
    </w:p>
    <w:p>
      <w:pPr>
        <w:ind w:left="360" w:right="180" w:hanging="359"/>
        <w:spacing w:after="0" w:line="325" w:lineRule="auto"/>
        <w:tabs>
          <w:tab w:leader="none" w:pos="340" w:val="left"/>
        </w:tabs>
        <w:rPr>
          <w:sz w:val="20"/>
          <w:szCs w:val="20"/>
          <w:color w:val="auto"/>
        </w:rPr>
      </w:pPr>
      <w:r>
        <w:rPr>
          <w:rFonts w:ascii="PMingLiU" w:cs="PMingLiU" w:eastAsia="PMingLiU" w:hAnsi="PMingLiU"/>
          <w:sz w:val="12"/>
          <w:szCs w:val="12"/>
          <w:color w:val="auto"/>
        </w:rPr>
        <w:t/>
        <w:tab/>
        <w:t>7KHVHEHQHILWVZRXOGEHSD\DEOHXQGHUWKH&amp;,&amp;3ODQLIWKHLQYROXQWDU\WHUPLQDWLRQZLWKRXWFDXVHRUFRQVWUXFWLYHWHUPLQDWLRQRFFXUUHG XSRQRUZLWKLQPRQWKVIROORZLQJD&amp;,&amp;DQGDVVXPLQJVXFKWHUPLQDWLRQWRRNSODFHRQ'HFHPEHU7KHIRUPVRIHTXLW\JUDQW DJUHHPHQWVXQGHUWKH3ODQSURYLGHIRUWKHVDPHYHVWLQJDFFHOHUDWLRQEHQHILWDVVKRZQKHUHXQGHUWKH&amp;,&amp;3ODQH[FHSWDV RWKHUZLVHGHVFULEHGDERYHXQGHUWKHKHDGLQJ</w:t>
      </w:r>
      <w:r>
        <w:rPr>
          <w:rFonts w:ascii="PMingLiU" w:cs="PMingLiU" w:eastAsia="PMingLiU" w:hAnsi="PMingLiU"/>
          <w:sz w:val="12"/>
          <w:szCs w:val="12"/>
          <w:i w:val="1"/>
          <w:iCs w:val="1"/>
          <w:color w:val="auto"/>
        </w:rPr>
        <w:t>E!5:,4:0(2!(?3,4:9;654$,8304(:05458/(4.,0454:852 $8,(:3,4:5-    </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(4+  !#%9F</w:t>
      </w:r>
      <w:r>
        <w:rPr>
          <w:rFonts w:ascii="PMingLiU" w:cs="PMingLiU" w:eastAsia="PMingLiU" w:hAnsi="PMingLiU"/>
          <w:sz w:val="12"/>
          <w:szCs w:val="12"/>
          <w:color w:val="auto"/>
        </w:rPr>
        <w:t>WKHUHIRUHQRVHSDUDWHYHVWLQJDFFHOHUDWLRQEHQHILWLVOLVWHG3XUVXDQWWRWKH&amp;,&amp;3ODQDQLQYROXQWDU\WHUPLQDWLRQ</w:t>
      </w:r>
    </w:p>
    <w:p>
      <w:pPr>
        <w:spacing w:after="0" w:line="2"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ZLWKRXWFDXVHDOVRLQFOXGHVDQLQGLYLGXDO¶VGHDWKRUGLVDELOLW\</w:t>
      </w:r>
    </w:p>
    <w:p>
      <w:pPr>
        <w:spacing w:after="0" w:line="7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7KHVHEHQHILWVZRXOGEHSD\DEOHXQGHUWKH3ODQLIXSRQDFRUSRUDWHWUDQVDFWLRQHYHQWLQFOXGLQJD&amp;,&amp;RXU%RDUGH[HUFLVHGLWV</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2"/>
          <w:szCs w:val="12"/>
          <w:color w:val="auto"/>
        </w:rPr>
        <w:t>GLVFUHWLRQWRDFFHOHUDWHWKHYHVWLQJDQGH[HUFLVDELOLW\RIRXWVWDQGLQJHTXLW\JUDQWDJUHHPHQWVDVVXPLQJWKHYHVWLQJDFFHOHUDWLRQWRRN</w:t>
      </w:r>
    </w:p>
    <w:p>
      <w:pPr>
        <w:spacing w:after="0" w:line="48"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SODFHRQ'HFHPEHU)RUDGHVFULSWLRQRIWKHSRWHQWLDOYHVWLQJDFFHOHUDWLRQSURYLVLRQVLQWKH3ODQVHH³</w:t>
      </w:r>
      <w:r>
        <w:rPr>
          <w:rFonts w:ascii="PMingLiU" w:cs="PMingLiU" w:eastAsia="PMingLiU" w:hAnsi="PMingLiU"/>
          <w:sz w:val="15"/>
          <w:szCs w:val="15"/>
          <w:i w:val="1"/>
          <w:iCs w:val="1"/>
          <w:color w:val="auto"/>
        </w:rPr>
        <w:t>,9*806:0545-</w:t>
      </w:r>
    </w:p>
    <w:p>
      <w:pPr>
        <w:spacing w:after="0" w:line="12" w:lineRule="exact"/>
        <w:rPr>
          <w:sz w:val="20"/>
          <w:szCs w:val="20"/>
          <w:color w:val="auto"/>
        </w:rPr>
      </w:pPr>
    </w:p>
    <w:p>
      <w:pPr>
        <w:ind w:left="360"/>
        <w:spacing w:after="0"/>
        <w:tabs>
          <w:tab w:leader="none" w:pos="2580" w:val="left"/>
        </w:tabs>
        <w:rPr>
          <w:sz w:val="20"/>
          <w:szCs w:val="20"/>
          <w:color w:val="auto"/>
        </w:rPr>
      </w:pPr>
      <w:r>
        <w:rPr>
          <w:rFonts w:ascii="PMingLiU" w:cs="PMingLiU" w:eastAsia="PMingLiU" w:hAnsi="PMingLiU"/>
          <w:sz w:val="16"/>
          <w:szCs w:val="16"/>
          <w:i w:val="1"/>
          <w:iCs w:val="1"/>
          <w:color w:val="auto"/>
        </w:rPr>
        <w:t>536,49(:05488(4.,3,4:9</w:t>
        <w:tab/>
        <w:t>7;0:?536,49(:05488(4.,3,4:9F</w:t>
      </w:r>
      <w:r>
        <w:rPr>
          <w:rFonts w:ascii="PMingLiU" w:cs="PMingLiU" w:eastAsia="PMingLiU" w:hAnsi="PMingLiU"/>
          <w:sz w:val="16"/>
          <w:szCs w:val="16"/>
          <w:color w:val="auto"/>
        </w:rPr>
        <w:t>DERYH$VGHVFULEHGDERYHXQGHU³</w:t>
      </w:r>
      <w:r>
        <w:rPr>
          <w:rFonts w:ascii="PMingLiU" w:cs="PMingLiU" w:eastAsia="PMingLiU" w:hAnsi="PMingLiU"/>
          <w:sz w:val="16"/>
          <w:szCs w:val="16"/>
          <w:i w:val="1"/>
          <w:iCs w:val="1"/>
          <w:color w:val="auto"/>
        </w:rPr>
        <w:t>!5:,4:0(2!(?3,4:9;654</w:t>
      </w:r>
    </w:p>
    <w:p>
      <w:pPr>
        <w:ind w:left="360"/>
        <w:spacing w:after="0"/>
        <w:tabs>
          <w:tab w:leader="none" w:pos="2860" w:val="left"/>
        </w:tabs>
        <w:rPr>
          <w:sz w:val="20"/>
          <w:szCs w:val="20"/>
          <w:color w:val="auto"/>
        </w:rPr>
      </w:pPr>
      <w:r>
        <w:rPr>
          <w:rFonts w:ascii="PMingLiU" w:cs="PMingLiU" w:eastAsia="PMingLiU" w:hAnsi="PMingLiU"/>
          <w:sz w:val="16"/>
          <w:szCs w:val="16"/>
          <w:i w:val="1"/>
          <w:iCs w:val="1"/>
          <w:color w:val="auto"/>
        </w:rPr>
        <w:t>$,8304(:05458/(4.,0454:852</w:t>
        <w:tab/>
        <w:t>$8,(:3,4:5-    (4+  !#%9</w:t>
      </w:r>
      <w:r>
        <w:rPr>
          <w:rFonts w:ascii="PMingLiU" w:cs="PMingLiU" w:eastAsia="PMingLiU" w:hAnsi="PMingLiU"/>
          <w:sz w:val="16"/>
          <w:szCs w:val="16"/>
          <w:color w:val="auto"/>
        </w:rPr>
        <w:t>´WKHWHUPVRIWKHDQG368VSURYLGHIRUD</w:t>
      </w:r>
    </w:p>
    <w:p>
      <w:pPr>
        <w:ind w:left="360"/>
        <w:spacing w:after="0"/>
        <w:rPr>
          <w:sz w:val="20"/>
          <w:szCs w:val="20"/>
          <w:color w:val="auto"/>
        </w:rPr>
      </w:pPr>
      <w:r>
        <w:rPr>
          <w:rFonts w:ascii="PMingLiU" w:cs="PMingLiU" w:eastAsia="PMingLiU" w:hAnsi="PMingLiU"/>
          <w:sz w:val="13"/>
          <w:szCs w:val="13"/>
          <w:color w:val="auto"/>
        </w:rPr>
        <w:t>YHVWLQJVFKHGXOHDGMXVWPHQWLID&amp;,&amp;RFFXUVSULRUWRWKHODVWGD\RIWKHSHUIRUPDQFHSHULRGDQGLIWKHDZDUGLVDVVXPHGRUFRQWLQXHGRU</w:t>
      </w:r>
    </w:p>
    <w:p>
      <w:pPr>
        <w:spacing w:after="0" w:line="36" w:lineRule="exact"/>
        <w:rPr>
          <w:sz w:val="20"/>
          <w:szCs w:val="20"/>
          <w:color w:val="auto"/>
        </w:rPr>
      </w:pPr>
    </w:p>
    <w:p>
      <w:pPr>
        <w:ind w:left="360"/>
        <w:spacing w:after="0"/>
        <w:rPr>
          <w:sz w:val="20"/>
          <w:szCs w:val="20"/>
          <w:color w:val="auto"/>
        </w:rPr>
      </w:pPr>
      <w:r>
        <w:rPr>
          <w:rFonts w:ascii="PMingLiU" w:cs="PMingLiU" w:eastAsia="PMingLiU" w:hAnsi="PMingLiU"/>
          <w:sz w:val="13"/>
          <w:szCs w:val="13"/>
          <w:color w:val="auto"/>
        </w:rPr>
        <w:t>VXEVWLWXWHGZLWKDVLPLODUVWRFNDZDUGLQFRQQHFWLRQZLWKVXFK&amp;,&amp;6LQFHWKHYDOXHRIWKLVYHVWLQJVFKHGXOHDGMXVWPHQWLVEDVHGRQ</w:t>
      </w:r>
    </w:p>
    <w:p>
      <w:pPr>
        <w:spacing w:after="0" w:line="36" w:lineRule="exact"/>
        <w:rPr>
          <w:sz w:val="20"/>
          <w:szCs w:val="20"/>
          <w:color w:val="auto"/>
        </w:rPr>
      </w:pPr>
    </w:p>
    <w:p>
      <w:pPr>
        <w:ind w:left="360"/>
        <w:spacing w:after="0"/>
        <w:rPr>
          <w:sz w:val="20"/>
          <w:szCs w:val="20"/>
          <w:color w:val="auto"/>
        </w:rPr>
      </w:pPr>
      <w:r>
        <w:rPr>
          <w:rFonts w:ascii="PMingLiU" w:cs="PMingLiU" w:eastAsia="PMingLiU" w:hAnsi="PMingLiU"/>
          <w:sz w:val="12"/>
          <w:szCs w:val="12"/>
          <w:color w:val="auto"/>
        </w:rPr>
        <w:t>IXWXUHHYHQWVLQFOXGLQJZLWKUHVSHFWWR368DZDUGFHUWLILFDWLRQQRVHSDUDWHTXDQWLILFDWLRQRIWKLVEHQHILWLVVKRZQ+RZHYHUWKHYDOXHRI</w:t>
      </w:r>
    </w:p>
    <w:p>
      <w:pPr>
        <w:spacing w:after="0" w:line="48"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WKHDQG368IXOOYHVWLQJDFFHOHUDWLRQLVLQFOXGHGLQWKHWDEOH</w:t>
      </w:r>
    </w:p>
    <w:p>
      <w:pPr>
        <w:spacing w:after="0" w:line="7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5HSUHVHQWVWKHYDOXHRIWKHDQG568YHVWLQJDFFHOHUDWLRQDQGSURUDWHGSRUWLRQRIDQG368</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2"/>
          <w:szCs w:val="12"/>
          <w:color w:val="auto"/>
        </w:rPr>
        <w:t>YHVWLQJEHQHILWXSRQGHDWK6LQFHWKHYDOXHRIWKHH[WHQGHGSRVWWHUPLQDWLRQRSWLRQH[HUFLVHSHULRGLQWKLVWHUPLQDWLRQVFHQDULRLVQRW</w:t>
      </w:r>
    </w:p>
    <w:p>
      <w:pPr>
        <w:spacing w:after="0" w:line="48"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TXDQWLILDEOHVXFKYDOXHLVQRWLQFOXGHGLQWKHWDEOH</w:t>
      </w:r>
    </w:p>
    <w:p>
      <w:pPr>
        <w:spacing w:after="0" w:line="74" w:lineRule="exact"/>
        <w:rPr>
          <w:sz w:val="20"/>
          <w:szCs w:val="20"/>
          <w:color w:val="auto"/>
        </w:rPr>
      </w:pPr>
    </w:p>
    <w:p>
      <w:pPr>
        <w:ind w:left="360" w:right="380" w:hanging="359"/>
        <w:spacing w:after="0" w:line="263" w:lineRule="auto"/>
        <w:tabs>
          <w:tab w:leader="none" w:pos="340" w:val="left"/>
        </w:tabs>
        <w:rPr>
          <w:sz w:val="20"/>
          <w:szCs w:val="20"/>
          <w:color w:val="auto"/>
        </w:rPr>
      </w:pPr>
      <w:r>
        <w:rPr>
          <w:rFonts w:ascii="PMingLiU" w:cs="PMingLiU" w:eastAsia="PMingLiU" w:hAnsi="PMingLiU"/>
          <w:sz w:val="15"/>
          <w:szCs w:val="15"/>
          <w:color w:val="auto"/>
        </w:rPr>
        <w:t/>
        <w:tab/>
        <w:t>5HSUHVHQWVWKHYDOXHRIDQG568YHVWLQJFRQWLQXDWLRQXSRQDWHUPLQDWLRQGXHWRGLVDELOLW\7KHYDOXHRIWKH DQG368YHVWLQJEHQHILWXSRQDWHUPLQDWLRQGXHWRGLVDELOLW\LVQRWLQFOXGHGEHFDXVHQR368VZHUHHDUQHGDVRI 'HFHPEHUZLWKUHVSHFWWRWKH368VWKHSHUIRUPDQFHSHULRGHQGHGRQ'HFHPEHUVRWKHDZDUGVZHUHQR</w:t>
      </w:r>
    </w:p>
    <w:p>
      <w:pPr>
        <w:spacing w:after="0" w:line="1" w:lineRule="exact"/>
        <w:rPr>
          <w:sz w:val="20"/>
          <w:szCs w:val="20"/>
          <w:color w:val="auto"/>
        </w:rPr>
      </w:pPr>
    </w:p>
    <w:p>
      <w:pPr>
        <w:ind w:left="360" w:right="280"/>
        <w:spacing w:after="0" w:line="381" w:lineRule="auto"/>
        <w:rPr>
          <w:sz w:val="20"/>
          <w:szCs w:val="20"/>
          <w:color w:val="auto"/>
        </w:rPr>
      </w:pPr>
      <w:r>
        <w:rPr>
          <w:rFonts w:ascii="PMingLiU" w:cs="PMingLiU" w:eastAsia="PMingLiU" w:hAnsi="PMingLiU"/>
          <w:sz w:val="12"/>
          <w:szCs w:val="12"/>
          <w:color w:val="auto"/>
        </w:rPr>
        <w:t>ORQJHUVXEMHFWWRYHVWLQJEHQHILWVUHODWLQJWRWHUPLQDWLRQGXHWRGLVDELOLW\,QDGGLWLRQVLQFHWKHYDOXHRIWKHH[WHQGHGSRVWWHUPLQDWLRQ RSWLRQH[HUFLVHSHULRGLQWKLVWHUPLQDWLRQVFHQDULRLVQRWTXDQWLILDEOHVXFKYDOXHLVQRWLQFOXGHGLQWKHWDEOH</w:t>
      </w:r>
    </w:p>
    <w:p>
      <w:pPr>
        <w:spacing w:after="0" w:line="1" w:lineRule="exact"/>
        <w:rPr>
          <w:sz w:val="20"/>
          <w:szCs w:val="20"/>
          <w:color w:val="auto"/>
        </w:rPr>
      </w:pPr>
    </w:p>
    <w:p>
      <w:pPr>
        <w:ind w:left="360" w:right="40" w:hanging="359"/>
        <w:spacing w:after="0" w:line="279" w:lineRule="auto"/>
        <w:tabs>
          <w:tab w:leader="none" w:pos="340" w:val="left"/>
        </w:tabs>
        <w:rPr>
          <w:sz w:val="20"/>
          <w:szCs w:val="20"/>
          <w:color w:val="auto"/>
        </w:rPr>
      </w:pPr>
      <w:r>
        <w:rPr>
          <w:rFonts w:ascii="PMingLiU" w:cs="PMingLiU" w:eastAsia="PMingLiU" w:hAnsi="PMingLiU"/>
          <w:sz w:val="14"/>
          <w:szCs w:val="14"/>
          <w:color w:val="auto"/>
        </w:rPr>
        <w:t/>
        <w:tab/>
        <w:t>5HSUHVHQWVWKHYDOXHRIDQG568YHVWLQJFRQWLQXDWLRQXSRQUHWLUHPHQW7KHYDOXHRI568YHVWLQJFRQWLQXDWLRQ XSRQUHWLUHPHQWLVQRWLQFOXGHGEHFDXVHWKHYHVWLQJFRQWLQXDWLRQEHQHILWLQWKLVWHUPLQDWLRQVFHQDULRXQGHUWKHDQG 568VGRHVQRWDULVHXQWLORQH\HDUIURPWKHGDWHRIJUDQW7KHYDOXHRIWKHDQG368YHVWLQJEHQHILWXSRQUHWLUHPHQWLV QRWLQFOXGHGEHFDXVHQR368VZHUHHDUQHGDVRI'HFHPEHUZLWKUHVSHFWWRWKH368VWKHSHUIRUPDQFHSHULRGHQGHGRQ 'HFHPEHUVRWKHDZDUGVZHUHQRORQJHUVXEMHFWWRYHVWLQJEHQHILWVUHODWLQJWRUHWLUHPHQW,QDGGLWLRQVLQFHWKHYDOXHRIWKH</w:t>
      </w:r>
    </w:p>
    <w:p>
      <w:pPr>
        <w:ind w:left="360" w:right="20"/>
        <w:spacing w:after="0" w:line="468" w:lineRule="auto"/>
        <w:rPr>
          <w:sz w:val="20"/>
          <w:szCs w:val="20"/>
          <w:color w:val="auto"/>
        </w:rPr>
      </w:pPr>
      <w:r>
        <w:rPr>
          <w:rFonts w:ascii="PMingLiU" w:cs="PMingLiU" w:eastAsia="PMingLiU" w:hAnsi="PMingLiU"/>
          <w:sz w:val="12"/>
          <w:szCs w:val="12"/>
          <w:color w:val="auto"/>
        </w:rPr>
        <w:t>H[WHQGHGSRVWWHUPLQDWLRQRSWLRQH[HUFLVHSHULRGLQWKLVWHUPLQDWLRQVFHQDULRLVQRWTXDQWLILDEOHVXFKYDOXHLVQRWLQFOXGHGLQWKHWDEOH +DYLQJVDWLVILHGWKHDJHDQGPLQLPXP\HDUVRIFRQWLQXRXVVHUYLFHUHTXLUHPHQWV0U&amp;R]DGGZDVHOLJLEOHIRU/RQJ6HUYLFH5HWLUHPHQWDW WKHWLPHRIKLVUHWLUHPHQWLQ6HSWHPEHUDQG'U,DQQRQHDQG0V3HDUFHZHUHHOLJLEOHIRU5HJXODU5HWLUHPHQWDVRI'HFHPEHU </w:t>
      </w:r>
    </w:p>
    <w:p>
      <w:pPr>
        <w:ind w:left="360" w:right="100" w:hanging="359"/>
        <w:spacing w:after="0" w:line="285" w:lineRule="auto"/>
        <w:tabs>
          <w:tab w:leader="none" w:pos="340" w:val="left"/>
        </w:tabs>
        <w:rPr>
          <w:sz w:val="20"/>
          <w:szCs w:val="20"/>
          <w:color w:val="auto"/>
        </w:rPr>
      </w:pPr>
      <w:r>
        <w:rPr>
          <w:rFonts w:ascii="PMingLiU" w:cs="PMingLiU" w:eastAsia="PMingLiU" w:hAnsi="PMingLiU"/>
          <w:sz w:val="14"/>
          <w:szCs w:val="14"/>
          <w:color w:val="auto"/>
        </w:rPr>
        <w:t/>
        <w:tab/>
        <w:t>7KHVHEHQHILWVDUHSD\DEOHXQGHUWKH6HYHUDQFH3ODQIRUDOO1(2VH[FHSW0V*DODDQG0U&amp;R]DGGLIWKHLQYROXQWDU\WHUPLQDWLRQGRHV QRWRFFXUXSRQRUZLWKLQPRQWKVRID&amp;,&amp;DQGDVVXPLQJVXFKWHUPLQDWLRQWRRNSODFHRQ'HFHPEHU3XUVXDQWWRWKH</w:t>
      </w:r>
    </w:p>
    <w:p>
      <w:pPr>
        <w:spacing w:after="0" w:line="1" w:lineRule="exact"/>
        <w:rPr>
          <w:sz w:val="20"/>
          <w:szCs w:val="20"/>
          <w:color w:val="auto"/>
        </w:rPr>
      </w:pPr>
    </w:p>
    <w:p>
      <w:pPr>
        <w:ind w:left="360" w:right="80"/>
        <w:spacing w:after="0" w:line="349" w:lineRule="auto"/>
        <w:rPr>
          <w:sz w:val="20"/>
          <w:szCs w:val="20"/>
          <w:color w:val="auto"/>
        </w:rPr>
      </w:pPr>
      <w:r>
        <w:rPr>
          <w:rFonts w:ascii="PMingLiU" w:cs="PMingLiU" w:eastAsia="PMingLiU" w:hAnsi="PMingLiU"/>
          <w:sz w:val="12"/>
          <w:szCs w:val="12"/>
          <w:color w:val="auto"/>
        </w:rPr>
        <w:t>6HYHUDQFH3ODQDQLQYROXQWDU\WHUPLQDWLRQZLWKRXWFDXVHGRHVQRWLQFOXGHDQLQGLYLGXDO¶VYROXQWDU\UHVLJQDWLRQIRUDQ\UHDVRQRUDQ LQGLYLGXDO¶VGHDWKRUGLVDELOLW\7KHEHQHILWVSD\DEOHWR0V*DODLQFRQQHFWLRQZLWKDQLQYROXQWDU\WHUPLQDWLRQDUHSXUVXDQWWRWKH&amp;(2 (PSOR\PHQW$JUHHPHQWHQWHUHGLQWRRQ-XO\8QGHUWKHDJUHHPHQWDQLQYROXQWDU\WHUPLQDWLRQZLWKRXWFDXVHGRHVQRWLQFOXGH 0V*DOD¶VYROXQWDU\UHVLJQDWLRQIRUDQ\UHDVRQRUKHUGHDWKRUGLVDELOLW\</w:t>
      </w:r>
    </w:p>
    <w:p>
      <w:pPr>
        <w:spacing w:after="0" w:line="5" w:lineRule="exact"/>
        <w:rPr>
          <w:sz w:val="20"/>
          <w:szCs w:val="20"/>
          <w:color w:val="auto"/>
        </w:rPr>
      </w:pPr>
    </w:p>
    <w:p>
      <w:pPr>
        <w:ind w:left="360" w:right="20" w:hanging="359"/>
        <w:spacing w:after="0" w:line="307" w:lineRule="auto"/>
        <w:tabs>
          <w:tab w:leader="none" w:pos="340" w:val="left"/>
        </w:tabs>
        <w:rPr>
          <w:sz w:val="20"/>
          <w:szCs w:val="20"/>
          <w:color w:val="auto"/>
        </w:rPr>
      </w:pPr>
      <w:r>
        <w:rPr>
          <w:rFonts w:ascii="PMingLiU" w:cs="PMingLiU" w:eastAsia="PMingLiU" w:hAnsi="PMingLiU"/>
          <w:sz w:val="13"/>
          <w:szCs w:val="13"/>
          <w:color w:val="auto"/>
        </w:rPr>
        <w:t/>
        <w:tab/>
        <w:t>7KHYDOXHRIHTXLW\JUDQWVYHVWLQJDFFHOHUDWLRQRUFRQWLQXDWLRQDVDSSOLFDEOHLVEDVHGRQWKHFORVLQJSULFHRISHURUGLQDU\VKDUH RQ'HFHPEHUPLQXVLQWKHFDVHRIVWRFNRSWLRQVWKHH[HUFLVHSULFHRIWKHXQYHVWHGVWRFNRSWLRQVKDUHVVXEMHFWWR</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DFFHOHUDWLRQ</w:t>
      </w:r>
    </w:p>
    <w:p>
      <w:pPr>
        <w:spacing w:after="0" w:line="7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7KLVDPRXQWUHSUHVHQWVWKHYDOXHUHFHLYHGE\0U&amp;R]DGGLQFRQQHFWLRQZLWKKLVUHWLUHPHQWLQ6HSWHPEHU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3209925</wp:posOffset>
            </wp:positionV>
            <wp:extent cx="1386840" cy="2336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36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40"/>
          </w:cols>
          <w:pgMar w:left="900" w:top="377" w:right="939" w:bottom="0" w:gutter="0" w:footer="0" w:header="0"/>
        </w:sectPr>
      </w:pPr>
    </w:p>
    <w:bookmarkStart w:id="101" w:name="page102"/>
    <w:bookmarkEnd w:id="10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15" o:spid="_x0000_s1540"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3D\5DWLR'LVFORVXUH</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5"/>
          <w:szCs w:val="15"/>
          <w:color w:val="auto"/>
        </w:rPr>
        <w:t>8QGHU6(&amp;UXOHVZHDUHUHTXLUHGWRFDOFXODWHDQGGLVFORVHWKHDQQXDOWRWDOFRPSHQVDWLRQRIRXUPHGLDQHPSOR\HHDVZHOODV</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WKHUDWLRRIWKHDQQXDOWRWDOFRPSHQVDWLRQRIRXUPHGLDQHPSOR\HHDVFRPSDUHGWRWKHDQQXDOWRWDOFRPSHQVDWLRQRIRXU&amp;(2</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8"/>
          <w:szCs w:val="18"/>
          <w:color w:val="auto"/>
        </w:rPr>
        <w:t>RURXU&amp;(2SD\UDWLR)RUWRLGHQWLI\RXUPHGLDQHPSOR\HHZHXVHGWKHIROORZLQJPHWKRGRORJ\</w:t>
      </w:r>
    </w:p>
    <w:p>
      <w:pPr>
        <w:spacing w:after="0" w:line="204" w:lineRule="exact"/>
        <w:rPr>
          <w:sz w:val="20"/>
          <w:szCs w:val="20"/>
          <w:color w:val="auto"/>
        </w:rPr>
      </w:pPr>
    </w:p>
    <w:p>
      <w:pPr>
        <w:ind w:left="360" w:right="22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7RGHWHUPLQHRXUWRWDOSRSXODWLRQRIHPSOR\HHVZHLQFOXGHGDOOIXOOWLPHSDUWWLPHUHJXODUDQGWHPSRUDU\HPSOR\HHVDV RI2FWREHU</w:t>
      </w:r>
    </w:p>
    <w:p>
      <w:pPr>
        <w:spacing w:after="0" w:line="2" w:lineRule="exact"/>
        <w:rPr>
          <w:sz w:val="20"/>
          <w:szCs w:val="20"/>
          <w:color w:val="auto"/>
        </w:rPr>
      </w:pPr>
    </w:p>
    <w:p>
      <w:pPr>
        <w:ind w:left="360" w:right="300" w:hanging="279"/>
        <w:spacing w:after="0" w:line="335"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7RLGHQWLI\RXUPHGLDQHPSOR\HHIURPRXUHPSOR\HHSRSXODWLRQZHFDOFXODWHGWKHDQQXDOWDUJHWDPRXQWRIHDFK HPSOR\HH¶VEDVHVDODU\XVLQJDUHDVRQDEOHHVWLPDWHRIWKHKRXUVZRUNHGDQGQRRYHUWLPHIRUKRXUO\HPSOR\HHV DQGERQXVRUFRPPLVVLRQDVDSSOLFDEOHDQGDGGHGWKHHVWLPDWHGYDOXHRIDOOHTXLW\DZDUGVJUDQWHGGXULQJ)RU SXUSRVHVRIEDVHVDODULHVERQXVHVDQGFRPPLVVLRQVZHXVHGDQHVWLPDWHEDVHGRQWKHUDWHVLQHIIHFWRQ2FWREHU 7KHYDOXHRIHTXLW\DZDUGVZDVQRWLQFOXGHGLQWKHFDOFXODWLRQRIWKHPHGLDQRIWKHDQQXDOWRWDOFRPSHQVDWLRQRI RXUHPSOR\HHVIRU</w:t>
      </w:r>
    </w:p>
    <w:p>
      <w:pPr>
        <w:spacing w:after="0" w:line="50" w:lineRule="exact"/>
        <w:rPr>
          <w:sz w:val="20"/>
          <w:szCs w:val="20"/>
          <w:color w:val="auto"/>
        </w:rPr>
      </w:pPr>
    </w:p>
    <w:p>
      <w:pPr>
        <w:ind w:left="360" w:right="68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,QPDNLQJWKLVGHWHUPLQDWLRQZHDQQXDOL]HGWKHEDVHVDODULHVERQXVHVDQGFRPPLVVLRQVRIHPSOR\HHVZKRZHUH HPSOR\HGE\XVIRUOHVVWKDQWKHHQWLUHFDOHQGDU\HDU</w:t>
      </w:r>
    </w:p>
    <w:p>
      <w:pPr>
        <w:spacing w:after="0" w:line="2" w:lineRule="exact"/>
        <w:rPr>
          <w:sz w:val="20"/>
          <w:szCs w:val="20"/>
          <w:color w:val="auto"/>
        </w:rPr>
      </w:pPr>
    </w:p>
    <w:p>
      <w:pPr>
        <w:ind w:left="360" w:right="100" w:hanging="279"/>
        <w:spacing w:after="0" w:line="398" w:lineRule="auto"/>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&amp;RPSHQVDWLRQSDLGLQIRUHLJQFXUUHQFLHVZDVFRQYHUWHGWR86GROODUVEDVHGRQWKHDYHUDJHGDLO\H[FKDQJHUDWHVIRUWKH \HDUWRGDWHSHULRGHQGLQJRQ2FWREHU</w:t>
      </w:r>
    </w:p>
    <w:p>
      <w:pPr>
        <w:spacing w:after="0" w:line="62" w:lineRule="exact"/>
        <w:rPr>
          <w:sz w:val="20"/>
          <w:szCs w:val="20"/>
          <w:color w:val="auto"/>
        </w:rPr>
      </w:pPr>
    </w:p>
    <w:p>
      <w:pPr>
        <w:ind w:right="420"/>
        <w:spacing w:after="0" w:line="398" w:lineRule="auto"/>
        <w:rPr>
          <w:sz w:val="20"/>
          <w:szCs w:val="20"/>
          <w:color w:val="auto"/>
        </w:rPr>
      </w:pPr>
      <w:r>
        <w:rPr>
          <w:rFonts w:ascii="PMingLiU" w:cs="PMingLiU" w:eastAsia="PMingLiU" w:hAnsi="PMingLiU"/>
          <w:sz w:val="15"/>
          <w:szCs w:val="15"/>
          <w:color w:val="auto"/>
        </w:rPr>
        <w:t>8VLQJWKLVDSSURDFKH[FOXGLQJ0V*DODIRUWKLVSXUSRVHZHGHWHUPLQHGRXUPHGLDQHPSOR\HHDQGWKHQFDOFXODWHGWKH DQQXDOWRWDOFRPSHQVDWLRQRIWKLVHPSOR\HHIRULQDFFRUGDQFHZLWKWKHUHTXLUHPHQWVRIWKH6XPPDU\&amp;RPSHQVDWLRQ 7DEOH</w:t>
      </w:r>
    </w:p>
    <w:p>
      <w:pPr>
        <w:spacing w:after="0" w:line="302" w:lineRule="exact"/>
        <w:rPr>
          <w:sz w:val="20"/>
          <w:szCs w:val="20"/>
          <w:color w:val="auto"/>
        </w:rPr>
      </w:pPr>
    </w:p>
    <w:p>
      <w:pPr>
        <w:spacing w:after="0" w:line="319" w:lineRule="auto"/>
        <w:rPr>
          <w:sz w:val="20"/>
          <w:szCs w:val="20"/>
          <w:color w:val="auto"/>
        </w:rPr>
      </w:pPr>
      <w:r>
        <w:rPr>
          <w:rFonts w:ascii="PMingLiU" w:cs="PMingLiU" w:eastAsia="PMingLiU" w:hAnsi="PMingLiU"/>
          <w:sz w:val="15"/>
          <w:szCs w:val="15"/>
          <w:color w:val="auto"/>
        </w:rPr>
        <w:t>)RUWKHPHGLDQRIWKHDQQXDOWRWDOFRPSHQVDWLRQRIRXUHPSOR\HHVRWKHUWKDQ0V*DODZDV'XHWRWKH &amp;(2WUDQVLWLRQLQZHFDOFXODWHGWKHDQQXDOWRWDOFRPSHQVDWLRQRIWKH&amp;(20V*DODE\DQQXDOL]LQJKHUHIIHFWLYHDQQXDO VDODU\DV&amp;(2EXWRWKHUZLVHXVLQJWKHDPRXQWVKRZQDVKHUWRWDOFRPSHQVDWLRQLQWKH6XPPDU\&amp;RPSHQVDWLRQ7DEOH ZKLFKUHVXOWHGLQDSD\PHQWDPRXQWIRUWKLVSXUSRVHRIWRWDOFRPSHQVDWLRQXVLQJKHUHIIHFWLYHDQQXDOVDODU\DV&amp;(2ZKLFK ZDV%DVHGRQWKLVLQIRUPDWLRQWKHUDWLRRIWKHDQQXDOWRWDOFRPSHQVDWLRQRI0V*DODWRWKHPHGLDQRIWKH DQQXDOWRWDOFRPSHQVDWLRQRIDOORWKHUHPSOR\HHVZDVWR7KLVSD\UDWLRLVKLJKHUWKDQRXUKLVWRULFDOSD\UDWLRVDVLW</w:t>
      </w:r>
    </w:p>
    <w:p>
      <w:pPr>
        <w:spacing w:after="0" w:line="2" w:lineRule="exact"/>
        <w:rPr>
          <w:sz w:val="20"/>
          <w:szCs w:val="20"/>
          <w:color w:val="auto"/>
        </w:rPr>
      </w:pPr>
    </w:p>
    <w:p>
      <w:pPr>
        <w:ind w:right="120"/>
        <w:spacing w:after="0" w:line="443" w:lineRule="auto"/>
        <w:rPr>
          <w:sz w:val="20"/>
          <w:szCs w:val="20"/>
          <w:color w:val="auto"/>
        </w:rPr>
      </w:pPr>
      <w:r>
        <w:rPr>
          <w:rFonts w:ascii="PMingLiU" w:cs="PMingLiU" w:eastAsia="PMingLiU" w:hAnsi="PMingLiU"/>
          <w:sz w:val="14"/>
          <w:szCs w:val="14"/>
          <w:color w:val="auto"/>
        </w:rPr>
        <w:t>UHIOHFWVWKHWRWDOFRPSHQVDWLRQSDFNDJHSURYLGHGWR0V*DODLQFRQQHFWLRQZLWKKHU&amp;(2DSSRLQWPHQWDVGHVFULEHGLQGHWDLO LQWKHVHFWLRQWLWOHG&amp;RPSHQVDWLRQ'LVFXVVLRQDQG$QDO\VLVDERYH</w:t>
      </w:r>
    </w:p>
    <w:p>
      <w:pPr>
        <w:spacing w:after="0" w:line="39"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7KH&amp;(2SD\UDWLRDERYHUHSUHVHQWVRXUUHDVRQDEOHHVWLPDWHFDOFXODWHGLQDPDQQHUFRQVLVWHQWZLWK6(&amp;UXOHVDQGDSSOLFDEOH JXLGDQFH6(&amp;UXOHVDQGJXLGDQFHSURYLGHVLJQLILFDQWIOH[LELOLW\LQKRZFRPSDQLHVLGHQWLI\WKHPHGLDQHPSOR\HHDQGHDFK FRPSDQ\PD\XVHDGLIIHUHQWPHWKRGRORJ\DQGPDNHGLIIHUHQWDVVXPSWLRQVSDUWLFXODUWRWKDWFRPSDQ\$VDUHVXOWDQGDV H[SODLQHGE\WKH6(&amp;ZKHQLWDGRSWHGWKHVHUXOHVLQFRQVLGHULQJWKHSD\UDWLRGLVFORVXUHVKDUHKROGHUVVKRXOGNHHSLQPLQG</w:t>
      </w:r>
    </w:p>
    <w:p>
      <w:pPr>
        <w:spacing w:after="0" w:line="1" w:lineRule="exact"/>
        <w:rPr>
          <w:sz w:val="20"/>
          <w:szCs w:val="20"/>
          <w:color w:val="auto"/>
        </w:rPr>
      </w:pPr>
    </w:p>
    <w:p>
      <w:pPr>
        <w:ind w:right="80"/>
        <w:spacing w:after="0" w:line="392" w:lineRule="auto"/>
        <w:rPr>
          <w:sz w:val="20"/>
          <w:szCs w:val="20"/>
          <w:color w:val="auto"/>
        </w:rPr>
      </w:pPr>
      <w:r>
        <w:rPr>
          <w:rFonts w:ascii="PMingLiU" w:cs="PMingLiU" w:eastAsia="PMingLiU" w:hAnsi="PMingLiU"/>
          <w:sz w:val="14"/>
          <w:szCs w:val="14"/>
          <w:color w:val="auto"/>
        </w:rPr>
        <w:t>WKDWWKHUXOHZDVQRWGHVLJQHGWRIDFLOLWDWHFRPSDULVRQVRISD\UDWLRVDPRQJGLIIHUHQWFRPSDQLHVHYHQFRPSDQLHVZLWKLQWKH VDPHLQGXVWU\EXWUDWKHUWRDOORZVKDUHKROGHUVWREHWWHUXQGHUVWDQGDQGDVVHVVHDFKFRPSDQ\¶VFRPSHQVDWLRQSUDFWLFHVDQG SD\UDWLRGLVFORVXUHV</w:t>
      </w:r>
    </w:p>
    <w:p>
      <w:pPr>
        <w:spacing w:after="0" w:line="76" w:lineRule="exact"/>
        <w:rPr>
          <w:sz w:val="20"/>
          <w:szCs w:val="20"/>
          <w:color w:val="auto"/>
        </w:rPr>
      </w:pPr>
    </w:p>
    <w:p>
      <w:pPr>
        <w:ind w:right="660"/>
        <w:spacing w:after="0" w:line="358" w:lineRule="auto"/>
        <w:rPr>
          <w:sz w:val="20"/>
          <w:szCs w:val="20"/>
          <w:color w:val="auto"/>
        </w:rPr>
      </w:pPr>
      <w:r>
        <w:rPr>
          <w:rFonts w:ascii="PMingLiU" w:cs="PMingLiU" w:eastAsia="PMingLiU" w:hAnsi="PMingLiU"/>
          <w:sz w:val="16"/>
          <w:szCs w:val="16"/>
          <w:color w:val="auto"/>
        </w:rPr>
        <w:t>1HLWKHURXU&amp;RPSHQVDWLRQ&amp;RPPLWWHHQRURXUPDQDJHPHQWXVHGRXU&amp;(2SD\UDWLRPHDVXUHLQPDNLQJFRPSHQVDWLRQ GHFLVLRQV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2195195</wp:posOffset>
            </wp:positionV>
            <wp:extent cx="1386840" cy="2336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36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102" w:name="page103"/>
    <w:bookmarkEnd w:id="102"/>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17" o:spid="_x0000_s1542"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,WHPY3D\YHUVXV3HUIRUPDQFH</w:t>
      </w:r>
    </w:p>
    <w:p>
      <w:pPr>
        <w:spacing w:after="0" w:line="219" w:lineRule="exact"/>
        <w:rPr>
          <w:sz w:val="20"/>
          <w:szCs w:val="20"/>
          <w:color w:val="auto"/>
        </w:rPr>
      </w:pPr>
    </w:p>
    <w:p>
      <w:pPr>
        <w:ind w:right="100"/>
        <w:spacing w:after="0" w:line="345" w:lineRule="auto"/>
        <w:rPr>
          <w:sz w:val="20"/>
          <w:szCs w:val="20"/>
          <w:color w:val="auto"/>
        </w:rPr>
      </w:pPr>
      <w:r>
        <w:rPr>
          <w:rFonts w:ascii="PMingLiU" w:cs="PMingLiU" w:eastAsia="PMingLiU" w:hAnsi="PMingLiU"/>
          <w:sz w:val="15"/>
          <w:szCs w:val="15"/>
          <w:color w:val="auto"/>
        </w:rPr>
        <w:t>7KHGLVFORVXUHLQFOXGHGLQWKLVVHFWLRQLVSUHVFULEHGE\6(&amp;UXOHVDQGGRHVQRWQHFHVVDULO\DOLJQZLWKKRZZHRURXU &amp;RPSHQVDWLRQ&amp;RPPLWWHHYLHZWKHOLQNEHWZHHQRXUSHUIRUPDQFHDQG1(2SD\)RUDGGLWLRQDOLQIRUPDWLRQDERXWRXUSD\IRU SHUIRUPDQFHSKLORVRSK\DQGKRZZHDOLJQH[HFXWLYHFRPSHQVDWLRQRXU&amp;RPSDQ\SHUIRUPDQFHUHIHUWRWKH</w:t>
      </w:r>
      <w:r>
        <w:rPr>
          <w:rFonts w:ascii="PMingLiU" w:cs="PMingLiU" w:eastAsia="PMingLiU" w:hAnsi="PMingLiU"/>
          <w:sz w:val="15"/>
          <w:szCs w:val="15"/>
          <w:i w:val="1"/>
          <w:iCs w:val="1"/>
          <w:color w:val="auto"/>
        </w:rPr>
        <w:t>E&gt;,*;:0&lt;,</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536,49(:054 536,49(:05409*;99054(4+4(2?909F</w:t>
      </w:r>
      <w:r>
        <w:rPr>
          <w:rFonts w:ascii="PMingLiU" w:cs="PMingLiU" w:eastAsia="PMingLiU" w:hAnsi="PMingLiU"/>
          <w:sz w:val="15"/>
          <w:szCs w:val="15"/>
          <w:color w:val="auto"/>
        </w:rPr>
        <w:t>VHFWLRQDERYH</w:t>
      </w:r>
    </w:p>
    <w:p>
      <w:pPr>
        <w:spacing w:after="0" w:line="152"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5HTXLUHG7DEXODU'LVFORVXUHRI3D\9HUVXV3HUIRUPDQFH</w:t>
      </w:r>
    </w:p>
    <w:p>
      <w:pPr>
        <w:spacing w:after="0" w:line="191" w:lineRule="exact"/>
        <w:rPr>
          <w:sz w:val="20"/>
          <w:szCs w:val="20"/>
          <w:color w:val="auto"/>
        </w:rPr>
      </w:pPr>
    </w:p>
    <w:p>
      <w:pPr>
        <w:ind w:right="20"/>
        <w:spacing w:after="0" w:line="309" w:lineRule="auto"/>
        <w:rPr>
          <w:sz w:val="20"/>
          <w:szCs w:val="20"/>
          <w:color w:val="auto"/>
        </w:rPr>
      </w:pPr>
      <w:r>
        <w:rPr>
          <w:rFonts w:ascii="PMingLiU" w:cs="PMingLiU" w:eastAsia="PMingLiU" w:hAnsi="PMingLiU"/>
          <w:sz w:val="16"/>
          <w:szCs w:val="16"/>
          <w:color w:val="auto"/>
        </w:rPr>
        <w:t>7KHWDEOHEHORZUHIOHFWVLQIRUPDWLRQUHJDUGLQJWKHFRPSHQVDWLRQRIRXU1(2VIRUILVFDO\HDUVDQG DVZHOODVRXUILQDQFLDOSHUIRUPDQFHIRUHDFKRIWKHVHILVFDO\HDUVLQDFFRUGDQFHZLWK6(&amp;UXOHV7KHDPRXQWVVHWIRUWK EHORZXQGHUWKHKHDGLQJV³</w:t>
      </w:r>
      <w:r>
        <w:rPr>
          <w:rFonts w:ascii="PMingLiU" w:cs="PMingLiU" w:eastAsia="PMingLiU" w:hAnsi="PMingLiU"/>
          <w:sz w:val="16"/>
          <w:szCs w:val="16"/>
          <w:i w:val="1"/>
          <w:iCs w:val="1"/>
          <w:color w:val="auto"/>
        </w:rPr>
        <w:t>536,49(:054*:;(22?!(0+:5! FE536,49(:054*:;(22?!(0+:5-583,8! F(4+</w:t>
      </w:r>
      <w:r>
        <w:rPr>
          <w:rFonts w:ascii="PMingLiU" w:cs="PMingLiU" w:eastAsia="PMingLiU" w:hAnsi="PMingLiU"/>
          <w:sz w:val="16"/>
          <w:szCs w:val="16"/>
          <w:color w:val="auto"/>
        </w:rPr>
        <w:t>³</w:t>
      </w:r>
      <w:r>
        <w:rPr>
          <w:rFonts w:ascii="PMingLiU" w:cs="PMingLiU" w:eastAsia="PMingLiU" w:hAnsi="PMingLiU"/>
          <w:sz w:val="16"/>
          <w:szCs w:val="16"/>
          <w:i w:val="1"/>
          <w:iCs w:val="1"/>
          <w:color w:val="auto"/>
        </w:rPr>
        <w:t>&lt;,8(.,</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536,49(:054*:;(22?!(0+:554!  9</w:t>
      </w:r>
      <w:r>
        <w:rPr>
          <w:rFonts w:ascii="PMingLiU" w:cs="PMingLiU" w:eastAsia="PMingLiU" w:hAnsi="PMingLiU"/>
          <w:sz w:val="16"/>
          <w:szCs w:val="16"/>
          <w:color w:val="auto"/>
        </w:rPr>
        <w:t>´KDYHEHHQFDOFXODWHGLQDPDQQHUFRQVLVWHQWZLWK,WHPYRI5HJXODWLRQ</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6.8VHRIWKHWHUP³FRPSHQVDWLRQDFWXDOO\SDLG´LVUHTXLUHGE\WKH6(&amp;¶VUXOHVDQGDVDUHVXOWRIWKHFDOFXODWLRQ PHWKRGRORJ\UHTXLUHGE\WKH6(&amp;VXFKDPRXQWVGLIIHUIURPFRPSHQVDWLRQDFWXDOO\UHFHLYHGE\WKHLQGLYLGXDOVDQGWKH FRPSHQVDWLRQGHFLVLRQVGHVFULEHGLQWKH</w:t>
      </w:r>
      <w:r>
        <w:rPr>
          <w:rFonts w:ascii="PMingLiU" w:cs="PMingLiU" w:eastAsia="PMingLiU" w:hAnsi="PMingLiU"/>
          <w:sz w:val="16"/>
          <w:szCs w:val="16"/>
          <w:i w:val="1"/>
          <w:iCs w:val="1"/>
          <w:color w:val="auto"/>
        </w:rPr>
        <w:t>E&gt;,*;:0&lt;,536,49(:054 536,49(:05409*;99054(4+4(2?909F</w:t>
      </w:r>
      <w:r>
        <w:rPr>
          <w:rFonts w:ascii="PMingLiU" w:cs="PMingLiU" w:eastAsia="PMingLiU" w:hAnsi="PMingLiU"/>
          <w:sz w:val="16"/>
          <w:szCs w:val="16"/>
          <w:color w:val="auto"/>
        </w:rPr>
        <w:t>VHFWLRQDERYH</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shd w:val="clear" w:color="auto" w:fill="000046"/>
          </w:tcPr>
          <w:p>
            <w:pPr>
              <w:spacing w:after="0"/>
              <w:rPr>
                <w:sz w:val="19"/>
                <w:szCs w:val="19"/>
                <w:color w:val="auto"/>
              </w:rPr>
            </w:pPr>
          </w:p>
        </w:tc>
        <w:tc>
          <w:tcPr>
            <w:tcW w:w="980" w:type="dxa"/>
            <w:vAlign w:val="bottom"/>
            <w:shd w:val="clear" w:color="auto" w:fill="000046"/>
          </w:tcPr>
          <w:p>
            <w:pPr>
              <w:spacing w:after="0"/>
              <w:rPr>
                <w:sz w:val="19"/>
                <w:szCs w:val="19"/>
                <w:color w:val="auto"/>
              </w:rPr>
            </w:pPr>
          </w:p>
        </w:tc>
        <w:tc>
          <w:tcPr>
            <w:tcW w:w="960" w:type="dxa"/>
            <w:vAlign w:val="bottom"/>
            <w:shd w:val="clear" w:color="auto" w:fill="000046"/>
          </w:tcPr>
          <w:p>
            <w:pPr>
              <w:spacing w:after="0"/>
              <w:rPr>
                <w:sz w:val="19"/>
                <w:szCs w:val="19"/>
                <w:color w:val="auto"/>
              </w:rPr>
            </w:pPr>
          </w:p>
        </w:tc>
        <w:tc>
          <w:tcPr>
            <w:tcW w:w="960" w:type="dxa"/>
            <w:vAlign w:val="bottom"/>
            <w:shd w:val="clear" w:color="auto" w:fill="000046"/>
          </w:tcPr>
          <w:p>
            <w:pPr>
              <w:spacing w:after="0"/>
              <w:rPr>
                <w:sz w:val="19"/>
                <w:szCs w:val="19"/>
                <w:color w:val="auto"/>
              </w:rPr>
            </w:pPr>
          </w:p>
        </w:tc>
        <w:tc>
          <w:tcPr>
            <w:tcW w:w="960" w:type="dxa"/>
            <w:vAlign w:val="bottom"/>
            <w:shd w:val="clear" w:color="auto" w:fill="000046"/>
          </w:tcPr>
          <w:p>
            <w:pPr>
              <w:spacing w:after="0"/>
              <w:rPr>
                <w:sz w:val="19"/>
                <w:szCs w:val="19"/>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$YHUDJH</w:t>
            </w:r>
          </w:p>
        </w:tc>
        <w:tc>
          <w:tcPr>
            <w:tcW w:w="920" w:type="dxa"/>
            <w:vAlign w:val="bottom"/>
            <w:shd w:val="clear" w:color="auto" w:fill="000046"/>
          </w:tcPr>
          <w:p>
            <w:pPr>
              <w:spacing w:after="0"/>
              <w:rPr>
                <w:sz w:val="19"/>
                <w:szCs w:val="19"/>
                <w:color w:val="auto"/>
              </w:rPr>
            </w:pPr>
          </w:p>
        </w:tc>
        <w:tc>
          <w:tcPr>
            <w:tcW w:w="1860" w:type="dxa"/>
            <w:vAlign w:val="bottom"/>
            <w:gridSpan w:val="2"/>
            <w:vMerge w:val="restart"/>
            <w:shd w:val="clear" w:color="auto" w:fill="000046"/>
          </w:tcPr>
          <w:p>
            <w:pPr>
              <w:jc w:val="center"/>
              <w:ind w:left="29"/>
              <w:spacing w:after="0"/>
              <w:rPr>
                <w:sz w:val="20"/>
                <w:szCs w:val="20"/>
                <w:color w:val="auto"/>
              </w:rPr>
            </w:pPr>
            <w:r>
              <w:rPr>
                <w:rFonts w:ascii="PMingLiU" w:cs="PMingLiU" w:eastAsia="PMingLiU" w:hAnsi="PMingLiU"/>
                <w:sz w:val="12"/>
                <w:szCs w:val="12"/>
                <w:b w:val="1"/>
                <w:bCs w:val="1"/>
                <w:color w:val="FFFFFF"/>
              </w:rPr>
              <w:t>9DOXHRI,QLWLDO)L[HG</w:t>
            </w:r>
          </w:p>
        </w:tc>
        <w:tc>
          <w:tcPr>
            <w:tcW w:w="80" w:type="dxa"/>
            <w:vAlign w:val="bottom"/>
            <w:shd w:val="clear" w:color="auto" w:fill="000046"/>
          </w:tcPr>
          <w:p>
            <w:pPr>
              <w:spacing w:after="0"/>
              <w:rPr>
                <w:sz w:val="19"/>
                <w:szCs w:val="19"/>
                <w:color w:val="auto"/>
              </w:rPr>
            </w:pPr>
          </w:p>
        </w:tc>
        <w:tc>
          <w:tcPr>
            <w:tcW w:w="960" w:type="dxa"/>
            <w:vAlign w:val="bottom"/>
            <w:shd w:val="clear" w:color="auto" w:fill="000046"/>
          </w:tcPr>
          <w:p>
            <w:pPr>
              <w:spacing w:after="0"/>
              <w:rPr>
                <w:sz w:val="19"/>
                <w:szCs w:val="19"/>
                <w:color w:val="auto"/>
              </w:rPr>
            </w:pPr>
          </w:p>
        </w:tc>
        <w:tc>
          <w:tcPr>
            <w:tcW w:w="880" w:type="dxa"/>
            <w:vAlign w:val="bottom"/>
            <w:shd w:val="clear" w:color="auto" w:fill="000046"/>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540" w:type="dxa"/>
            <w:vAlign w:val="bottom"/>
            <w:shd w:val="clear" w:color="auto" w:fill="000046"/>
          </w:tcPr>
          <w:p>
            <w:pPr>
              <w:spacing w:after="0"/>
              <w:rPr>
                <w:sz w:val="10"/>
                <w:szCs w:val="10"/>
                <w:color w:val="auto"/>
              </w:rPr>
            </w:pPr>
          </w:p>
        </w:tc>
        <w:tc>
          <w:tcPr>
            <w:tcW w:w="980" w:type="dxa"/>
            <w:vAlign w:val="bottom"/>
            <w:shd w:val="clear" w:color="auto" w:fill="000046"/>
          </w:tcPr>
          <w:p>
            <w:pPr>
              <w:spacing w:after="0"/>
              <w:rPr>
                <w:sz w:val="10"/>
                <w:szCs w:val="10"/>
                <w:color w:val="auto"/>
              </w:rPr>
            </w:pPr>
          </w:p>
        </w:tc>
        <w:tc>
          <w:tcPr>
            <w:tcW w:w="960" w:type="dxa"/>
            <w:vAlign w:val="bottom"/>
            <w:shd w:val="clear" w:color="auto" w:fill="000046"/>
          </w:tcPr>
          <w:p>
            <w:pPr>
              <w:spacing w:after="0"/>
              <w:rPr>
                <w:sz w:val="10"/>
                <w:szCs w:val="10"/>
                <w:color w:val="auto"/>
              </w:rPr>
            </w:pPr>
          </w:p>
        </w:tc>
        <w:tc>
          <w:tcPr>
            <w:tcW w:w="960" w:type="dxa"/>
            <w:vAlign w:val="bottom"/>
            <w:shd w:val="clear" w:color="auto" w:fill="000046"/>
          </w:tcPr>
          <w:p>
            <w:pPr>
              <w:spacing w:after="0"/>
              <w:rPr>
                <w:sz w:val="10"/>
                <w:szCs w:val="10"/>
                <w:color w:val="auto"/>
              </w:rPr>
            </w:pPr>
          </w:p>
        </w:tc>
        <w:tc>
          <w:tcPr>
            <w:tcW w:w="960" w:type="dxa"/>
            <w:vAlign w:val="bottom"/>
            <w:shd w:val="clear" w:color="auto" w:fill="000046"/>
          </w:tcPr>
          <w:p>
            <w:pPr>
              <w:spacing w:after="0"/>
              <w:rPr>
                <w:sz w:val="10"/>
                <w:szCs w:val="10"/>
                <w:color w:val="auto"/>
              </w:rPr>
            </w:pPr>
          </w:p>
        </w:tc>
        <w:tc>
          <w:tcPr>
            <w:tcW w:w="960" w:type="dxa"/>
            <w:vAlign w:val="bottom"/>
            <w:shd w:val="clear" w:color="auto" w:fill="000046"/>
          </w:tcPr>
          <w:p>
            <w:pPr>
              <w:jc w:val="right"/>
              <w:spacing w:after="0" w:line="121" w:lineRule="exact"/>
              <w:rPr>
                <w:sz w:val="20"/>
                <w:szCs w:val="20"/>
                <w:color w:val="auto"/>
              </w:rPr>
            </w:pPr>
            <w:r>
              <w:rPr>
                <w:rFonts w:ascii="PMingLiU" w:cs="PMingLiU" w:eastAsia="PMingLiU" w:hAnsi="PMingLiU"/>
                <w:sz w:val="12"/>
                <w:szCs w:val="12"/>
                <w:b w:val="1"/>
                <w:bCs w:val="1"/>
                <w:color w:val="FFFFFF"/>
              </w:rPr>
              <w:t>6XPPDU\</w:t>
            </w:r>
          </w:p>
        </w:tc>
        <w:tc>
          <w:tcPr>
            <w:tcW w:w="920" w:type="dxa"/>
            <w:vAlign w:val="bottom"/>
            <w:shd w:val="clear" w:color="auto" w:fill="000046"/>
          </w:tcPr>
          <w:p>
            <w:pPr>
              <w:jc w:val="right"/>
              <w:spacing w:after="0" w:line="121" w:lineRule="exact"/>
              <w:rPr>
                <w:sz w:val="20"/>
                <w:szCs w:val="20"/>
                <w:color w:val="auto"/>
              </w:rPr>
            </w:pPr>
            <w:r>
              <w:rPr>
                <w:rFonts w:ascii="PMingLiU" w:cs="PMingLiU" w:eastAsia="PMingLiU" w:hAnsi="PMingLiU"/>
                <w:sz w:val="12"/>
                <w:szCs w:val="12"/>
                <w:b w:val="1"/>
                <w:bCs w:val="1"/>
                <w:color w:val="FFFFFF"/>
              </w:rPr>
              <w:t>$YHUDJH</w:t>
            </w:r>
          </w:p>
        </w:tc>
        <w:tc>
          <w:tcPr>
            <w:tcW w:w="1860" w:type="dxa"/>
            <w:vAlign w:val="bottom"/>
            <w:gridSpan w:val="2"/>
            <w:vMerge w:val="continue"/>
            <w:shd w:val="clear" w:color="auto" w:fill="000046"/>
          </w:tcPr>
          <w:p>
            <w:pPr>
              <w:spacing w:after="0"/>
              <w:rPr>
                <w:sz w:val="10"/>
                <w:szCs w:val="10"/>
                <w:color w:val="auto"/>
              </w:rPr>
            </w:pPr>
          </w:p>
        </w:tc>
        <w:tc>
          <w:tcPr>
            <w:tcW w:w="80" w:type="dxa"/>
            <w:vAlign w:val="bottom"/>
            <w:shd w:val="clear" w:color="auto" w:fill="000046"/>
          </w:tcPr>
          <w:p>
            <w:pPr>
              <w:spacing w:after="0"/>
              <w:rPr>
                <w:sz w:val="10"/>
                <w:szCs w:val="10"/>
                <w:color w:val="auto"/>
              </w:rPr>
            </w:pPr>
          </w:p>
        </w:tc>
        <w:tc>
          <w:tcPr>
            <w:tcW w:w="960" w:type="dxa"/>
            <w:vAlign w:val="bottom"/>
            <w:shd w:val="clear" w:color="auto" w:fill="000046"/>
          </w:tcPr>
          <w:p>
            <w:pPr>
              <w:spacing w:after="0"/>
              <w:rPr>
                <w:sz w:val="10"/>
                <w:szCs w:val="10"/>
                <w:color w:val="auto"/>
              </w:rPr>
            </w:pPr>
          </w:p>
        </w:tc>
        <w:tc>
          <w:tcPr>
            <w:tcW w:w="880" w:type="dxa"/>
            <w:vAlign w:val="bottom"/>
            <w:shd w:val="clear" w:color="auto" w:fill="000046"/>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40" w:type="dxa"/>
            <w:vAlign w:val="bottom"/>
            <w:shd w:val="clear" w:color="auto" w:fill="000046"/>
          </w:tcPr>
          <w:p>
            <w:pPr>
              <w:spacing w:after="0"/>
              <w:rPr>
                <w:sz w:val="14"/>
                <w:szCs w:val="14"/>
                <w:color w:val="auto"/>
              </w:rPr>
            </w:pPr>
          </w:p>
        </w:tc>
        <w:tc>
          <w:tcPr>
            <w:tcW w:w="9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6XPPDU\</w:t>
            </w:r>
          </w:p>
        </w:tc>
        <w:tc>
          <w:tcPr>
            <w:tcW w:w="960" w:type="dxa"/>
            <w:vAlign w:val="bottom"/>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6XPPDU\</w:t>
            </w:r>
          </w:p>
        </w:tc>
        <w:tc>
          <w:tcPr>
            <w:tcW w:w="960" w:type="dxa"/>
            <w:vAlign w:val="bottom"/>
            <w:shd w:val="clear" w:color="auto" w:fill="000046"/>
          </w:tcPr>
          <w:p>
            <w:pPr>
              <w:spacing w:after="0"/>
              <w:rPr>
                <w:sz w:val="14"/>
                <w:szCs w:val="14"/>
                <w:color w:val="auto"/>
              </w:rPr>
            </w:pP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3"/>
              </w:rPr>
              <w:t>&amp;RPSHQVDWLRQ</w:t>
            </w: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3"/>
              </w:rPr>
              <w:t>&amp;RPSHQVDWLRQ</w:t>
            </w:r>
          </w:p>
        </w:tc>
        <w:tc>
          <w:tcPr>
            <w:tcW w:w="1860" w:type="dxa"/>
            <w:vAlign w:val="bottom"/>
            <w:gridSpan w:val="2"/>
            <w:shd w:val="clear" w:color="auto" w:fill="000046"/>
          </w:tcPr>
          <w:p>
            <w:pPr>
              <w:jc w:val="center"/>
              <w:ind w:left="29"/>
              <w:spacing w:after="0"/>
              <w:rPr>
                <w:sz w:val="20"/>
                <w:szCs w:val="20"/>
                <w:color w:val="auto"/>
              </w:rPr>
            </w:pPr>
            <w:r>
              <w:rPr>
                <w:rFonts w:ascii="PMingLiU" w:cs="PMingLiU" w:eastAsia="PMingLiU" w:hAnsi="PMingLiU"/>
                <w:sz w:val="12"/>
                <w:szCs w:val="12"/>
                <w:b w:val="1"/>
                <w:bCs w:val="1"/>
                <w:color w:val="FFFFFF"/>
                <w:w w:val="94"/>
              </w:rPr>
              <w:t>,QYHVWPHQW%DVHG2Q</w:t>
            </w:r>
          </w:p>
        </w:tc>
        <w:tc>
          <w:tcPr>
            <w:tcW w:w="80" w:type="dxa"/>
            <w:vAlign w:val="bottom"/>
            <w:shd w:val="clear" w:color="auto" w:fill="000046"/>
          </w:tcPr>
          <w:p>
            <w:pPr>
              <w:spacing w:after="0"/>
              <w:rPr>
                <w:sz w:val="14"/>
                <w:szCs w:val="14"/>
                <w:color w:val="auto"/>
              </w:rPr>
            </w:pPr>
          </w:p>
        </w:tc>
        <w:tc>
          <w:tcPr>
            <w:tcW w:w="960" w:type="dxa"/>
            <w:vAlign w:val="bottom"/>
            <w:vMerge w:val="restart"/>
            <w:shd w:val="clear" w:color="auto" w:fill="000046"/>
          </w:tcPr>
          <w:p>
            <w:pPr>
              <w:jc w:val="right"/>
              <w:ind w:right="29"/>
              <w:spacing w:after="0"/>
              <w:rPr>
                <w:sz w:val="20"/>
                <w:szCs w:val="20"/>
                <w:color w:val="auto"/>
              </w:rPr>
            </w:pPr>
            <w:r>
              <w:rPr>
                <w:rFonts w:ascii="PMingLiU" w:cs="PMingLiU" w:eastAsia="PMingLiU" w:hAnsi="PMingLiU"/>
                <w:sz w:val="12"/>
                <w:szCs w:val="12"/>
                <w:b w:val="1"/>
                <w:bCs w:val="1"/>
                <w:color w:val="FFFFFF"/>
              </w:rPr>
              <w:t>1HW,QFRPH</w:t>
            </w:r>
          </w:p>
        </w:tc>
        <w:tc>
          <w:tcPr>
            <w:tcW w:w="880" w:type="dxa"/>
            <w:vAlign w:val="bottom"/>
            <w:shd w:val="clear" w:color="auto" w:fill="00004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0" w:type="dxa"/>
            <w:vAlign w:val="bottom"/>
            <w:shd w:val="clear" w:color="auto" w:fill="000046"/>
          </w:tcPr>
          <w:p>
            <w:pPr>
              <w:spacing w:after="0"/>
              <w:rPr>
                <w:sz w:val="12"/>
                <w:szCs w:val="12"/>
                <w:color w:val="auto"/>
              </w:rPr>
            </w:pPr>
          </w:p>
        </w:tc>
        <w:tc>
          <w:tcPr>
            <w:tcW w:w="4820" w:type="dxa"/>
            <w:vAlign w:val="bottom"/>
            <w:gridSpan w:val="5"/>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4"/>
              </w:rPr>
              <w:t>&amp;RPSHQVDWLRQ  &amp;RPSHQVDWLRQ  &amp;RPSHQVDWLRQ  &amp;RPSHQVDWLRQ  7DEOH7RWDOIRU</w:t>
            </w: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$FWXDOO\3DLG</w:t>
            </w:r>
          </w:p>
        </w:tc>
        <w:tc>
          <w:tcPr>
            <w:tcW w:w="1040" w:type="dxa"/>
            <w:vAlign w:val="bottom"/>
            <w:shd w:val="clear" w:color="auto" w:fill="000046"/>
          </w:tcPr>
          <w:p>
            <w:pPr>
              <w:spacing w:after="0"/>
              <w:rPr>
                <w:sz w:val="12"/>
                <w:szCs w:val="12"/>
                <w:color w:val="auto"/>
              </w:rPr>
            </w:pPr>
          </w:p>
        </w:tc>
        <w:tc>
          <w:tcPr>
            <w:tcW w:w="820" w:type="dxa"/>
            <w:vAlign w:val="bottom"/>
            <w:shd w:val="clear" w:color="auto" w:fill="000046"/>
          </w:tcPr>
          <w:p>
            <w:pPr>
              <w:spacing w:after="0"/>
              <w:rPr>
                <w:sz w:val="12"/>
                <w:szCs w:val="12"/>
                <w:color w:val="auto"/>
              </w:rPr>
            </w:pPr>
          </w:p>
        </w:tc>
        <w:tc>
          <w:tcPr>
            <w:tcW w:w="80" w:type="dxa"/>
            <w:vAlign w:val="bottom"/>
            <w:shd w:val="clear" w:color="auto" w:fill="000046"/>
          </w:tcPr>
          <w:p>
            <w:pPr>
              <w:spacing w:after="0"/>
              <w:rPr>
                <w:sz w:val="12"/>
                <w:szCs w:val="12"/>
                <w:color w:val="auto"/>
              </w:rPr>
            </w:pPr>
          </w:p>
        </w:tc>
        <w:tc>
          <w:tcPr>
            <w:tcW w:w="960" w:type="dxa"/>
            <w:vAlign w:val="bottom"/>
            <w:vMerge w:val="continue"/>
            <w:shd w:val="clear" w:color="auto" w:fill="000046"/>
          </w:tcPr>
          <w:p>
            <w:pPr>
              <w:spacing w:after="0"/>
              <w:rPr>
                <w:sz w:val="12"/>
                <w:szCs w:val="12"/>
                <w:color w:val="auto"/>
              </w:rPr>
            </w:pPr>
          </w:p>
        </w:tc>
        <w:tc>
          <w:tcPr>
            <w:tcW w:w="8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7RWDO</w:t>
            </w:r>
          </w:p>
        </w:tc>
        <w:tc>
          <w:tcPr>
            <w:tcW w:w="0" w:type="dxa"/>
            <w:vAlign w:val="bottom"/>
          </w:tcPr>
          <w:p>
            <w:pPr>
              <w:spacing w:after="0"/>
              <w:rPr>
                <w:sz w:val="1"/>
                <w:szCs w:val="1"/>
                <w:color w:val="auto"/>
              </w:rPr>
            </w:pPr>
          </w:p>
        </w:tc>
      </w:tr>
      <w:tr>
        <w:trPr>
          <w:trHeight w:val="144"/>
        </w:trPr>
        <w:tc>
          <w:tcPr>
            <w:tcW w:w="540" w:type="dxa"/>
            <w:vAlign w:val="bottom"/>
            <w:shd w:val="clear" w:color="auto" w:fill="000046"/>
          </w:tcPr>
          <w:p>
            <w:pPr>
              <w:spacing w:after="0"/>
              <w:rPr>
                <w:sz w:val="12"/>
                <w:szCs w:val="12"/>
                <w:color w:val="auto"/>
              </w:rPr>
            </w:pPr>
          </w:p>
        </w:tc>
        <w:tc>
          <w:tcPr>
            <w:tcW w:w="9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3"/>
              </w:rPr>
              <w:t>7DEOH7RWDOIRU</w:t>
            </w: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$FWXDOO\3DLG</w:t>
            </w: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w w:val="91"/>
              </w:rPr>
              <w:t>7DEOH7RWDOIRU</w:t>
            </w: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$FWXDOO\3DLG</w:t>
            </w:r>
          </w:p>
        </w:tc>
        <w:tc>
          <w:tcPr>
            <w:tcW w:w="96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1RQ3(2</w:t>
            </w: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WR1RQ3(2</w:t>
            </w:r>
          </w:p>
        </w:tc>
        <w:tc>
          <w:tcPr>
            <w:tcW w:w="1040" w:type="dxa"/>
            <w:vAlign w:val="bottom"/>
            <w:shd w:val="clear" w:color="auto" w:fill="000046"/>
          </w:tcPr>
          <w:p>
            <w:pPr>
              <w:spacing w:after="0"/>
              <w:rPr>
                <w:sz w:val="12"/>
                <w:szCs w:val="12"/>
                <w:color w:val="auto"/>
              </w:rPr>
            </w:pP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3HHU*URXS</w:t>
            </w:r>
          </w:p>
        </w:tc>
        <w:tc>
          <w:tcPr>
            <w:tcW w:w="80" w:type="dxa"/>
            <w:vAlign w:val="bottom"/>
            <w:shd w:val="clear" w:color="auto" w:fill="000046"/>
          </w:tcPr>
          <w:p>
            <w:pPr>
              <w:spacing w:after="0"/>
              <w:rPr>
                <w:sz w:val="12"/>
                <w:szCs w:val="12"/>
                <w:color w:val="auto"/>
              </w:rPr>
            </w:pPr>
          </w:p>
        </w:tc>
        <w:tc>
          <w:tcPr>
            <w:tcW w:w="960" w:type="dxa"/>
            <w:vAlign w:val="bottom"/>
            <w:shd w:val="clear" w:color="auto" w:fill="000046"/>
          </w:tcPr>
          <w:p>
            <w:pPr>
              <w:jc w:val="right"/>
              <w:ind w:right="69"/>
              <w:spacing w:after="0"/>
              <w:rPr>
                <w:sz w:val="20"/>
                <w:szCs w:val="20"/>
                <w:color w:val="auto"/>
              </w:rPr>
            </w:pPr>
            <w:r>
              <w:rPr>
                <w:rFonts w:ascii="PMingLiU" w:cs="PMingLiU" w:eastAsia="PMingLiU" w:hAnsi="PMingLiU"/>
                <w:sz w:val="12"/>
                <w:szCs w:val="12"/>
                <w:b w:val="1"/>
                <w:bCs w:val="1"/>
                <w:color w:val="FFFFFF"/>
              </w:rPr>
              <w:t>/RVV</w:t>
            </w:r>
          </w:p>
        </w:tc>
        <w:tc>
          <w:tcPr>
            <w:tcW w:w="8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5HYHQXHV</w:t>
            </w:r>
          </w:p>
        </w:tc>
        <w:tc>
          <w:tcPr>
            <w:tcW w:w="0" w:type="dxa"/>
            <w:vAlign w:val="bottom"/>
          </w:tcPr>
          <w:p>
            <w:pPr>
              <w:spacing w:after="0"/>
              <w:rPr>
                <w:sz w:val="1"/>
                <w:szCs w:val="1"/>
                <w:color w:val="auto"/>
              </w:rPr>
            </w:pPr>
          </w:p>
        </w:tc>
      </w:tr>
      <w:tr>
        <w:trPr>
          <w:trHeight w:val="144"/>
        </w:trPr>
        <w:tc>
          <w:tcPr>
            <w:tcW w:w="540" w:type="dxa"/>
            <w:vAlign w:val="bottom"/>
            <w:shd w:val="clear" w:color="auto" w:fill="000046"/>
          </w:tcPr>
          <w:p>
            <w:pPr>
              <w:spacing w:after="0"/>
              <w:rPr>
                <w:sz w:val="12"/>
                <w:szCs w:val="12"/>
                <w:color w:val="auto"/>
              </w:rPr>
            </w:pPr>
          </w:p>
        </w:tc>
        <w:tc>
          <w:tcPr>
            <w:tcW w:w="980" w:type="dxa"/>
            <w:vAlign w:val="bottom"/>
            <w:shd w:val="clear" w:color="auto" w:fill="000046"/>
          </w:tcPr>
          <w:p>
            <w:pPr>
              <w:jc w:val="right"/>
              <w:ind w:right="37"/>
              <w:spacing w:after="0"/>
              <w:rPr>
                <w:sz w:val="20"/>
                <w:szCs w:val="20"/>
                <w:color w:val="auto"/>
              </w:rPr>
            </w:pPr>
            <w:r>
              <w:rPr>
                <w:rFonts w:ascii="PMingLiU" w:cs="PMingLiU" w:eastAsia="PMingLiU" w:hAnsi="PMingLiU"/>
                <w:sz w:val="12"/>
                <w:szCs w:val="12"/>
                <w:b w:val="1"/>
                <w:bCs w:val="1"/>
                <w:color w:val="FFFFFF"/>
              </w:rPr>
              <w:t>3(2</w:t>
            </w:r>
          </w:p>
        </w:tc>
        <w:tc>
          <w:tcPr>
            <w:tcW w:w="960" w:type="dxa"/>
            <w:vAlign w:val="bottom"/>
            <w:shd w:val="clear" w:color="auto" w:fill="000046"/>
          </w:tcPr>
          <w:p>
            <w:pPr>
              <w:jc w:val="right"/>
              <w:ind w:right="15"/>
              <w:spacing w:after="0"/>
              <w:rPr>
                <w:sz w:val="20"/>
                <w:szCs w:val="20"/>
                <w:color w:val="auto"/>
              </w:rPr>
            </w:pPr>
            <w:r>
              <w:rPr>
                <w:rFonts w:ascii="PMingLiU" w:cs="PMingLiU" w:eastAsia="PMingLiU" w:hAnsi="PMingLiU"/>
                <w:sz w:val="12"/>
                <w:szCs w:val="12"/>
                <w:b w:val="1"/>
                <w:bCs w:val="1"/>
                <w:color w:val="FFFFFF"/>
              </w:rPr>
              <w:t>WR3(2</w:t>
            </w:r>
          </w:p>
        </w:tc>
        <w:tc>
          <w:tcPr>
            <w:tcW w:w="960" w:type="dxa"/>
            <w:vAlign w:val="bottom"/>
            <w:shd w:val="clear" w:color="auto" w:fill="000046"/>
          </w:tcPr>
          <w:p>
            <w:pPr>
              <w:jc w:val="right"/>
              <w:ind w:right="9"/>
              <w:spacing w:after="0"/>
              <w:rPr>
                <w:sz w:val="20"/>
                <w:szCs w:val="20"/>
                <w:color w:val="auto"/>
              </w:rPr>
            </w:pPr>
            <w:r>
              <w:rPr>
                <w:rFonts w:ascii="PMingLiU" w:cs="PMingLiU" w:eastAsia="PMingLiU" w:hAnsi="PMingLiU"/>
                <w:sz w:val="12"/>
                <w:szCs w:val="12"/>
                <w:b w:val="1"/>
                <w:bCs w:val="1"/>
                <w:color w:val="FFFFFF"/>
              </w:rPr>
              <w:t>IRUPHU3(2</w:t>
            </w:r>
          </w:p>
        </w:tc>
        <w:tc>
          <w:tcPr>
            <w:tcW w:w="960" w:type="dxa"/>
            <w:vAlign w:val="bottom"/>
            <w:shd w:val="clear" w:color="auto" w:fill="000046"/>
          </w:tcPr>
          <w:p>
            <w:pPr>
              <w:jc w:val="right"/>
              <w:ind w:right="8"/>
              <w:spacing w:after="0"/>
              <w:rPr>
                <w:sz w:val="20"/>
                <w:szCs w:val="20"/>
                <w:color w:val="auto"/>
              </w:rPr>
            </w:pPr>
            <w:r>
              <w:rPr>
                <w:rFonts w:ascii="PMingLiU" w:cs="PMingLiU" w:eastAsia="PMingLiU" w:hAnsi="PMingLiU"/>
                <w:sz w:val="12"/>
                <w:szCs w:val="12"/>
                <w:b w:val="1"/>
                <w:bCs w:val="1"/>
                <w:color w:val="FFFFFF"/>
              </w:rPr>
              <w:t>WRIRUPHU3(2</w:t>
            </w:r>
          </w:p>
        </w:tc>
        <w:tc>
          <w:tcPr>
            <w:tcW w:w="960" w:type="dxa"/>
            <w:vAlign w:val="bottom"/>
            <w:shd w:val="clear" w:color="auto" w:fill="000046"/>
          </w:tcPr>
          <w:p>
            <w:pPr>
              <w:jc w:val="right"/>
              <w:ind w:right="31"/>
              <w:spacing w:after="0"/>
              <w:rPr>
                <w:sz w:val="20"/>
                <w:szCs w:val="20"/>
                <w:color w:val="auto"/>
              </w:rPr>
            </w:pPr>
            <w:r>
              <w:rPr>
                <w:rFonts w:ascii="PMingLiU" w:cs="PMingLiU" w:eastAsia="PMingLiU" w:hAnsi="PMingLiU"/>
                <w:sz w:val="12"/>
                <w:szCs w:val="12"/>
                <w:b w:val="1"/>
                <w:bCs w:val="1"/>
                <w:color w:val="FFFFFF"/>
              </w:rPr>
              <w:t>1(2V</w:t>
            </w:r>
          </w:p>
        </w:tc>
        <w:tc>
          <w:tcPr>
            <w:tcW w:w="9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1(2V</w:t>
            </w:r>
          </w:p>
        </w:tc>
        <w:tc>
          <w:tcPr>
            <w:tcW w:w="1040" w:type="dxa"/>
            <w:vAlign w:val="bottom"/>
            <w:shd w:val="clear" w:color="auto" w:fill="000046"/>
          </w:tcPr>
          <w:p>
            <w:pPr>
              <w:jc w:val="right"/>
              <w:ind w:right="69"/>
              <w:spacing w:after="0"/>
              <w:rPr>
                <w:sz w:val="20"/>
                <w:szCs w:val="20"/>
                <w:color w:val="auto"/>
              </w:rPr>
            </w:pPr>
            <w:r>
              <w:rPr>
                <w:rFonts w:ascii="PMingLiU" w:cs="PMingLiU" w:eastAsia="PMingLiU" w:hAnsi="PMingLiU"/>
                <w:sz w:val="12"/>
                <w:szCs w:val="12"/>
                <w:b w:val="1"/>
                <w:bCs w:val="1"/>
                <w:color w:val="FFFFFF"/>
              </w:rPr>
              <w:t>765</w:t>
            </w:r>
          </w:p>
        </w:tc>
        <w:tc>
          <w:tcPr>
            <w:tcW w:w="82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765</w:t>
            </w:r>
          </w:p>
        </w:tc>
        <w:tc>
          <w:tcPr>
            <w:tcW w:w="80" w:type="dxa"/>
            <w:vAlign w:val="bottom"/>
            <w:shd w:val="clear" w:color="auto" w:fill="000046"/>
          </w:tcPr>
          <w:p>
            <w:pPr>
              <w:spacing w:after="0"/>
              <w:rPr>
                <w:sz w:val="12"/>
                <w:szCs w:val="12"/>
                <w:color w:val="auto"/>
              </w:rPr>
            </w:pPr>
          </w:p>
        </w:tc>
        <w:tc>
          <w:tcPr>
            <w:tcW w:w="960" w:type="dxa"/>
            <w:vAlign w:val="bottom"/>
            <w:shd w:val="clear" w:color="auto" w:fill="000046"/>
          </w:tcPr>
          <w:p>
            <w:pPr>
              <w:jc w:val="right"/>
              <w:ind w:right="29"/>
              <w:spacing w:after="0"/>
              <w:rPr>
                <w:sz w:val="20"/>
                <w:szCs w:val="20"/>
                <w:color w:val="auto"/>
              </w:rPr>
            </w:pPr>
            <w:r>
              <w:rPr>
                <w:rFonts w:ascii="PMingLiU" w:cs="PMingLiU" w:eastAsia="PMingLiU" w:hAnsi="PMingLiU"/>
                <w:sz w:val="12"/>
                <w:szCs w:val="12"/>
                <w:b w:val="1"/>
                <w:bCs w:val="1"/>
                <w:color w:val="FFFFFF"/>
              </w:rPr>
              <w:t>LQ</w:t>
            </w:r>
          </w:p>
        </w:tc>
        <w:tc>
          <w:tcPr>
            <w:tcW w:w="880" w:type="dxa"/>
            <w:vAlign w:val="bottom"/>
            <w:shd w:val="clear" w:color="auto" w:fill="000046"/>
          </w:tcPr>
          <w:p>
            <w:pPr>
              <w:jc w:val="right"/>
              <w:spacing w:after="0"/>
              <w:rPr>
                <w:sz w:val="20"/>
                <w:szCs w:val="20"/>
                <w:color w:val="auto"/>
              </w:rPr>
            </w:pPr>
            <w:r>
              <w:rPr>
                <w:rFonts w:ascii="PMingLiU" w:cs="PMingLiU" w:eastAsia="PMingLiU" w:hAnsi="PMingLiU"/>
                <w:sz w:val="12"/>
                <w:szCs w:val="12"/>
                <w:b w:val="1"/>
                <w:bCs w:val="1"/>
                <w:color w:val="FFFFFF"/>
              </w:rPr>
              <w:t>LQ</w:t>
            </w:r>
          </w:p>
        </w:tc>
        <w:tc>
          <w:tcPr>
            <w:tcW w:w="0" w:type="dxa"/>
            <w:vAlign w:val="bottom"/>
          </w:tcPr>
          <w:p>
            <w:pPr>
              <w:spacing w:after="0"/>
              <w:rPr>
                <w:sz w:val="1"/>
                <w:szCs w:val="1"/>
                <w:color w:val="auto"/>
              </w:rPr>
            </w:pPr>
          </w:p>
        </w:tc>
      </w:tr>
      <w:tr>
        <w:trPr>
          <w:trHeight w:val="167"/>
        </w:trPr>
        <w:tc>
          <w:tcPr>
            <w:tcW w:w="540" w:type="dxa"/>
            <w:vAlign w:val="bottom"/>
            <w:shd w:val="clear" w:color="auto" w:fill="000046"/>
          </w:tcPr>
          <w:p>
            <w:pPr>
              <w:ind w:left="100"/>
              <w:spacing w:after="0"/>
              <w:rPr>
                <w:sz w:val="20"/>
                <w:szCs w:val="20"/>
                <w:color w:val="auto"/>
              </w:rPr>
            </w:pPr>
            <w:r>
              <w:rPr>
                <w:rFonts w:ascii="PMingLiU" w:cs="PMingLiU" w:eastAsia="PMingLiU" w:hAnsi="PMingLiU"/>
                <w:sz w:val="12"/>
                <w:szCs w:val="12"/>
                <w:b w:val="1"/>
                <w:bCs w:val="1"/>
                <w:color w:val="FFFFFF"/>
              </w:rPr>
              <w:t>&lt;HDU</w:t>
            </w:r>
          </w:p>
        </w:tc>
        <w:tc>
          <w:tcPr>
            <w:tcW w:w="980" w:type="dxa"/>
            <w:vAlign w:val="bottom"/>
            <w:shd w:val="clear" w:color="auto" w:fill="000046"/>
          </w:tcPr>
          <w:p>
            <w:pPr>
              <w:jc w:val="right"/>
              <w:ind w:right="37"/>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960" w:type="dxa"/>
            <w:vAlign w:val="bottom"/>
            <w:shd w:val="clear" w:color="auto" w:fill="000046"/>
          </w:tcPr>
          <w:p>
            <w:pPr>
              <w:jc w:val="right"/>
              <w:ind w:right="35"/>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960" w:type="dxa"/>
            <w:vAlign w:val="bottom"/>
            <w:shd w:val="clear" w:color="auto" w:fill="000046"/>
          </w:tcPr>
          <w:p>
            <w:pPr>
              <w:jc w:val="right"/>
              <w:ind w:right="29"/>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960" w:type="dxa"/>
            <w:vAlign w:val="bottom"/>
            <w:shd w:val="clear" w:color="auto" w:fill="000046"/>
          </w:tcPr>
          <w:p>
            <w:pPr>
              <w:jc w:val="right"/>
              <w:ind w:right="28"/>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960" w:type="dxa"/>
            <w:vAlign w:val="bottom"/>
            <w:shd w:val="clear" w:color="auto" w:fill="000046"/>
          </w:tcPr>
          <w:p>
            <w:pPr>
              <w:jc w:val="right"/>
              <w:ind w:right="31"/>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920" w:type="dxa"/>
            <w:vAlign w:val="bottom"/>
            <w:shd w:val="clear" w:color="auto" w:fill="000046"/>
          </w:tcPr>
          <w:p>
            <w:pPr>
              <w:jc w:val="right"/>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1040" w:type="dxa"/>
            <w:vAlign w:val="bottom"/>
            <w:shd w:val="clear" w:color="auto" w:fill="000046"/>
          </w:tcPr>
          <w:p>
            <w:pPr>
              <w:jc w:val="right"/>
              <w:ind w:right="69"/>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820" w:type="dxa"/>
            <w:vAlign w:val="bottom"/>
            <w:shd w:val="clear" w:color="auto" w:fill="000046"/>
          </w:tcPr>
          <w:p>
            <w:pPr>
              <w:jc w:val="right"/>
              <w:spacing w:after="0" w:line="168" w:lineRule="exact"/>
              <w:rPr>
                <w:sz w:val="20"/>
                <w:szCs w:val="20"/>
                <w:color w:val="auto"/>
              </w:rPr>
            </w:pPr>
            <w:r>
              <w:rPr>
                <w:rFonts w:ascii="PMingLiU" w:cs="PMingLiU" w:eastAsia="PMingLiU" w:hAnsi="PMingLiU"/>
                <w:sz w:val="12"/>
                <w:szCs w:val="12"/>
                <w:b w:val="1"/>
                <w:bCs w:val="1"/>
                <w:color w:val="FFFFFF"/>
              </w:rPr>
              <w:t/>
            </w:r>
            <w:r>
              <w:rPr>
                <w:rFonts w:ascii="PMingLiU" w:cs="PMingLiU" w:eastAsia="PMingLiU" w:hAnsi="PMingLiU"/>
                <w:sz w:val="15"/>
                <w:szCs w:val="15"/>
                <w:b w:val="1"/>
                <w:bCs w:val="1"/>
                <w:color w:val="FFFFFF"/>
                <w:vertAlign w:val="superscript"/>
              </w:rPr>
              <w:t/>
            </w:r>
          </w:p>
        </w:tc>
        <w:tc>
          <w:tcPr>
            <w:tcW w:w="80" w:type="dxa"/>
            <w:vAlign w:val="bottom"/>
            <w:shd w:val="clear" w:color="auto" w:fill="000046"/>
          </w:tcPr>
          <w:p>
            <w:pPr>
              <w:spacing w:after="0"/>
              <w:rPr>
                <w:sz w:val="14"/>
                <w:szCs w:val="14"/>
                <w:color w:val="auto"/>
              </w:rPr>
            </w:pPr>
          </w:p>
        </w:tc>
        <w:tc>
          <w:tcPr>
            <w:tcW w:w="960" w:type="dxa"/>
            <w:vAlign w:val="bottom"/>
            <w:shd w:val="clear" w:color="auto" w:fill="000046"/>
          </w:tcPr>
          <w:p>
            <w:pPr>
              <w:jc w:val="right"/>
              <w:ind w:right="69"/>
              <w:spacing w:after="0" w:line="168" w:lineRule="exact"/>
              <w:rPr>
                <w:sz w:val="20"/>
                <w:szCs w:val="20"/>
                <w:color w:val="auto"/>
              </w:rPr>
            </w:pPr>
            <w:r>
              <w:rPr>
                <w:rFonts w:ascii="PMingLiU" w:cs="PMingLiU" w:eastAsia="PMingLiU" w:hAnsi="PMingLiU"/>
                <w:sz w:val="12"/>
                <w:szCs w:val="12"/>
                <w:b w:val="1"/>
                <w:bCs w:val="1"/>
                <w:color w:val="FFFFFF"/>
              </w:rPr>
              <w:t>WKRXVDQGV</w:t>
            </w:r>
            <w:r>
              <w:rPr>
                <w:rFonts w:ascii="PMingLiU" w:cs="PMingLiU" w:eastAsia="PMingLiU" w:hAnsi="PMingLiU"/>
                <w:sz w:val="15"/>
                <w:szCs w:val="15"/>
                <w:b w:val="1"/>
                <w:bCs w:val="1"/>
                <w:color w:val="FFFFFF"/>
                <w:vertAlign w:val="superscript"/>
              </w:rPr>
              <w:t/>
            </w:r>
          </w:p>
        </w:tc>
        <w:tc>
          <w:tcPr>
            <w:tcW w:w="880" w:type="dxa"/>
            <w:vAlign w:val="bottom"/>
            <w:shd w:val="clear" w:color="auto" w:fill="000046"/>
          </w:tcPr>
          <w:p>
            <w:pPr>
              <w:jc w:val="right"/>
              <w:spacing w:after="0" w:line="168" w:lineRule="exact"/>
              <w:rPr>
                <w:sz w:val="20"/>
                <w:szCs w:val="20"/>
                <w:color w:val="auto"/>
              </w:rPr>
            </w:pPr>
            <w:r>
              <w:rPr>
                <w:rFonts w:ascii="PMingLiU" w:cs="PMingLiU" w:eastAsia="PMingLiU" w:hAnsi="PMingLiU"/>
                <w:sz w:val="12"/>
                <w:szCs w:val="12"/>
                <w:b w:val="1"/>
                <w:bCs w:val="1"/>
                <w:color w:val="FFFFFF"/>
              </w:rPr>
              <w:t>WKRXVDQGV</w:t>
            </w:r>
            <w:r>
              <w:rPr>
                <w:rFonts w:ascii="PMingLiU" w:cs="PMingLiU" w:eastAsia="PMingLiU" w:hAnsi="PMingLiU"/>
                <w:sz w:val="15"/>
                <w:szCs w:val="15"/>
                <w:b w:val="1"/>
                <w:bCs w:val="1"/>
                <w:color w:val="FFFFFF"/>
                <w:vertAlign w:val="superscript"/>
              </w:rPr>
              <w:t/>
            </w:r>
          </w:p>
        </w:tc>
        <w:tc>
          <w:tcPr>
            <w:tcW w:w="0" w:type="dxa"/>
            <w:vAlign w:val="bottom"/>
          </w:tcPr>
          <w:p>
            <w:pPr>
              <w:spacing w:after="0"/>
              <w:rPr>
                <w:sz w:val="1"/>
                <w:szCs w:val="1"/>
                <w:color w:val="auto"/>
              </w:rPr>
            </w:pPr>
          </w:p>
        </w:tc>
      </w:tr>
      <w:tr>
        <w:trPr>
          <w:trHeight w:val="68"/>
        </w:trPr>
        <w:tc>
          <w:tcPr>
            <w:tcW w:w="540" w:type="dxa"/>
            <w:vAlign w:val="bottom"/>
            <w:shd w:val="clear" w:color="auto" w:fill="000046"/>
          </w:tcPr>
          <w:p>
            <w:pPr>
              <w:spacing w:after="0"/>
              <w:rPr>
                <w:sz w:val="5"/>
                <w:szCs w:val="5"/>
                <w:color w:val="auto"/>
              </w:rPr>
            </w:pPr>
          </w:p>
        </w:tc>
        <w:tc>
          <w:tcPr>
            <w:tcW w:w="980" w:type="dxa"/>
            <w:vAlign w:val="bottom"/>
            <w:shd w:val="clear" w:color="auto" w:fill="000046"/>
          </w:tcPr>
          <w:p>
            <w:pPr>
              <w:spacing w:after="0"/>
              <w:rPr>
                <w:sz w:val="5"/>
                <w:szCs w:val="5"/>
                <w:color w:val="auto"/>
              </w:rPr>
            </w:pPr>
          </w:p>
        </w:tc>
        <w:tc>
          <w:tcPr>
            <w:tcW w:w="960" w:type="dxa"/>
            <w:vAlign w:val="bottom"/>
            <w:shd w:val="clear" w:color="auto" w:fill="000046"/>
          </w:tcPr>
          <w:p>
            <w:pPr>
              <w:spacing w:after="0"/>
              <w:rPr>
                <w:sz w:val="5"/>
                <w:szCs w:val="5"/>
                <w:color w:val="auto"/>
              </w:rPr>
            </w:pPr>
          </w:p>
        </w:tc>
        <w:tc>
          <w:tcPr>
            <w:tcW w:w="960" w:type="dxa"/>
            <w:vAlign w:val="bottom"/>
            <w:shd w:val="clear" w:color="auto" w:fill="000046"/>
          </w:tcPr>
          <w:p>
            <w:pPr>
              <w:spacing w:after="0"/>
              <w:rPr>
                <w:sz w:val="5"/>
                <w:szCs w:val="5"/>
                <w:color w:val="auto"/>
              </w:rPr>
            </w:pPr>
          </w:p>
        </w:tc>
        <w:tc>
          <w:tcPr>
            <w:tcW w:w="960" w:type="dxa"/>
            <w:vAlign w:val="bottom"/>
            <w:shd w:val="clear" w:color="auto" w:fill="000046"/>
          </w:tcPr>
          <w:p>
            <w:pPr>
              <w:spacing w:after="0"/>
              <w:rPr>
                <w:sz w:val="5"/>
                <w:szCs w:val="5"/>
                <w:color w:val="auto"/>
              </w:rPr>
            </w:pPr>
          </w:p>
        </w:tc>
        <w:tc>
          <w:tcPr>
            <w:tcW w:w="960" w:type="dxa"/>
            <w:vAlign w:val="bottom"/>
            <w:shd w:val="clear" w:color="auto" w:fill="000046"/>
          </w:tcPr>
          <w:p>
            <w:pPr>
              <w:spacing w:after="0"/>
              <w:rPr>
                <w:sz w:val="5"/>
                <w:szCs w:val="5"/>
                <w:color w:val="auto"/>
              </w:rPr>
            </w:pPr>
          </w:p>
        </w:tc>
        <w:tc>
          <w:tcPr>
            <w:tcW w:w="920" w:type="dxa"/>
            <w:vAlign w:val="bottom"/>
            <w:shd w:val="clear" w:color="auto" w:fill="000046"/>
          </w:tcPr>
          <w:p>
            <w:pPr>
              <w:spacing w:after="0"/>
              <w:rPr>
                <w:sz w:val="5"/>
                <w:szCs w:val="5"/>
                <w:color w:val="auto"/>
              </w:rPr>
            </w:pPr>
          </w:p>
        </w:tc>
        <w:tc>
          <w:tcPr>
            <w:tcW w:w="1040" w:type="dxa"/>
            <w:vAlign w:val="bottom"/>
            <w:shd w:val="clear" w:color="auto" w:fill="000046"/>
          </w:tcPr>
          <w:p>
            <w:pPr>
              <w:spacing w:after="0"/>
              <w:rPr>
                <w:sz w:val="5"/>
                <w:szCs w:val="5"/>
                <w:color w:val="auto"/>
              </w:rPr>
            </w:pPr>
          </w:p>
        </w:tc>
        <w:tc>
          <w:tcPr>
            <w:tcW w:w="820" w:type="dxa"/>
            <w:vAlign w:val="bottom"/>
            <w:shd w:val="clear" w:color="auto" w:fill="000046"/>
          </w:tcPr>
          <w:p>
            <w:pPr>
              <w:spacing w:after="0"/>
              <w:rPr>
                <w:sz w:val="5"/>
                <w:szCs w:val="5"/>
                <w:color w:val="auto"/>
              </w:rPr>
            </w:pPr>
          </w:p>
        </w:tc>
        <w:tc>
          <w:tcPr>
            <w:tcW w:w="80" w:type="dxa"/>
            <w:vAlign w:val="bottom"/>
            <w:shd w:val="clear" w:color="auto" w:fill="000046"/>
          </w:tcPr>
          <w:p>
            <w:pPr>
              <w:spacing w:after="0"/>
              <w:rPr>
                <w:sz w:val="5"/>
                <w:szCs w:val="5"/>
                <w:color w:val="auto"/>
              </w:rPr>
            </w:pPr>
          </w:p>
        </w:tc>
        <w:tc>
          <w:tcPr>
            <w:tcW w:w="960" w:type="dxa"/>
            <w:vAlign w:val="bottom"/>
            <w:shd w:val="clear" w:color="auto" w:fill="000046"/>
          </w:tcPr>
          <w:p>
            <w:pPr>
              <w:spacing w:after="0"/>
              <w:rPr>
                <w:sz w:val="5"/>
                <w:szCs w:val="5"/>
                <w:color w:val="auto"/>
              </w:rPr>
            </w:pPr>
          </w:p>
        </w:tc>
        <w:tc>
          <w:tcPr>
            <w:tcW w:w="88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980" w:type="dxa"/>
            <w:vAlign w:val="bottom"/>
          </w:tcPr>
          <w:p>
            <w:pPr>
              <w:jc w:val="right"/>
              <w:ind w:right="37"/>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5"/>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9"/>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8"/>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96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65"/>
        </w:trPr>
        <w:tc>
          <w:tcPr>
            <w:tcW w:w="54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c>
          <w:tcPr>
            <w:tcW w:w="1040" w:type="dxa"/>
            <w:vAlign w:val="bottom"/>
            <w:tcBorders>
              <w:bottom w:val="single" w:sz="8" w:color="4454A7"/>
            </w:tcBorders>
          </w:tcPr>
          <w:p>
            <w:pPr>
              <w:spacing w:after="0"/>
              <w:rPr>
                <w:sz w:val="5"/>
                <w:szCs w:val="5"/>
                <w:color w:val="auto"/>
              </w:rPr>
            </w:pPr>
          </w:p>
        </w:tc>
        <w:tc>
          <w:tcPr>
            <w:tcW w:w="820" w:type="dxa"/>
            <w:vAlign w:val="bottom"/>
            <w:tcBorders>
              <w:bottom w:val="single" w:sz="8" w:color="4454A7"/>
            </w:tcBorders>
          </w:tcPr>
          <w:p>
            <w:pPr>
              <w:spacing w:after="0"/>
              <w:rPr>
                <w:sz w:val="5"/>
                <w:szCs w:val="5"/>
                <w:color w:val="auto"/>
              </w:rPr>
            </w:pPr>
          </w:p>
        </w:tc>
        <w:tc>
          <w:tcPr>
            <w:tcW w:w="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88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8"/>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65"/>
        </w:trPr>
        <w:tc>
          <w:tcPr>
            <w:tcW w:w="54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c>
          <w:tcPr>
            <w:tcW w:w="1040" w:type="dxa"/>
            <w:vAlign w:val="bottom"/>
            <w:tcBorders>
              <w:bottom w:val="single" w:sz="8" w:color="4454A7"/>
            </w:tcBorders>
          </w:tcPr>
          <w:p>
            <w:pPr>
              <w:spacing w:after="0"/>
              <w:rPr>
                <w:sz w:val="5"/>
                <w:szCs w:val="5"/>
                <w:color w:val="auto"/>
              </w:rPr>
            </w:pPr>
          </w:p>
        </w:tc>
        <w:tc>
          <w:tcPr>
            <w:tcW w:w="820" w:type="dxa"/>
            <w:vAlign w:val="bottom"/>
            <w:tcBorders>
              <w:bottom w:val="single" w:sz="8" w:color="4454A7"/>
            </w:tcBorders>
          </w:tcPr>
          <w:p>
            <w:pPr>
              <w:spacing w:after="0"/>
              <w:rPr>
                <w:sz w:val="5"/>
                <w:szCs w:val="5"/>
                <w:color w:val="auto"/>
              </w:rPr>
            </w:pPr>
          </w:p>
        </w:tc>
        <w:tc>
          <w:tcPr>
            <w:tcW w:w="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88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8"/>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65"/>
        </w:trPr>
        <w:tc>
          <w:tcPr>
            <w:tcW w:w="54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c>
          <w:tcPr>
            <w:tcW w:w="1040" w:type="dxa"/>
            <w:vAlign w:val="bottom"/>
            <w:tcBorders>
              <w:bottom w:val="single" w:sz="8" w:color="4454A7"/>
            </w:tcBorders>
          </w:tcPr>
          <w:p>
            <w:pPr>
              <w:spacing w:after="0"/>
              <w:rPr>
                <w:sz w:val="5"/>
                <w:szCs w:val="5"/>
                <w:color w:val="auto"/>
              </w:rPr>
            </w:pPr>
          </w:p>
        </w:tc>
        <w:tc>
          <w:tcPr>
            <w:tcW w:w="820" w:type="dxa"/>
            <w:vAlign w:val="bottom"/>
            <w:tcBorders>
              <w:bottom w:val="single" w:sz="8" w:color="4454A7"/>
            </w:tcBorders>
          </w:tcPr>
          <w:p>
            <w:pPr>
              <w:spacing w:after="0"/>
              <w:rPr>
                <w:sz w:val="5"/>
                <w:szCs w:val="5"/>
                <w:color w:val="auto"/>
              </w:rPr>
            </w:pPr>
          </w:p>
        </w:tc>
        <w:tc>
          <w:tcPr>
            <w:tcW w:w="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88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8"/>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65"/>
        </w:trPr>
        <w:tc>
          <w:tcPr>
            <w:tcW w:w="540" w:type="dxa"/>
            <w:vAlign w:val="bottom"/>
            <w:tcBorders>
              <w:bottom w:val="single" w:sz="8" w:color="4454A7"/>
            </w:tcBorders>
          </w:tcPr>
          <w:p>
            <w:pPr>
              <w:spacing w:after="0"/>
              <w:rPr>
                <w:sz w:val="5"/>
                <w:szCs w:val="5"/>
                <w:color w:val="auto"/>
              </w:rPr>
            </w:pPr>
          </w:p>
        </w:tc>
        <w:tc>
          <w:tcPr>
            <w:tcW w:w="9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920" w:type="dxa"/>
            <w:vAlign w:val="bottom"/>
            <w:tcBorders>
              <w:bottom w:val="single" w:sz="8" w:color="4454A7"/>
            </w:tcBorders>
          </w:tcPr>
          <w:p>
            <w:pPr>
              <w:spacing w:after="0"/>
              <w:rPr>
                <w:sz w:val="5"/>
                <w:szCs w:val="5"/>
                <w:color w:val="auto"/>
              </w:rPr>
            </w:pPr>
          </w:p>
        </w:tc>
        <w:tc>
          <w:tcPr>
            <w:tcW w:w="1040" w:type="dxa"/>
            <w:vAlign w:val="bottom"/>
            <w:tcBorders>
              <w:bottom w:val="single" w:sz="8" w:color="4454A7"/>
            </w:tcBorders>
          </w:tcPr>
          <w:p>
            <w:pPr>
              <w:spacing w:after="0"/>
              <w:rPr>
                <w:sz w:val="5"/>
                <w:szCs w:val="5"/>
                <w:color w:val="auto"/>
              </w:rPr>
            </w:pPr>
          </w:p>
        </w:tc>
        <w:tc>
          <w:tcPr>
            <w:tcW w:w="820" w:type="dxa"/>
            <w:vAlign w:val="bottom"/>
            <w:tcBorders>
              <w:bottom w:val="single" w:sz="8" w:color="4454A7"/>
            </w:tcBorders>
          </w:tcPr>
          <w:p>
            <w:pPr>
              <w:spacing w:after="0"/>
              <w:rPr>
                <w:sz w:val="5"/>
                <w:szCs w:val="5"/>
                <w:color w:val="auto"/>
              </w:rPr>
            </w:pPr>
          </w:p>
        </w:tc>
        <w:tc>
          <w:tcPr>
            <w:tcW w:w="80" w:type="dxa"/>
            <w:vAlign w:val="bottom"/>
            <w:tcBorders>
              <w:bottom w:val="single" w:sz="8" w:color="4454A7"/>
            </w:tcBorders>
          </w:tcPr>
          <w:p>
            <w:pPr>
              <w:spacing w:after="0"/>
              <w:rPr>
                <w:sz w:val="5"/>
                <w:szCs w:val="5"/>
                <w:color w:val="auto"/>
              </w:rPr>
            </w:pPr>
          </w:p>
        </w:tc>
        <w:tc>
          <w:tcPr>
            <w:tcW w:w="960" w:type="dxa"/>
            <w:vAlign w:val="bottom"/>
            <w:tcBorders>
              <w:bottom w:val="single" w:sz="8" w:color="4454A7"/>
            </w:tcBorders>
          </w:tcPr>
          <w:p>
            <w:pPr>
              <w:spacing w:after="0"/>
              <w:rPr>
                <w:sz w:val="5"/>
                <w:szCs w:val="5"/>
                <w:color w:val="auto"/>
              </w:rPr>
            </w:pPr>
          </w:p>
        </w:tc>
        <w:tc>
          <w:tcPr>
            <w:tcW w:w="88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28"/>
              <w:spacing w:after="0"/>
              <w:rPr>
                <w:sz w:val="20"/>
                <w:szCs w:val="20"/>
                <w:color w:val="auto"/>
              </w:rPr>
            </w:pPr>
            <w:r>
              <w:rPr>
                <w:rFonts w:ascii="PMingLiU" w:cs="PMingLiU" w:eastAsia="PMingLiU" w:hAnsi="PMingLiU"/>
                <w:sz w:val="16"/>
                <w:szCs w:val="16"/>
                <w:color w:val="auto"/>
              </w:rPr>
              <w:t/>
            </w:r>
          </w:p>
        </w:tc>
        <w:tc>
          <w:tcPr>
            <w:tcW w:w="960" w:type="dxa"/>
            <w:vAlign w:val="bottom"/>
          </w:tcPr>
          <w:p>
            <w:pPr>
              <w:jc w:val="right"/>
              <w:ind w:right="31"/>
              <w:spacing w:after="0"/>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4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58"/>
        </w:trPr>
        <w:tc>
          <w:tcPr>
            <w:tcW w:w="540" w:type="dxa"/>
            <w:vAlign w:val="bottom"/>
            <w:tcBorders>
              <w:bottom w:val="single" w:sz="8" w:color="5C004D"/>
            </w:tcBorders>
          </w:tcPr>
          <w:p>
            <w:pPr>
              <w:spacing w:after="0"/>
              <w:rPr>
                <w:sz w:val="5"/>
                <w:szCs w:val="5"/>
                <w:color w:val="auto"/>
              </w:rPr>
            </w:pPr>
          </w:p>
        </w:tc>
        <w:tc>
          <w:tcPr>
            <w:tcW w:w="980" w:type="dxa"/>
            <w:vAlign w:val="bottom"/>
            <w:tcBorders>
              <w:bottom w:val="single" w:sz="8" w:color="5C004D"/>
            </w:tcBorders>
          </w:tcPr>
          <w:p>
            <w:pPr>
              <w:spacing w:after="0"/>
              <w:rPr>
                <w:sz w:val="5"/>
                <w:szCs w:val="5"/>
                <w:color w:val="auto"/>
              </w:rPr>
            </w:pPr>
          </w:p>
        </w:tc>
        <w:tc>
          <w:tcPr>
            <w:tcW w:w="960" w:type="dxa"/>
            <w:vAlign w:val="bottom"/>
            <w:tcBorders>
              <w:bottom w:val="single" w:sz="8" w:color="5C004D"/>
            </w:tcBorders>
          </w:tcPr>
          <w:p>
            <w:pPr>
              <w:spacing w:after="0"/>
              <w:rPr>
                <w:sz w:val="5"/>
                <w:szCs w:val="5"/>
                <w:color w:val="auto"/>
              </w:rPr>
            </w:pPr>
          </w:p>
        </w:tc>
        <w:tc>
          <w:tcPr>
            <w:tcW w:w="960" w:type="dxa"/>
            <w:vAlign w:val="bottom"/>
            <w:tcBorders>
              <w:bottom w:val="single" w:sz="8" w:color="5C004D"/>
            </w:tcBorders>
          </w:tcPr>
          <w:p>
            <w:pPr>
              <w:spacing w:after="0"/>
              <w:rPr>
                <w:sz w:val="5"/>
                <w:szCs w:val="5"/>
                <w:color w:val="auto"/>
              </w:rPr>
            </w:pPr>
          </w:p>
        </w:tc>
        <w:tc>
          <w:tcPr>
            <w:tcW w:w="960" w:type="dxa"/>
            <w:vAlign w:val="bottom"/>
            <w:tcBorders>
              <w:bottom w:val="single" w:sz="8" w:color="5C004D"/>
            </w:tcBorders>
          </w:tcPr>
          <w:p>
            <w:pPr>
              <w:spacing w:after="0"/>
              <w:rPr>
                <w:sz w:val="5"/>
                <w:szCs w:val="5"/>
                <w:color w:val="auto"/>
              </w:rPr>
            </w:pPr>
          </w:p>
        </w:tc>
        <w:tc>
          <w:tcPr>
            <w:tcW w:w="960" w:type="dxa"/>
            <w:vAlign w:val="bottom"/>
            <w:tcBorders>
              <w:bottom w:val="single" w:sz="8" w:color="5C004D"/>
            </w:tcBorders>
          </w:tcPr>
          <w:p>
            <w:pPr>
              <w:spacing w:after="0"/>
              <w:rPr>
                <w:sz w:val="5"/>
                <w:szCs w:val="5"/>
                <w:color w:val="auto"/>
              </w:rPr>
            </w:pPr>
          </w:p>
        </w:tc>
        <w:tc>
          <w:tcPr>
            <w:tcW w:w="920" w:type="dxa"/>
            <w:vAlign w:val="bottom"/>
            <w:tcBorders>
              <w:bottom w:val="single" w:sz="8" w:color="5C004D"/>
            </w:tcBorders>
          </w:tcPr>
          <w:p>
            <w:pPr>
              <w:spacing w:after="0"/>
              <w:rPr>
                <w:sz w:val="5"/>
                <w:szCs w:val="5"/>
                <w:color w:val="auto"/>
              </w:rPr>
            </w:pPr>
          </w:p>
        </w:tc>
        <w:tc>
          <w:tcPr>
            <w:tcW w:w="1040" w:type="dxa"/>
            <w:vAlign w:val="bottom"/>
            <w:tcBorders>
              <w:bottom w:val="single" w:sz="8" w:color="5C004D"/>
            </w:tcBorders>
          </w:tcPr>
          <w:p>
            <w:pPr>
              <w:spacing w:after="0"/>
              <w:rPr>
                <w:sz w:val="5"/>
                <w:szCs w:val="5"/>
                <w:color w:val="auto"/>
              </w:rPr>
            </w:pPr>
          </w:p>
        </w:tc>
        <w:tc>
          <w:tcPr>
            <w:tcW w:w="820" w:type="dxa"/>
            <w:vAlign w:val="bottom"/>
            <w:tcBorders>
              <w:bottom w:val="single" w:sz="8" w:color="5C004D"/>
            </w:tcBorders>
          </w:tcPr>
          <w:p>
            <w:pPr>
              <w:spacing w:after="0"/>
              <w:rPr>
                <w:sz w:val="5"/>
                <w:szCs w:val="5"/>
                <w:color w:val="auto"/>
              </w:rPr>
            </w:pPr>
          </w:p>
        </w:tc>
        <w:tc>
          <w:tcPr>
            <w:tcW w:w="80" w:type="dxa"/>
            <w:vAlign w:val="bottom"/>
            <w:tcBorders>
              <w:bottom w:val="single" w:sz="8" w:color="5C004D"/>
            </w:tcBorders>
          </w:tcPr>
          <w:p>
            <w:pPr>
              <w:spacing w:after="0"/>
              <w:rPr>
                <w:sz w:val="5"/>
                <w:szCs w:val="5"/>
                <w:color w:val="auto"/>
              </w:rPr>
            </w:pPr>
          </w:p>
        </w:tc>
        <w:tc>
          <w:tcPr>
            <w:tcW w:w="960" w:type="dxa"/>
            <w:vAlign w:val="bottom"/>
            <w:tcBorders>
              <w:bottom w:val="single" w:sz="8" w:color="5C004D"/>
            </w:tcBorders>
          </w:tcPr>
          <w:p>
            <w:pPr>
              <w:spacing w:after="0"/>
              <w:rPr>
                <w:sz w:val="5"/>
                <w:szCs w:val="5"/>
                <w:color w:val="auto"/>
              </w:rPr>
            </w:pPr>
          </w:p>
        </w:tc>
        <w:tc>
          <w:tcPr>
            <w:tcW w:w="880" w:type="dxa"/>
            <w:vAlign w:val="bottom"/>
            <w:tcBorders>
              <w:bottom w:val="single" w:sz="8" w:color="5C004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4027170</wp:posOffset>
                </wp:positionH>
                <wp:positionV relativeFrom="paragraph">
                  <wp:posOffset>-1454150</wp:posOffset>
                </wp:positionV>
                <wp:extent cx="114300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1pt,-114.4999pt" to="407.1pt,-114.4999pt" o:allowincell="f" strokecolor="#FFFFFF" strokeweight="0.5pt"/>
            </w:pict>
          </mc:Fallback>
        </mc:AlternateContent>
      </w:r>
    </w:p>
    <w:p>
      <w:pPr>
        <w:spacing w:after="0" w:line="116" w:lineRule="exact"/>
        <w:rPr>
          <w:sz w:val="20"/>
          <w:szCs w:val="20"/>
          <w:color w:val="auto"/>
        </w:rPr>
      </w:pPr>
    </w:p>
    <w:p>
      <w:pPr>
        <w:jc w:val="both"/>
        <w:ind w:left="360" w:right="20" w:hanging="359"/>
        <w:spacing w:after="0" w:line="266" w:lineRule="auto"/>
        <w:tabs>
          <w:tab w:leader="none" w:pos="340" w:val="left"/>
        </w:tabs>
        <w:rPr>
          <w:sz w:val="20"/>
          <w:szCs w:val="20"/>
          <w:color w:val="auto"/>
        </w:rPr>
      </w:pPr>
      <w:r>
        <w:rPr>
          <w:rFonts w:ascii="PMingLiU" w:cs="PMingLiU" w:eastAsia="PMingLiU" w:hAnsi="PMingLiU"/>
          <w:sz w:val="15"/>
          <w:szCs w:val="15"/>
          <w:color w:val="auto"/>
        </w:rPr>
        <w:t/>
        <w:tab/>
        <w:t>)RUHDFKILVFDO\HDUUHSUHVHQWVDPRXQWUHSRUWHGIRURXU3(2IRUPHU3(2DQGDYHUDJHDPRXQWUHSRUWHGIRURXUQRQ3(21(2VLQHDFK FDVHLQWKH7RWDOFROXPQRIWKH6XPPDU\&amp;RPSHQVDWLRQ7DEOH2XU3(2IRUPHU3(2DQGRXUQRQ3(21(2VIRUHDFKRIWKHDSSOLFDEOH</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\HDUVZHUHDVIROORZV</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311"/>
        </w:trPr>
        <w:tc>
          <w:tcPr>
            <w:tcW w:w="740" w:type="dxa"/>
            <w:vAlign w:val="bottom"/>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&lt;HDU</w:t>
            </w:r>
          </w:p>
        </w:tc>
        <w:tc>
          <w:tcPr>
            <w:tcW w:w="1580" w:type="dxa"/>
            <w:vAlign w:val="bottom"/>
            <w:shd w:val="clear" w:color="auto" w:fill="000046"/>
          </w:tcPr>
          <w:p>
            <w:pPr>
              <w:ind w:left="260"/>
              <w:spacing w:after="0"/>
              <w:rPr>
                <w:sz w:val="20"/>
                <w:szCs w:val="20"/>
                <w:color w:val="auto"/>
              </w:rPr>
            </w:pPr>
            <w:r>
              <w:rPr>
                <w:rFonts w:ascii="PMingLiU" w:cs="PMingLiU" w:eastAsia="PMingLiU" w:hAnsi="PMingLiU"/>
                <w:sz w:val="16"/>
                <w:szCs w:val="16"/>
                <w:b w:val="1"/>
                <w:bCs w:val="1"/>
                <w:color w:val="FFFFFF"/>
              </w:rPr>
              <w:t>3(2</w:t>
            </w:r>
          </w:p>
        </w:tc>
        <w:tc>
          <w:tcPr>
            <w:tcW w:w="1760" w:type="dxa"/>
            <w:vAlign w:val="bottom"/>
            <w:shd w:val="clear" w:color="auto" w:fill="000046"/>
          </w:tcPr>
          <w:p>
            <w:pPr>
              <w:ind w:left="280"/>
              <w:spacing w:after="0"/>
              <w:rPr>
                <w:sz w:val="20"/>
                <w:szCs w:val="20"/>
                <w:color w:val="auto"/>
              </w:rPr>
            </w:pPr>
            <w:r>
              <w:rPr>
                <w:rFonts w:ascii="PMingLiU" w:cs="PMingLiU" w:eastAsia="PMingLiU" w:hAnsi="PMingLiU"/>
                <w:sz w:val="16"/>
                <w:szCs w:val="16"/>
                <w:b w:val="1"/>
                <w:bCs w:val="1"/>
                <w:color w:val="FFFFFF"/>
              </w:rPr>
              <w:t>)RUPHU3(2</w:t>
            </w:r>
          </w:p>
        </w:tc>
        <w:tc>
          <w:tcPr>
            <w:tcW w:w="5640" w:type="dxa"/>
            <w:vAlign w:val="bottom"/>
            <w:shd w:val="clear" w:color="auto" w:fill="000046"/>
          </w:tcPr>
          <w:p>
            <w:pPr>
              <w:ind w:left="240"/>
              <w:spacing w:after="0"/>
              <w:rPr>
                <w:sz w:val="20"/>
                <w:szCs w:val="20"/>
                <w:color w:val="auto"/>
              </w:rPr>
            </w:pPr>
            <w:r>
              <w:rPr>
                <w:rFonts w:ascii="PMingLiU" w:cs="PMingLiU" w:eastAsia="PMingLiU" w:hAnsi="PMingLiU"/>
                <w:sz w:val="16"/>
                <w:szCs w:val="16"/>
                <w:b w:val="1"/>
                <w:bCs w:val="1"/>
                <w:color w:val="FFFFFF"/>
              </w:rPr>
              <w:t>1RQ3(21(2V</w:t>
            </w:r>
          </w:p>
        </w:tc>
        <w:tc>
          <w:tcPr>
            <w:tcW w:w="0" w:type="dxa"/>
            <w:vAlign w:val="bottom"/>
          </w:tcPr>
          <w:p>
            <w:pPr>
              <w:spacing w:after="0"/>
              <w:rPr>
                <w:sz w:val="1"/>
                <w:szCs w:val="1"/>
                <w:color w:val="auto"/>
              </w:rPr>
            </w:pPr>
          </w:p>
        </w:tc>
      </w:tr>
      <w:tr>
        <w:trPr>
          <w:trHeight w:val="64"/>
        </w:trPr>
        <w:tc>
          <w:tcPr>
            <w:tcW w:w="740" w:type="dxa"/>
            <w:vAlign w:val="bottom"/>
            <w:shd w:val="clear" w:color="auto" w:fill="000046"/>
          </w:tcPr>
          <w:p>
            <w:pPr>
              <w:spacing w:after="0"/>
              <w:rPr>
                <w:sz w:val="5"/>
                <w:szCs w:val="5"/>
                <w:color w:val="auto"/>
              </w:rPr>
            </w:pPr>
          </w:p>
        </w:tc>
        <w:tc>
          <w:tcPr>
            <w:tcW w:w="1580" w:type="dxa"/>
            <w:vAlign w:val="bottom"/>
            <w:shd w:val="clear" w:color="auto" w:fill="000046"/>
          </w:tcPr>
          <w:p>
            <w:pPr>
              <w:spacing w:after="0"/>
              <w:rPr>
                <w:sz w:val="5"/>
                <w:szCs w:val="5"/>
                <w:color w:val="auto"/>
              </w:rPr>
            </w:pPr>
          </w:p>
        </w:tc>
        <w:tc>
          <w:tcPr>
            <w:tcW w:w="1760" w:type="dxa"/>
            <w:vAlign w:val="bottom"/>
            <w:shd w:val="clear" w:color="auto" w:fill="000046"/>
          </w:tcPr>
          <w:p>
            <w:pPr>
              <w:spacing w:after="0"/>
              <w:rPr>
                <w:sz w:val="5"/>
                <w:szCs w:val="5"/>
                <w:color w:val="auto"/>
              </w:rPr>
            </w:pPr>
          </w:p>
        </w:tc>
        <w:tc>
          <w:tcPr>
            <w:tcW w:w="5640" w:type="dxa"/>
            <w:vAlign w:val="bottom"/>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7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1580" w:type="dxa"/>
            <w:vAlign w:val="bottom"/>
          </w:tcPr>
          <w:p>
            <w:pPr>
              <w:ind w:left="260"/>
              <w:spacing w:after="0"/>
              <w:rPr>
                <w:sz w:val="20"/>
                <w:szCs w:val="20"/>
                <w:color w:val="auto"/>
              </w:rPr>
            </w:pPr>
            <w:r>
              <w:rPr>
                <w:rFonts w:ascii="PMingLiU" w:cs="PMingLiU" w:eastAsia="PMingLiU" w:hAnsi="PMingLiU"/>
                <w:sz w:val="16"/>
                <w:szCs w:val="16"/>
                <w:color w:val="auto"/>
              </w:rPr>
              <w:t>5HQHH'*DOD</w:t>
            </w:r>
          </w:p>
        </w:tc>
        <w:tc>
          <w:tcPr>
            <w:tcW w:w="1760" w:type="dxa"/>
            <w:vAlign w:val="bottom"/>
          </w:tcPr>
          <w:p>
            <w:pPr>
              <w:ind w:left="280"/>
              <w:spacing w:after="0"/>
              <w:rPr>
                <w:sz w:val="20"/>
                <w:szCs w:val="20"/>
                <w:color w:val="auto"/>
              </w:rPr>
            </w:pPr>
            <w:r>
              <w:rPr>
                <w:rFonts w:ascii="PMingLiU" w:cs="PMingLiU" w:eastAsia="PMingLiU" w:hAnsi="PMingLiU"/>
                <w:sz w:val="16"/>
                <w:szCs w:val="16"/>
                <w:color w:val="auto"/>
              </w:rPr>
              <w:t>%UXFH&amp;&amp;R]DGG</w:t>
            </w:r>
          </w:p>
        </w:tc>
        <w:tc>
          <w:tcPr>
            <w:tcW w:w="5640" w:type="dxa"/>
            <w:vAlign w:val="bottom"/>
          </w:tcPr>
          <w:p>
            <w:pPr>
              <w:ind w:left="240"/>
              <w:spacing w:after="0"/>
              <w:rPr>
                <w:sz w:val="20"/>
                <w:szCs w:val="20"/>
                <w:color w:val="auto"/>
              </w:rPr>
            </w:pPr>
            <w:r>
              <w:rPr>
                <w:rFonts w:ascii="PMingLiU" w:cs="PMingLiU" w:eastAsia="PMingLiU" w:hAnsi="PMingLiU"/>
                <w:sz w:val="16"/>
                <w:szCs w:val="16"/>
                <w:color w:val="auto"/>
                <w:w w:val="98"/>
              </w:rPr>
              <w:t>3KLOLS/-RKQVRQ5REHUW,DQQRQH1HHQD03DWLODQG6DPDQWKD3HDUFH</w:t>
            </w:r>
          </w:p>
        </w:tc>
        <w:tc>
          <w:tcPr>
            <w:tcW w:w="0" w:type="dxa"/>
            <w:vAlign w:val="bottom"/>
          </w:tcPr>
          <w:p>
            <w:pPr>
              <w:spacing w:after="0"/>
              <w:rPr>
                <w:sz w:val="1"/>
                <w:szCs w:val="1"/>
                <w:color w:val="auto"/>
              </w:rPr>
            </w:pPr>
          </w:p>
        </w:tc>
      </w:tr>
      <w:tr>
        <w:trPr>
          <w:trHeight w:val="50"/>
        </w:trPr>
        <w:tc>
          <w:tcPr>
            <w:tcW w:w="740" w:type="dxa"/>
            <w:vAlign w:val="bottom"/>
            <w:tcBorders>
              <w:bottom w:val="single" w:sz="8" w:color="4454A7"/>
            </w:tcBorders>
          </w:tcPr>
          <w:p>
            <w:pPr>
              <w:spacing w:after="0"/>
              <w:rPr>
                <w:sz w:val="4"/>
                <w:szCs w:val="4"/>
                <w:color w:val="auto"/>
              </w:rPr>
            </w:pPr>
          </w:p>
        </w:tc>
        <w:tc>
          <w:tcPr>
            <w:tcW w:w="1580" w:type="dxa"/>
            <w:vAlign w:val="bottom"/>
            <w:tcBorders>
              <w:bottom w:val="single" w:sz="8" w:color="4454A7"/>
            </w:tcBorders>
          </w:tcPr>
          <w:p>
            <w:pPr>
              <w:spacing w:after="0"/>
              <w:rPr>
                <w:sz w:val="4"/>
                <w:szCs w:val="4"/>
                <w:color w:val="auto"/>
              </w:rPr>
            </w:pPr>
          </w:p>
        </w:tc>
        <w:tc>
          <w:tcPr>
            <w:tcW w:w="1760" w:type="dxa"/>
            <w:vAlign w:val="bottom"/>
            <w:tcBorders>
              <w:bottom w:val="single" w:sz="8" w:color="4454A7"/>
            </w:tcBorders>
          </w:tcPr>
          <w:p>
            <w:pPr>
              <w:spacing w:after="0"/>
              <w:rPr>
                <w:sz w:val="4"/>
                <w:szCs w:val="4"/>
                <w:color w:val="auto"/>
              </w:rPr>
            </w:pPr>
          </w:p>
        </w:tc>
        <w:tc>
          <w:tcPr>
            <w:tcW w:w="56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740" w:type="dxa"/>
            <w:vAlign w:val="bottom"/>
            <w:vMerge w:val="restart"/>
          </w:tcPr>
          <w:p>
            <w:pPr>
              <w:ind w:left="100"/>
              <w:spacing w:after="0"/>
              <w:rPr>
                <w:sz w:val="20"/>
                <w:szCs w:val="20"/>
                <w:color w:val="auto"/>
              </w:rPr>
            </w:pPr>
            <w:r>
              <w:rPr>
                <w:rFonts w:ascii="PMingLiU" w:cs="PMingLiU" w:eastAsia="PMingLiU" w:hAnsi="PMingLiU"/>
                <w:sz w:val="16"/>
                <w:szCs w:val="16"/>
                <w:color w:val="auto"/>
              </w:rPr>
              <w:t/>
            </w:r>
          </w:p>
        </w:tc>
        <w:tc>
          <w:tcPr>
            <w:tcW w:w="1580" w:type="dxa"/>
            <w:vAlign w:val="bottom"/>
          </w:tcPr>
          <w:p>
            <w:pPr>
              <w:spacing w:after="0"/>
              <w:rPr>
                <w:sz w:val="20"/>
                <w:szCs w:val="20"/>
                <w:color w:val="auto"/>
              </w:rPr>
            </w:pPr>
          </w:p>
        </w:tc>
        <w:tc>
          <w:tcPr>
            <w:tcW w:w="1760" w:type="dxa"/>
            <w:vAlign w:val="bottom"/>
            <w:vMerge w:val="restart"/>
          </w:tcPr>
          <w:p>
            <w:pPr>
              <w:ind w:left="280"/>
              <w:spacing w:after="0"/>
              <w:rPr>
                <w:sz w:val="20"/>
                <w:szCs w:val="20"/>
                <w:color w:val="auto"/>
              </w:rPr>
            </w:pPr>
            <w:r>
              <w:rPr>
                <w:rFonts w:ascii="PMingLiU" w:cs="PMingLiU" w:eastAsia="PMingLiU" w:hAnsi="PMingLiU"/>
                <w:sz w:val="16"/>
                <w:szCs w:val="16"/>
                <w:color w:val="auto"/>
              </w:rPr>
              <w:t>%UXFH&amp;&amp;R]DGG</w:t>
            </w:r>
          </w:p>
        </w:tc>
        <w:tc>
          <w:tcPr>
            <w:tcW w:w="5640" w:type="dxa"/>
            <w:vAlign w:val="bottom"/>
          </w:tcPr>
          <w:p>
            <w:pPr>
              <w:ind w:left="240"/>
              <w:spacing w:after="0"/>
              <w:rPr>
                <w:sz w:val="20"/>
                <w:szCs w:val="20"/>
                <w:color w:val="auto"/>
              </w:rPr>
            </w:pPr>
            <w:r>
              <w:rPr>
                <w:rFonts w:ascii="PMingLiU" w:cs="PMingLiU" w:eastAsia="PMingLiU" w:hAnsi="PMingLiU"/>
                <w:sz w:val="16"/>
                <w:szCs w:val="16"/>
                <w:color w:val="auto"/>
              </w:rPr>
              <w:t>5HQHH'*DOD3KLOLS/-RKQVRQ5REHUW,DQQRQH3DWULFLD&amp;DUUDQG</w:t>
            </w:r>
          </w:p>
        </w:tc>
        <w:tc>
          <w:tcPr>
            <w:tcW w:w="0" w:type="dxa"/>
            <w:vAlign w:val="bottom"/>
          </w:tcPr>
          <w:p>
            <w:pPr>
              <w:spacing w:after="0"/>
              <w:rPr>
                <w:sz w:val="1"/>
                <w:szCs w:val="1"/>
                <w:color w:val="auto"/>
              </w:rPr>
            </w:pPr>
          </w:p>
        </w:tc>
      </w:tr>
      <w:tr>
        <w:trPr>
          <w:trHeight w:val="117"/>
        </w:trPr>
        <w:tc>
          <w:tcPr>
            <w:tcW w:w="7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5640" w:type="dxa"/>
            <w:vAlign w:val="bottom"/>
            <w:vMerge w:val="restart"/>
          </w:tcPr>
          <w:p>
            <w:pPr>
              <w:ind w:left="240"/>
              <w:spacing w:after="0"/>
              <w:rPr>
                <w:sz w:val="20"/>
                <w:szCs w:val="20"/>
                <w:color w:val="auto"/>
              </w:rPr>
            </w:pPr>
            <w:r>
              <w:rPr>
                <w:rFonts w:ascii="PMingLiU" w:cs="PMingLiU" w:eastAsia="PMingLiU" w:hAnsi="PMingLiU"/>
                <w:sz w:val="16"/>
                <w:szCs w:val="16"/>
                <w:color w:val="auto"/>
              </w:rPr>
              <w:t>6DPDQWKD3HDUFH</w:t>
            </w:r>
          </w:p>
        </w:tc>
        <w:tc>
          <w:tcPr>
            <w:tcW w:w="0" w:type="dxa"/>
            <w:vAlign w:val="bottom"/>
          </w:tcPr>
          <w:p>
            <w:pPr>
              <w:spacing w:after="0"/>
              <w:rPr>
                <w:sz w:val="1"/>
                <w:szCs w:val="1"/>
                <w:color w:val="auto"/>
              </w:rPr>
            </w:pPr>
          </w:p>
        </w:tc>
      </w:tr>
      <w:tr>
        <w:trPr>
          <w:trHeight w:val="96"/>
        </w:trPr>
        <w:tc>
          <w:tcPr>
            <w:tcW w:w="7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740" w:type="dxa"/>
            <w:vAlign w:val="bottom"/>
            <w:tcBorders>
              <w:bottom w:val="single" w:sz="8" w:color="4454A7"/>
            </w:tcBorders>
          </w:tcPr>
          <w:p>
            <w:pPr>
              <w:spacing w:after="0"/>
              <w:rPr>
                <w:sz w:val="5"/>
                <w:szCs w:val="5"/>
                <w:color w:val="auto"/>
              </w:rPr>
            </w:pPr>
          </w:p>
        </w:tc>
        <w:tc>
          <w:tcPr>
            <w:tcW w:w="1580" w:type="dxa"/>
            <w:vAlign w:val="bottom"/>
            <w:tcBorders>
              <w:bottom w:val="single" w:sz="8" w:color="4454A7"/>
            </w:tcBorders>
          </w:tcPr>
          <w:p>
            <w:pPr>
              <w:spacing w:after="0"/>
              <w:rPr>
                <w:sz w:val="5"/>
                <w:szCs w:val="5"/>
                <w:color w:val="auto"/>
              </w:rPr>
            </w:pPr>
          </w:p>
        </w:tc>
        <w:tc>
          <w:tcPr>
            <w:tcW w:w="1760" w:type="dxa"/>
            <w:vAlign w:val="bottom"/>
            <w:tcBorders>
              <w:bottom w:val="single" w:sz="8" w:color="4454A7"/>
            </w:tcBorders>
          </w:tcPr>
          <w:p>
            <w:pPr>
              <w:spacing w:after="0"/>
              <w:rPr>
                <w:sz w:val="5"/>
                <w:szCs w:val="5"/>
                <w:color w:val="auto"/>
              </w:rPr>
            </w:pPr>
          </w:p>
        </w:tc>
        <w:tc>
          <w:tcPr>
            <w:tcW w:w="564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40" w:type="dxa"/>
            <w:vAlign w:val="bottom"/>
            <w:vMerge w:val="restart"/>
          </w:tcPr>
          <w:p>
            <w:pPr>
              <w:ind w:left="100"/>
              <w:spacing w:after="0"/>
              <w:rPr>
                <w:sz w:val="20"/>
                <w:szCs w:val="20"/>
                <w:color w:val="auto"/>
              </w:rPr>
            </w:pPr>
            <w:r>
              <w:rPr>
                <w:rFonts w:ascii="PMingLiU" w:cs="PMingLiU" w:eastAsia="PMingLiU" w:hAnsi="PMingLiU"/>
                <w:sz w:val="16"/>
                <w:szCs w:val="16"/>
                <w:color w:val="auto"/>
              </w:rPr>
              <w:t/>
            </w:r>
          </w:p>
        </w:tc>
        <w:tc>
          <w:tcPr>
            <w:tcW w:w="1580" w:type="dxa"/>
            <w:vAlign w:val="bottom"/>
          </w:tcPr>
          <w:p>
            <w:pPr>
              <w:spacing w:after="0"/>
              <w:rPr>
                <w:sz w:val="20"/>
                <w:szCs w:val="20"/>
                <w:color w:val="auto"/>
              </w:rPr>
            </w:pPr>
          </w:p>
        </w:tc>
        <w:tc>
          <w:tcPr>
            <w:tcW w:w="1760" w:type="dxa"/>
            <w:vAlign w:val="bottom"/>
            <w:vMerge w:val="restart"/>
          </w:tcPr>
          <w:p>
            <w:pPr>
              <w:ind w:left="280"/>
              <w:spacing w:after="0"/>
              <w:rPr>
                <w:sz w:val="20"/>
                <w:szCs w:val="20"/>
                <w:color w:val="auto"/>
              </w:rPr>
            </w:pPr>
            <w:r>
              <w:rPr>
                <w:rFonts w:ascii="PMingLiU" w:cs="PMingLiU" w:eastAsia="PMingLiU" w:hAnsi="PMingLiU"/>
                <w:sz w:val="16"/>
                <w:szCs w:val="16"/>
                <w:color w:val="auto"/>
              </w:rPr>
              <w:t>%UXFH&amp;&amp;R]DGG</w:t>
            </w:r>
          </w:p>
        </w:tc>
        <w:tc>
          <w:tcPr>
            <w:tcW w:w="5640" w:type="dxa"/>
            <w:vAlign w:val="bottom"/>
          </w:tcPr>
          <w:p>
            <w:pPr>
              <w:ind w:left="240"/>
              <w:spacing w:after="0"/>
              <w:rPr>
                <w:sz w:val="20"/>
                <w:szCs w:val="20"/>
                <w:color w:val="auto"/>
              </w:rPr>
            </w:pPr>
            <w:r>
              <w:rPr>
                <w:rFonts w:ascii="PMingLiU" w:cs="PMingLiU" w:eastAsia="PMingLiU" w:hAnsi="PMingLiU"/>
                <w:sz w:val="16"/>
                <w:szCs w:val="16"/>
                <w:color w:val="auto"/>
              </w:rPr>
              <w:t>5HQHH'*DOD3DWULFLD&amp;DUU5REHUW,DQQRQH1HHQD03DWLO'DQLHO1</w:t>
            </w:r>
          </w:p>
        </w:tc>
        <w:tc>
          <w:tcPr>
            <w:tcW w:w="0" w:type="dxa"/>
            <w:vAlign w:val="bottom"/>
          </w:tcPr>
          <w:p>
            <w:pPr>
              <w:spacing w:after="0"/>
              <w:rPr>
                <w:sz w:val="1"/>
                <w:szCs w:val="1"/>
                <w:color w:val="auto"/>
              </w:rPr>
            </w:pPr>
          </w:p>
        </w:tc>
      </w:tr>
      <w:tr>
        <w:trPr>
          <w:trHeight w:val="117"/>
        </w:trPr>
        <w:tc>
          <w:tcPr>
            <w:tcW w:w="7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5640" w:type="dxa"/>
            <w:vAlign w:val="bottom"/>
            <w:vMerge w:val="restart"/>
          </w:tcPr>
          <w:p>
            <w:pPr>
              <w:ind w:left="240"/>
              <w:spacing w:after="0"/>
              <w:rPr>
                <w:sz w:val="20"/>
                <w:szCs w:val="20"/>
                <w:color w:val="auto"/>
              </w:rPr>
            </w:pPr>
            <w:r>
              <w:rPr>
                <w:rFonts w:ascii="PMingLiU" w:cs="PMingLiU" w:eastAsia="PMingLiU" w:hAnsi="PMingLiU"/>
                <w:sz w:val="16"/>
                <w:szCs w:val="16"/>
                <w:color w:val="auto"/>
              </w:rPr>
              <w:t>6ZLVKHU-UDQG.LP6DEOLFK</w:t>
            </w:r>
          </w:p>
        </w:tc>
        <w:tc>
          <w:tcPr>
            <w:tcW w:w="0" w:type="dxa"/>
            <w:vAlign w:val="bottom"/>
          </w:tcPr>
          <w:p>
            <w:pPr>
              <w:spacing w:after="0"/>
              <w:rPr>
                <w:sz w:val="1"/>
                <w:szCs w:val="1"/>
                <w:color w:val="auto"/>
              </w:rPr>
            </w:pPr>
          </w:p>
        </w:tc>
      </w:tr>
      <w:tr>
        <w:trPr>
          <w:trHeight w:val="96"/>
        </w:trPr>
        <w:tc>
          <w:tcPr>
            <w:tcW w:w="7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740" w:type="dxa"/>
            <w:vAlign w:val="bottom"/>
            <w:tcBorders>
              <w:bottom w:val="single" w:sz="8" w:color="4454A7"/>
            </w:tcBorders>
          </w:tcPr>
          <w:p>
            <w:pPr>
              <w:spacing w:after="0"/>
              <w:rPr>
                <w:sz w:val="5"/>
                <w:szCs w:val="5"/>
                <w:color w:val="auto"/>
              </w:rPr>
            </w:pPr>
          </w:p>
        </w:tc>
        <w:tc>
          <w:tcPr>
            <w:tcW w:w="1580" w:type="dxa"/>
            <w:vAlign w:val="bottom"/>
            <w:tcBorders>
              <w:bottom w:val="single" w:sz="8" w:color="4454A7"/>
            </w:tcBorders>
          </w:tcPr>
          <w:p>
            <w:pPr>
              <w:spacing w:after="0"/>
              <w:rPr>
                <w:sz w:val="5"/>
                <w:szCs w:val="5"/>
                <w:color w:val="auto"/>
              </w:rPr>
            </w:pPr>
          </w:p>
        </w:tc>
        <w:tc>
          <w:tcPr>
            <w:tcW w:w="1760" w:type="dxa"/>
            <w:vAlign w:val="bottom"/>
            <w:tcBorders>
              <w:bottom w:val="single" w:sz="8" w:color="4454A7"/>
            </w:tcBorders>
          </w:tcPr>
          <w:p>
            <w:pPr>
              <w:spacing w:after="0"/>
              <w:rPr>
                <w:sz w:val="5"/>
                <w:szCs w:val="5"/>
                <w:color w:val="auto"/>
              </w:rPr>
            </w:pPr>
          </w:p>
        </w:tc>
        <w:tc>
          <w:tcPr>
            <w:tcW w:w="5640" w:type="dxa"/>
            <w:vAlign w:val="bottom"/>
            <w:tcBorders>
              <w:bottom w:val="single" w:sz="8" w:color="4454A7"/>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1580" w:type="dxa"/>
            <w:vAlign w:val="bottom"/>
          </w:tcPr>
          <w:p>
            <w:pPr>
              <w:spacing w:after="0"/>
              <w:rPr>
                <w:sz w:val="21"/>
                <w:szCs w:val="21"/>
                <w:color w:val="auto"/>
              </w:rPr>
            </w:pPr>
          </w:p>
        </w:tc>
        <w:tc>
          <w:tcPr>
            <w:tcW w:w="1760" w:type="dxa"/>
            <w:vAlign w:val="bottom"/>
          </w:tcPr>
          <w:p>
            <w:pPr>
              <w:ind w:left="280"/>
              <w:spacing w:after="0"/>
              <w:rPr>
                <w:sz w:val="20"/>
                <w:szCs w:val="20"/>
                <w:color w:val="auto"/>
              </w:rPr>
            </w:pPr>
            <w:r>
              <w:rPr>
                <w:rFonts w:ascii="PMingLiU" w:cs="PMingLiU" w:eastAsia="PMingLiU" w:hAnsi="PMingLiU"/>
                <w:sz w:val="16"/>
                <w:szCs w:val="16"/>
                <w:color w:val="auto"/>
              </w:rPr>
              <w:t>%UXFH&amp;&amp;R]DGG</w:t>
            </w:r>
          </w:p>
        </w:tc>
        <w:tc>
          <w:tcPr>
            <w:tcW w:w="5640" w:type="dxa"/>
            <w:vAlign w:val="bottom"/>
          </w:tcPr>
          <w:p>
            <w:pPr>
              <w:ind w:left="240"/>
              <w:spacing w:after="0"/>
              <w:rPr>
                <w:sz w:val="20"/>
                <w:szCs w:val="20"/>
                <w:color w:val="auto"/>
              </w:rPr>
            </w:pPr>
            <w:r>
              <w:rPr>
                <w:rFonts w:ascii="PMingLiU" w:cs="PMingLiU" w:eastAsia="PMingLiU" w:hAnsi="PMingLiU"/>
                <w:sz w:val="16"/>
                <w:szCs w:val="16"/>
                <w:color w:val="auto"/>
              </w:rPr>
              <w:t>'DQLHO16ZLVKHU-U5HQHH'*DOD5REHUW,DQQRQHDQG.LP6DEOLFK</w:t>
            </w:r>
          </w:p>
        </w:tc>
        <w:tc>
          <w:tcPr>
            <w:tcW w:w="0" w:type="dxa"/>
            <w:vAlign w:val="bottom"/>
          </w:tcPr>
          <w:p>
            <w:pPr>
              <w:spacing w:after="0"/>
              <w:rPr>
                <w:sz w:val="1"/>
                <w:szCs w:val="1"/>
                <w:color w:val="auto"/>
              </w:rPr>
            </w:pPr>
          </w:p>
        </w:tc>
      </w:tr>
      <w:tr>
        <w:trPr>
          <w:trHeight w:val="50"/>
        </w:trPr>
        <w:tc>
          <w:tcPr>
            <w:tcW w:w="740" w:type="dxa"/>
            <w:vAlign w:val="bottom"/>
            <w:tcBorders>
              <w:bottom w:val="single" w:sz="8" w:color="4454A7"/>
            </w:tcBorders>
          </w:tcPr>
          <w:p>
            <w:pPr>
              <w:spacing w:after="0"/>
              <w:rPr>
                <w:sz w:val="4"/>
                <w:szCs w:val="4"/>
                <w:color w:val="auto"/>
              </w:rPr>
            </w:pPr>
          </w:p>
        </w:tc>
        <w:tc>
          <w:tcPr>
            <w:tcW w:w="1580" w:type="dxa"/>
            <w:vAlign w:val="bottom"/>
            <w:tcBorders>
              <w:bottom w:val="single" w:sz="8" w:color="4454A7"/>
            </w:tcBorders>
          </w:tcPr>
          <w:p>
            <w:pPr>
              <w:spacing w:after="0"/>
              <w:rPr>
                <w:sz w:val="4"/>
                <w:szCs w:val="4"/>
                <w:color w:val="auto"/>
              </w:rPr>
            </w:pPr>
          </w:p>
        </w:tc>
        <w:tc>
          <w:tcPr>
            <w:tcW w:w="1760" w:type="dxa"/>
            <w:vAlign w:val="bottom"/>
            <w:tcBorders>
              <w:bottom w:val="single" w:sz="8" w:color="4454A7"/>
            </w:tcBorders>
          </w:tcPr>
          <w:p>
            <w:pPr>
              <w:spacing w:after="0"/>
              <w:rPr>
                <w:sz w:val="4"/>
                <w:szCs w:val="4"/>
                <w:color w:val="auto"/>
              </w:rPr>
            </w:pPr>
          </w:p>
        </w:tc>
        <w:tc>
          <w:tcPr>
            <w:tcW w:w="5640" w:type="dxa"/>
            <w:vAlign w:val="bottom"/>
            <w:tcBorders>
              <w:bottom w:val="single" w:sz="8" w:color="4454A7"/>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740" w:type="dxa"/>
            <w:vAlign w:val="bottom"/>
          </w:tcPr>
          <w:p>
            <w:pPr>
              <w:ind w:left="100"/>
              <w:spacing w:after="0"/>
              <w:rPr>
                <w:sz w:val="20"/>
                <w:szCs w:val="20"/>
                <w:color w:val="auto"/>
              </w:rPr>
            </w:pPr>
            <w:r>
              <w:rPr>
                <w:rFonts w:ascii="PMingLiU" w:cs="PMingLiU" w:eastAsia="PMingLiU" w:hAnsi="PMingLiU"/>
                <w:sz w:val="16"/>
                <w:szCs w:val="16"/>
                <w:color w:val="auto"/>
              </w:rPr>
              <w:t/>
            </w:r>
          </w:p>
        </w:tc>
        <w:tc>
          <w:tcPr>
            <w:tcW w:w="1580" w:type="dxa"/>
            <w:vAlign w:val="bottom"/>
          </w:tcPr>
          <w:p>
            <w:pPr>
              <w:spacing w:after="0"/>
              <w:rPr>
                <w:sz w:val="21"/>
                <w:szCs w:val="21"/>
                <w:color w:val="auto"/>
              </w:rPr>
            </w:pPr>
          </w:p>
        </w:tc>
        <w:tc>
          <w:tcPr>
            <w:tcW w:w="1760" w:type="dxa"/>
            <w:vAlign w:val="bottom"/>
          </w:tcPr>
          <w:p>
            <w:pPr>
              <w:ind w:left="280"/>
              <w:spacing w:after="0"/>
              <w:rPr>
                <w:sz w:val="20"/>
                <w:szCs w:val="20"/>
                <w:color w:val="auto"/>
              </w:rPr>
            </w:pPr>
            <w:r>
              <w:rPr>
                <w:rFonts w:ascii="PMingLiU" w:cs="PMingLiU" w:eastAsia="PMingLiU" w:hAnsi="PMingLiU"/>
                <w:sz w:val="16"/>
                <w:szCs w:val="16"/>
                <w:color w:val="auto"/>
              </w:rPr>
              <w:t>%UXFH&amp;&amp;R]DGG</w:t>
            </w:r>
          </w:p>
        </w:tc>
        <w:tc>
          <w:tcPr>
            <w:tcW w:w="5640" w:type="dxa"/>
            <w:vAlign w:val="bottom"/>
          </w:tcPr>
          <w:p>
            <w:pPr>
              <w:ind w:left="240"/>
              <w:spacing w:after="0"/>
              <w:rPr>
                <w:sz w:val="20"/>
                <w:szCs w:val="20"/>
                <w:color w:val="auto"/>
              </w:rPr>
            </w:pPr>
            <w:r>
              <w:rPr>
                <w:rFonts w:ascii="PMingLiU" w:cs="PMingLiU" w:eastAsia="PMingLiU" w:hAnsi="PMingLiU"/>
                <w:sz w:val="16"/>
                <w:szCs w:val="16"/>
                <w:color w:val="auto"/>
              </w:rPr>
              <w:t>'DQLHO16ZLVKHU-U5HQHH'*DOD5REHUW,DQQRQHDQG&amp;KULV7RYH\</w:t>
            </w:r>
          </w:p>
        </w:tc>
        <w:tc>
          <w:tcPr>
            <w:tcW w:w="0" w:type="dxa"/>
            <w:vAlign w:val="bottom"/>
          </w:tcPr>
          <w:p>
            <w:pPr>
              <w:spacing w:after="0"/>
              <w:rPr>
                <w:sz w:val="1"/>
                <w:szCs w:val="1"/>
                <w:color w:val="auto"/>
              </w:rPr>
            </w:pPr>
          </w:p>
        </w:tc>
      </w:tr>
      <w:tr>
        <w:trPr>
          <w:trHeight w:val="43"/>
        </w:trPr>
        <w:tc>
          <w:tcPr>
            <w:tcW w:w="740" w:type="dxa"/>
            <w:vAlign w:val="bottom"/>
            <w:tcBorders>
              <w:bottom w:val="single" w:sz="8" w:color="5C004D"/>
            </w:tcBorders>
          </w:tcPr>
          <w:p>
            <w:pPr>
              <w:spacing w:after="0"/>
              <w:rPr>
                <w:sz w:val="3"/>
                <w:szCs w:val="3"/>
                <w:color w:val="auto"/>
              </w:rPr>
            </w:pPr>
          </w:p>
        </w:tc>
        <w:tc>
          <w:tcPr>
            <w:tcW w:w="1580" w:type="dxa"/>
            <w:vAlign w:val="bottom"/>
            <w:tcBorders>
              <w:bottom w:val="single" w:sz="8" w:color="5C004D"/>
            </w:tcBorders>
          </w:tcPr>
          <w:p>
            <w:pPr>
              <w:spacing w:after="0"/>
              <w:rPr>
                <w:sz w:val="3"/>
                <w:szCs w:val="3"/>
                <w:color w:val="auto"/>
              </w:rPr>
            </w:pPr>
          </w:p>
        </w:tc>
        <w:tc>
          <w:tcPr>
            <w:tcW w:w="1760" w:type="dxa"/>
            <w:vAlign w:val="bottom"/>
            <w:tcBorders>
              <w:bottom w:val="single" w:sz="8" w:color="5C004D"/>
            </w:tcBorders>
          </w:tcPr>
          <w:p>
            <w:pPr>
              <w:spacing w:after="0"/>
              <w:rPr>
                <w:sz w:val="3"/>
                <w:szCs w:val="3"/>
                <w:color w:val="auto"/>
              </w:rPr>
            </w:pPr>
          </w:p>
        </w:tc>
        <w:tc>
          <w:tcPr>
            <w:tcW w:w="5640" w:type="dxa"/>
            <w:vAlign w:val="bottom"/>
            <w:tcBorders>
              <w:bottom w:val="single" w:sz="8" w:color="5C004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40" w:hanging="359"/>
        <w:spacing w:after="0" w:line="323" w:lineRule="auto"/>
        <w:tabs>
          <w:tab w:leader="none" w:pos="340" w:val="left"/>
        </w:tabs>
        <w:rPr>
          <w:sz w:val="20"/>
          <w:szCs w:val="20"/>
          <w:color w:val="auto"/>
        </w:rPr>
      </w:pPr>
      <w:r>
        <w:rPr>
          <w:rFonts w:ascii="PMingLiU" w:cs="PMingLiU" w:eastAsia="PMingLiU" w:hAnsi="PMingLiU"/>
          <w:sz w:val="12"/>
          <w:szCs w:val="12"/>
          <w:color w:val="auto"/>
        </w:rPr>
        <w:t/>
        <w:tab/>
        <w:t>$PRXQWVUHSUHVHQW&amp;RPSHQVDWLRQ$FWXDOO\3DLGWRRXU3(2DQGIRUPHU3(2DQGWKHDYHUDJH&amp;RPSHQVDWLRQ$FWXDOO\3DLGWRRXUQRQ 3(21(2VIRUWKHUHOHYDQWILVFDO\HDU&amp;RPSHQVDWLRQ$FWXDOO\3DLGUHSUHVHQWVWKHDPRXQWUHSRUWHGLQWKH7RWDOFROXPQRIWKH6XPPDU\ &amp;RPSHQVDWLRQ7DEOHIRUWKHDSSOLFDEOHILVFDO\HDUDGMXVWHGDVVKRZQEHORZ)RUWKHSXUSRVHVRIWKHDGMXVWPHQWVEHORZWKHIDLUYDOXHRI HTXLW\DZDUGVRQWKHDSSOLFDEOHGDWHZHUHGHWHUPLQHGLQDFFRUGDQFHZLWK)$6%$6&amp;XVLQJYDOXDWLRQPHWKRGRORJLHVWKDWDUH JHQHUDOO\FRQVLVWHQWZLWKWKRVHXVHGWRGHWHUPLQHWKHJUDQWGDWHIDLUYDOXHIRUDFFRXQWLQJSXUSRVHV)DLUYDOXHRUFKDQJHLQIDLUYDOXHDV DSSOLFDEOHRIHTXLW\DZDUGVLQWKH&amp;RPSHQVDWLRQ$FWXDOO\3DLGFROXPQVZDVGHWHUPLQHGDVIROORZVLIRU568VWKHFORVLQJSULFHRIRXU RUGLQDU\VKDUHVRQWKHDSSOLFDEOHILVFDO\HDUHQGGDWHRULQWKHFDVHRIYHVWLQJ568VWKHFORVLQJSULFHRIRXURUGLQDU\VKDUHVRQWKH DSSOLFDEOHYHVWLQJGDWHLLIRU368VWKHFORVLQJIDLUYDOXHRIWKHDZDUGVXVLQJD0RQWH&amp;DUORVLPXODWLRQPHWKRGPXOWLSOLHGE\DIDFWRU</w:t>
      </w:r>
    </w:p>
    <w:p>
      <w:pPr>
        <w:spacing w:after="0" w:line="3" w:lineRule="exact"/>
        <w:rPr>
          <w:sz w:val="20"/>
          <w:szCs w:val="20"/>
          <w:color w:val="auto"/>
        </w:rPr>
      </w:pPr>
    </w:p>
    <w:p>
      <w:pPr>
        <w:ind w:left="360" w:right="140"/>
        <w:spacing w:after="0" w:line="315" w:lineRule="auto"/>
        <w:rPr>
          <w:sz w:val="20"/>
          <w:szCs w:val="20"/>
          <w:color w:val="auto"/>
        </w:rPr>
      </w:pPr>
      <w:r>
        <w:rPr>
          <w:rFonts w:ascii="PMingLiU" w:cs="PMingLiU" w:eastAsia="PMingLiU" w:hAnsi="PMingLiU"/>
          <w:sz w:val="13"/>
          <w:szCs w:val="13"/>
          <w:color w:val="auto"/>
        </w:rPr>
        <w:t>UHIOHFWLQJDFKLHYHPHQWRIWKHSUREDEOHRXWFRPHRIWKHFXPXODWLYHSHUIRUPDQFHREMHFWLYHDVRIWKHPHDVXUHPHQWGDWHDQGLLLIRUVWRFN RSWLRQVWKHFORVLQJIDLUYDOXHRIWKHVWRFNRSWLRQVEDVHGRQD%ODFN6FKROHVRSWLRQSULFLQJPRGHORQWKHDSSOLFDEOHILVFDO\HDUHQGGDWH RULQWKHFDVHRIYHVWLQJVWRFNRSWLRQVWKHFORVLQJIDLUYDOXHRQWKHDSSOLFDEOHYHVWLQJGDWH'HWDLOVRIWKHDGMXVWPHQWVPDGHWRWKH 6XPPDU\&amp;RPSHQVDWLRQ7DEOHDUHDVIROORZV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389380" cy="2343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370">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377" w:right="899" w:bottom="0" w:gutter="0" w:footer="0" w:header="0"/>
        </w:sectPr>
      </w:pPr>
    </w:p>
    <w:bookmarkStart w:id="103" w:name="page104"/>
    <w:bookmarkEnd w:id="103"/>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20" o:spid="_x0000_s1545"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313055</wp:posOffset>
            </wp:positionV>
            <wp:extent cx="2159000"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71">
                      <a:extLst>
                        <a:ext uri="{28A0092B-C50C-407E-A947-70E740481C1C}"/>
                      </a:extLst>
                    </a:blip>
                    <a:srcRect/>
                    <a:stretch>
                      <a:fillRect/>
                    </a:stretch>
                  </pic:blipFill>
                  <pic:spPr bwMode="auto">
                    <a:xfrm>
                      <a:off x="0" y="0"/>
                      <a:ext cx="2159000" cy="254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260"/>
        </w:trPr>
        <w:tc>
          <w:tcPr>
            <w:tcW w:w="6380" w:type="dxa"/>
            <w:vAlign w:val="bottom"/>
            <w:tcBorders>
              <w:right w:val="single" w:sz="8" w:color="000046"/>
            </w:tcBorders>
          </w:tcPr>
          <w:p>
            <w:pPr>
              <w:spacing w:after="0"/>
              <w:rPr>
                <w:sz w:val="22"/>
                <w:szCs w:val="22"/>
                <w:color w:val="auto"/>
              </w:rPr>
            </w:pPr>
          </w:p>
        </w:tc>
        <w:tc>
          <w:tcPr>
            <w:tcW w:w="1040" w:type="dxa"/>
            <w:vAlign w:val="bottom"/>
            <w:tcBorders>
              <w:top w:val="single" w:sz="8" w:color="000046"/>
            </w:tcBorders>
          </w:tcPr>
          <w:p>
            <w:pPr>
              <w:spacing w:after="0"/>
              <w:rPr>
                <w:sz w:val="22"/>
                <w:szCs w:val="22"/>
                <w:color w:val="auto"/>
              </w:rPr>
            </w:pPr>
          </w:p>
        </w:tc>
        <w:tc>
          <w:tcPr>
            <w:tcW w:w="1060" w:type="dxa"/>
            <w:vAlign w:val="bottom"/>
            <w:tcBorders>
              <w:top w:val="single" w:sz="8" w:color="000046"/>
            </w:tcBorders>
          </w:tcPr>
          <w:p>
            <w:pPr>
              <w:jc w:val="right"/>
              <w:ind w:right="220"/>
              <w:spacing w:after="0"/>
              <w:rPr>
                <w:sz w:val="20"/>
                <w:szCs w:val="20"/>
                <w:color w:val="auto"/>
              </w:rPr>
            </w:pPr>
            <w:r>
              <w:rPr>
                <w:rFonts w:ascii="PMingLiU" w:cs="PMingLiU" w:eastAsia="PMingLiU" w:hAnsi="PMingLiU"/>
                <w:sz w:val="16"/>
                <w:szCs w:val="16"/>
                <w:b w:val="1"/>
                <w:bCs w:val="1"/>
                <w:color w:val="000046"/>
              </w:rPr>
              <w:t/>
            </w:r>
          </w:p>
        </w:tc>
        <w:tc>
          <w:tcPr>
            <w:tcW w:w="1260" w:type="dxa"/>
            <w:vAlign w:val="bottom"/>
            <w:tcBorders>
              <w:top w:val="single" w:sz="8" w:color="000046"/>
              <w:right w:val="single" w:sz="8" w:color="000046"/>
            </w:tcBorders>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380" w:type="dxa"/>
            <w:vAlign w:val="bottom"/>
            <w:tcBorders>
              <w:right w:val="single" w:sz="8" w:color="000046"/>
            </w:tcBorders>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60" w:type="dxa"/>
            <w:vAlign w:val="bottom"/>
            <w:tcBorders>
              <w:right w:val="single" w:sz="8" w:color="00004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6380" w:type="dxa"/>
            <w:vAlign w:val="bottom"/>
            <w:tcBorders>
              <w:right w:val="single" w:sz="8" w:color="000046"/>
            </w:tcBorders>
            <w:shd w:val="clear" w:color="auto" w:fill="000046"/>
          </w:tcPr>
          <w:p>
            <w:pPr>
              <w:spacing w:after="0"/>
              <w:rPr>
                <w:sz w:val="24"/>
                <w:szCs w:val="24"/>
                <w:color w:val="auto"/>
              </w:rPr>
            </w:pPr>
          </w:p>
        </w:tc>
        <w:tc>
          <w:tcPr>
            <w:tcW w:w="1040" w:type="dxa"/>
            <w:vAlign w:val="bottom"/>
            <w:shd w:val="clear" w:color="auto" w:fill="000046"/>
          </w:tcPr>
          <w:p>
            <w:pPr>
              <w:spacing w:after="0"/>
              <w:rPr>
                <w:sz w:val="24"/>
                <w:szCs w:val="24"/>
                <w:color w:val="auto"/>
              </w:rPr>
            </w:pPr>
          </w:p>
        </w:tc>
        <w:tc>
          <w:tcPr>
            <w:tcW w:w="106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)RUPHU</w:t>
            </w:r>
          </w:p>
        </w:tc>
        <w:tc>
          <w:tcPr>
            <w:tcW w:w="1260" w:type="dxa"/>
            <w:vAlign w:val="bottom"/>
            <w:tcBorders>
              <w:right w:val="single" w:sz="8" w:color="000046"/>
            </w:tcBorders>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$YHUDJH1RQ</w:t>
            </w:r>
          </w:p>
        </w:tc>
        <w:tc>
          <w:tcPr>
            <w:tcW w:w="0" w:type="dxa"/>
            <w:vAlign w:val="bottom"/>
          </w:tcPr>
          <w:p>
            <w:pPr>
              <w:spacing w:after="0"/>
              <w:rPr>
                <w:sz w:val="1"/>
                <w:szCs w:val="1"/>
                <w:color w:val="auto"/>
              </w:rPr>
            </w:pPr>
          </w:p>
        </w:tc>
      </w:tr>
      <w:tr>
        <w:trPr>
          <w:trHeight w:val="192"/>
        </w:trPr>
        <w:tc>
          <w:tcPr>
            <w:tcW w:w="6380" w:type="dxa"/>
            <w:vAlign w:val="bottom"/>
            <w:tcBorders>
              <w:right w:val="single" w:sz="8" w:color="000046"/>
            </w:tcBorders>
            <w:shd w:val="clear" w:color="auto" w:fill="000046"/>
          </w:tcPr>
          <w:p>
            <w:pPr>
              <w:spacing w:after="0"/>
              <w:rPr>
                <w:sz w:val="16"/>
                <w:szCs w:val="16"/>
                <w:color w:val="auto"/>
              </w:rPr>
            </w:pPr>
          </w:p>
        </w:tc>
        <w:tc>
          <w:tcPr>
            <w:tcW w:w="104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3(2</w:t>
            </w:r>
          </w:p>
        </w:tc>
        <w:tc>
          <w:tcPr>
            <w:tcW w:w="1060" w:type="dxa"/>
            <w:vAlign w:val="bottom"/>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3(2</w:t>
            </w:r>
          </w:p>
        </w:tc>
        <w:tc>
          <w:tcPr>
            <w:tcW w:w="1260" w:type="dxa"/>
            <w:vAlign w:val="bottom"/>
            <w:tcBorders>
              <w:right w:val="single" w:sz="8" w:color="000046"/>
            </w:tcBorders>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3(21(2V</w:t>
            </w:r>
          </w:p>
        </w:tc>
        <w:tc>
          <w:tcPr>
            <w:tcW w:w="0" w:type="dxa"/>
            <w:vAlign w:val="bottom"/>
          </w:tcPr>
          <w:p>
            <w:pPr>
              <w:spacing w:after="0"/>
              <w:rPr>
                <w:sz w:val="1"/>
                <w:szCs w:val="1"/>
                <w:color w:val="auto"/>
              </w:rPr>
            </w:pPr>
          </w:p>
        </w:tc>
      </w:tr>
      <w:tr>
        <w:trPr>
          <w:trHeight w:val="221"/>
        </w:trPr>
        <w:tc>
          <w:tcPr>
            <w:tcW w:w="6380" w:type="dxa"/>
            <w:vAlign w:val="bottom"/>
            <w:tcBorders>
              <w:right w:val="single" w:sz="8" w:color="000046"/>
            </w:tcBorders>
            <w:shd w:val="clear" w:color="auto" w:fill="000046"/>
          </w:tcPr>
          <w:p>
            <w:pPr>
              <w:ind w:left="100"/>
              <w:spacing w:after="0"/>
              <w:rPr>
                <w:sz w:val="20"/>
                <w:szCs w:val="20"/>
                <w:color w:val="auto"/>
              </w:rPr>
            </w:pPr>
            <w:r>
              <w:rPr>
                <w:rFonts w:ascii="PMingLiU" w:cs="PMingLiU" w:eastAsia="PMingLiU" w:hAnsi="PMingLiU"/>
                <w:sz w:val="16"/>
                <w:szCs w:val="16"/>
                <w:b w:val="1"/>
                <w:bCs w:val="1"/>
                <w:color w:val="FFFFFF"/>
              </w:rPr>
              <w:t>$GMXVWPHQWV</w:t>
            </w:r>
          </w:p>
        </w:tc>
        <w:tc>
          <w:tcPr>
            <w:tcW w:w="1040" w:type="dxa"/>
            <w:vAlign w:val="bottom"/>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
            </w:r>
          </w:p>
        </w:tc>
        <w:tc>
          <w:tcPr>
            <w:tcW w:w="1060" w:type="dxa"/>
            <w:vAlign w:val="bottom"/>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
            </w:r>
          </w:p>
        </w:tc>
        <w:tc>
          <w:tcPr>
            <w:tcW w:w="1260" w:type="dxa"/>
            <w:vAlign w:val="bottom"/>
            <w:tcBorders>
              <w:right w:val="single" w:sz="8" w:color="000046"/>
            </w:tcBorders>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
            </w:r>
          </w:p>
        </w:tc>
        <w:tc>
          <w:tcPr>
            <w:tcW w:w="0" w:type="dxa"/>
            <w:vAlign w:val="bottom"/>
          </w:tcPr>
          <w:p>
            <w:pPr>
              <w:spacing w:after="0"/>
              <w:rPr>
                <w:sz w:val="1"/>
                <w:szCs w:val="1"/>
                <w:color w:val="auto"/>
              </w:rPr>
            </w:pPr>
          </w:p>
        </w:tc>
      </w:tr>
      <w:tr>
        <w:trPr>
          <w:trHeight w:val="64"/>
        </w:trPr>
        <w:tc>
          <w:tcPr>
            <w:tcW w:w="6380" w:type="dxa"/>
            <w:vAlign w:val="bottom"/>
            <w:tcBorders>
              <w:right w:val="single" w:sz="8" w:color="000046"/>
            </w:tcBorders>
            <w:shd w:val="clear" w:color="auto" w:fill="000046"/>
          </w:tcPr>
          <w:p>
            <w:pPr>
              <w:spacing w:after="0"/>
              <w:rPr>
                <w:sz w:val="5"/>
                <w:szCs w:val="5"/>
                <w:color w:val="auto"/>
              </w:rPr>
            </w:pPr>
          </w:p>
        </w:tc>
        <w:tc>
          <w:tcPr>
            <w:tcW w:w="1040" w:type="dxa"/>
            <w:vAlign w:val="bottom"/>
            <w:shd w:val="clear" w:color="auto" w:fill="000046"/>
          </w:tcPr>
          <w:p>
            <w:pPr>
              <w:spacing w:after="0"/>
              <w:rPr>
                <w:sz w:val="5"/>
                <w:szCs w:val="5"/>
                <w:color w:val="auto"/>
              </w:rPr>
            </w:pPr>
          </w:p>
        </w:tc>
        <w:tc>
          <w:tcPr>
            <w:tcW w:w="1060" w:type="dxa"/>
            <w:vAlign w:val="bottom"/>
            <w:shd w:val="clear" w:color="auto" w:fill="000046"/>
          </w:tcPr>
          <w:p>
            <w:pPr>
              <w:spacing w:after="0"/>
              <w:rPr>
                <w:sz w:val="5"/>
                <w:szCs w:val="5"/>
                <w:color w:val="auto"/>
              </w:rPr>
            </w:pPr>
          </w:p>
        </w:tc>
        <w:tc>
          <w:tcPr>
            <w:tcW w:w="1260" w:type="dxa"/>
            <w:vAlign w:val="bottom"/>
            <w:tcBorders>
              <w:right w:val="single" w:sz="8" w:color="000046"/>
            </w:tcBorders>
            <w:shd w:val="clear" w:color="auto" w:fill="000046"/>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6380" w:type="dxa"/>
            <w:vAlign w:val="bottom"/>
          </w:tcPr>
          <w:p>
            <w:pPr>
              <w:ind w:left="100"/>
              <w:spacing w:after="0"/>
              <w:rPr>
                <w:sz w:val="20"/>
                <w:szCs w:val="20"/>
                <w:color w:val="auto"/>
              </w:rPr>
            </w:pPr>
            <w:r>
              <w:rPr>
                <w:rFonts w:ascii="PMingLiU" w:cs="PMingLiU" w:eastAsia="PMingLiU" w:hAnsi="PMingLiU"/>
                <w:sz w:val="16"/>
                <w:szCs w:val="16"/>
                <w:color w:val="auto"/>
              </w:rPr>
              <w:t>7RWDOFRPSHQVDWLRQDVUHSRUWHGLQWKH6XPPDU\&amp;RPSHQVDWLRQ7DEOH</w:t>
            </w:r>
          </w:p>
        </w:tc>
        <w:tc>
          <w:tcPr>
            <w:tcW w:w="104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60"/>
              <w:spacing w:after="0"/>
              <w:rPr>
                <w:sz w:val="20"/>
                <w:szCs w:val="20"/>
                <w:color w:val="auto"/>
              </w:rPr>
            </w:pPr>
            <w:r>
              <w:rPr>
                <w:rFonts w:ascii="PMingLiU" w:cs="PMingLiU" w:eastAsia="PMingLiU" w:hAnsi="PMingLiU"/>
                <w:sz w:val="16"/>
                <w:szCs w:val="16"/>
                <w:color w:val="auto"/>
              </w:rPr>
              <w:t/>
            </w:r>
          </w:p>
        </w:tc>
        <w:tc>
          <w:tcPr>
            <w:tcW w:w="1260" w:type="dxa"/>
            <w:vAlign w:val="bottom"/>
          </w:tcPr>
          <w:p>
            <w:pPr>
              <w:jc w:val="right"/>
              <w:ind w:right="6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5"/>
        </w:trPr>
        <w:tc>
          <w:tcPr>
            <w:tcW w:w="6380" w:type="dxa"/>
            <w:vAlign w:val="bottom"/>
            <w:tcBorders>
              <w:bottom w:val="single" w:sz="8" w:color="4454A7"/>
            </w:tcBorders>
          </w:tcPr>
          <w:p>
            <w:pPr>
              <w:spacing w:after="0"/>
              <w:rPr>
                <w:sz w:val="3"/>
                <w:szCs w:val="3"/>
                <w:color w:val="auto"/>
              </w:rPr>
            </w:pPr>
          </w:p>
        </w:tc>
        <w:tc>
          <w:tcPr>
            <w:tcW w:w="2100" w:type="dxa"/>
            <w:vAlign w:val="bottom"/>
            <w:tcBorders>
              <w:bottom w:val="single" w:sz="8" w:color="4454A7"/>
            </w:tcBorders>
            <w:gridSpan w:val="2"/>
          </w:tcPr>
          <w:p>
            <w:pPr>
              <w:spacing w:after="0"/>
              <w:rPr>
                <w:sz w:val="3"/>
                <w:szCs w:val="3"/>
                <w:color w:val="auto"/>
              </w:rPr>
            </w:pPr>
          </w:p>
        </w:tc>
        <w:tc>
          <w:tcPr>
            <w:tcW w:w="126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86"/>
              </w:rPr>
              <w:t>'HGXFW*UDQWGDWHIDLUYDOXHRIDZDUGVDVUHSRUWHGLQWKH6WRFN$ZDUGVFROXPQLQWKH</w:t>
            </w:r>
          </w:p>
        </w:tc>
        <w:tc>
          <w:tcPr>
            <w:tcW w:w="210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t>
            </w:r>
          </w:p>
        </w:tc>
        <w:tc>
          <w:tcPr>
            <w:tcW w:w="1260" w:type="dxa"/>
            <w:vAlign w:val="bottom"/>
          </w:tcPr>
          <w:p>
            <w:pPr>
              <w:jc w:val="right"/>
              <w:ind w:right="6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1"/>
        </w:trPr>
        <w:tc>
          <w:tcPr>
            <w:tcW w:w="6380" w:type="dxa"/>
            <w:vAlign w:val="bottom"/>
          </w:tcPr>
          <w:p>
            <w:pPr>
              <w:ind w:left="100"/>
              <w:spacing w:after="0"/>
              <w:rPr>
                <w:sz w:val="20"/>
                <w:szCs w:val="20"/>
                <w:color w:val="auto"/>
              </w:rPr>
            </w:pPr>
            <w:r>
              <w:rPr>
                <w:rFonts w:ascii="PMingLiU" w:cs="PMingLiU" w:eastAsia="PMingLiU" w:hAnsi="PMingLiU"/>
                <w:sz w:val="16"/>
                <w:szCs w:val="16"/>
                <w:color w:val="auto"/>
              </w:rPr>
              <w:t>6XPPDU\&amp;RPSHQVDWLRQ7DEOHIRUDSSOLFDEOHILVFDO\HDU</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80" w:type="dxa"/>
            <w:vAlign w:val="bottom"/>
            <w:tcBorders>
              <w:bottom w:val="single" w:sz="8" w:color="4454A7"/>
            </w:tcBorders>
          </w:tcPr>
          <w:p>
            <w:pPr>
              <w:spacing w:after="0" w:line="20" w:lineRule="exact"/>
              <w:rPr>
                <w:sz w:val="1"/>
                <w:szCs w:val="1"/>
                <w:color w:val="auto"/>
              </w:rPr>
            </w:pPr>
          </w:p>
        </w:tc>
        <w:tc>
          <w:tcPr>
            <w:tcW w:w="1040" w:type="dxa"/>
            <w:vAlign w:val="bottom"/>
            <w:tcBorders>
              <w:bottom w:val="single" w:sz="8" w:color="4454A7"/>
            </w:tcBorders>
          </w:tcPr>
          <w:p>
            <w:pPr>
              <w:spacing w:after="0" w:line="20" w:lineRule="exact"/>
              <w:rPr>
                <w:sz w:val="1"/>
                <w:szCs w:val="1"/>
                <w:color w:val="auto"/>
              </w:rPr>
            </w:pPr>
          </w:p>
        </w:tc>
        <w:tc>
          <w:tcPr>
            <w:tcW w:w="1060" w:type="dxa"/>
            <w:vAlign w:val="bottom"/>
            <w:tcBorders>
              <w:bottom w:val="single" w:sz="8" w:color="4454A7"/>
            </w:tcBorders>
          </w:tcPr>
          <w:p>
            <w:pPr>
              <w:spacing w:after="0" w:line="20" w:lineRule="exact"/>
              <w:rPr>
                <w:sz w:val="1"/>
                <w:szCs w:val="1"/>
                <w:color w:val="auto"/>
              </w:rPr>
            </w:pPr>
          </w:p>
        </w:tc>
        <w:tc>
          <w:tcPr>
            <w:tcW w:w="1260" w:type="dxa"/>
            <w:vAlign w:val="bottom"/>
            <w:tcBorders>
              <w:bottom w:val="single" w:sz="8" w:color="4454A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94"/>
              </w:rPr>
              <w:t>$GG$6&amp;IDLUYDOXHRIDZDUGVJUDQWHGGXULQJDSSOLFDEOHILVFDO\HDUWKDWUHPDLQ</w:t>
            </w:r>
          </w:p>
        </w:tc>
        <w:tc>
          <w:tcPr>
            <w:tcW w:w="104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06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126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17"/>
        </w:trPr>
        <w:tc>
          <w:tcPr>
            <w:tcW w:w="6380" w:type="dxa"/>
            <w:vAlign w:val="bottom"/>
            <w:vMerge w:val="restart"/>
          </w:tcPr>
          <w:p>
            <w:pPr>
              <w:ind w:left="100"/>
              <w:spacing w:after="0"/>
              <w:rPr>
                <w:sz w:val="20"/>
                <w:szCs w:val="20"/>
                <w:color w:val="auto"/>
              </w:rPr>
            </w:pPr>
            <w:r>
              <w:rPr>
                <w:rFonts w:ascii="PMingLiU" w:cs="PMingLiU" w:eastAsia="PMingLiU" w:hAnsi="PMingLiU"/>
                <w:sz w:val="16"/>
                <w:szCs w:val="16"/>
                <w:color w:val="auto"/>
                <w:w w:val="89"/>
              </w:rPr>
              <w:t>XQYHVWHGDVRIFXUUHQWILVFDO\HDUHQGGHWHUPLQHGDVRIDSSOLFDEOHILVFDO\HDUHQG</w:t>
            </w:r>
          </w:p>
        </w:tc>
        <w:tc>
          <w:tcPr>
            <w:tcW w:w="10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3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380" w:type="dxa"/>
            <w:vAlign w:val="bottom"/>
            <w:tcBorders>
              <w:bottom w:val="single" w:sz="8" w:color="4454A7"/>
            </w:tcBorders>
          </w:tcPr>
          <w:p>
            <w:pPr>
              <w:spacing w:after="0"/>
              <w:rPr>
                <w:sz w:val="3"/>
                <w:szCs w:val="3"/>
                <w:color w:val="auto"/>
              </w:rPr>
            </w:pPr>
          </w:p>
        </w:tc>
        <w:tc>
          <w:tcPr>
            <w:tcW w:w="1040" w:type="dxa"/>
            <w:vAlign w:val="bottom"/>
            <w:tcBorders>
              <w:bottom w:val="single" w:sz="8" w:color="4454A7"/>
            </w:tcBorders>
          </w:tcPr>
          <w:p>
            <w:pPr>
              <w:spacing w:after="0"/>
              <w:rPr>
                <w:sz w:val="3"/>
                <w:szCs w:val="3"/>
                <w:color w:val="auto"/>
              </w:rPr>
            </w:pPr>
          </w:p>
        </w:tc>
        <w:tc>
          <w:tcPr>
            <w:tcW w:w="1060" w:type="dxa"/>
            <w:vAlign w:val="bottom"/>
            <w:tcBorders>
              <w:bottom w:val="single" w:sz="8" w:color="4454A7"/>
            </w:tcBorders>
          </w:tcPr>
          <w:p>
            <w:pPr>
              <w:spacing w:after="0"/>
              <w:rPr>
                <w:sz w:val="3"/>
                <w:szCs w:val="3"/>
                <w:color w:val="auto"/>
              </w:rPr>
            </w:pPr>
          </w:p>
        </w:tc>
        <w:tc>
          <w:tcPr>
            <w:tcW w:w="126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96"/>
              </w:rPr>
              <w:t>$GG&amp;KDQJHLQ$6&amp;IDLUYDOXHIURPSULRUILVFDO\HDUHQGWRDSSOLFDEOHILVFDO\HDU</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83"/>
              </w:rPr>
              <w:t>HQGRIDZDUGVJUDQWHGGXULQJSULRUILVFDO\HDUVWKDWZHUHRXWVWDQGLQJDQGXQYHVWHGDV</w:t>
            </w:r>
          </w:p>
        </w:tc>
        <w:tc>
          <w:tcPr>
            <w:tcW w:w="104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ind w:right="60"/>
              <w:spacing w:after="0"/>
              <w:rPr>
                <w:sz w:val="20"/>
                <w:szCs w:val="20"/>
                <w:color w:val="auto"/>
              </w:rPr>
            </w:pPr>
            <w:r>
              <w:rPr>
                <w:rFonts w:ascii="PMingLiU" w:cs="PMingLiU" w:eastAsia="PMingLiU" w:hAnsi="PMingLiU"/>
                <w:sz w:val="16"/>
                <w:szCs w:val="16"/>
                <w:color w:val="auto"/>
              </w:rPr>
              <w:t/>
            </w:r>
          </w:p>
        </w:tc>
        <w:tc>
          <w:tcPr>
            <w:tcW w:w="1260" w:type="dxa"/>
            <w:vAlign w:val="bottom"/>
          </w:tcPr>
          <w:p>
            <w:pPr>
              <w:jc w:val="right"/>
              <w:ind w:right="6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3"/>
        </w:trPr>
        <w:tc>
          <w:tcPr>
            <w:tcW w:w="6380" w:type="dxa"/>
            <w:vAlign w:val="bottom"/>
          </w:tcPr>
          <w:p>
            <w:pPr>
              <w:ind w:left="100"/>
              <w:spacing w:after="0"/>
              <w:rPr>
                <w:sz w:val="20"/>
                <w:szCs w:val="20"/>
                <w:color w:val="auto"/>
              </w:rPr>
            </w:pPr>
            <w:r>
              <w:rPr>
                <w:rFonts w:ascii="PMingLiU" w:cs="PMingLiU" w:eastAsia="PMingLiU" w:hAnsi="PMingLiU"/>
                <w:sz w:val="16"/>
                <w:szCs w:val="16"/>
                <w:color w:val="auto"/>
              </w:rPr>
              <w:t>RIDSSOLFDEOHILVFDO\HDUHQG</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80" w:type="dxa"/>
            <w:vAlign w:val="bottom"/>
            <w:tcBorders>
              <w:bottom w:val="single" w:sz="8" w:color="4454A7"/>
            </w:tcBorders>
          </w:tcPr>
          <w:p>
            <w:pPr>
              <w:spacing w:after="0"/>
              <w:rPr>
                <w:sz w:val="2"/>
                <w:szCs w:val="2"/>
                <w:color w:val="auto"/>
              </w:rPr>
            </w:pPr>
          </w:p>
        </w:tc>
        <w:tc>
          <w:tcPr>
            <w:tcW w:w="1040" w:type="dxa"/>
            <w:vAlign w:val="bottom"/>
            <w:tcBorders>
              <w:bottom w:val="single" w:sz="8" w:color="4454A7"/>
            </w:tcBorders>
          </w:tcPr>
          <w:p>
            <w:pPr>
              <w:spacing w:after="0"/>
              <w:rPr>
                <w:sz w:val="2"/>
                <w:szCs w:val="2"/>
                <w:color w:val="auto"/>
              </w:rPr>
            </w:pPr>
          </w:p>
        </w:tc>
        <w:tc>
          <w:tcPr>
            <w:tcW w:w="1060" w:type="dxa"/>
            <w:vAlign w:val="bottom"/>
            <w:tcBorders>
              <w:bottom w:val="single" w:sz="8" w:color="4454A7"/>
            </w:tcBorders>
          </w:tcPr>
          <w:p>
            <w:pPr>
              <w:spacing w:after="0"/>
              <w:rPr>
                <w:sz w:val="2"/>
                <w:szCs w:val="2"/>
                <w:color w:val="auto"/>
              </w:rPr>
            </w:pPr>
          </w:p>
        </w:tc>
        <w:tc>
          <w:tcPr>
            <w:tcW w:w="1260" w:type="dxa"/>
            <w:vAlign w:val="bottom"/>
            <w:tcBorders>
              <w:bottom w:val="single" w:sz="8" w:color="4454A7"/>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94"/>
              </w:rPr>
              <w:t>$GG&amp;KDQJHLQ$6&amp;IDLUYDOXHIURPSULRUILVFDO\HDUHQGWRYHVWLQJGDWHRIDZDUGV</w:t>
            </w:r>
          </w:p>
        </w:tc>
        <w:tc>
          <w:tcPr>
            <w:tcW w:w="1040" w:type="dxa"/>
            <w:vAlign w:val="bottom"/>
            <w:vMerge w:val="restart"/>
          </w:tcPr>
          <w:p>
            <w:pPr>
              <w:jc w:val="right"/>
              <w:ind w:right="20"/>
              <w:spacing w:after="0"/>
              <w:rPr>
                <w:sz w:val="20"/>
                <w:szCs w:val="20"/>
                <w:color w:val="auto"/>
              </w:rPr>
            </w:pPr>
            <w:r>
              <w:rPr>
                <w:rFonts w:ascii="PMingLiU" w:cs="PMingLiU" w:eastAsia="PMingLiU" w:hAnsi="PMingLiU"/>
                <w:sz w:val="16"/>
                <w:szCs w:val="16"/>
                <w:color w:val="auto"/>
              </w:rPr>
              <w:t/>
            </w:r>
          </w:p>
        </w:tc>
        <w:tc>
          <w:tcPr>
            <w:tcW w:w="106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126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15"/>
        </w:trPr>
        <w:tc>
          <w:tcPr>
            <w:tcW w:w="6380" w:type="dxa"/>
            <w:vAlign w:val="bottom"/>
            <w:vMerge w:val="restart"/>
          </w:tcPr>
          <w:p>
            <w:pPr>
              <w:ind w:left="100"/>
              <w:spacing w:after="0"/>
              <w:rPr>
                <w:sz w:val="20"/>
                <w:szCs w:val="20"/>
                <w:color w:val="auto"/>
              </w:rPr>
            </w:pPr>
            <w:r>
              <w:rPr>
                <w:rFonts w:ascii="PMingLiU" w:cs="PMingLiU" w:eastAsia="PMingLiU" w:hAnsi="PMingLiU"/>
                <w:sz w:val="16"/>
                <w:szCs w:val="16"/>
                <w:color w:val="auto"/>
                <w:w w:val="95"/>
              </w:rPr>
              <w:t>JUDQWHGGXULQJSULRUILVFDO\HDUVWKDWYHVWHGGXULQJDSSOLFDEOHILVFDO\HDU</w:t>
            </w:r>
          </w:p>
        </w:tc>
        <w:tc>
          <w:tcPr>
            <w:tcW w:w="10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3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6380" w:type="dxa"/>
            <w:vAlign w:val="bottom"/>
            <w:tcBorders>
              <w:bottom w:val="single" w:sz="8" w:color="4454A7"/>
            </w:tcBorders>
          </w:tcPr>
          <w:p>
            <w:pPr>
              <w:spacing w:after="0"/>
              <w:rPr>
                <w:sz w:val="3"/>
                <w:szCs w:val="3"/>
                <w:color w:val="auto"/>
              </w:rPr>
            </w:pPr>
          </w:p>
        </w:tc>
        <w:tc>
          <w:tcPr>
            <w:tcW w:w="1040" w:type="dxa"/>
            <w:vAlign w:val="bottom"/>
            <w:tcBorders>
              <w:bottom w:val="single" w:sz="8" w:color="4454A7"/>
            </w:tcBorders>
          </w:tcPr>
          <w:p>
            <w:pPr>
              <w:spacing w:after="0"/>
              <w:rPr>
                <w:sz w:val="3"/>
                <w:szCs w:val="3"/>
                <w:color w:val="auto"/>
              </w:rPr>
            </w:pPr>
          </w:p>
        </w:tc>
        <w:tc>
          <w:tcPr>
            <w:tcW w:w="1060" w:type="dxa"/>
            <w:vAlign w:val="bottom"/>
            <w:tcBorders>
              <w:bottom w:val="single" w:sz="8" w:color="4454A7"/>
            </w:tcBorders>
          </w:tcPr>
          <w:p>
            <w:pPr>
              <w:spacing w:after="0"/>
              <w:rPr>
                <w:sz w:val="3"/>
                <w:szCs w:val="3"/>
                <w:color w:val="auto"/>
              </w:rPr>
            </w:pPr>
          </w:p>
        </w:tc>
        <w:tc>
          <w:tcPr>
            <w:tcW w:w="126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100"/>
              <w:spacing w:after="0"/>
              <w:rPr>
                <w:sz w:val="20"/>
                <w:szCs w:val="20"/>
                <w:color w:val="auto"/>
              </w:rPr>
            </w:pPr>
            <w:r>
              <w:rPr>
                <w:rFonts w:ascii="PMingLiU" w:cs="PMingLiU" w:eastAsia="PMingLiU" w:hAnsi="PMingLiU"/>
                <w:sz w:val="16"/>
                <w:szCs w:val="16"/>
                <w:color w:val="auto"/>
                <w:w w:val="92"/>
              </w:rPr>
              <w:t>'HGXFW)DLUYDOXHDVRIWKHSULRUILVFDO\HDUHQGRIHTXLW\DZDUGVJUDQWHGLQSULRU</w:t>
            </w:r>
          </w:p>
        </w:tc>
        <w:tc>
          <w:tcPr>
            <w:tcW w:w="1040" w:type="dxa"/>
            <w:vAlign w:val="bottom"/>
          </w:tcPr>
          <w:p>
            <w:pPr>
              <w:spacing w:after="0"/>
              <w:rPr>
                <w:sz w:val="18"/>
                <w:szCs w:val="18"/>
                <w:color w:val="auto"/>
              </w:rPr>
            </w:pPr>
          </w:p>
        </w:tc>
        <w:tc>
          <w:tcPr>
            <w:tcW w:w="1060" w:type="dxa"/>
            <w:vAlign w:val="bottom"/>
            <w:vMerge w:val="restart"/>
          </w:tcPr>
          <w:p>
            <w:pPr>
              <w:jc w:val="right"/>
              <w:ind w:right="60"/>
              <w:spacing w:after="0"/>
              <w:rPr>
                <w:sz w:val="20"/>
                <w:szCs w:val="20"/>
                <w:color w:val="auto"/>
              </w:rPr>
            </w:pPr>
            <w:r>
              <w:rPr>
                <w:rFonts w:ascii="PMingLiU" w:cs="PMingLiU" w:eastAsia="PMingLiU" w:hAnsi="PMingLiU"/>
                <w:sz w:val="16"/>
                <w:szCs w:val="16"/>
                <w:color w:val="auto"/>
              </w:rPr>
              <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380" w:type="dxa"/>
            <w:vAlign w:val="bottom"/>
            <w:vMerge w:val="restart"/>
          </w:tcPr>
          <w:p>
            <w:pPr>
              <w:ind w:left="100"/>
              <w:spacing w:after="0"/>
              <w:rPr>
                <w:sz w:val="20"/>
                <w:szCs w:val="20"/>
                <w:color w:val="auto"/>
              </w:rPr>
            </w:pPr>
            <w:r>
              <w:rPr>
                <w:rFonts w:ascii="PMingLiU" w:cs="PMingLiU" w:eastAsia="PMingLiU" w:hAnsi="PMingLiU"/>
                <w:sz w:val="16"/>
                <w:szCs w:val="16"/>
                <w:color w:val="auto"/>
                <w:w w:val="90"/>
              </w:rPr>
              <w:t>ILVFDO\HDUWKDWIDLOHGWRPHHWYHVWLQJFRQGLWLRQVLQWKHDSSOLFDEOHILVFDO\HDU</w:t>
            </w:r>
          </w:p>
        </w:tc>
        <w:tc>
          <w:tcPr>
            <w:tcW w:w="10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3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6380" w:type="dxa"/>
            <w:vAlign w:val="bottom"/>
            <w:tcBorders>
              <w:bottom w:val="single" w:sz="8" w:color="4454A7"/>
            </w:tcBorders>
          </w:tcPr>
          <w:p>
            <w:pPr>
              <w:spacing w:after="0"/>
              <w:rPr>
                <w:sz w:val="3"/>
                <w:szCs w:val="3"/>
                <w:color w:val="auto"/>
              </w:rPr>
            </w:pPr>
          </w:p>
        </w:tc>
        <w:tc>
          <w:tcPr>
            <w:tcW w:w="1040" w:type="dxa"/>
            <w:vAlign w:val="bottom"/>
            <w:tcBorders>
              <w:bottom w:val="single" w:sz="8" w:color="4454A7"/>
            </w:tcBorders>
          </w:tcPr>
          <w:p>
            <w:pPr>
              <w:spacing w:after="0"/>
              <w:rPr>
                <w:sz w:val="3"/>
                <w:szCs w:val="3"/>
                <w:color w:val="auto"/>
              </w:rPr>
            </w:pPr>
          </w:p>
        </w:tc>
        <w:tc>
          <w:tcPr>
            <w:tcW w:w="1060" w:type="dxa"/>
            <w:vAlign w:val="bottom"/>
            <w:tcBorders>
              <w:bottom w:val="single" w:sz="8" w:color="4454A7"/>
            </w:tcBorders>
          </w:tcPr>
          <w:p>
            <w:pPr>
              <w:spacing w:after="0"/>
              <w:rPr>
                <w:sz w:val="3"/>
                <w:szCs w:val="3"/>
                <w:color w:val="auto"/>
              </w:rPr>
            </w:pPr>
          </w:p>
        </w:tc>
        <w:tc>
          <w:tcPr>
            <w:tcW w:w="1260" w:type="dxa"/>
            <w:vAlign w:val="bottom"/>
            <w:tcBorders>
              <w:bottom w:val="single" w:sz="8" w:color="4454A7"/>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000046"/>
              </w:rPr>
              <w:t>7RWDO$GMXVWPHQWV</w:t>
            </w:r>
          </w:p>
        </w:tc>
        <w:tc>
          <w:tcPr>
            <w:tcW w:w="104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b w:val="1"/>
                <w:bCs w:val="1"/>
                <w:color w:val="000046"/>
              </w:rPr>
              <w:t/>
            </w:r>
          </w:p>
        </w:tc>
        <w:tc>
          <w:tcPr>
            <w:tcW w:w="1060" w:type="dxa"/>
            <w:vAlign w:val="bottom"/>
            <w:tcBorders>
              <w:bottom w:val="single" w:sz="8" w:color="5C004D"/>
            </w:tcBorders>
          </w:tcPr>
          <w:p>
            <w:pPr>
              <w:jc w:val="right"/>
              <w:ind w:right="60"/>
              <w:spacing w:after="0"/>
              <w:rPr>
                <w:sz w:val="20"/>
                <w:szCs w:val="20"/>
                <w:color w:val="auto"/>
              </w:rPr>
            </w:pPr>
            <w:r>
              <w:rPr>
                <w:rFonts w:ascii="PMingLiU" w:cs="PMingLiU" w:eastAsia="PMingLiU" w:hAnsi="PMingLiU"/>
                <w:sz w:val="16"/>
                <w:szCs w:val="16"/>
                <w:b w:val="1"/>
                <w:bCs w:val="1"/>
                <w:color w:val="000046"/>
              </w:rPr>
              <w:t/>
            </w:r>
          </w:p>
        </w:tc>
        <w:tc>
          <w:tcPr>
            <w:tcW w:w="1260" w:type="dxa"/>
            <w:vAlign w:val="bottom"/>
            <w:tcBorders>
              <w:bottom w:val="single" w:sz="8" w:color="5C004D"/>
            </w:tcBorders>
          </w:tcPr>
          <w:p>
            <w:pPr>
              <w:jc w:val="right"/>
              <w:ind w:right="60"/>
              <w:spacing w:after="0"/>
              <w:rPr>
                <w:sz w:val="20"/>
                <w:szCs w:val="20"/>
                <w:color w:val="auto"/>
              </w:rPr>
            </w:pPr>
            <w:r>
              <w:rPr>
                <w:rFonts w:ascii="PMingLiU" w:cs="PMingLiU" w:eastAsia="PMingLiU" w:hAnsi="PMingLiU"/>
                <w:sz w:val="16"/>
                <w:szCs w:val="16"/>
                <w:b w:val="1"/>
                <w:bCs w:val="1"/>
                <w:color w:val="000046"/>
              </w:rPr>
              <w:t/>
            </w:r>
          </w:p>
        </w:tc>
        <w:tc>
          <w:tcPr>
            <w:tcW w:w="0" w:type="dxa"/>
            <w:vAlign w:val="bottom"/>
          </w:tcPr>
          <w:p>
            <w:pPr>
              <w:spacing w:after="0"/>
              <w:rPr>
                <w:sz w:val="1"/>
                <w:szCs w:val="1"/>
                <w:color w:val="auto"/>
              </w:rPr>
            </w:pPr>
          </w:p>
        </w:tc>
      </w:tr>
      <w:tr>
        <w:trPr>
          <w:trHeight w:val="265"/>
        </w:trPr>
        <w:tc>
          <w:tcPr>
            <w:tcW w:w="6380" w:type="dxa"/>
            <w:vAlign w:val="bottom"/>
            <w:tcBorders>
              <w:bottom w:val="single" w:sz="8" w:color="5C004D"/>
            </w:tcBorders>
          </w:tcPr>
          <w:p>
            <w:pPr>
              <w:ind w:left="100"/>
              <w:spacing w:after="0"/>
              <w:rPr>
                <w:sz w:val="20"/>
                <w:szCs w:val="20"/>
                <w:color w:val="auto"/>
              </w:rPr>
            </w:pPr>
            <w:r>
              <w:rPr>
                <w:rFonts w:ascii="PMingLiU" w:cs="PMingLiU" w:eastAsia="PMingLiU" w:hAnsi="PMingLiU"/>
                <w:sz w:val="16"/>
                <w:szCs w:val="16"/>
                <w:b w:val="1"/>
                <w:bCs w:val="1"/>
                <w:color w:val="5C004D"/>
              </w:rPr>
              <w:t>&amp;RPSHQVDWLRQ$FWXDOO\3DLG</w:t>
            </w:r>
          </w:p>
        </w:tc>
        <w:tc>
          <w:tcPr>
            <w:tcW w:w="104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b w:val="1"/>
                <w:bCs w:val="1"/>
                <w:color w:val="5C004D"/>
              </w:rPr>
              <w:t/>
            </w:r>
          </w:p>
        </w:tc>
        <w:tc>
          <w:tcPr>
            <w:tcW w:w="1060" w:type="dxa"/>
            <w:vAlign w:val="bottom"/>
            <w:tcBorders>
              <w:bottom w:val="single" w:sz="8" w:color="5C004D"/>
            </w:tcBorders>
          </w:tcPr>
          <w:p>
            <w:pPr>
              <w:jc w:val="right"/>
              <w:ind w:right="60"/>
              <w:spacing w:after="0"/>
              <w:rPr>
                <w:sz w:val="20"/>
                <w:szCs w:val="20"/>
                <w:color w:val="auto"/>
              </w:rPr>
            </w:pPr>
            <w:r>
              <w:rPr>
                <w:rFonts w:ascii="PMingLiU" w:cs="PMingLiU" w:eastAsia="PMingLiU" w:hAnsi="PMingLiU"/>
                <w:sz w:val="16"/>
                <w:szCs w:val="16"/>
                <w:b w:val="1"/>
                <w:bCs w:val="1"/>
                <w:color w:val="5C004D"/>
              </w:rPr>
              <w:t/>
            </w:r>
          </w:p>
        </w:tc>
        <w:tc>
          <w:tcPr>
            <w:tcW w:w="1260" w:type="dxa"/>
            <w:vAlign w:val="bottom"/>
            <w:tcBorders>
              <w:bottom w:val="single" w:sz="8" w:color="5C004D"/>
            </w:tcBorders>
          </w:tcPr>
          <w:p>
            <w:pPr>
              <w:jc w:val="right"/>
              <w:ind w:right="60"/>
              <w:spacing w:after="0"/>
              <w:rPr>
                <w:sz w:val="20"/>
                <w:szCs w:val="20"/>
                <w:color w:val="auto"/>
              </w:rPr>
            </w:pPr>
            <w:r>
              <w:rPr>
                <w:rFonts w:ascii="PMingLiU" w:cs="PMingLiU" w:eastAsia="PMingLiU" w:hAnsi="PMingLiU"/>
                <w:sz w:val="16"/>
                <w:szCs w:val="16"/>
                <w:b w:val="1"/>
                <w:bCs w:val="1"/>
                <w:color w:val="5C004D"/>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6386195</wp:posOffset>
            </wp:positionH>
            <wp:positionV relativeFrom="paragraph">
              <wp:posOffset>-2228215</wp:posOffset>
            </wp:positionV>
            <wp:extent cx="25400" cy="635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372">
                      <a:extLst>
                        <a:ext uri="{28A0092B-C50C-407E-A947-70E740481C1C}"/>
                      </a:extLst>
                    </a:blip>
                    <a:srcRect/>
                    <a:stretch>
                      <a:fillRect/>
                    </a:stretch>
                  </pic:blipFill>
                  <pic:spPr bwMode="auto">
                    <a:xfrm>
                      <a:off x="0" y="0"/>
                      <a:ext cx="25400" cy="63500"/>
                    </a:xfrm>
                    <a:prstGeom prst="rect">
                      <a:avLst/>
                    </a:prstGeom>
                    <a:noFill/>
                  </pic:spPr>
                </pic:pic>
              </a:graphicData>
            </a:graphic>
          </wp:anchor>
        </w:drawing>
      </w:r>
    </w:p>
    <w:p>
      <w:pPr>
        <w:spacing w:after="0" w:line="116" w:lineRule="exact"/>
        <w:rPr>
          <w:sz w:val="20"/>
          <w:szCs w:val="20"/>
          <w:color w:val="auto"/>
        </w:rPr>
      </w:pPr>
    </w:p>
    <w:p>
      <w:pPr>
        <w:ind w:left="360" w:right="380" w:hanging="359"/>
        <w:spacing w:after="0" w:line="364" w:lineRule="auto"/>
        <w:tabs>
          <w:tab w:leader="none" w:pos="340" w:val="left"/>
        </w:tabs>
        <w:rPr>
          <w:sz w:val="20"/>
          <w:szCs w:val="20"/>
          <w:color w:val="auto"/>
        </w:rPr>
      </w:pPr>
      <w:r>
        <w:rPr>
          <w:rFonts w:ascii="PMingLiU" w:cs="PMingLiU" w:eastAsia="PMingLiU" w:hAnsi="PMingLiU"/>
          <w:sz w:val="13"/>
          <w:szCs w:val="13"/>
          <w:color w:val="auto"/>
        </w:rPr>
        <w:t/>
        <w:tab/>
        <w:t>)RUWKHUHOHYDQWILVFDO\HDUUHSUHVHQWVWKHFXPXODWLYH765RIRXURUGLQDU\VKDUHVDQGWKH1DVGDT%LRWHFKQRORJ\,QGH[DWWKHHQGRI HDFKILVFDO\HDU,QHDFKFDVHDVVXPHDQLQLWLDOLQYHVWPHQWRIRQ'HFHPEHUDQGUHLQYHVWPHQWRIGLYLGHQGVLIDQ\</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2"/>
          <w:szCs w:val="12"/>
          <w:color w:val="auto"/>
        </w:rPr>
        <w:t>7KHDPRXQWVUHSUHVHQWWKHQHWLQFRPHORVVDVUHSRUWHGLQRXUDXGLWHGILQDQFLDOVWDWHPHQWVIRUWKHDSSOLFDEOHILVFDO\HDU</w:t>
      </w:r>
    </w:p>
    <w:p>
      <w:pPr>
        <w:spacing w:after="0" w:line="9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$VUHTXLUHGE\,WHPYRI5HJXODWLRQ6.ZHKDYHGHWHUPLQHGWKDWWKH&amp;RPSDQ\6HOHFWHG0HDVXUHLVWRWDOUHYHQXHVDVUHSRUWHGLQ</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6"/>
          <w:szCs w:val="16"/>
          <w:color w:val="auto"/>
        </w:rPr>
        <w:t>RXUDXGLWHGILQDQFLDOVWDWHPHQWVIRUWKHDSSOLFDEOHILVFDO\HDU</w:t>
      </w:r>
    </w:p>
    <w:p>
      <w:pPr>
        <w:spacing w:after="0" w:line="267"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5HTXLUHG7DEXODU'LVFORVXUHRI0RVW,PSRUWDQW0HDVXUHV</w:t>
      </w:r>
    </w:p>
    <w:p>
      <w:pPr>
        <w:spacing w:after="0" w:line="191" w:lineRule="exact"/>
        <w:rPr>
          <w:sz w:val="20"/>
          <w:szCs w:val="20"/>
          <w:color w:val="auto"/>
        </w:rPr>
      </w:pPr>
    </w:p>
    <w:p>
      <w:pPr>
        <w:jc w:val="both"/>
        <w:ind w:right="260"/>
        <w:spacing w:after="0" w:line="345" w:lineRule="auto"/>
        <w:rPr>
          <w:sz w:val="20"/>
          <w:szCs w:val="20"/>
          <w:color w:val="auto"/>
        </w:rPr>
      </w:pPr>
      <w:r>
        <w:rPr>
          <w:rFonts w:ascii="PMingLiU" w:cs="PMingLiU" w:eastAsia="PMingLiU" w:hAnsi="PMingLiU"/>
          <w:sz w:val="15"/>
          <w:szCs w:val="15"/>
          <w:color w:val="auto"/>
        </w:rPr>
        <w:t>7KHPRVWLPSRUWDQWILQDQFLDODQGQRQILQDQFLDOSHUIRUPDQFHPHDVXUHVXVHGE\XVWROLQNFRPSHQVDWLRQDFWXDOO\SDLGWRRXU 1(2VIRUWKHPRVWUHFHQWO\FRPSOHWHGILVFDO\HDUWRRXUSHUIRUPDQFHDUHVHWIRUWKEHORZ)RUIXUWKHULQIRUPDWLRQUHJDUGLQJ WKHVHSHUIRUPDQFHPHWULFVDQGWKHLUIXQFWLRQLQRXUH[HFXWLYHFRPSHQVDWLRQSURJUDPSOHDVHVHH³</w:t>
      </w:r>
      <w:r>
        <w:rPr>
          <w:rFonts w:ascii="PMingLiU" w:cs="PMingLiU" w:eastAsia="PMingLiU" w:hAnsi="PMingLiU"/>
          <w:sz w:val="15"/>
          <w:szCs w:val="15"/>
          <w:i w:val="1"/>
          <w:iCs w:val="1"/>
          <w:color w:val="auto"/>
        </w:rPr>
        <w:t>&gt;,*;:0&lt;,536,49(:054</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536,49(:05409*;99054(4+4(2?909</w:t>
      </w:r>
      <w:r>
        <w:rPr>
          <w:rFonts w:ascii="PMingLiU" w:cs="PMingLiU" w:eastAsia="PMingLiU" w:hAnsi="PMingLiU"/>
          <w:sz w:val="15"/>
          <w:szCs w:val="15"/>
          <w:color w:val="auto"/>
        </w:rPr>
        <w:t>´DERYH</w:t>
      </w:r>
    </w:p>
    <w:p>
      <w:pPr>
        <w:spacing w:after="0" w:line="103"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7RWDO5HYHQXHV</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5HYHQXHSURGXFWWKHUDSHXWLFDUHDVSHFLILF</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1RQ*$$3$GMXVWHG2SHUDWLQJ0DUJLQ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5HODWLYH765</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3LSHOLQH3URJUHVVLRQ</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5HJXODWRU\$GYDQFHPHQW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2577465</wp:posOffset>
            </wp:positionV>
            <wp:extent cx="1389380" cy="2343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373">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104" w:name="page105"/>
    <w:bookmarkEnd w:id="104"/>
    <w:p>
      <w:pPr>
        <w:ind w:left="77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5379720</wp:posOffset>
                </wp:positionH>
                <wp:positionV relativeFrom="page">
                  <wp:posOffset>1270</wp:posOffset>
                </wp:positionV>
                <wp:extent cx="1590675" cy="41910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24" o:spid="_x0000_s1549" style="position:absolute;margin-left:423.6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51" w:lineRule="exact"/>
        <w:rPr>
          <w:sz w:val="20"/>
          <w:szCs w:val="20"/>
          <w:color w:val="auto"/>
        </w:rPr>
      </w:pPr>
    </w:p>
    <w:p>
      <w:pPr>
        <w:spacing w:after="0" w:line="357" w:lineRule="auto"/>
        <w:rPr>
          <w:sz w:val="20"/>
          <w:szCs w:val="20"/>
          <w:color w:val="auto"/>
        </w:rPr>
      </w:pPr>
      <w:r>
        <w:rPr>
          <w:rFonts w:ascii="PMingLiU" w:cs="PMingLiU" w:eastAsia="PMingLiU" w:hAnsi="PMingLiU"/>
          <w:sz w:val="19"/>
          <w:szCs w:val="19"/>
          <w:b w:val="1"/>
          <w:bCs w:val="1"/>
          <w:color w:val="000046"/>
        </w:rPr>
        <w:t>'LVFORVXUHRIWKH5HODWLRQVKLSEHWZHHQ&amp;RPSHQVDWLRQ$FWXDOO\3DLGDQG)LQDQFLDO3HUIRUPDQFH 0HDVXUHV</w:t>
      </w:r>
    </w:p>
    <w:p>
      <w:pPr>
        <w:spacing w:after="0" w:line="41" w:lineRule="exact"/>
        <w:rPr>
          <w:sz w:val="20"/>
          <w:szCs w:val="20"/>
          <w:color w:val="auto"/>
        </w:rPr>
      </w:pPr>
    </w:p>
    <w:p>
      <w:pPr>
        <w:ind w:right="80"/>
        <w:spacing w:after="0" w:line="319" w:lineRule="auto"/>
        <w:rPr>
          <w:sz w:val="20"/>
          <w:szCs w:val="20"/>
          <w:color w:val="auto"/>
        </w:rPr>
      </w:pPr>
      <w:r>
        <w:rPr>
          <w:rFonts w:ascii="PMingLiU" w:cs="PMingLiU" w:eastAsia="PMingLiU" w:hAnsi="PMingLiU"/>
          <w:sz w:val="15"/>
          <w:szCs w:val="15"/>
          <w:color w:val="auto"/>
        </w:rPr>
        <w:t>$VUHTXLUHGE\,WHPYRI5HJXODWLRQ6.ZHDUHSURYLGLQJWKHIROORZLQJJUDSKVWRLOOXVWUDWHWKHUHODWLRQVKLSEHWZHHQWKH SD\DQGSHUIRUPDQFHILJXUHVWKDWDUHLQFOXGHGLQWKHSD\YHUVXVSHUIRUPDQFHWDEXODUGLVFORVXUHDERYH,QDGGLWLRQWKHILUVW JUDSKEHORZIXUWKHULOOXVWUDWHVWKHUHODWLRQVKLSEHWZHHQFRPSDQ\765DQGWKDWRIWKH1DVGDT%LRWHFKQRORJ\,QGH[$VQRWHG</w:t>
      </w:r>
    </w:p>
    <w:p>
      <w:pPr>
        <w:spacing w:after="0" w:line="1" w:lineRule="exact"/>
        <w:rPr>
          <w:sz w:val="20"/>
          <w:szCs w:val="20"/>
          <w:color w:val="auto"/>
        </w:rPr>
      </w:pPr>
    </w:p>
    <w:p>
      <w:pPr>
        <w:ind w:right="220"/>
        <w:spacing w:after="0" w:line="358" w:lineRule="auto"/>
        <w:rPr>
          <w:sz w:val="20"/>
          <w:szCs w:val="20"/>
          <w:color w:val="auto"/>
        </w:rPr>
      </w:pPr>
      <w:r>
        <w:rPr>
          <w:rFonts w:ascii="PMingLiU" w:cs="PMingLiU" w:eastAsia="PMingLiU" w:hAnsi="PMingLiU"/>
          <w:sz w:val="15"/>
          <w:szCs w:val="15"/>
          <w:color w:val="auto"/>
        </w:rPr>
        <w:t>DERYHFRPSHQVDWLRQDFWXDOO\SDLGIRUSXUSRVHVRIWKHWDEXODUGLVFORVXUHDQGWKHIROORZLQJJUDSKVZHUHFDOFXODWHGLQ DFFRUGDQFHZLWK6(&amp;UXOHVDQGGRQRWIXOO\UHSUHVHQWWKHDFWXDOILQDODPRXQWRIFRPSHQVDWLRQHDUQHGE\RUDFWXDOO\SDLGWR RXU1(2VGXULQJWKHDSSOLFDEOH\HDUV</w:t>
      </w:r>
    </w:p>
    <w:p>
      <w:pPr>
        <w:sectPr>
          <w:pgSz w:w="11880" w:h="15479" w:orient="portrait"/>
          <w:cols w:equalWidth="0" w:num="1">
            <w:col w:w="10060"/>
          </w:cols>
          <w:pgMar w:left="900" w:top="377" w:right="919" w:bottom="0" w:gutter="0" w:footer="0" w:header="0"/>
        </w:sectPr>
      </w:pPr>
    </w:p>
    <w:p>
      <w:pPr>
        <w:spacing w:after="0" w:line="285" w:lineRule="exact"/>
        <w:rPr>
          <w:sz w:val="20"/>
          <w:szCs w:val="20"/>
          <w:color w:val="auto"/>
        </w:rPr>
      </w:pPr>
    </w:p>
    <w:p>
      <w:pPr>
        <w:ind w:left="3280"/>
        <w:spacing w:after="0"/>
        <w:rPr>
          <w:sz w:val="20"/>
          <w:szCs w:val="20"/>
          <w:color w:val="auto"/>
        </w:rPr>
      </w:pPr>
      <w:r>
        <w:rPr>
          <w:rFonts w:ascii="PMingLiU" w:cs="PMingLiU" w:eastAsia="PMingLiU" w:hAnsi="PMingLiU"/>
          <w:sz w:val="18"/>
          <w:szCs w:val="18"/>
          <w:b w:val="1"/>
          <w:bCs w:val="1"/>
          <w:color w:val="5C004D"/>
        </w:rPr>
        <w:t>&amp;RPSHQVDWLRQ$FWXDOO\3DLGYHUVXV765</w:t>
      </w:r>
    </w:p>
    <w:p>
      <w:pPr>
        <w:spacing w:after="0" w:line="180" w:lineRule="exact"/>
        <w:rPr>
          <w:sz w:val="20"/>
          <w:szCs w:val="20"/>
          <w:color w:val="auto"/>
        </w:rPr>
      </w:pPr>
    </w:p>
    <w:p>
      <w:pPr>
        <w:ind w:left="1260"/>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1064895</wp:posOffset>
                </wp:positionH>
                <wp:positionV relativeFrom="paragraph">
                  <wp:posOffset>-69850</wp:posOffset>
                </wp:positionV>
                <wp:extent cx="4210050"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85pt,-5.4999pt" to="415.35pt,-5.4999pt" o:allowincell="f" strokecolor="#EEEEEB" strokeweight="0.75pt"/>
            </w:pict>
          </mc:Fallback>
        </mc:AlternateContent>
        <w:drawing>
          <wp:anchor simplePos="0" relativeHeight="251657728" behindDoc="1" locked="0" layoutInCell="0" allowOverlap="1">
            <wp:simplePos x="0" y="0"/>
            <wp:positionH relativeFrom="column">
              <wp:posOffset>1064895</wp:posOffset>
            </wp:positionH>
            <wp:positionV relativeFrom="paragraph">
              <wp:posOffset>-45720</wp:posOffset>
            </wp:positionV>
            <wp:extent cx="4109720" cy="17907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74">
                      <a:extLst>
                        <a:ext uri="{28A0092B-C50C-407E-A947-70E740481C1C}"/>
                      </a:extLst>
                    </a:blip>
                    <a:srcRect/>
                    <a:stretch>
                      <a:fillRect/>
                    </a:stretch>
                  </pic:blipFill>
                  <pic:spPr bwMode="auto">
                    <a:xfrm>
                      <a:off x="0" y="0"/>
                      <a:ext cx="4109720" cy="1790700"/>
                    </a:xfrm>
                    <a:prstGeom prst="rect">
                      <a:avLst/>
                    </a:prstGeom>
                    <a:noFill/>
                  </pic:spPr>
                </pic:pic>
              </a:graphicData>
            </a:graphic>
          </wp:anchor>
        </w:drawing>
      </w:r>
    </w:p>
    <w:p>
      <w:pPr>
        <w:spacing w:after="0" w:line="22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0" w:type="dxa"/>
            <w:vAlign w:val="bottom"/>
            <w:textDirection w:val="btLr"/>
          </w:tcPr>
          <w:p>
            <w:pPr>
              <w:ind w:left="188"/>
              <w:spacing w:after="0"/>
              <w:rPr>
                <w:sz w:val="20"/>
                <w:szCs w:val="20"/>
                <w:color w:val="auto"/>
              </w:rPr>
            </w:pPr>
            <w:r>
              <w:rPr>
                <w:rFonts w:ascii="PMingLiU" w:cs="PMingLiU" w:eastAsia="PMingLiU" w:hAnsi="PMingLiU"/>
                <w:sz w:val="1"/>
                <w:szCs w:val="1"/>
                <w:color w:val="464046"/>
                <w:w w:val="92"/>
              </w:rPr>
              <w:t>&amp;RPSHQVDWLRQ$FWXDOO\3DLG</w:t>
            </w:r>
          </w:p>
        </w:tc>
        <w:tc>
          <w:tcPr>
            <w:tcW w:w="240" w:type="dxa"/>
            <w:vAlign w:val="bottom"/>
            <w:textDirection w:val="btLr"/>
          </w:tcPr>
          <w:p>
            <w:pPr>
              <w:ind w:left="204"/>
              <w:spacing w:after="0"/>
              <w:rPr>
                <w:sz w:val="20"/>
                <w:szCs w:val="20"/>
                <w:color w:val="auto"/>
              </w:rPr>
            </w:pPr>
            <w:r>
              <w:rPr>
                <w:rFonts w:ascii="PMingLiU" w:cs="PMingLiU" w:eastAsia="PMingLiU" w:hAnsi="PMingLiU"/>
                <w:sz w:val="3"/>
                <w:szCs w:val="3"/>
                <w:color w:val="464046"/>
                <w:w w:val="74"/>
              </w:rPr>
              <w:t>LQPLOOLRQV</w:t>
            </w:r>
          </w:p>
        </w:tc>
        <w:tc>
          <w:tcPr>
            <w:tcW w:w="220" w:type="dxa"/>
            <w:vAlign w:val="bottom"/>
            <w:vMerge w:val="restart"/>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50"/>
        </w:trPr>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35"/>
        </w:trPr>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1064895</wp:posOffset>
                </wp:positionH>
                <wp:positionV relativeFrom="paragraph">
                  <wp:posOffset>-71755</wp:posOffset>
                </wp:positionV>
                <wp:extent cx="421005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85pt,-5.6499pt" to="415.35pt,-5.6499pt" o:allowincell="f" strokecolor="#EEEEEB" strokeweight="0.75pt"/>
            </w:pict>
          </mc:Fallback>
        </mc:AlternateContent>
      </w:r>
    </w:p>
    <w:p>
      <w:pPr>
        <w:jc w:val="both"/>
        <w:ind w:left="2140"/>
        <w:spacing w:after="0"/>
        <w:tabs>
          <w:tab w:leader="none" w:pos="3440" w:val="left"/>
          <w:tab w:leader="none" w:pos="4780" w:val="left"/>
          <w:tab w:leader="none" w:pos="6100" w:val="left"/>
          <w:tab w:leader="none" w:pos="7420" w:val="left"/>
        </w:tabs>
        <w:rPr>
          <w:sz w:val="20"/>
          <w:szCs w:val="20"/>
          <w:color w:val="auto"/>
        </w:rPr>
      </w:pP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p>
    <w:p>
      <w:pPr>
        <w:spacing w:after="0" w:line="167"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375">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&amp;RPSHQVDWLRQ$FWXDOO\3DLGWRIRUPHU3(2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$YHUDJH&amp;RPSHQVDWLRQ$FWXDOO\3DLGWR1RQ3(21(2V</w:t>
      </w:r>
    </w:p>
    <w:p>
      <w:pPr>
        <w:spacing w:after="0" w:line="33"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376">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7RWDO6KDUHKROGHU5HWXUQ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1855470</wp:posOffset>
                </wp:positionH>
                <wp:positionV relativeFrom="paragraph">
                  <wp:posOffset>-45720</wp:posOffset>
                </wp:positionV>
                <wp:extent cx="104775"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4763"/>
                        </a:xfrm>
                        <a:prstGeom prst="line">
                          <a:avLst/>
                        </a:prstGeom>
                        <a:solidFill>
                          <a:srgbClr val="FFFFFF"/>
                        </a:solidFill>
                        <a:ln w="19050">
                          <a:solidFill>
                            <a:srgbClr val="D25F0C"/>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1pt,-3.5999pt" to="154.35pt,-3.5999pt" o:allowincell="f" strokecolor="#D25F0C" strokeweight="1.5pt"/>
            </w:pict>
          </mc:Fallback>
        </mc:AlternateContent>
      </w:r>
    </w:p>
    <w:p>
      <w:pPr>
        <w:spacing w:after="0" w:line="13"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1$6'$4%LRWHFKQRORJ\,QGH[7RWDO6KDUHKROGHU5HWXUQ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1855470</wp:posOffset>
                </wp:positionH>
                <wp:positionV relativeFrom="paragraph">
                  <wp:posOffset>-45720</wp:posOffset>
                </wp:positionV>
                <wp:extent cx="104775"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4763"/>
                        </a:xfrm>
                        <a:prstGeom prst="line">
                          <a:avLst/>
                        </a:prstGeom>
                        <a:solidFill>
                          <a:srgbClr val="FFFFFF"/>
                        </a:solidFill>
                        <a:ln w="19050">
                          <a:solidFill>
                            <a:srgbClr val="BB000D"/>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1pt,-3.5999pt" to="154.35pt,-3.5999pt" o:allowincell="f" strokecolor="#BB000D" strokeweight="1.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-234950</wp:posOffset>
                </wp:positionH>
                <wp:positionV relativeFrom="paragraph">
                  <wp:posOffset>215265</wp:posOffset>
                </wp:positionV>
                <wp:extent cx="10033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16.95pt" to="-10.5999pt,16.95pt" o:allowincell="f" strokecolor="#EEEEEB" strokeweight="0.75pt"/>
            </w:pict>
          </mc:Fallback>
        </mc:AlternateConten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-234950</wp:posOffset>
                </wp:positionH>
                <wp:positionV relativeFrom="paragraph">
                  <wp:posOffset>281940</wp:posOffset>
                </wp:positionV>
                <wp:extent cx="100330"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22.2pt" to="-10.5999pt,22.2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-234950</wp:posOffset>
                </wp:positionH>
                <wp:positionV relativeFrom="paragraph">
                  <wp:posOffset>5715</wp:posOffset>
                </wp:positionV>
                <wp:extent cx="100330"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0.45pt" to="-10.5999pt,0.45pt" o:allowincell="f" strokecolor="#EEEEEB" strokeweight="0.75pt"/>
            </w:pict>
          </mc:Fallback>
        </mc:AlternateConten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-234950</wp:posOffset>
                </wp:positionH>
                <wp:positionV relativeFrom="paragraph">
                  <wp:posOffset>348615</wp:posOffset>
                </wp:positionV>
                <wp:extent cx="10033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27.45pt" to="-10.5999pt,27.45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-234950</wp:posOffset>
                </wp:positionH>
                <wp:positionV relativeFrom="paragraph">
                  <wp:posOffset>72390</wp:posOffset>
                </wp:positionV>
                <wp:extent cx="100330"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5.7pt" to="-10.5999pt,5.7pt" o:allowincell="f" strokecolor="#EEEEEB" strokeweight="0.75pt"/>
            </w:pict>
          </mc:Fallback>
        </mc:AlternateConten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-234950</wp:posOffset>
                </wp:positionH>
                <wp:positionV relativeFrom="paragraph">
                  <wp:posOffset>148590</wp:posOffset>
                </wp:positionV>
                <wp:extent cx="100330"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11.7pt" to="-10.5999pt,11.7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-234950</wp:posOffset>
                </wp:positionH>
                <wp:positionV relativeFrom="paragraph">
                  <wp:posOffset>148590</wp:posOffset>
                </wp:positionV>
                <wp:extent cx="10033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4763"/>
                        </a:xfrm>
                        <a:prstGeom prst="line">
                          <a:avLst/>
                        </a:prstGeom>
                        <a:solidFill>
                          <a:srgbClr val="FFFFFF"/>
                        </a:solidFill>
                        <a:ln w="9525">
                          <a:solidFill>
                            <a:srgbClr val="C3BEB9"/>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9pt,11.7pt" to="-10.5999pt,11.7pt" o:allowincell="f" strokecolor="#C3BEB9" strokeweight="0.75pt"/>
            </w:pict>
          </mc:Fallback>
        </mc:AlternateConten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96" w:type="dxa"/>
        <w:tblCellMar>
          <w:top w:w="0" w:type="dxa"/>
          <w:left w:w="0" w:type="dxa"/>
          <w:bottom w:w="0" w:type="dxa"/>
          <w:right w:w="0" w:type="dxa"/>
        </w:tblCellMar>
      </w:tblPr>
      <w:tr>
        <w:trPr>
          <w:trHeight w:val="4294967277"/>
        </w:trPr>
        <w:tc>
          <w:tcPr>
            <w:tcW w:w="12" w:type="dxa"/>
            <w:vAlign w:val="bottom"/>
            <w:textDirection w:val="tbRl"/>
          </w:tcPr>
          <w:p>
            <w:pPr>
              <w:spacing w:after="0"/>
              <w:rPr>
                <w:sz w:val="20"/>
                <w:szCs w:val="20"/>
                <w:color w:val="auto"/>
              </w:rPr>
            </w:pPr>
            <w:r>
              <w:rPr>
                <w:rFonts w:ascii="PMingLiU" w:cs="PMingLiU" w:eastAsia="PMingLiU" w:hAnsi="PMingLiU"/>
                <w:sz w:val="1"/>
                <w:szCs w:val="1"/>
                <w:color w:val="464046"/>
              </w:rPr>
              <w:t>&amp;XPXODWLYH7RWDO6KDUHKROGHU5HWXUQ</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00"/>
        </w:trPr>
        <w:tc>
          <w:tcPr>
            <w:tcW w:w="192" w:type="dxa"/>
            <w:vAlign w:val="bottom"/>
            <w:textDirection w:val="tbRl"/>
          </w:tcPr>
          <w:p>
            <w:pPr>
              <w:spacing w:after="0"/>
              <w:rPr>
                <w:sz w:val="20"/>
                <w:szCs w:val="20"/>
                <w:color w:val="auto"/>
              </w:rPr>
            </w:pPr>
            <w:r>
              <w:rPr>
                <w:rFonts w:ascii="PMingLiU" w:cs="PMingLiU" w:eastAsia="PMingLiU" w:hAnsi="PMingLiU"/>
                <w:sz w:val="16"/>
                <w:szCs w:val="16"/>
                <w:color w:val="464046"/>
              </w:rPr>
              <w:t>YDOXHRILQLWLDOIL[HGLQYHVWPHQW</w:t>
            </w:r>
          </w:p>
        </w:tc>
      </w:tr>
    </w:tbl>
    <w:p>
      <w:pPr>
        <w:spacing w:after="0" w:line="1811" w:lineRule="exact"/>
        <w:rPr>
          <w:sz w:val="20"/>
          <w:szCs w:val="20"/>
          <w:color w:val="auto"/>
        </w:rPr>
      </w:pPr>
    </w:p>
    <w:p>
      <w:pPr>
        <w:sectPr>
          <w:pgSz w:w="11880" w:h="15479" w:orient="portrait"/>
          <w:cols w:equalWidth="0" w:num="3">
            <w:col w:w="7800" w:space="720"/>
            <w:col w:w="260" w:space="162"/>
            <w:col w:w="1118"/>
          </w:cols>
          <w:pgMar w:left="900" w:top="377" w:right="919" w:bottom="0" w:gutter="0" w:footer="0" w:header="0"/>
          <w:type w:val="continuous"/>
        </w:sectPr>
      </w:pPr>
    </w:p>
    <w:p>
      <w:pPr>
        <w:spacing w:after="0" w:line="318" w:lineRule="exact"/>
        <w:rPr>
          <w:sz w:val="20"/>
          <w:szCs w:val="20"/>
          <w:color w:val="auto"/>
        </w:rPr>
      </w:pPr>
    </w:p>
    <w:p>
      <w:pPr>
        <w:jc w:val="center"/>
        <w:ind w:right="20"/>
        <w:spacing w:after="0"/>
        <w:rPr>
          <w:sz w:val="20"/>
          <w:szCs w:val="20"/>
          <w:color w:val="auto"/>
        </w:rPr>
      </w:pPr>
      <w:r>
        <w:rPr>
          <w:rFonts w:ascii="PMingLiU" w:cs="PMingLiU" w:eastAsia="PMingLiU" w:hAnsi="PMingLiU"/>
          <w:sz w:val="18"/>
          <w:szCs w:val="18"/>
          <w:b w:val="1"/>
          <w:bCs w:val="1"/>
          <w:color w:val="5C004D"/>
        </w:rPr>
        <w:t>&amp;RPSHQVDWLRQ$FWXDOO\3DLGYHUVXV*$$31HW,QFRPH/RVV</w:t>
      </w:r>
    </w:p>
    <w:p>
      <w:pPr>
        <w:sectPr>
          <w:pgSz w:w="11880" w:h="15479" w:orient="portrait"/>
          <w:cols w:equalWidth="0" w:num="1">
            <w:col w:w="10060"/>
          </w:cols>
          <w:pgMar w:left="900" w:top="377" w:right="919" w:bottom="0" w:gutter="0" w:footer="0" w:header="0"/>
          <w:type w:val="continuous"/>
        </w:sectPr>
      </w:pP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vMerge w:val="restart"/>
            <w:textDirection w:val="btLr"/>
          </w:tcPr>
          <w:p>
            <w:pPr>
              <w:ind w:left="84"/>
              <w:spacing w:after="0"/>
              <w:rPr>
                <w:sz w:val="20"/>
                <w:szCs w:val="20"/>
                <w:color w:val="auto"/>
              </w:rPr>
            </w:pPr>
            <w:r>
              <w:rPr>
                <w:rFonts w:ascii="PMingLiU" w:cs="PMingLiU" w:eastAsia="PMingLiU" w:hAnsi="PMingLiU"/>
                <w:sz w:val="8"/>
                <w:szCs w:val="8"/>
                <w:color w:val="464046"/>
                <w:w w:val="72"/>
              </w:rPr>
              <w:t>&amp;RPSHQVDWLRQ$FWXDOO\3DLG</w:t>
            </w:r>
          </w:p>
        </w:tc>
        <w:tc>
          <w:tcPr>
            <w:tcW w:w="240" w:type="dxa"/>
            <w:vAlign w:val="bottom"/>
            <w:vMerge w:val="restart"/>
            <w:textDirection w:val="btLr"/>
          </w:tcPr>
          <w:p>
            <w:pPr>
              <w:ind w:left="24"/>
              <w:spacing w:after="0"/>
              <w:rPr>
                <w:sz w:val="20"/>
                <w:szCs w:val="20"/>
                <w:color w:val="auto"/>
              </w:rPr>
            </w:pPr>
            <w:r>
              <w:rPr>
                <w:rFonts w:ascii="PMingLiU" w:cs="PMingLiU" w:eastAsia="PMingLiU" w:hAnsi="PMingLiU"/>
                <w:sz w:val="18"/>
                <w:szCs w:val="18"/>
                <w:color w:val="464046"/>
                <w:w w:val="78"/>
              </w:rPr>
              <w:t>LQPLOOLRQV</w:t>
            </w: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15"/>
        </w:trPr>
        <w:tc>
          <w:tcPr>
            <w:tcW w:w="1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50"/>
        </w:trPr>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80"/>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-2162175</wp:posOffset>
            </wp:positionV>
            <wp:extent cx="4143375" cy="20955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377">
                      <a:extLst>
                        <a:ext uri="{28A0092B-C50C-407E-A947-70E740481C1C}"/>
                      </a:extLst>
                    </a:blip>
                    <a:srcRect/>
                    <a:stretch>
                      <a:fillRect/>
                    </a:stretch>
                  </pic:blipFill>
                  <pic:spPr bwMode="auto">
                    <a:xfrm>
                      <a:off x="0" y="0"/>
                      <a:ext cx="4143375" cy="2095500"/>
                    </a:xfrm>
                    <a:prstGeom prst="rect">
                      <a:avLst/>
                    </a:prstGeom>
                    <a:noFill/>
                  </pic:spPr>
                </pic:pic>
              </a:graphicData>
            </a:graphic>
          </wp:anchor>
        </w:drawing>
      </w:r>
    </w:p>
    <w:p>
      <w:pPr>
        <w:ind w:left="2120"/>
        <w:spacing w:after="0"/>
        <w:tabs>
          <w:tab w:leader="none" w:pos="3420" w:val="left"/>
          <w:tab w:leader="none" w:pos="4720" w:val="left"/>
          <w:tab w:leader="none" w:pos="6020" w:val="left"/>
          <w:tab w:leader="none" w:pos="7320" w:val="left"/>
        </w:tabs>
        <w:rPr>
          <w:sz w:val="20"/>
          <w:szCs w:val="20"/>
          <w:color w:val="auto"/>
        </w:rPr>
      </w:pP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p>
    <w:p>
      <w:pPr>
        <w:spacing w:after="0" w:line="167"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378">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&amp;RPSHQVDWLRQ$FWXDOO\3DLGWRIRUPHU3(2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$YHUDJH&amp;RPSHQVDWLRQ$FWXDOO\3DLGWR1RQ3(21(2V</w:t>
      </w:r>
    </w:p>
    <w:p>
      <w:pPr>
        <w:spacing w:after="0" w:line="33"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379">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1HW,QFRPH/RVV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1855470</wp:posOffset>
                </wp:positionH>
                <wp:positionV relativeFrom="paragraph">
                  <wp:posOffset>-45720</wp:posOffset>
                </wp:positionV>
                <wp:extent cx="104775"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4763"/>
                        </a:xfrm>
                        <a:prstGeom prst="line">
                          <a:avLst/>
                        </a:prstGeom>
                        <a:solidFill>
                          <a:srgbClr val="FFFFFF"/>
                        </a:solidFill>
                        <a:ln w="19050">
                          <a:solidFill>
                            <a:srgbClr val="D25F0C"/>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1pt,-3.5999pt" to="154.35pt,-3.5999pt" o:allowincell="f" strokecolor="#D25F0C" strokeweight="1.5pt"/>
            </w:pict>
          </mc:Fallback>
        </mc:AlternateContent>
        <w:drawing>
          <wp:anchor simplePos="0" relativeHeight="251657728" behindDoc="1" locked="0" layoutInCell="0" allowOverlap="1">
            <wp:simplePos x="0" y="0"/>
            <wp:positionH relativeFrom="column">
              <wp:posOffset>31115</wp:posOffset>
            </wp:positionH>
            <wp:positionV relativeFrom="paragraph">
              <wp:posOffset>326390</wp:posOffset>
            </wp:positionV>
            <wp:extent cx="1389380" cy="2343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380">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-233680</wp:posOffset>
                </wp:positionH>
                <wp:positionV relativeFrom="paragraph">
                  <wp:posOffset>234315</wp:posOffset>
                </wp:positionV>
                <wp:extent cx="95885"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18.45pt" to="-10.8499pt,18.45pt" o:allowincell="f" strokecolor="#EEEEEB" strokeweight="0.75pt"/>
            </w:pict>
          </mc:Fallback>
        </mc:AlternateConten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-233680</wp:posOffset>
                </wp:positionH>
                <wp:positionV relativeFrom="paragraph">
                  <wp:posOffset>110490</wp:posOffset>
                </wp:positionV>
                <wp:extent cx="95885"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8.7pt" to="-10.8499pt,8.7pt" o:allowincell="f" strokecolor="#EEEEEB" strokeweight="0.75pt"/>
            </w:pict>
          </mc:Fallback>
        </mc:AlternateConten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-233680</wp:posOffset>
                </wp:positionH>
                <wp:positionV relativeFrom="paragraph">
                  <wp:posOffset>300990</wp:posOffset>
                </wp:positionV>
                <wp:extent cx="95885"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23.7pt" to="-10.8499pt,23.7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-233680</wp:posOffset>
                </wp:positionH>
                <wp:positionV relativeFrom="paragraph">
                  <wp:posOffset>-3175</wp:posOffset>
                </wp:positionV>
                <wp:extent cx="95885" cy="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0.2499pt" to="-10.8499pt,-0.2499pt" o:allowincell="f" strokecolor="#EEEEEB" strokeweight="0.75pt"/>
            </w:pict>
          </mc:Fallback>
        </mc:AlternateConten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-233680</wp:posOffset>
                </wp:positionH>
                <wp:positionV relativeFrom="paragraph">
                  <wp:posOffset>177165</wp:posOffset>
                </wp:positionV>
                <wp:extent cx="95885"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13.95pt" to="-10.8499pt,13.95pt" o:allowincell="f" strokecolor="#EEEEEB" strokeweight="0.75pt"/>
            </w:pict>
          </mc:Fallback>
        </mc:AlternateConten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-233680</wp:posOffset>
                </wp:positionH>
                <wp:positionV relativeFrom="paragraph">
                  <wp:posOffset>62865</wp:posOffset>
                </wp:positionV>
                <wp:extent cx="95885"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4.95pt" to="-10.8499pt,4.95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-233680</wp:posOffset>
                </wp:positionH>
                <wp:positionV relativeFrom="paragraph">
                  <wp:posOffset>62865</wp:posOffset>
                </wp:positionV>
                <wp:extent cx="9588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9525">
                          <a:solidFill>
                            <a:srgbClr val="C3BEB9"/>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999pt,4.95pt" to="-10.8499pt,4.95pt" o:allowincell="f" strokecolor="#C3BEB9" strokeweight="0.75pt"/>
            </w:pict>
          </mc:Fallback>
        </mc:AlternateConten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48" w:type="dxa"/>
        <w:tblCellMar>
          <w:top w:w="0" w:type="dxa"/>
          <w:left w:w="0" w:type="dxa"/>
          <w:bottom w:w="0" w:type="dxa"/>
          <w:right w:w="0" w:type="dxa"/>
        </w:tblCellMar>
      </w:tblPr>
      <w:tr>
        <w:trPr>
          <w:trHeight w:val="280"/>
        </w:trPr>
        <w:tc>
          <w:tcPr>
            <w:tcW w:w="36" w:type="dxa"/>
            <w:vAlign w:val="bottom"/>
            <w:textDirection w:val="tbRl"/>
          </w:tcPr>
          <w:p>
            <w:pPr>
              <w:spacing w:after="0"/>
              <w:rPr>
                <w:sz w:val="20"/>
                <w:szCs w:val="20"/>
                <w:color w:val="auto"/>
              </w:rPr>
            </w:pPr>
            <w:r>
              <w:rPr>
                <w:rFonts w:ascii="PMingLiU" w:cs="PMingLiU" w:eastAsia="PMingLiU" w:hAnsi="PMingLiU"/>
                <w:sz w:val="3"/>
                <w:szCs w:val="3"/>
                <w:color w:val="464046"/>
              </w:rPr>
              <w:t>1HW,QFRPH/RVV</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00"/>
        </w:trPr>
        <w:tc>
          <w:tcPr>
            <w:tcW w:w="168" w:type="dxa"/>
            <w:vAlign w:val="bottom"/>
            <w:textDirection w:val="tbRl"/>
          </w:tcPr>
          <w:p>
            <w:pPr>
              <w:spacing w:after="0"/>
              <w:rPr>
                <w:sz w:val="20"/>
                <w:szCs w:val="20"/>
                <w:color w:val="auto"/>
              </w:rPr>
            </w:pPr>
            <w:r>
              <w:rPr>
                <w:rFonts w:ascii="PMingLiU" w:cs="PMingLiU" w:eastAsia="PMingLiU" w:hAnsi="PMingLiU"/>
                <w:sz w:val="14"/>
                <w:szCs w:val="14"/>
                <w:color w:val="464046"/>
              </w:rPr>
              <w:t>LQPLOOLRQV</w:t>
            </w:r>
          </w:p>
        </w:tc>
      </w:tr>
    </w:tbl>
    <w:p>
      <w:pPr>
        <w:spacing w:after="0" w:line="2751" w:lineRule="exact"/>
        <w:rPr>
          <w:sz w:val="20"/>
          <w:szCs w:val="20"/>
          <w:color w:val="auto"/>
        </w:rPr>
      </w:pPr>
    </w:p>
    <w:p>
      <w:pPr>
        <w:sectPr>
          <w:pgSz w:w="11880" w:h="15479" w:orient="portrait"/>
          <w:cols w:equalWidth="0" w:num="3">
            <w:col w:w="7700" w:space="720"/>
            <w:col w:w="360" w:space="178"/>
            <w:col w:w="1102"/>
          </w:cols>
          <w:pgMar w:left="900" w:top="377" w:right="919" w:bottom="0" w:gutter="0" w:footer="0" w:header="0"/>
          <w:type w:val="continuous"/>
        </w:sectPr>
      </w:pPr>
    </w:p>
    <w:p>
      <w:pPr>
        <w:spacing w:after="0" w:line="34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377" w:right="919" w:bottom="0" w:gutter="0" w:footer="0" w:header="0"/>
          <w:type w:val="continuous"/>
        </w:sectPr>
      </w:pPr>
    </w:p>
    <w:bookmarkStart w:id="105" w:name="page106"/>
    <w:bookmarkEnd w:id="105"/>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90675" cy="41910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0675" cy="419100"/>
                        </a:xfrm>
                        <a:prstGeom prst="rect">
                          <a:avLst/>
                        </a:prstGeom>
                        <a:solidFill>
                          <a:srgbClr val="5C004D"/>
                        </a:solidFill>
                      </wps:spPr>
                      <wps:bodyPr/>
                    </wps:wsp>
                  </a:graphicData>
                </a:graphic>
              </wp:anchor>
            </w:drawing>
          </mc:Choice>
          <mc:Fallback>
            <w:pict>
              <v:rect id="Shape 551" o:spid="_x0000_s1576" style="position:absolute;margin-left:44.85pt;margin-top:0.1pt;width:125.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(;(&amp;87,9(&amp;203(16$7,21</w:t>
      </w:r>
    </w:p>
    <w:p>
      <w:pPr>
        <w:spacing w:after="0" w:line="200" w:lineRule="exact"/>
        <w:rPr>
          <w:sz w:val="20"/>
          <w:szCs w:val="20"/>
          <w:color w:val="auto"/>
        </w:rPr>
      </w:pPr>
    </w:p>
    <w:p>
      <w:pPr>
        <w:spacing w:after="0" w:line="263"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5C004D"/>
        </w:rPr>
        <w:t>&amp;</w:t>
      </w:r>
      <w:r>
        <w:rPr>
          <w:rFonts w:ascii="PMingLiU" w:cs="PMingLiU" w:eastAsia="PMingLiU" w:hAnsi="PMingLiU"/>
          <w:sz w:val="17"/>
          <w:szCs w:val="17"/>
          <w:b w:val="1"/>
          <w:bCs w:val="1"/>
          <w:color w:val="5C004D"/>
        </w:rPr>
        <w:t>RPSHQVDWLRQ$FWXDOO\3DLGYHUVXV7RWDO5HYHQXHV</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vMerge w:val="restart"/>
            <w:textDirection w:val="btLr"/>
          </w:tcPr>
          <w:p>
            <w:pPr>
              <w:ind w:left="84"/>
              <w:spacing w:after="0"/>
              <w:rPr>
                <w:sz w:val="20"/>
                <w:szCs w:val="20"/>
                <w:color w:val="auto"/>
              </w:rPr>
            </w:pPr>
            <w:r>
              <w:rPr>
                <w:rFonts w:ascii="PMingLiU" w:cs="PMingLiU" w:eastAsia="PMingLiU" w:hAnsi="PMingLiU"/>
                <w:sz w:val="8"/>
                <w:szCs w:val="8"/>
                <w:color w:val="464046"/>
                <w:w w:val="72"/>
              </w:rPr>
              <w:t>&amp;RPSHQVDWLRQ$FWXDOO\3DLG</w:t>
            </w:r>
          </w:p>
        </w:tc>
        <w:tc>
          <w:tcPr>
            <w:tcW w:w="240" w:type="dxa"/>
            <w:vAlign w:val="bottom"/>
            <w:vMerge w:val="restart"/>
            <w:textDirection w:val="btLr"/>
          </w:tcPr>
          <w:p>
            <w:pPr>
              <w:ind w:left="24"/>
              <w:spacing w:after="0"/>
              <w:rPr>
                <w:sz w:val="20"/>
                <w:szCs w:val="20"/>
                <w:color w:val="auto"/>
              </w:rPr>
            </w:pPr>
            <w:r>
              <w:rPr>
                <w:rFonts w:ascii="PMingLiU" w:cs="PMingLiU" w:eastAsia="PMingLiU" w:hAnsi="PMingLiU"/>
                <w:sz w:val="18"/>
                <w:szCs w:val="18"/>
                <w:color w:val="464046"/>
                <w:w w:val="78"/>
              </w:rPr>
              <w:t>LQPLOOLRQV</w:t>
            </w: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15"/>
        </w:trPr>
        <w:tc>
          <w:tcPr>
            <w:tcW w:w="1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50"/>
        </w:trPr>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80"/>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r>
        <w:trPr>
          <w:trHeight w:val="465"/>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6"/>
                <w:szCs w:val="16"/>
                <w:color w:val="464046"/>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-2162175</wp:posOffset>
            </wp:positionV>
            <wp:extent cx="4124325" cy="20955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81">
                      <a:extLst>
                        <a:ext uri="{28A0092B-C50C-407E-A947-70E740481C1C}"/>
                      </a:extLst>
                    </a:blip>
                    <a:srcRect/>
                    <a:stretch>
                      <a:fillRect/>
                    </a:stretch>
                  </pic:blipFill>
                  <pic:spPr bwMode="auto">
                    <a:xfrm>
                      <a:off x="0" y="0"/>
                      <a:ext cx="4124325" cy="2095500"/>
                    </a:xfrm>
                    <a:prstGeom prst="rect">
                      <a:avLst/>
                    </a:prstGeom>
                    <a:noFill/>
                  </pic:spPr>
                </pic:pic>
              </a:graphicData>
            </a:graphic>
          </wp:anchor>
        </w:drawing>
      </w:r>
    </w:p>
    <w:p>
      <w:pPr>
        <w:jc w:val="both"/>
        <w:ind w:left="2120"/>
        <w:spacing w:after="0"/>
        <w:tabs>
          <w:tab w:leader="none" w:pos="3400" w:val="left"/>
          <w:tab w:leader="none" w:pos="4700" w:val="left"/>
          <w:tab w:leader="none" w:pos="6000" w:val="left"/>
          <w:tab w:leader="none" w:pos="7300" w:val="left"/>
        </w:tabs>
        <w:rPr>
          <w:sz w:val="20"/>
          <w:szCs w:val="20"/>
          <w:color w:val="auto"/>
        </w:rPr>
      </w:pP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r>
        <w:rPr>
          <w:sz w:val="20"/>
          <w:szCs w:val="20"/>
          <w:color w:val="auto"/>
        </w:rPr>
        <w:tab/>
      </w:r>
      <w:r>
        <w:rPr>
          <w:rFonts w:ascii="PMingLiU" w:cs="PMingLiU" w:eastAsia="PMingLiU" w:hAnsi="PMingLiU"/>
          <w:sz w:val="16"/>
          <w:szCs w:val="16"/>
          <w:color w:val="464046"/>
        </w:rPr>
        <w:t/>
      </w:r>
    </w:p>
    <w:p>
      <w:pPr>
        <w:spacing w:after="0" w:line="167"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382">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&amp;RPSHQVDWLRQ$FWXDOO\3DLGWRIRUPHU3(2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$YHUDJH&amp;RPSHQVDWLRQ$FWXDOO\3DLGWR1RQ3(21(2V</w:t>
      </w:r>
    </w:p>
    <w:p>
      <w:pPr>
        <w:spacing w:after="0" w:line="33" w:lineRule="exact"/>
        <w:rPr>
          <w:sz w:val="20"/>
          <w:szCs w:val="20"/>
          <w:color w:val="auto"/>
        </w:rPr>
      </w:pPr>
    </w:p>
    <w:p>
      <w:pPr>
        <w:ind w:left="2920"/>
        <w:spacing w:after="0"/>
        <w:rPr>
          <w:sz w:val="20"/>
          <w:szCs w:val="20"/>
          <w:color w:val="auto"/>
        </w:rPr>
      </w:pPr>
      <w:r>
        <w:rPr>
          <w:sz w:val="1"/>
          <w:szCs w:val="1"/>
          <w:color w:val="auto"/>
        </w:rPr>
        <w:drawing>
          <wp:inline distT="0" distB="0" distL="0" distR="0">
            <wp:extent cx="104775" cy="10477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83">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r>
      <w:r>
        <w:rPr>
          <w:rFonts w:ascii="PMingLiU" w:cs="PMingLiU" w:eastAsia="PMingLiU" w:hAnsi="PMingLiU"/>
          <w:sz w:val="16"/>
          <w:szCs w:val="16"/>
          <w:color w:val="464046"/>
        </w:rPr>
        <w:t xml:space="preserve"> &amp;RPSHQVDWLRQ$FWXDOO\3DLGWR3(2</w:t>
      </w:r>
    </w:p>
    <w:p>
      <w:pPr>
        <w:spacing w:after="0" w:line="28" w:lineRule="exact"/>
        <w:rPr>
          <w:sz w:val="20"/>
          <w:szCs w:val="20"/>
          <w:color w:val="auto"/>
        </w:rPr>
      </w:pPr>
    </w:p>
    <w:p>
      <w:pPr>
        <w:ind w:left="3140"/>
        <w:spacing w:after="0"/>
        <w:rPr>
          <w:sz w:val="20"/>
          <w:szCs w:val="20"/>
          <w:color w:val="auto"/>
        </w:rPr>
      </w:pPr>
      <w:r>
        <w:rPr>
          <w:rFonts w:ascii="PMingLiU" w:cs="PMingLiU" w:eastAsia="PMingLiU" w:hAnsi="PMingLiU"/>
          <w:sz w:val="16"/>
          <w:szCs w:val="16"/>
          <w:color w:val="464046"/>
        </w:rPr>
        <w:t>7RWDO5HYHQXHV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1855470</wp:posOffset>
                </wp:positionH>
                <wp:positionV relativeFrom="paragraph">
                  <wp:posOffset>-45720</wp:posOffset>
                </wp:positionV>
                <wp:extent cx="104775"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 cy="4763"/>
                        </a:xfrm>
                        <a:prstGeom prst="line">
                          <a:avLst/>
                        </a:prstGeom>
                        <a:solidFill>
                          <a:srgbClr val="FFFFFF"/>
                        </a:solidFill>
                        <a:ln w="19050">
                          <a:solidFill>
                            <a:srgbClr val="D25F0C"/>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1pt,-3.5999pt" to="154.35pt,-3.5999pt" o:allowincell="f" strokecolor="#D25F0C" strokeweight="1.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34925</wp:posOffset>
                </wp:positionV>
                <wp:extent cx="94615" cy="0"/>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56" o:spid="_x0000_s15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2.75pt" to="-10.3499pt,2.75pt" o:allowincell="f" strokecolor="#EEEEEB" strokeweight="0.75pt"/>
            </w:pict>
          </mc:Fallback>
        </mc:AlternateConten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-59690</wp:posOffset>
                </wp:positionV>
                <wp:extent cx="94615" cy="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4.6999pt" to="-10.3499pt,-4.6999pt" o:allowincell="f" strokecolor="#EEEEEB" strokeweight="0.75pt"/>
            </w:pict>
          </mc:Fallback>
        </mc:AlternateConten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34925</wp:posOffset>
                </wp:positionV>
                <wp:extent cx="94615"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2.75pt" to="-10.3499pt,2.75pt" o:allowincell="f" strokecolor="#EEEEEB" strokeweight="0.75pt"/>
            </w:pict>
          </mc:Fallback>
        </mc:AlternateConten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-60325</wp:posOffset>
                </wp:positionV>
                <wp:extent cx="94615"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4.7499pt" to="-10.3499pt,-4.7499pt" o:allowincell="f" strokecolor="#EEEEEB" strokeweight="0.75pt"/>
            </w:pict>
          </mc:Fallback>
        </mc:AlternateContent>
      </w:r>
    </w:p>
    <w:p>
      <w:pPr>
        <w:spacing w:after="0" w:line="88"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43815</wp:posOffset>
                </wp:positionV>
                <wp:extent cx="94615"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3.45pt" to="-10.3499pt,3.45pt" o:allowincell="f" strokecolor="#EEEEEB" strokeweight="0.75pt"/>
            </w:pict>
          </mc:Fallback>
        </mc:AlternateConten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-226060</wp:posOffset>
                </wp:positionH>
                <wp:positionV relativeFrom="paragraph">
                  <wp:posOffset>-60325</wp:posOffset>
                </wp:positionV>
                <wp:extent cx="94615"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EEEEEB"/>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4.7499pt" to="-10.3499pt,-4.7499pt" o:allowincell="f" strokecolor="#EEEEEB" strokeweight="0.75pt"/>
            </w:pict>
          </mc:Fallback>
        </mc:AlternateContent>
        <mc:AlternateContent>
          <mc:Choice Requires="wps">
            <w:drawing>
              <wp:anchor simplePos="0" relativeHeight="251657728" behindDoc="1" locked="0" layoutInCell="0" allowOverlap="1">
                <wp:simplePos x="0" y="0"/>
                <wp:positionH relativeFrom="column">
                  <wp:posOffset>-226060</wp:posOffset>
                </wp:positionH>
                <wp:positionV relativeFrom="paragraph">
                  <wp:posOffset>-60325</wp:posOffset>
                </wp:positionV>
                <wp:extent cx="94615"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9525">
                          <a:solidFill>
                            <a:srgbClr val="C3BEB9"/>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99pt,-4.7499pt" to="-10.3499pt,-4.7499pt" o:allowincell="f" strokecolor="#C3BEB9" strokeweight="0.75pt"/>
            </w:pict>
          </mc:Fallback>
        </mc:AlternateConten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6"/>
          <w:szCs w:val="16"/>
          <w:color w:val="464046"/>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372" w:type="dxa"/>
        <w:tblCellMar>
          <w:top w:w="0" w:type="dxa"/>
          <w:left w:w="0" w:type="dxa"/>
          <w:bottom w:w="0" w:type="dxa"/>
          <w:right w:w="0" w:type="dxa"/>
        </w:tblCellMar>
      </w:tblPr>
      <w:tr>
        <w:trPr>
          <w:trHeight w:val="160"/>
        </w:trPr>
        <w:tc>
          <w:tcPr>
            <w:tcW w:w="12" w:type="dxa"/>
            <w:vAlign w:val="bottom"/>
            <w:textDirection w:val="tbRl"/>
          </w:tcPr>
          <w:p>
            <w:pPr>
              <w:spacing w:after="0"/>
              <w:rPr>
                <w:sz w:val="20"/>
                <w:szCs w:val="20"/>
                <w:color w:val="auto"/>
              </w:rPr>
            </w:pPr>
            <w:r>
              <w:rPr>
                <w:rFonts w:ascii="PMingLiU" w:cs="PMingLiU" w:eastAsia="PMingLiU" w:hAnsi="PMingLiU"/>
                <w:sz w:val="1"/>
                <w:szCs w:val="1"/>
                <w:color w:val="464046"/>
              </w:rPr>
              <w:t>7RWDO5HYHQXHV</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20"/>
        </w:trPr>
        <w:tc>
          <w:tcPr>
            <w:tcW w:w="168" w:type="dxa"/>
            <w:vAlign w:val="bottom"/>
            <w:textDirection w:val="tbRl"/>
          </w:tcPr>
          <w:p>
            <w:pPr>
              <w:spacing w:after="0"/>
              <w:rPr>
                <w:sz w:val="20"/>
                <w:szCs w:val="20"/>
                <w:color w:val="auto"/>
              </w:rPr>
            </w:pPr>
            <w:r>
              <w:rPr>
                <w:rFonts w:ascii="PMingLiU" w:cs="PMingLiU" w:eastAsia="PMingLiU" w:hAnsi="PMingLiU"/>
                <w:sz w:val="14"/>
                <w:szCs w:val="14"/>
                <w:color w:val="464046"/>
              </w:rPr>
              <w:t>LQPLOOLRQV</w:t>
            </w:r>
          </w:p>
        </w:tc>
      </w:tr>
    </w:tbl>
    <w:p>
      <w:pPr>
        <w:spacing w:after="0" w:line="2735" w:lineRule="exact"/>
        <w:rPr>
          <w:sz w:val="20"/>
          <w:szCs w:val="20"/>
          <w:color w:val="auto"/>
        </w:rPr>
      </w:pPr>
    </w:p>
    <w:p>
      <w:pPr>
        <w:sectPr>
          <w:pgSz w:w="11880" w:h="15479" w:orient="portrait"/>
          <w:cols w:equalWidth="0" w:num="3">
            <w:col w:w="7680" w:space="700"/>
            <w:col w:w="400" w:space="178"/>
            <w:col w:w="1202"/>
          </w:cols>
          <w:pgMar w:left="900" w:top="377" w:right="819" w:bottom="0" w:gutter="0" w:footer="0" w:header="0"/>
        </w:sectPr>
      </w:pPr>
    </w:p>
    <w:p>
      <w:pPr>
        <w:spacing w:after="0" w:line="320" w:lineRule="exact"/>
        <w:rPr>
          <w:sz w:val="20"/>
          <w:szCs w:val="20"/>
          <w:color w:val="auto"/>
        </w:rPr>
      </w:pPr>
    </w:p>
    <w:p>
      <w:pPr>
        <w:ind w:right="80"/>
        <w:spacing w:after="0" w:line="273" w:lineRule="auto"/>
        <w:rPr>
          <w:sz w:val="20"/>
          <w:szCs w:val="20"/>
          <w:color w:val="auto"/>
        </w:rPr>
      </w:pPr>
      <w:r>
        <w:rPr>
          <w:rFonts w:ascii="PMingLiU" w:cs="PMingLiU" w:eastAsia="PMingLiU" w:hAnsi="PMingLiU"/>
          <w:sz w:val="18"/>
          <w:szCs w:val="18"/>
          <w:i w:val="1"/>
          <w:iCs w:val="1"/>
          <w:color w:val="auto"/>
        </w:rPr>
        <w:t>2204-583(:054685&lt;0+,+()5&lt;,;4+,8:/,E:,3 &lt;!(?&amp;,89;9!,8-583(4*,F/,(+04.=02245:),+,,3,+:5), 04*58658(:,+)?8,-,8,4*,04:5(4?-0204.)?;9;4+,8:/,#,*;80:0,9*:58:/,&gt;*/(4.,*:=/,:/,83(+,),-58,58(-:,8:/, +(:,/,8,5-(4+088,96,*:0&lt;,5-(4?.,4,8(204*58658(:0542(4.;(.,04(4?9;*/-0204.,&gt;*,6::5:/,,&gt;:,4:=,96,*0-0*(22? 04*58658(:,9;*/04-583(:054)?8,-,8,4*,</w:t>
      </w:r>
    </w:p>
    <w:p>
      <w:pPr>
        <w:spacing w:after="0" w:line="175" w:lineRule="exact"/>
        <w:rPr>
          <w:sz w:val="20"/>
          <w:szCs w:val="20"/>
          <w:color w:val="auto"/>
        </w:rPr>
      </w:pPr>
    </w:p>
    <w:p>
      <w:pPr>
        <w:spacing w:after="0"/>
        <w:rPr>
          <w:sz w:val="20"/>
          <w:szCs w:val="20"/>
          <w:color w:val="auto"/>
        </w:rPr>
      </w:pPr>
      <w:r>
        <w:rPr>
          <w:rFonts w:ascii="PMingLiU" w:cs="PMingLiU" w:eastAsia="PMingLiU" w:hAnsi="PMingLiU"/>
          <w:sz w:val="32"/>
          <w:szCs w:val="32"/>
          <w:color w:val="5C004D"/>
        </w:rPr>
        <w:t>&amp;RPSHQVDWLRQ&amp;RQVXOWDQW)HHV</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8"/>
          <w:szCs w:val="18"/>
          <w:color w:val="auto"/>
        </w:rPr>
        <w:t>6LQFH$RQKDVEHHQHQJDJHGE\RXU&amp;RPSHQVDWLRQ&amp;RPPLWWHHHDFK\HDUWRSURYLGHSHHUFRPSDQ\DQGLQGXVWU\</w:t>
      </w:r>
    </w:p>
    <w:p>
      <w:pPr>
        <w:spacing w:after="0" w:line="24" w:lineRule="exact"/>
        <w:rPr>
          <w:sz w:val="20"/>
          <w:szCs w:val="20"/>
          <w:color w:val="auto"/>
        </w:rPr>
      </w:pPr>
    </w:p>
    <w:p>
      <w:pPr>
        <w:ind w:right="340"/>
        <w:spacing w:after="0" w:line="345" w:lineRule="auto"/>
        <w:rPr>
          <w:sz w:val="20"/>
          <w:szCs w:val="20"/>
          <w:color w:val="auto"/>
        </w:rPr>
      </w:pPr>
      <w:r>
        <w:rPr>
          <w:rFonts w:ascii="PMingLiU" w:cs="PMingLiU" w:eastAsia="PMingLiU" w:hAnsi="PMingLiU"/>
          <w:sz w:val="15"/>
          <w:szCs w:val="15"/>
          <w:color w:val="auto"/>
        </w:rPr>
        <w:t>FRPSHQVDWLRQGDWDDQGSURYLGHRXU&amp;RPSHQVDWLRQ&amp;RPPLWWHHZLWKDGYLFHUHJDUGLQJH[HFXWLYHRIILFHUV¶FRPSHQVDWLRQ LQFOXGLQJEDVHVDODULHVSHUIRUPDQFHEDVHGERQXVHVDQGORQJWHUPHTXLW\LQFHQWLYHVDGYLFHUHJDUGLQJGLUHFWRUV¶ FRPSHQVDWLRQDVZHOODVRWKHUPDWWHUVXQGHURXU&amp;RPSHQVDWLRQ&amp;RPPLWWHH¶VFKDUWHU,QWKHFRVWRI$RQ¶VFRQVXOWLQJ VHUYLFHVGLUHFWO\UHODWHGWRRXU&amp;RPSHQVDWLRQ&amp;RPPLWWHHVXSSRUWZDVDSSUR[LPDWHO\</w:t>
      </w:r>
    </w:p>
    <w:p>
      <w:pPr>
        <w:spacing w:after="0" w:line="103"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0DQDJHPHQWDOVRHQJDJHGZLWK$RQIRUYDULRXVLQVXUDQFHUHODWHGSURGXFWVDQGVHUYLFHVFRYHULQJGLUHFWRUDQGRIILFHUOLDELOLW\ LQVXUDQFHKHDOWKDQGEHQHILWVSHQVLRQUHODWHGVHUYLFHVRWKHULQVXUDQFHEURNHUDJHVHUYLFHVDQGULVNVHUYLFHVWRWKHEXVLQHVV 7KHDJJUHJDWH$RQUHYHQXHIURPWKHVHDGGLWLRQDOVHUYLFHVLQQRWUHODWHGWR$RQ¶VFRPSHQVDWLRQFRPPLWWHHFRQVXOWLQJ VHUYLFHVZDVDSSUR[LPDWHO\$OWKRXJKRXU&amp;RPSHQVDWLRQ&amp;RPPLWWHHZDVDZDUHRIWKHQDWXUHRIWKHVHUYLFHV SHUIRUPHGE\$RQDIILOLDWHVDQGWKHQRQH[HFXWLYHHPSOR\HHFRPSHQVDWLRQVXUYH\GDWDSURYLGHGE\$RQRXU&amp;RPSHQVDWLRQ</w:t>
      </w:r>
    </w:p>
    <w:p>
      <w:pPr>
        <w:spacing w:after="0" w:line="1" w:lineRule="exact"/>
        <w:rPr>
          <w:sz w:val="20"/>
          <w:szCs w:val="20"/>
          <w:color w:val="auto"/>
        </w:rPr>
      </w:pPr>
    </w:p>
    <w:p>
      <w:pPr>
        <w:ind w:right="160"/>
        <w:spacing w:after="0" w:line="398" w:lineRule="auto"/>
        <w:rPr>
          <w:sz w:val="20"/>
          <w:szCs w:val="20"/>
          <w:color w:val="auto"/>
        </w:rPr>
      </w:pPr>
      <w:r>
        <w:rPr>
          <w:rFonts w:ascii="PMingLiU" w:cs="PMingLiU" w:eastAsia="PMingLiU" w:hAnsi="PMingLiU"/>
          <w:sz w:val="15"/>
          <w:szCs w:val="15"/>
          <w:color w:val="auto"/>
        </w:rPr>
        <w:t>&amp;RPPLWWHHGLGQRWUHYLHZDQGDSSURYHVXFKVHUYLFHVVXUYH\VDQGLQVXUDQFHSUHPLXPVDQGSROLFLHVDVWKRVHZHUHUHYLHZHG DQGDSSURYHGE\PDQDJHPHQWLQWKHRUGLQDU\FRXUVHRIEXVLQHVV</w:t>
      </w:r>
    </w:p>
    <w:p>
      <w:pPr>
        <w:spacing w:after="0" w:line="62" w:lineRule="exact"/>
        <w:rPr>
          <w:sz w:val="20"/>
          <w:szCs w:val="20"/>
          <w:color w:val="auto"/>
        </w:rPr>
      </w:pPr>
    </w:p>
    <w:p>
      <w:pPr>
        <w:ind w:right="140"/>
        <w:spacing w:after="0" w:line="342" w:lineRule="auto"/>
        <w:rPr>
          <w:sz w:val="20"/>
          <w:szCs w:val="20"/>
          <w:color w:val="auto"/>
        </w:rPr>
      </w:pPr>
      <w:r>
        <w:rPr>
          <w:rFonts w:ascii="PMingLiU" w:cs="PMingLiU" w:eastAsia="PMingLiU" w:hAnsi="PMingLiU"/>
          <w:sz w:val="14"/>
          <w:szCs w:val="14"/>
          <w:color w:val="auto"/>
        </w:rPr>
        <w:t>$RQPDLQWDLQVFHUWDLQSROLFLHVDQGSUDFWLFHVWRSURWHFWWKHLQGHSHQGHQFHRIWKHH[HFXWLYHFRPSHQVDWLRQFRQVXOWDQWVHQJDJHG E\RXU&amp;RPSHQVDWLRQ&amp;RPPLWWHH,QSDUWLFXODU$RQSURYLGHVDQDQQXDOXSGDWHWRRXU&amp;RPSHQVDWLRQ&amp;RPPLWWHHRQWKH ILQDQFLDOUHODWLRQVKLSEHWZHHQ$RQDQGRXU&amp;RPSDQ\DQGSURYLGHVZULWWHQDVVXUDQFHVWKDWZLWKLQ$RQWKH$RQFRQVXOWDQWV ZKRSHUIRUPH[HFXWLYHFRPSHQVDWLRQVHUYLFHVIRURXU&amp;RPSHQVDWLRQ&amp;RPPLWWHHKDYHFRPSHQVDWLRQGHWHUPLQHGVHSDUDWHO\ IURP$RQ¶VRWKHUOLQHVRIEXVLQHVVDQGIURPWKHRWKHUVHUYLFHVLWSURYLGHVWRRXU&amp;RPSDQ\7KHVHVDIHJXDUGVZHUHGHVLJQHG</w:t>
      </w:r>
    </w:p>
    <w:p>
      <w:pPr>
        <w:spacing w:after="0" w:line="1" w:lineRule="exact"/>
        <w:rPr>
          <w:sz w:val="20"/>
          <w:szCs w:val="20"/>
          <w:color w:val="auto"/>
        </w:rPr>
      </w:pPr>
    </w:p>
    <w:p>
      <w:pPr>
        <w:ind w:right="740"/>
        <w:spacing w:after="0" w:line="496" w:lineRule="auto"/>
        <w:rPr>
          <w:sz w:val="20"/>
          <w:szCs w:val="20"/>
          <w:color w:val="auto"/>
        </w:rPr>
      </w:pPr>
      <w:r>
        <w:rPr>
          <w:rFonts w:ascii="PMingLiU" w:cs="PMingLiU" w:eastAsia="PMingLiU" w:hAnsi="PMingLiU"/>
          <w:sz w:val="13"/>
          <w:szCs w:val="13"/>
          <w:color w:val="auto"/>
        </w:rPr>
        <w:t>WRKHOSHQVXUHWKDWRXU&amp;RPSHQVDWLRQ&amp;RPPLWWHH¶VH[HFXWLYHFRPSHQVDWLRQFRQVXOWDQWVFRQWLQXHGWRIXOILOOWKHLUUROHLQ SURYLGLQJLQGHSHQGHQWREMHFWLYHDGYLFH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823595</wp:posOffset>
            </wp:positionV>
            <wp:extent cx="1389380" cy="2343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384">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ectPr>
          <w:pgSz w:w="11880" w:h="15479" w:orient="portrait"/>
          <w:cols w:equalWidth="0" w:num="1">
            <w:col w:w="10160"/>
          </w:cols>
          <w:pgMar w:left="900" w:top="377" w:right="8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60"/>
          </w:cols>
          <w:pgMar w:left="900" w:top="377" w:right="819" w:bottom="0" w:gutter="0" w:footer="0" w:header="0"/>
          <w:type w:val="continuous"/>
        </w:sectPr>
      </w:pPr>
    </w:p>
    <w:bookmarkStart w:id="106" w:name="page107"/>
    <w:bookmarkEnd w:id="106"/>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1203960"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385">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180"/>
        <w:spacing w:after="0" w:line="356" w:lineRule="auto"/>
        <w:rPr>
          <w:sz w:val="20"/>
          <w:szCs w:val="20"/>
          <w:color w:val="auto"/>
        </w:rPr>
      </w:pPr>
      <w:r>
        <w:rPr>
          <w:rFonts w:ascii="PMingLiU" w:cs="PMingLiU" w:eastAsia="PMingLiU" w:hAnsi="PMingLiU"/>
          <w:sz w:val="52"/>
          <w:szCs w:val="52"/>
          <w:b w:val="1"/>
          <w:bCs w:val="1"/>
          <w:color w:val="000046"/>
        </w:rPr>
        <w:t>%RDUG$XWKRULW\WR$OORWDQG,VVXH 2UGLQDU\6KDUHV</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32"/>
          <w:szCs w:val="32"/>
          <w:color w:val="5C004D"/>
        </w:rPr>
        <w:t>5HQHZDO5HTXHVW</w:t>
      </w:r>
    </w:p>
    <w:p>
      <w:pPr>
        <w:spacing w:after="0" w:line="219" w:lineRule="exact"/>
        <w:rPr>
          <w:sz w:val="20"/>
          <w:szCs w:val="20"/>
          <w:color w:val="auto"/>
        </w:rPr>
      </w:pPr>
    </w:p>
    <w:p>
      <w:pPr>
        <w:ind w:right="4100"/>
        <w:spacing w:after="0" w:line="334" w:lineRule="auto"/>
        <w:rPr>
          <w:sz w:val="20"/>
          <w:szCs w:val="20"/>
          <w:color w:val="auto"/>
        </w:rPr>
      </w:pPr>
      <w:r>
        <w:rPr>
          <w:rFonts w:ascii="PMingLiU" w:cs="PMingLiU" w:eastAsia="PMingLiU" w:hAnsi="PMingLiU"/>
          <w:sz w:val="14"/>
          <w:szCs w:val="14"/>
          <w:color w:val="auto"/>
        </w:rPr>
        <w:t>:HDUHDVNLQJIRU\RXUDSSURYDOWRUHQHZRXU%RDUG¶VDXWKRULW\WRDOORWDQG LVVXHRUGLQDU\VKDUHVXSWRDPD[LPXPRIRXUFXUUHQWO\DXWKRUL]HGEXW XQLVVXHGVKDUHFDSLWDOZKLFKZHFDOOWKHVKDUHDOORWPHQWDQGLVVXDQFH DXWKRULW\2XU%RDUGXQDQLPRXVO\UHFRPPHQGVYRWLQJIRU3URSRVDOIRU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-561340</wp:posOffset>
            </wp:positionV>
            <wp:extent cx="2019300" cy="14001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386">
                      <a:extLst>
                        <a:ext uri="{28A0092B-C50C-407E-A947-70E740481C1C}"/>
                      </a:extLst>
                    </a:blip>
                    <a:srcRect/>
                    <a:stretch>
                      <a:fillRect/>
                    </a:stretch>
                  </pic:blipFill>
                  <pic:spPr bwMode="auto">
                    <a:xfrm>
                      <a:off x="0" y="0"/>
                      <a:ext cx="2019300" cy="1400175"/>
                    </a:xfrm>
                    <a:prstGeom prst="rect">
                      <a:avLst/>
                    </a:prstGeom>
                    <a:noFill/>
                  </pic:spPr>
                </pic:pic>
              </a:graphicData>
            </a:graphic>
          </wp:anchor>
        </w:drawing>
      </w:r>
    </w:p>
    <w:p>
      <w:pPr>
        <w:spacing w:after="0"/>
        <w:tabs>
          <w:tab w:leader="none" w:pos="7160" w:val="left"/>
        </w:tabs>
        <w:rPr>
          <w:sz w:val="20"/>
          <w:szCs w:val="20"/>
          <w:color w:val="auto"/>
        </w:rPr>
      </w:pPr>
      <w:r>
        <w:rPr>
          <w:rFonts w:ascii="PMingLiU" w:cs="PMingLiU" w:eastAsia="PMingLiU" w:hAnsi="PMingLiU"/>
          <w:sz w:val="18"/>
          <w:szCs w:val="18"/>
          <w:color w:val="auto"/>
        </w:rPr>
        <w:t>WKHUHDVRQVVHWRXWEHORZLQFOXGLQJWKHIROORZLQJ</w:t>
      </w:r>
      <w:r>
        <w:rPr>
          <w:sz w:val="20"/>
          <w:szCs w:val="20"/>
          <w:color w:val="auto"/>
        </w:rPr>
        <w:tab/>
      </w:r>
      <w:r>
        <w:rPr>
          <w:rFonts w:ascii="PMingLiU" w:cs="PMingLiU" w:eastAsia="PMingLiU" w:hAnsi="PMingLiU"/>
          <w:sz w:val="20"/>
          <w:szCs w:val="20"/>
          <w:b w:val="1"/>
          <w:bCs w:val="1"/>
          <w:color w:val="2D2C36"/>
        </w:rPr>
        <w:t>285%2$5'</w:t>
      </w:r>
    </w:p>
    <w:p>
      <w:pPr>
        <w:ind w:left="7180"/>
        <w:spacing w:after="0" w:line="218" w:lineRule="auto"/>
        <w:rPr>
          <w:sz w:val="20"/>
          <w:szCs w:val="20"/>
          <w:color w:val="auto"/>
        </w:rPr>
      </w:pPr>
      <w:r>
        <w:rPr>
          <w:rFonts w:ascii="PMingLiU" w:cs="PMingLiU" w:eastAsia="PMingLiU" w:hAnsi="PMingLiU"/>
          <w:sz w:val="20"/>
          <w:szCs w:val="20"/>
          <w:b w:val="1"/>
          <w:bCs w:val="1"/>
          <w:color w:val="2D2C36"/>
        </w:rPr>
        <w:t>5(&amp;200(1'6$927(</w:t>
      </w:r>
    </w:p>
    <w:p>
      <w:pPr>
        <w:ind w:left="80"/>
        <w:spacing w:after="0" w:line="181" w:lineRule="auto"/>
        <w:tabs>
          <w:tab w:leader="none" w:pos="34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2XUFXUUHQWVKDUHDOORWPHQWDQGLVVXDQFHDXWKRULW\ZKLFKZDV</w:t>
      </w:r>
    </w:p>
    <w:p>
      <w:pPr>
        <w:ind w:left="360" w:right="280"/>
        <w:spacing w:after="0"/>
        <w:rPr>
          <w:sz w:val="20"/>
          <w:szCs w:val="20"/>
          <w:color w:val="auto"/>
        </w:rPr>
      </w:pPr>
      <w:r>
        <w:rPr>
          <w:rFonts w:ascii="PMingLiU" w:cs="PMingLiU" w:eastAsia="PMingLiU" w:hAnsi="PMingLiU"/>
          <w:sz w:val="18"/>
          <w:szCs w:val="18"/>
          <w:color w:val="auto"/>
        </w:rPr>
        <w:t xml:space="preserve">ODVWDSSURYHGE\RXUVKDUHKROGHUVDWRXU$*0ZLOOH[SLUH </w:t>
      </w:r>
      <w:r>
        <w:rPr>
          <w:rFonts w:ascii="PMingLiU" w:cs="PMingLiU" w:eastAsia="PMingLiU" w:hAnsi="PMingLiU"/>
          <w:sz w:val="40"/>
          <w:szCs w:val="40"/>
          <w:b w:val="1"/>
          <w:bCs w:val="1"/>
          <w:color w:val="5C004D"/>
          <w:vertAlign w:val="superscript"/>
        </w:rPr>
        <w:t>³)25´</w:t>
      </w:r>
      <w:r>
        <w:rPr>
          <w:rFonts w:ascii="PMingLiU" w:cs="PMingLiU" w:eastAsia="PMingLiU" w:hAnsi="PMingLiU"/>
          <w:sz w:val="40"/>
          <w:szCs w:val="40"/>
          <w:b w:val="1"/>
          <w:bCs w:val="1"/>
          <w:color w:val="2D2C36"/>
          <w:vertAlign w:val="superscript"/>
        </w:rPr>
        <w:t>352326$/</w:t>
      </w:r>
      <w:r>
        <w:rPr>
          <w:rFonts w:ascii="PMingLiU" w:cs="PMingLiU" w:eastAsia="PMingLiU" w:hAnsi="PMingLiU"/>
          <w:sz w:val="18"/>
          <w:szCs w:val="18"/>
          <w:color w:val="auto"/>
        </w:rPr>
        <w:t xml:space="preserve"> RQ-XO\XQOHVVUHQHZHGE\RXUVKDUHKROGHUVDWWKH </w:t>
      </w:r>
      <w:r>
        <w:rPr>
          <w:sz w:val="1"/>
          <w:szCs w:val="1"/>
          <w:color w:val="auto"/>
        </w:rPr>
        <w:drawing>
          <wp:inline distT="0" distB="0" distL="0" distR="0">
            <wp:extent cx="1660525" cy="3810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87">
                      <a:extLst>
                        <a:ext uri="{28A0092B-C50C-407E-A947-70E740481C1C}"/>
                      </a:extLst>
                    </a:blip>
                    <a:srcRect/>
                    <a:stretch>
                      <a:fillRect/>
                    </a:stretch>
                  </pic:blipFill>
                  <pic:spPr bwMode="auto">
                    <a:xfrm>
                      <a:off x="0" y="0"/>
                      <a:ext cx="1660525" cy="38100"/>
                    </a:xfrm>
                    <a:prstGeom prst="rect">
                      <a:avLst/>
                    </a:prstGeom>
                    <a:noFill/>
                    <a:ln>
                      <a:noFill/>
                    </a:ln>
                  </pic:spPr>
                </pic:pic>
              </a:graphicData>
            </a:graphic>
          </wp:inline>
        </w:drawing>
      </w:r>
      <w:r>
        <w:rPr>
          <w:rFonts w:ascii="PMingLiU" w:cs="PMingLiU" w:eastAsia="PMingLiU" w:hAnsi="PMingLiU"/>
          <w:sz w:val="18"/>
          <w:szCs w:val="18"/>
          <w:color w:val="auto"/>
        </w:rPr>
        <w:t xml:space="preserve"> $*0</w:t>
      </w:r>
    </w:p>
    <w:p>
      <w:pPr>
        <w:spacing w:after="0" w:line="232"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7KHUHQHZDOE\RXUVKDUHKROGHUVRIRXUVKDUHDOORWPHQWDQGLVVXDQFHDXWKRULW\LVYLWDOWRRXUVWUDWHJ\IRUJURZWKZKLFKLV</w:t>
      </w:r>
    </w:p>
    <w:p>
      <w:pPr>
        <w:spacing w:after="0" w:line="79" w:lineRule="exact"/>
        <w:rPr>
          <w:sz w:val="20"/>
          <w:szCs w:val="20"/>
          <w:color w:val="auto"/>
        </w:rPr>
      </w:pPr>
    </w:p>
    <w:p>
      <w:pPr>
        <w:ind w:left="360"/>
        <w:spacing w:after="0"/>
        <w:rPr>
          <w:sz w:val="20"/>
          <w:szCs w:val="20"/>
          <w:color w:val="auto"/>
        </w:rPr>
      </w:pPr>
      <w:r>
        <w:rPr>
          <w:rFonts w:ascii="PMingLiU" w:cs="PMingLiU" w:eastAsia="PMingLiU" w:hAnsi="PMingLiU"/>
          <w:sz w:val="15"/>
          <w:szCs w:val="15"/>
          <w:color w:val="auto"/>
        </w:rPr>
        <w:t>URRWHGLQSDUWRQHIIHFWLYHO\GHSOR\LQJFDSLWDOWRVWUHQJWKHQWKHSURVSHFWVRIDFKLHYLQJRXUVKRUWDQGORQJWHUPJRDOV</w:t>
      </w:r>
    </w:p>
    <w:p>
      <w:pPr>
        <w:spacing w:after="0" w:line="5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WKURXJKVWUDWHJLFFRUSRUDWHGHYHORSPHQW2XUPDQDJHPHQWDQG%RDUGUHO\RQKDYLQJWKHIOH[LELOLW\WKDWWKHUHQHZDORIWKLV</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DXWKRULW\ZRXOGSURYLGHE\HQDEOLQJXVWRFRQWLQXHWRDOORWDQGLVVXHVKDUHVLQFRQQHFWLRQZLWKVWUDWHJLFRSSRUWXQLWLHV</w:t>
      </w:r>
    </w:p>
    <w:p>
      <w:pPr>
        <w:spacing w:after="0" w:line="72" w:lineRule="exact"/>
        <w:rPr>
          <w:sz w:val="20"/>
          <w:szCs w:val="20"/>
          <w:color w:val="auto"/>
        </w:rPr>
      </w:pPr>
    </w:p>
    <w:p>
      <w:pPr>
        <w:ind w:left="360"/>
        <w:spacing w:after="0"/>
        <w:rPr>
          <w:sz w:val="20"/>
          <w:szCs w:val="20"/>
          <w:color w:val="auto"/>
        </w:rPr>
      </w:pPr>
      <w:r>
        <w:rPr>
          <w:rFonts w:ascii="PMingLiU" w:cs="PMingLiU" w:eastAsia="PMingLiU" w:hAnsi="PMingLiU"/>
          <w:sz w:val="13"/>
          <w:szCs w:val="13"/>
          <w:color w:val="auto"/>
        </w:rPr>
        <w:t>LQFOXGLQJSRWHQWLDODFTXLVLWLRQVDQGRWKHUFDSLWDOLQWHQVLYHWUDQVDFWLRQVWKDWZHEHOLHYHZRXOGLQFUHDVHVKDUHKROGHUYDOXH</w:t>
      </w:r>
    </w:p>
    <w:p>
      <w:pPr>
        <w:spacing w:after="0" w:line="204" w:lineRule="exact"/>
        <w:rPr>
          <w:sz w:val="20"/>
          <w:szCs w:val="20"/>
          <w:color w:val="auto"/>
        </w:rPr>
      </w:pPr>
    </w:p>
    <w:p>
      <w:pPr>
        <w:ind w:left="360" w:right="180" w:hanging="279"/>
        <w:spacing w:after="0" w:line="34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6KDUHKROGHUDSSURYDORIWKLV3URSRVDOZRXOGQRWPHDQWKDWZHZRXOGKDYHQROLPLWVRQIXWXUHVKDUHLVVXDQFHV7RWKH FRQWUDU\WKHJRYHUQDQFHDQGVKDUHLVVXDQFHUHTXLUHPHQWVDQGUHVWULFWLRQVWRZKLFKDOO86LQFRUSRUDWHG1DVGDTOLVWHG FRPSDQLHVDUHVXEMHFWZLOOFRQWLQXHWRDSSO\WRXVLQDOOUHVSHFWVDQGZHZLOOUHPDLQVXEMHFWWRWKHSUHHPSWLRQULJKW UHVWULFWLRQVWKDWDSSO\WRXVXQGHU,ULVKODZLQUHODWLRQWRLVVXDQFHVRIVKDUHVIRUFDVKXQOLNHRXU86EDVHGSHHU</w:t>
      </w:r>
    </w:p>
    <w:p>
      <w:pPr>
        <w:spacing w:after="0" w:line="1"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FRPSDQLHVZKRDUHJHQHUDOO\QRWVXEMHFWWRVLPLODUSUHHPSWLRQULJKWUHVWULFWLRQV</w:t>
      </w:r>
    </w:p>
    <w:p>
      <w:pPr>
        <w:spacing w:after="0" w:line="144" w:lineRule="exact"/>
        <w:rPr>
          <w:sz w:val="20"/>
          <w:szCs w:val="20"/>
          <w:color w:val="auto"/>
        </w:rPr>
      </w:pPr>
    </w:p>
    <w:p>
      <w:pPr>
        <w:ind w:left="360" w:right="160" w:hanging="279"/>
        <w:spacing w:after="0" w:line="342" w:lineRule="auto"/>
        <w:tabs>
          <w:tab w:leader="none" w:pos="34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:KLOHJUDQWLQJWRDFRPSDQ\¶VERDUGRIGLUHFWRUVJHQHUDODXWKRULW\WRDOORWDQGLVVXHVKDUHVLVDURXWLQHPDWWHUIRUSXEOLF FRPSDQLHVLQFRUSRUDWHGLQ,UHODQGRXUSHHUFRPSDQLHVWKDWDUHLQFRUSRUDWHGDQGOLVWHGLQWKH86DUHQRWVXEMHFWWR VLPLODUVKDUHDOORWPHQWUHVWULFWLRQV,IWKLV3URSRVDOLVQRWDSSURYHGDQGDVDUHVXOWRXUFXUUHQWVKDUHDOORWPHQWDQG LVVXDQFHDXWKRULW\H[SLUHVZHZLOOJHQHUDOO\QRWEHDEOHWRDOORWDQGLVVXHDQ\VKDUHVRWKHUWKDQWRHPSOR\HHVSXUVXDQW</w:t>
      </w:r>
    </w:p>
    <w:p>
      <w:pPr>
        <w:spacing w:after="0" w:line="1" w:lineRule="exact"/>
        <w:rPr>
          <w:sz w:val="20"/>
          <w:szCs w:val="20"/>
          <w:color w:val="auto"/>
        </w:rPr>
      </w:pPr>
    </w:p>
    <w:p>
      <w:pPr>
        <w:ind w:left="360" w:right="40"/>
        <w:spacing w:after="0" w:line="376" w:lineRule="auto"/>
        <w:rPr>
          <w:sz w:val="20"/>
          <w:szCs w:val="20"/>
          <w:color w:val="auto"/>
        </w:rPr>
      </w:pPr>
      <w:r>
        <w:rPr>
          <w:rFonts w:ascii="PMingLiU" w:cs="PMingLiU" w:eastAsia="PMingLiU" w:hAnsi="PMingLiU"/>
          <w:sz w:val="14"/>
          <w:szCs w:val="14"/>
          <w:color w:val="auto"/>
        </w:rPr>
        <w:t>WRRXUHPSOR\HHHTXLW\SODQVRUSXUVXDQWWRSUHH[LVWLQJFRQWUDFWXDOREOLJDWLRQVZLWKRXWILUVWVHHNLQJDQGREWDLQLQJ VKDUHKROGHUDSSURYDOIRUHDFKVXFKLVVXDQFHZKLFKFRXOGSXWXVDWDGLVWLQFWGLVDGYDQWDJHYLVjYLVPDQ\RIRXU86 EDVHGSHHUFRPSDQLHVLQFRPSHWLQJIRUDFTXLVLWLRQVDQGVLPLODUWUDQVDFWLRQVDQGPLJKWPDNHLWGLIILFXOWIRUXVWRFRPSOHWH VXFKWUDQVDFWLRQVLQDWLPHO\PDQQHURUDWDOOWKXVSRWHQWLDOO\OLPLWLQJRXUDELOLW\WRIXUWKHURXUVWUDWHJ\IRUJURZWK</w:t>
      </w:r>
    </w:p>
    <w:p>
      <w:pPr>
        <w:spacing w:after="0" w:line="25" w:lineRule="exact"/>
        <w:rPr>
          <w:sz w:val="20"/>
          <w:szCs w:val="20"/>
          <w:color w:val="auto"/>
        </w:rPr>
      </w:pPr>
    </w:p>
    <w:p>
      <w:pPr>
        <w:ind w:left="360" w:right="480" w:hanging="279"/>
        <w:spacing w:after="0" w:line="299" w:lineRule="auto"/>
        <w:tabs>
          <w:tab w:leader="none" w:pos="34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$SSURYDORI3URSRVDOZRXOGH[WHQGEXWZRXOGQRWLQDQ\ZD\H[SDQGWKHFXUUHQWVKDUHDOORWPHQWDQGLVVXDQFH DXWKRULW\ZKLFKLVEHLQJVRXJKWRQWKHVDPHWHUPVDVZDVDSSURYHGE\RXUVKDUHKROGHUVDWWKH$*0DQGWKHQ DJDLQDWWKH$*06LQFHWKH$]XU0HUJHULQZHKDYHGHPRQVWUDWHGWKDWZHDUHFRPPLWWHGWRGLVFLSOLQHG</w:t>
      </w:r>
    </w:p>
    <w:p>
      <w:pPr>
        <w:spacing w:after="0" w:line="1" w:lineRule="exact"/>
        <w:rPr>
          <w:sz w:val="20"/>
          <w:szCs w:val="20"/>
          <w:color w:val="auto"/>
        </w:rPr>
      </w:pPr>
    </w:p>
    <w:p>
      <w:pPr>
        <w:ind w:left="360" w:right="740"/>
        <w:spacing w:after="0" w:line="496" w:lineRule="auto"/>
        <w:rPr>
          <w:sz w:val="20"/>
          <w:szCs w:val="20"/>
          <w:color w:val="auto"/>
        </w:rPr>
      </w:pPr>
      <w:r>
        <w:rPr>
          <w:rFonts w:ascii="PMingLiU" w:cs="PMingLiU" w:eastAsia="PMingLiU" w:hAnsi="PMingLiU"/>
          <w:sz w:val="13"/>
          <w:szCs w:val="13"/>
          <w:color w:val="auto"/>
        </w:rPr>
        <w:t>FDSLWDOVWHZDUGVKLSDQGWKHUHVSRQVLEOHH[HUFLVHRIWKHVKDUHDOORWPHQWDQGLVVXDQFHDXWKRULW\HQWUXVWHGWRXVE\ VKDUHKROGHUV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1196975</wp:posOffset>
            </wp:positionV>
            <wp:extent cx="1386840" cy="23368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38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80"/>
          </w:cols>
          <w:pgMar w:left="900" w:top="1015" w:right="899" w:bottom="0" w:gutter="0" w:footer="0" w:header="0"/>
        </w:sectPr>
      </w:pPr>
    </w:p>
    <w:bookmarkStart w:id="107" w:name="page108"/>
    <w:bookmarkEnd w:id="107"/>
    <w:p>
      <w:pPr>
        <w:ind w:left="12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568" o:spid="_x0000_s1593"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:K\:H$UH6XEPLWWLQJ3URSRVDOIRU6KDUHKROGHU$SSURYDO</w:t>
      </w:r>
    </w:p>
    <w:p>
      <w:pPr>
        <w:spacing w:after="0" w:line="219" w:lineRule="exact"/>
        <w:rPr>
          <w:sz w:val="20"/>
          <w:szCs w:val="20"/>
          <w:color w:val="auto"/>
        </w:rPr>
      </w:pPr>
    </w:p>
    <w:p>
      <w:pPr>
        <w:jc w:val="both"/>
        <w:ind w:right="260"/>
        <w:spacing w:after="0" w:line="390" w:lineRule="auto"/>
        <w:rPr>
          <w:sz w:val="20"/>
          <w:szCs w:val="20"/>
          <w:color w:val="auto"/>
        </w:rPr>
      </w:pPr>
      <w:r>
        <w:rPr>
          <w:rFonts w:ascii="PMingLiU" w:cs="PMingLiU" w:eastAsia="PMingLiU" w:hAnsi="PMingLiU"/>
          <w:sz w:val="14"/>
          <w:szCs w:val="14"/>
          <w:color w:val="auto"/>
        </w:rPr>
        <w:t>:HDUHOLVWHGLQWKH86DQGLQFRUSRUDWHGLQ,UHODQG$VDUHVXOWRIWKH$]XU0HUJHUZHUHGRPLFLOHGLQ,UHODQG$VDSXEOLF OLPLWHGFRPSDQ\LQFRUSRUDWHGLQ,UHODQGZHIROORZWKHFRUSRUDWHOHJDOUHTXLUHPHQWVRI,UHODQG2XU%RDUGLVDQGZLOOUHPDLQ VXEMHFWWRILGXFLDU\GXWLHVWRRXU&amp;RPSDQ\DQGRXUVKDUHKROGHUVXQGHU,ULVKODZLQFOXGLQJLQUHVSHFWRIVKDUHLVVXDQFHV</w:t>
      </w:r>
    </w:p>
    <w:p>
      <w:pPr>
        <w:spacing w:after="0" w:line="132" w:lineRule="exact"/>
        <w:rPr>
          <w:sz w:val="20"/>
          <w:szCs w:val="20"/>
          <w:color w:val="auto"/>
        </w:rPr>
      </w:pPr>
    </w:p>
    <w:p>
      <w:pPr>
        <w:spacing w:after="0" w:line="365" w:lineRule="auto"/>
        <w:rPr>
          <w:sz w:val="20"/>
          <w:szCs w:val="20"/>
          <w:color w:val="auto"/>
        </w:rPr>
      </w:pPr>
      <w:r>
        <w:rPr>
          <w:rFonts w:ascii="PMingLiU" w:cs="PMingLiU" w:eastAsia="PMingLiU" w:hAnsi="PMingLiU"/>
          <w:sz w:val="14"/>
          <w:szCs w:val="14"/>
          <w:color w:val="auto"/>
        </w:rPr>
        <w:t>$VDPDWWHURI,ULVKODZGLUHFWRUVRIDQ,ULVKSXEOLFOLPLWHGFRPSDQ\PXVWKDYHVSHFLILFDXWKRULW\IURPVKDUHKROGHUVWRDOORWDQG LVVXHDQ\RIWKHFRPSDQ\VRUGLQDU\VKDUHVRWKHUWKDQSXUVXDQWWRHPSOR\HHHTXLW\SODQV$VDPDWWHURI,ULVKODZWKLV DSSURYDOLVUHTXLUHGRQO\RQFHHYHU\ILYH\HDUVDQGWKHUHLVQROLPLWXQGHU,ULVKODZRQWKHDPRXQWRIVKDUHVWKDWWKLVDSSURYDO PD\FRYHUDSDUWIURPWKHFRPSDQ\VWKHQDXWKRUL]HGEXWXQLVVXHGVKDUHFDSLWDO&amp;RPSDQLHVLQFRUSRUDWHGLQWKH86DUHQRW VXEMHFWWRVLPLODUVKDUHDOORWPHQWDQGLVVXDQFHUHVWULFWLRQV</w:t>
      </w:r>
    </w:p>
    <w:p>
      <w:pPr>
        <w:spacing w:after="0" w:line="149" w:lineRule="exact"/>
        <w:rPr>
          <w:sz w:val="20"/>
          <w:szCs w:val="20"/>
          <w:color w:val="auto"/>
        </w:rPr>
      </w:pPr>
    </w:p>
    <w:p>
      <w:pPr>
        <w:ind w:right="100"/>
        <w:spacing w:after="0" w:line="341" w:lineRule="auto"/>
        <w:rPr>
          <w:sz w:val="20"/>
          <w:szCs w:val="20"/>
          <w:color w:val="auto"/>
        </w:rPr>
      </w:pPr>
      <w:r>
        <w:rPr>
          <w:rFonts w:ascii="PMingLiU" w:cs="PMingLiU" w:eastAsia="PMingLiU" w:hAnsi="PMingLiU"/>
          <w:sz w:val="14"/>
          <w:szCs w:val="14"/>
          <w:color w:val="auto"/>
        </w:rPr>
        <w:t>:KLOHJUDQWLQJWRDFRPSDQ\¶VERDUGRIGLUHFWRUVJHQHUDODXWKRULW\WRDOORWDQGLVVXHVKDUHVLVDURXWLQHPDWWHUIRUSXEOLF FRPSDQLHVLQFRUSRUDWHGLQ,UHODQGRXURUGLQDU\VKDUHVDUHOLVWHG</w:t>
      </w:r>
      <w:r>
        <w:rPr>
          <w:rFonts w:ascii="Arial" w:cs="Arial" w:eastAsia="Arial" w:hAnsi="Arial"/>
          <w:sz w:val="14"/>
          <w:szCs w:val="14"/>
          <w:i w:val="1"/>
          <w:iCs w:val="1"/>
          <w:color w:val="auto"/>
        </w:rPr>
        <w:t>,&gt;*2;90&lt;,2?</w:t>
      </w:r>
      <w:r>
        <w:rPr>
          <w:rFonts w:ascii="PMingLiU" w:cs="PMingLiU" w:eastAsia="PMingLiU" w:hAnsi="PMingLiU"/>
          <w:sz w:val="14"/>
          <w:szCs w:val="14"/>
          <w:color w:val="auto"/>
        </w:rPr>
        <w:t>RQWKH1DVGDT*OREDO6HOHFW0DUNHW%HFDXVH RXURUGLQDU\VKDUHVDUHOLVWHGH[FOXVLYHO\LQWKH86DQGWKH86FDSLWDOPDUNHWVDUHWKHVROHFDSLWDOPDUNHWVIRURXURUGLQDU\ VKDUHVZHIROORZWKHUXOHVDQGUHJXODWLRQVRIWKH6(&amp;DQGWKH1DVGDTUXOHVDQGOLVWLQJVWDQGDUGV:HDUHDQGZLOOFRQWLQXH</w:t>
      </w:r>
    </w:p>
    <w:p>
      <w:pPr>
        <w:spacing w:after="0" w:line="1" w:lineRule="exact"/>
        <w:rPr>
          <w:sz w:val="20"/>
          <w:szCs w:val="20"/>
          <w:color w:val="auto"/>
        </w:rPr>
      </w:pPr>
    </w:p>
    <w:p>
      <w:pPr>
        <w:ind w:right="240"/>
        <w:spacing w:after="0" w:line="443" w:lineRule="auto"/>
        <w:rPr>
          <w:sz w:val="20"/>
          <w:szCs w:val="20"/>
          <w:color w:val="auto"/>
        </w:rPr>
      </w:pPr>
      <w:r>
        <w:rPr>
          <w:rFonts w:ascii="PMingLiU" w:cs="PMingLiU" w:eastAsia="PMingLiU" w:hAnsi="PMingLiU"/>
          <w:sz w:val="14"/>
          <w:szCs w:val="14"/>
          <w:color w:val="auto"/>
        </w:rPr>
        <w:t>WREHVXEMHFWWRWKHVDPHJRYHUQDQFHDQGVKDUHLVVXDQFHUHTXLUHPHQWVDQGUHVWULFWLRQVDVDOO86LQFRUSRUDWHGFRPSDQLHV OLVWHGRQ1DVGDT</w:t>
      </w:r>
    </w:p>
    <w:p>
      <w:pPr>
        <w:spacing w:after="0" w:line="39" w:lineRule="exact"/>
        <w:rPr>
          <w:sz w:val="20"/>
          <w:szCs w:val="20"/>
          <w:color w:val="auto"/>
        </w:rPr>
      </w:pPr>
    </w:p>
    <w:p>
      <w:pPr>
        <w:ind w:right="200"/>
        <w:spacing w:after="0" w:line="345" w:lineRule="auto"/>
        <w:rPr>
          <w:sz w:val="20"/>
          <w:szCs w:val="20"/>
          <w:color w:val="auto"/>
        </w:rPr>
      </w:pPr>
      <w:r>
        <w:rPr>
          <w:rFonts w:ascii="PMingLiU" w:cs="PMingLiU" w:eastAsia="PMingLiU" w:hAnsi="PMingLiU"/>
          <w:sz w:val="15"/>
          <w:szCs w:val="15"/>
          <w:color w:val="auto"/>
        </w:rPr>
        <w:t>7KHFXUUHQWVKDUHDOORWPHQWDQGLVVXDQFHDXWKRULW\WKHUHQHZDORIZKLFKZDVODVWDSSURYHGE\RXUVKDUHKROGHUVDWRXU $*0ZLOOH[SLUHRQ-XO\XQOHVVUHQHZHGE\RXUVKDUHKROGHUVDWWKH$*0,I3URSRVDOLVQRWDSSURYHGZH ZLOOQRWEHDEOHWRLVVXHDQ\VKDUHVDIWHU-XO\LQFOXGLQJSXUVXDQWWRDQ\SUHHPSWLRQDXWKRULW\DSSURYHGE\RXU VKDUHKROGHUV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:K\2XU6KDUHKROGHUV6KRXOG$SSURYHWKLV3URSRVDO</w:t>
      </w:r>
    </w:p>
    <w:p>
      <w:pPr>
        <w:spacing w:after="0" w:line="248"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)XUWKHULQJRXU6WUDWHJ\IRU*URZWK</w:t>
      </w:r>
    </w:p>
    <w:p>
      <w:pPr>
        <w:spacing w:after="0" w:line="154" w:lineRule="exact"/>
        <w:rPr>
          <w:sz w:val="20"/>
          <w:szCs w:val="20"/>
          <w:color w:val="auto"/>
        </w:rPr>
      </w:pPr>
    </w:p>
    <w:p>
      <w:pPr>
        <w:ind w:right="20"/>
        <w:spacing w:after="0" w:line="367" w:lineRule="auto"/>
        <w:rPr>
          <w:sz w:val="20"/>
          <w:szCs w:val="20"/>
          <w:color w:val="auto"/>
        </w:rPr>
      </w:pPr>
      <w:r>
        <w:rPr>
          <w:rFonts w:ascii="PMingLiU" w:cs="PMingLiU" w:eastAsia="PMingLiU" w:hAnsi="PMingLiU"/>
          <w:sz w:val="14"/>
          <w:szCs w:val="14"/>
          <w:color w:val="auto"/>
        </w:rPr>
        <w:t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w:t>
      </w:r>
    </w:p>
    <w:p>
      <w:pPr>
        <w:spacing w:after="0" w:line="93" w:lineRule="exact"/>
        <w:rPr>
          <w:sz w:val="20"/>
          <w:szCs w:val="20"/>
          <w:color w:val="auto"/>
        </w:rPr>
      </w:pPr>
    </w:p>
    <w:p>
      <w:pPr>
        <w:ind w:right="80"/>
        <w:spacing w:after="0" w:line="342" w:lineRule="auto"/>
        <w:rPr>
          <w:sz w:val="20"/>
          <w:szCs w:val="20"/>
          <w:color w:val="auto"/>
        </w:rPr>
      </w:pPr>
      <w:r>
        <w:rPr>
          <w:rFonts w:ascii="PMingLiU" w:cs="PMingLiU" w:eastAsia="PMingLiU" w:hAnsi="PMingLiU"/>
          <w:sz w:val="14"/>
          <w:szCs w:val="14"/>
          <w:color w:val="auto"/>
        </w:rPr>
        <w:t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w:t>
      </w:r>
    </w:p>
    <w:p>
      <w:pPr>
        <w:spacing w:after="0" w:line="1" w:lineRule="exact"/>
        <w:rPr>
          <w:sz w:val="20"/>
          <w:szCs w:val="20"/>
          <w:color w:val="auto"/>
        </w:rPr>
      </w:pPr>
    </w:p>
    <w:p>
      <w:pPr>
        <w:ind w:right="320"/>
        <w:spacing w:after="0" w:line="342" w:lineRule="auto"/>
        <w:rPr>
          <w:sz w:val="20"/>
          <w:szCs w:val="20"/>
          <w:color w:val="auto"/>
        </w:rPr>
      </w:pPr>
      <w:r>
        <w:rPr>
          <w:rFonts w:ascii="PMingLiU" w:cs="PMingLiU" w:eastAsia="PMingLiU" w:hAnsi="PMingLiU"/>
          <w:sz w:val="14"/>
          <w:szCs w:val="14"/>
          <w:color w:val="auto"/>
        </w:rPr>
        <w:t>SODQVRUSXUVXDQWWRSUHH[LVWLQJFRQWUDFWXDOREOLJDWLRQVZLWKRXWILUVWVHHNLQJDQGREWDLQLQJVKDUHKROGHUDSSURYDOIRUHDFK VXFKLVVXDQFH$FFRUGLQJO\LIWKLV3URSRVDOLVQRWDSSURYHGZHZRXOGEHUHTXLUHGWRREWDLQVKDUHKROGHUDSSURYDOSULRUWR LVVXLQJDQ\VKDUHVLQFRQQHFWLRQZLWKQHZVWUDWHJLFRSSRUWXQLWLHVDIWHU-XO\HYHQLIZHZRXOGQRWRWKHUZLVHEH UHTXLUHGWRREWDLQVKDUHKROGHUDSSURYDOIRUVXFKLVVXDQFHVXQGHUDSSOLFDEOH1DVGDTUXOHVZKLFKFRXOGSXWXVDWDGLVWLQFW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GLVDGYDQWDJHYLVjYLVPDQ\RIRXU86EDVHGSHHUFRPSDQLHVLQFRPSHWLQJIRUDFTXLVLWLRQVDQGVLPLODUWUDQVDFWLRQVDQG</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4"/>
          <w:szCs w:val="14"/>
          <w:color w:val="auto"/>
        </w:rPr>
        <w:t>PLJKWPDNHLWGLIILFXOWIRUXVWRFRPSOHWHVXFKWUDQVDFWLRQVLQDWLPHO\PDQQHURUDWDOOWKXVSRWHQWLDOO\OLPLWLQJRXUDELOLW\WR</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8"/>
          <w:szCs w:val="18"/>
          <w:color w:val="auto"/>
        </w:rPr>
        <w:t>IXUWKHURXUVWUDWHJ\IRUJURZWK</w:t>
      </w:r>
    </w:p>
    <w:p>
      <w:pPr>
        <w:spacing w:after="0" w:line="204" w:lineRule="exact"/>
        <w:rPr>
          <w:sz w:val="20"/>
          <w:szCs w:val="20"/>
          <w:color w:val="auto"/>
        </w:rPr>
      </w:pPr>
    </w:p>
    <w:p>
      <w:pPr>
        <w:ind w:right="140"/>
        <w:spacing w:after="0" w:line="342" w:lineRule="auto"/>
        <w:rPr>
          <w:sz w:val="20"/>
          <w:szCs w:val="20"/>
          <w:color w:val="auto"/>
        </w:rPr>
      </w:pPr>
      <w:r>
        <w:rPr>
          <w:rFonts w:ascii="PMingLiU" w:cs="PMingLiU" w:eastAsia="PMingLiU" w:hAnsi="PMingLiU"/>
          <w:sz w:val="14"/>
          <w:szCs w:val="14"/>
          <w:color w:val="auto"/>
        </w:rPr>
        <w:t>$OWKRXJKZHZRXOGVWLOOKDYHWKHDELOLW\WRVHHNVKDUHKROGHUDSSURYDOLQFRQQHFWLRQZLWKDVSHFLILFLVVXDQFHRIVKDUHVLIWKLV 3URSRVDOLVQRWDSSURYHGZHGRQRWEHOLHYHWKDWRXUDELOLW\WRFRQYHQHDQH[WUDRUGLQDU\JHQHUDOPHHWLQJRIVKDUHKROGHUVWR</w:t>
      </w:r>
    </w:p>
    <w:p>
      <w:pPr>
        <w:ind w:right="60"/>
        <w:spacing w:after="0" w:line="362" w:lineRule="auto"/>
        <w:rPr>
          <w:sz w:val="20"/>
          <w:szCs w:val="20"/>
          <w:color w:val="auto"/>
        </w:rPr>
      </w:pPr>
      <w:r>
        <w:rPr>
          <w:rFonts w:ascii="PMingLiU" w:cs="PMingLiU" w:eastAsia="PMingLiU" w:hAnsi="PMingLiU"/>
          <w:sz w:val="14"/>
          <w:szCs w:val="14"/>
          <w:color w:val="auto"/>
        </w:rPr>
        <w:t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204470</wp:posOffset>
            </wp:positionV>
            <wp:extent cx="1386840" cy="23368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38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300"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377" w:right="859" w:bottom="0" w:gutter="0" w:footer="0" w:header="0"/>
        </w:sectPr>
      </w:pPr>
    </w:p>
    <w:bookmarkStart w:id="108" w:name="page109"/>
    <w:bookmarkEnd w:id="108"/>
    <w:p>
      <w:pPr>
        <w:ind w:left="894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6170295</wp:posOffset>
                </wp:positionH>
                <wp:positionV relativeFrom="page">
                  <wp:posOffset>1270</wp:posOffset>
                </wp:positionV>
                <wp:extent cx="800100" cy="41910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570" o:spid="_x0000_s1595" style="position:absolute;margin-left:485.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:H:LOO5HPDLQ6XEMHFWWR$OO1DVGDT5HTXLUHPHQWV6(&amp;5XOHVDQG,ULVK/DZ</w:t>
      </w:r>
    </w:p>
    <w:p>
      <w:pPr>
        <w:spacing w:after="0" w:line="154" w:lineRule="exact"/>
        <w:rPr>
          <w:sz w:val="20"/>
          <w:szCs w:val="20"/>
          <w:color w:val="auto"/>
        </w:rPr>
      </w:pPr>
    </w:p>
    <w:p>
      <w:pPr>
        <w:spacing w:after="0" w:line="359" w:lineRule="auto"/>
        <w:rPr>
          <w:sz w:val="20"/>
          <w:szCs w:val="20"/>
          <w:color w:val="auto"/>
        </w:rPr>
      </w:pPr>
      <w:r>
        <w:rPr>
          <w:rFonts w:ascii="PMingLiU" w:cs="PMingLiU" w:eastAsia="PMingLiU" w:hAnsi="PMingLiU"/>
          <w:sz w:val="14"/>
          <w:szCs w:val="14"/>
          <w:color w:val="auto"/>
        </w:rPr>
        <w:t>:HZLOOUHPDLQVXEMHFWWRDOO1DVGDTUHTXLUHPHQWV6(&amp;UXOHVDQG,ULVKODZ,QWKLVUHJDUGVKDUHKROGHUDSSURYDORI3URSRVDO ZLOOQRWLQDQ\ZD\LPSDFWRXUH[LVWLQJREOLJDWLRQVXQGHU6(&amp;UXOHVDQGUHJXODWLRQVDQGWKH1DVGDTUXOHVDQGOLVWLQJVWDQGDUGV /LNHZLVHRXU%RDUGLVDQGZLOOUHPDLQVXEMHFWWRILGXFLDU\GXWLHVWRRXU&amp;RPSDQ\DQGRXUVKDUHKROGHUVXQGHU,ULVKODZ LQFOXGLQJLQUHVSHFWRIVKDUHLVVXDQFHV0RUHRYHUZHZLOOUHPDLQVXEMHFWWRWKHSUHHPSWLRQULJKWUHVWULFWLRQVWKDWDSSO\WRXV XQGHU,ULVKODZLQUHODWLRQWRLVVXDQFHVRIVKDUHVIRUFDVKXQOLNHRXU86EDVHGSHHUFRPSDQLHVZKRDUHJHQHUDOO\QRW VXEMHFWWRVLPLODUSUHHPSWLRQULJKWUHVWULFWLRQV</w:t>
      </w:r>
    </w:p>
    <w:p>
      <w:pPr>
        <w:spacing w:after="0" w:line="135" w:lineRule="exact"/>
        <w:rPr>
          <w:sz w:val="20"/>
          <w:szCs w:val="20"/>
          <w:color w:val="auto"/>
        </w:rPr>
      </w:pPr>
    </w:p>
    <w:p>
      <w:pPr>
        <w:ind w:right="40"/>
        <w:spacing w:after="0" w:line="354" w:lineRule="auto"/>
        <w:rPr>
          <w:sz w:val="20"/>
          <w:szCs w:val="20"/>
          <w:color w:val="auto"/>
        </w:rPr>
      </w:pPr>
      <w:r>
        <w:rPr>
          <w:rFonts w:ascii="PMingLiU" w:cs="PMingLiU" w:eastAsia="PMingLiU" w:hAnsi="PMingLiU"/>
          <w:sz w:val="14"/>
          <w:szCs w:val="14"/>
          <w:color w:val="auto"/>
        </w:rPr>
        <w:t>7REHFOHDUVKDUHKROGHUDSSURYDORI3URSRVDOZRXOGQRWPHDQWKDWZHZRXOGKDYHQROLPLWVRQIXWXUHVKDUHLVVXDQFHV7R WKHFRQWUDU\ZHDUHFRQVLGHUHGWREHD86GRPHVWLFUHSRUWLQJFRPSDQ\XQGHU6(&amp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amp;RPSDQ\DQGWKHSURWHFWLRQVDIIRUGHGWRVKDUHKROGHUVXQGHUWKH,ULVKWDNHRYHUUXOHV</w:t>
      </w:r>
    </w:p>
    <w:p>
      <w:pPr>
        <w:spacing w:after="0" w:line="155" w:lineRule="exact"/>
        <w:rPr>
          <w:sz w:val="20"/>
          <w:szCs w:val="20"/>
          <w:color w:val="auto"/>
        </w:rPr>
      </w:pPr>
    </w:p>
    <w:p>
      <w:pPr>
        <w:spacing w:after="0"/>
        <w:rPr>
          <w:sz w:val="20"/>
          <w:szCs w:val="20"/>
          <w:color w:val="auto"/>
        </w:rPr>
      </w:pPr>
      <w:r>
        <w:rPr>
          <w:rFonts w:ascii="PMingLiU" w:cs="PMingLiU" w:eastAsia="PMingLiU" w:hAnsi="PMingLiU"/>
          <w:sz w:val="22"/>
          <w:szCs w:val="22"/>
          <w:b w:val="1"/>
          <w:bCs w:val="1"/>
          <w:color w:val="000046"/>
        </w:rPr>
        <w:t>2XU'LVFLSOLQHG8VHRI(TXLW\</w:t>
      </w:r>
    </w:p>
    <w:p>
      <w:pPr>
        <w:spacing w:after="0" w:line="191"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2XUWUDFNUHFRUGGHPRQVWUDWHVGLVFLSOLQHGXVHRIHTXLW\'XULQJRXUPRUHWKDQ\HDUVDVDQ,ULVKLQFRUSRUDWHGFRPSDQ\RXU VKDUHKROGHUVKDYHHQWUXVWHGXVWREHGLVFLSOLQHGVWHZDUGVRIRXUVKDUHDOORWPHQWDQGLVVXDQFHDXWKRULW\,QWXUQRXUDFWLRQV GXULQJWKDWWLPHGHPRQVWUDWHRXUGHOLEHUDWHO\GLVFLSOLQHGXVHRIHTXLW\LQIXUWKHUDQFHRIRXUJURZWKVWUDWHJ\:HKDYHEHHQ</w:t>
      </w:r>
    </w:p>
    <w:p>
      <w:pPr>
        <w:ind w:right="60"/>
        <w:spacing w:after="0" w:line="342" w:lineRule="auto"/>
        <w:rPr>
          <w:sz w:val="20"/>
          <w:szCs w:val="20"/>
          <w:color w:val="auto"/>
        </w:rPr>
      </w:pPr>
      <w:r>
        <w:rPr>
          <w:rFonts w:ascii="PMingLiU" w:cs="PMingLiU" w:eastAsia="PMingLiU" w:hAnsi="PMingLiU"/>
          <w:sz w:val="14"/>
          <w:szCs w:val="14"/>
          <w:color w:val="auto"/>
        </w:rPr>
        <w:t>HQJDJHGLQWDUJHWHGFRUSRUDWHGHYHORSPHQWDSSO\LQJDGLVFLSOLQHGDSSURDFKWRDOORFDWLQJRXUUHVRXUFHVEHWZHHQLQYHVWPHQWV LQRXUFXUUHQWFRPPHUFLDODQGGHYHORSPHQWSRUWIROLRDQGWKHDFTXLVLWLRQRULQOLFHQVLQJRIQHZDVVHWV6LQFHWKH$]XU0HUJHU</w:t>
      </w:r>
    </w:p>
    <w:p>
      <w:pPr>
        <w:spacing w:after="0" w:line="356" w:lineRule="auto"/>
        <w:rPr>
          <w:sz w:val="20"/>
          <w:szCs w:val="20"/>
          <w:color w:val="auto"/>
        </w:rPr>
      </w:pPr>
      <w:r>
        <w:rPr>
          <w:rFonts w:ascii="PMingLiU" w:cs="PMingLiU" w:eastAsia="PMingLiU" w:hAnsi="PMingLiU"/>
          <w:sz w:val="14"/>
          <w:szCs w:val="14"/>
          <w:color w:val="auto"/>
        </w:rPr>
        <w:t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5LVNVLI3URSRVDOLVQRW$SSURYHG</w:t>
      </w:r>
    </w:p>
    <w:p>
      <w:pPr>
        <w:spacing w:after="0" w:line="219" w:lineRule="exact"/>
        <w:rPr>
          <w:sz w:val="20"/>
          <w:szCs w:val="20"/>
          <w:color w:val="auto"/>
        </w:rPr>
      </w:pPr>
    </w:p>
    <w:p>
      <w:pPr>
        <w:ind w:right="100"/>
        <w:spacing w:after="0" w:line="362" w:lineRule="auto"/>
        <w:rPr>
          <w:sz w:val="20"/>
          <w:szCs w:val="20"/>
          <w:color w:val="auto"/>
        </w:rPr>
      </w:pPr>
      <w:r>
        <w:rPr>
          <w:rFonts w:ascii="PMingLiU" w:cs="PMingLiU" w:eastAsia="PMingLiU" w:hAnsi="PMingLiU"/>
          <w:sz w:val="14"/>
          <w:szCs w:val="14"/>
          <w:color w:val="auto"/>
        </w:rPr>
        <w:t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jYLVPDQ\RIRXU86EDVHGSHHUFRPSDQLHV</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32"/>
          <w:szCs w:val="32"/>
          <w:color w:val="5C004D"/>
        </w:rPr>
        <w:t>(IIHFWRQ$XWKRUL]HG6KDUH&amp;DSLWDO</w:t>
      </w:r>
    </w:p>
    <w:p>
      <w:pPr>
        <w:spacing w:after="0" w:line="219" w:lineRule="exact"/>
        <w:rPr>
          <w:sz w:val="20"/>
          <w:szCs w:val="20"/>
          <w:color w:val="auto"/>
        </w:rPr>
      </w:pPr>
    </w:p>
    <w:p>
      <w:pPr>
        <w:ind w:right="40"/>
        <w:spacing w:after="0" w:line="362" w:lineRule="auto"/>
        <w:rPr>
          <w:sz w:val="20"/>
          <w:szCs w:val="20"/>
          <w:color w:val="auto"/>
        </w:rPr>
      </w:pPr>
      <w:r>
        <w:rPr>
          <w:rFonts w:ascii="PMingLiU" w:cs="PMingLiU" w:eastAsia="PMingLiU" w:hAnsi="PMingLiU"/>
          <w:sz w:val="14"/>
          <w:szCs w:val="14"/>
          <w:color w:val="auto"/>
        </w:rPr>
        <w:t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756285</wp:posOffset>
            </wp:positionV>
            <wp:extent cx="1386840" cy="23368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90">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520"/>
        <w:spacing w:after="0"/>
        <w:tabs>
          <w:tab w:leader="none" w:pos="97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377" w:right="859" w:bottom="0" w:gutter="0" w:footer="0" w:header="0"/>
        </w:sectPr>
      </w:pPr>
    </w:p>
    <w:bookmarkStart w:id="109" w:name="page110"/>
    <w:bookmarkEnd w:id="109"/>
    <w:p>
      <w:pPr>
        <w:ind w:left="12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572" o:spid="_x0000_s1597"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6XPPDU\</w:t>
      </w:r>
    </w:p>
    <w:p>
      <w:pPr>
        <w:spacing w:after="0" w:line="219" w:lineRule="exact"/>
        <w:rPr>
          <w:sz w:val="20"/>
          <w:szCs w:val="20"/>
          <w:color w:val="auto"/>
        </w:rPr>
      </w:pPr>
    </w:p>
    <w:p>
      <w:pPr>
        <w:ind w:right="180"/>
        <w:spacing w:after="0" w:line="376" w:lineRule="auto"/>
        <w:rPr>
          <w:sz w:val="20"/>
          <w:szCs w:val="20"/>
          <w:color w:val="auto"/>
        </w:rPr>
      </w:pPr>
      <w:r>
        <w:rPr>
          <w:rFonts w:ascii="PMingLiU" w:cs="PMingLiU" w:eastAsia="PMingLiU" w:hAnsi="PMingLiU"/>
          <w:sz w:val="14"/>
          <w:szCs w:val="14"/>
          <w:color w:val="auto"/>
        </w:rPr>
        <w:t>3URSRVDOLIDSSURYHGZLOOPDLQWDLQWKHVWDWXVTXRDOORZLQJRXU%RDUGFRQWLQXHGIOH[LELOLW\WRDOORWDQGLVVXHVKDUHVWKDWDUH DOUHDG\ZLWKLQRXUDXWKRUL]HGVKDUHFDSLWDOVXEMHFWWRWKHVKDUHKROGHUDSSURYDODQGRWKHUUHTXLUHPHQWVRI1DVGDTDQGWKH 6(&amp;DVZHOODVWKHSUHHPSWLRQULJKWVWKDWDSSO\WRXVXQGHU,ULVKODZLQUHODWLRQWRVKDUHLVVXDQFHVIRUFDVK7KHUHQHZDORI WKHVKDUHDOORWPHQWDQGLVVXDQFHDXWKRULW\DVSURSRVHG</w:t>
      </w:r>
    </w:p>
    <w:p>
      <w:pPr>
        <w:spacing w:after="0" w:line="85"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3"/>
          <w:szCs w:val="13"/>
          <w:b w:val="1"/>
          <w:bCs w:val="1"/>
          <w:color w:val="000046"/>
        </w:rPr>
        <w:t></w:t>
      </w:r>
      <w:r>
        <w:rPr>
          <w:sz w:val="20"/>
          <w:szCs w:val="20"/>
          <w:color w:val="auto"/>
        </w:rPr>
        <w:tab/>
      </w:r>
      <w:r>
        <w:rPr>
          <w:rFonts w:ascii="PMingLiU" w:cs="PMingLiU" w:eastAsia="PMingLiU" w:hAnsi="PMingLiU"/>
          <w:sz w:val="13"/>
          <w:szCs w:val="13"/>
          <w:color w:val="auto"/>
        </w:rPr>
        <w:t>ZLOOHQDEOHXVWRFRQWLQXHWRDOORWDQGLVVXHVKDUHVLQFRQQHFWLRQZLWKVWUDWHJLFRSSRUWXQLWLHVLQIXUWKHUDQFHRIRXUVWUDWHJ\</w:t>
      </w:r>
    </w:p>
    <w:p>
      <w:pPr>
        <w:spacing w:after="0" w:line="91" w:lineRule="exact"/>
        <w:rPr>
          <w:sz w:val="20"/>
          <w:szCs w:val="20"/>
          <w:color w:val="auto"/>
        </w:rPr>
      </w:pPr>
    </w:p>
    <w:p>
      <w:pPr>
        <w:ind w:left="360"/>
        <w:spacing w:after="0"/>
        <w:rPr>
          <w:sz w:val="20"/>
          <w:szCs w:val="20"/>
          <w:color w:val="auto"/>
        </w:rPr>
      </w:pPr>
      <w:r>
        <w:rPr>
          <w:rFonts w:ascii="PMingLiU" w:cs="PMingLiU" w:eastAsia="PMingLiU" w:hAnsi="PMingLiU"/>
          <w:sz w:val="14"/>
          <w:szCs w:val="14"/>
          <w:color w:val="auto"/>
        </w:rPr>
        <w:t>IRUJURZWKLQFOXGLQJSRWHQWLDODFTXLVLWLRQVDQGRWKHUFDSLWDOLQWHQVLYHWUDQVDFWLRQVWKDWZHEHOLHYHZRXOGLQFUHDVH</w:t>
      </w:r>
    </w:p>
    <w:p>
      <w:pPr>
        <w:spacing w:after="0" w:line="64"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VKDUHKROGHUYDOXH</w:t>
      </w:r>
    </w:p>
    <w:p>
      <w:pPr>
        <w:spacing w:after="0" w:line="144" w:lineRule="exact"/>
        <w:rPr>
          <w:sz w:val="20"/>
          <w:szCs w:val="20"/>
          <w:color w:val="auto"/>
        </w:rPr>
      </w:pPr>
    </w:p>
    <w:p>
      <w:pPr>
        <w:ind w:left="80"/>
        <w:spacing w:after="0"/>
        <w:tabs>
          <w:tab w:leader="none" w:pos="34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ZLOOQRWH[HPSWXVIURPDQ\1DVGDTFRUSRUDWHJRYHUQDQFHRURWKHUUHTXLUHPHQWVLQFOXGLQJWKRVHUHTXLULQJVKDUHKROGHU</w:t>
      </w:r>
    </w:p>
    <w:p>
      <w:pPr>
        <w:spacing w:after="0" w:line="67" w:lineRule="exact"/>
        <w:rPr>
          <w:sz w:val="20"/>
          <w:szCs w:val="20"/>
          <w:color w:val="auto"/>
        </w:rPr>
      </w:pPr>
    </w:p>
    <w:p>
      <w:pPr>
        <w:ind w:left="360"/>
        <w:spacing w:after="0"/>
        <w:rPr>
          <w:sz w:val="20"/>
          <w:szCs w:val="20"/>
          <w:color w:val="auto"/>
        </w:rPr>
      </w:pPr>
      <w:r>
        <w:rPr>
          <w:rFonts w:ascii="PMingLiU" w:cs="PMingLiU" w:eastAsia="PMingLiU" w:hAnsi="PMingLiU"/>
          <w:sz w:val="18"/>
          <w:szCs w:val="18"/>
          <w:color w:val="auto"/>
        </w:rPr>
        <w:t>DSSURYDOIRUFHUWDLQVKDUHLVVXDQFHV</w:t>
      </w:r>
    </w:p>
    <w:p>
      <w:pPr>
        <w:spacing w:after="0" w:line="136" w:lineRule="exact"/>
        <w:rPr>
          <w:sz w:val="20"/>
          <w:szCs w:val="20"/>
          <w:color w:val="auto"/>
        </w:rPr>
      </w:pPr>
    </w:p>
    <w:p>
      <w:pPr>
        <w:ind w:left="80" w:right="1020"/>
        <w:spacing w:after="0" w:line="506" w:lineRule="auto"/>
        <w:rPr>
          <w:sz w:val="20"/>
          <w:szCs w:val="20"/>
          <w:color w:val="auto"/>
        </w:rPr>
      </w:pPr>
      <w:r>
        <w:rPr>
          <w:rFonts w:ascii="PMingLiU" w:cs="PMingLiU" w:eastAsia="PMingLiU" w:hAnsi="PMingLiU"/>
          <w:sz w:val="15"/>
          <w:szCs w:val="15"/>
          <w:b w:val="1"/>
          <w:bCs w:val="1"/>
          <w:color w:val="000046"/>
        </w:rPr>
        <w:t xml:space="preserve"> </w:t>
      </w:r>
      <w:r>
        <w:rPr>
          <w:rFonts w:ascii="PMingLiU" w:cs="PMingLiU" w:eastAsia="PMingLiU" w:hAnsi="PMingLiU"/>
          <w:sz w:val="15"/>
          <w:szCs w:val="15"/>
          <w:color w:val="000000"/>
        </w:rPr>
        <w:t>ZLOOQRWH[HPSWXVIURPWKHSUHHPSWLRQULJKWVWKDWDSSO\WRXVXQGHU,ULVKODZLQUHODWLRQWRLVVXDQFHVIRUFDVK</w:t>
      </w:r>
      <w:r>
        <w:rPr>
          <w:rFonts w:ascii="PMingLiU" w:cs="PMingLiU" w:eastAsia="PMingLiU" w:hAnsi="PMingLiU"/>
          <w:sz w:val="15"/>
          <w:szCs w:val="15"/>
          <w:b w:val="1"/>
          <w:bCs w:val="1"/>
          <w:color w:val="000046"/>
        </w:rPr>
        <w:t xml:space="preserve">  </w:t>
      </w:r>
      <w:r>
        <w:rPr>
          <w:rFonts w:ascii="PMingLiU" w:cs="PMingLiU" w:eastAsia="PMingLiU" w:hAnsi="PMingLiU"/>
          <w:sz w:val="15"/>
          <w:szCs w:val="15"/>
          <w:color w:val="000000"/>
        </w:rPr>
        <w:t>LVIXOO\FRQVLVWHQWZLWK86FRUSRUDWHJRYHUQDQFHVWDQGDUGVDQG</w:t>
      </w:r>
      <w:r>
        <w:rPr>
          <w:rFonts w:ascii="PMingLiU" w:cs="PMingLiU" w:eastAsia="PMingLiU" w:hAnsi="PMingLiU"/>
          <w:sz w:val="15"/>
          <w:szCs w:val="15"/>
          <w:b w:val="1"/>
          <w:bCs w:val="1"/>
          <w:color w:val="000046"/>
        </w:rPr>
        <w:t xml:space="preserve">  </w:t>
      </w:r>
      <w:r>
        <w:rPr>
          <w:rFonts w:ascii="PMingLiU" w:cs="PMingLiU" w:eastAsia="PMingLiU" w:hAnsi="PMingLiU"/>
          <w:sz w:val="15"/>
          <w:szCs w:val="15"/>
          <w:color w:val="000000"/>
        </w:rPr>
        <w:t>ZLOOQRWLQFUHDVHRXUDXWKRUL]HGVKDUHFDSLWDO</w:t>
      </w:r>
    </w:p>
    <w:p>
      <w:pPr>
        <w:spacing w:after="0"/>
        <w:rPr>
          <w:sz w:val="20"/>
          <w:szCs w:val="20"/>
          <w:color w:val="auto"/>
        </w:rPr>
      </w:pPr>
      <w:r>
        <w:rPr>
          <w:rFonts w:ascii="PMingLiU" w:cs="PMingLiU" w:eastAsia="PMingLiU" w:hAnsi="PMingLiU"/>
          <w:sz w:val="18"/>
          <w:szCs w:val="18"/>
          <w:color w:val="auto"/>
        </w:rPr>
        <w:t>2XU%RDUGLVDVNLQJRXUVKDUHKROGHUVWRYRWH³)25´WKHIROORZLQJRUGLQDU\UHVROXWLRQ</w:t>
      </w:r>
    </w:p>
    <w:p>
      <w:pPr>
        <w:spacing w:after="0" w:line="204" w:lineRule="exact"/>
        <w:rPr>
          <w:sz w:val="20"/>
          <w:szCs w:val="20"/>
          <w:color w:val="auto"/>
        </w:rPr>
      </w:pPr>
    </w:p>
    <w:p>
      <w:pPr>
        <w:ind w:left="440"/>
        <w:spacing w:after="0" w:line="319" w:lineRule="auto"/>
        <w:rPr>
          <w:sz w:val="20"/>
          <w:szCs w:val="20"/>
          <w:color w:val="auto"/>
        </w:rPr>
      </w:pPr>
      <w:r>
        <w:rPr>
          <w:rFonts w:ascii="PMingLiU" w:cs="PMingLiU" w:eastAsia="PMingLiU" w:hAnsi="PMingLiU"/>
          <w:sz w:val="15"/>
          <w:szCs w:val="15"/>
          <w:b w:val="1"/>
          <w:bCs w:val="1"/>
          <w:color w:val="000046"/>
        </w:rPr>
        <w:t>³5(62/9('</w:t>
      </w:r>
      <w:r>
        <w:rPr>
          <w:rFonts w:ascii="PMingLiU" w:cs="PMingLiU" w:eastAsia="PMingLiU" w:hAnsi="PMingLiU"/>
          <w:sz w:val="15"/>
          <w:szCs w:val="15"/>
          <w:color w:val="000000"/>
        </w:rPr>
        <w:t>WKDWWKHGLUHFWRUVRI-D]]3KDUPDFHXWLFDOVEHDQGWKH\DUHKHUHE\JHQHUDOO\DQGXQFRQGLWLRQDOO\</w:t>
      </w:r>
      <w:r>
        <w:rPr>
          <w:rFonts w:ascii="PMingLiU" w:cs="PMingLiU" w:eastAsia="PMingLiU" w:hAnsi="PMingLiU"/>
          <w:sz w:val="15"/>
          <w:szCs w:val="15"/>
          <w:b w:val="1"/>
          <w:bCs w:val="1"/>
          <w:color w:val="000046"/>
        </w:rPr>
        <w:t xml:space="preserve"> </w:t>
      </w:r>
      <w:r>
        <w:rPr>
          <w:rFonts w:ascii="PMingLiU" w:cs="PMingLiU" w:eastAsia="PMingLiU" w:hAnsi="PMingLiU"/>
          <w:sz w:val="15"/>
          <w:szCs w:val="15"/>
          <w:color w:val="000000"/>
        </w:rPr>
        <w:t>DXWKRUL]HGSXUVXDQWWRVHFWLRQRIWKH&amp;RPSDQLHV$FWRI,UHODQGWKH$FWWRH[HUFLVHDOOSRZHUVRI -D]]3KDUPDFHXWLFDOVWRDOORWUHOHYDQWVHFXULWLHVZLWKLQWKHPHDQLQJRIVHFWLRQRIWKH$FWXSWRWKH DPRXQWRI-D]]3KDUPDFHXWLFDOV¶DXWKRUL]HGEXWXQLVVXHGVKDUHFDSLWDODVDWWKHGDWHRIWKLVUHVROXWLRQSURYLGHGWKDWWKLV DXWKRULW\VKDOOH[SLUHILYH\HDUVIURPWKHGDWHRISDVVLQJRIWKLVUHVROXWLRQDQGSURYLGHGWKDW-D]]3KDUPDFHXWLFDOVPD\</w:t>
      </w:r>
    </w:p>
    <w:p>
      <w:pPr>
        <w:spacing w:after="0" w:line="2" w:lineRule="exact"/>
        <w:rPr>
          <w:sz w:val="20"/>
          <w:szCs w:val="20"/>
          <w:color w:val="auto"/>
        </w:rPr>
      </w:pPr>
    </w:p>
    <w:p>
      <w:pPr>
        <w:ind w:left="440" w:right="140"/>
        <w:spacing w:after="0" w:line="392" w:lineRule="auto"/>
        <w:rPr>
          <w:sz w:val="20"/>
          <w:szCs w:val="20"/>
          <w:color w:val="auto"/>
        </w:rPr>
      </w:pPr>
      <w:r>
        <w:rPr>
          <w:rFonts w:ascii="PMingLiU" w:cs="PMingLiU" w:eastAsia="PMingLiU" w:hAnsi="PMingLiU"/>
          <w:sz w:val="14"/>
          <w:szCs w:val="14"/>
          <w:color w:val="auto"/>
        </w:rPr>
        <w:t>EHIRUHVXFKH[SLU\PDNHDQRIIHURUDJUHHPHQWZKLFKZRXOGRUPLJKWUHTXLUHUHOHYDQWVHFXULWLHVWREHDOORWWHGDIWHUVXFK H[SLU\DQGWKHGLUHFWRUVPD\DOORWUHOHYDQWVHFXULWLHVLQSXUVXDQFHRIVXFKDQRIIHURUDJUHHPHQWDVLIWKHDXWKRULW\ FRQIHUUHGE\WKLVUHVROXWLRQKDGQRWH[SLUHG´</w:t>
      </w:r>
    </w:p>
    <w:p>
      <w:pPr>
        <w:spacing w:after="0" w:line="76" w:lineRule="exact"/>
        <w:rPr>
          <w:sz w:val="20"/>
          <w:szCs w:val="20"/>
          <w:color w:val="auto"/>
        </w:rPr>
      </w:pPr>
    </w:p>
    <w:p>
      <w:pPr>
        <w:ind w:right="160"/>
        <w:spacing w:after="0" w:line="398" w:lineRule="auto"/>
        <w:rPr>
          <w:sz w:val="20"/>
          <w:szCs w:val="20"/>
          <w:color w:val="auto"/>
        </w:rPr>
      </w:pPr>
      <w:r>
        <w:rPr>
          <w:rFonts w:ascii="PMingLiU" w:cs="PMingLiU" w:eastAsia="PMingLiU" w:hAnsi="PMingLiU"/>
          <w:sz w:val="15"/>
          <w:szCs w:val="15"/>
          <w:color w:val="auto"/>
        </w:rPr>
        <w:t>3URSRVDOLVDQRUGLQDU\UHVROXWLRQDQGPXVWUHFHLYHWKHDIILUPDWLYHYRWHRIDPDMRULW\RIWKHYRWHVFDVWLQSHUVRQRUE\SUR[\ DWRXU$*0LQFOXGLQJDQ\DGMRXUQPHQWWKHUHRILQRUGHUWREHDSSURYHG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400800" cy="6762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91">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0"/>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3529965</wp:posOffset>
            </wp:positionV>
            <wp:extent cx="1386840" cy="23368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9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110" w:name="page111"/>
    <w:bookmarkEnd w:id="110"/>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203960"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393">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780"/>
        <w:spacing w:after="0" w:line="316" w:lineRule="auto"/>
        <w:rPr>
          <w:sz w:val="20"/>
          <w:szCs w:val="20"/>
          <w:color w:val="auto"/>
        </w:rPr>
      </w:pPr>
      <w:r>
        <w:rPr>
          <w:rFonts w:ascii="PMingLiU" w:cs="PMingLiU" w:eastAsia="PMingLiU" w:hAnsi="PMingLiU"/>
          <w:sz w:val="52"/>
          <w:szCs w:val="52"/>
          <w:b w:val="1"/>
          <w:bCs w:val="1"/>
          <w:color w:val="000046"/>
        </w:rPr>
        <w:t>%RDUG$XWKRULW\WR,VVXH6KDUHV IRU&amp;DVK:LWKRXW)LUVW2IIHULQJ 6KDUHVWR([LVWLQJ6KDUHKROGHUV</w:t>
      </w:r>
    </w:p>
    <w:p>
      <w:pPr>
        <w:spacing w:after="0" w:line="256" w:lineRule="exact"/>
        <w:rPr>
          <w:sz w:val="20"/>
          <w:szCs w:val="20"/>
          <w:color w:val="auto"/>
        </w:rPr>
      </w:pPr>
    </w:p>
    <w:p>
      <w:pPr>
        <w:spacing w:after="0"/>
        <w:rPr>
          <w:sz w:val="20"/>
          <w:szCs w:val="20"/>
          <w:color w:val="auto"/>
        </w:rPr>
      </w:pPr>
      <w:r>
        <w:rPr>
          <w:rFonts w:ascii="PMingLiU" w:cs="PMingLiU" w:eastAsia="PMingLiU" w:hAnsi="PMingLiU"/>
          <w:sz w:val="32"/>
          <w:szCs w:val="32"/>
          <w:color w:val="5C004D"/>
        </w:rPr>
        <w:t>5HQHZDO5HTXHVW</w:t>
      </w:r>
    </w:p>
    <w:p>
      <w:pPr>
        <w:spacing w:after="0" w:line="219" w:lineRule="exact"/>
        <w:rPr>
          <w:sz w:val="20"/>
          <w:szCs w:val="20"/>
          <w:color w:val="auto"/>
        </w:rPr>
      </w:pPr>
    </w:p>
    <w:p>
      <w:pPr>
        <w:ind w:right="3800"/>
        <w:spacing w:after="0" w:line="334" w:lineRule="auto"/>
        <w:rPr>
          <w:sz w:val="20"/>
          <w:szCs w:val="20"/>
          <w:color w:val="auto"/>
        </w:rPr>
      </w:pPr>
      <w:r>
        <w:rPr>
          <w:rFonts w:ascii="PMingLiU" w:cs="PMingLiU" w:eastAsia="PMingLiU" w:hAnsi="PMingLiU"/>
          <w:sz w:val="14"/>
          <w:szCs w:val="14"/>
          <w:color w:val="auto"/>
        </w:rPr>
        <w:t>8QGHU,ULVKODZZKHQDQ,ULVKSXEOLFOLPLWHGFRPSDQ\LVVXHVVKDUHVIRUFDVK LQFOXGLQJULJKWVWRVXEVFULEHIRUFRQYHUWLQWRRURWKHUZLVHDFTXLUHDQ\VKDUHV XQOHVVRWKHUZLVHDXWKRUL]HGE\VKDUHKROGHUVLWLVUHTXLUHGILUVWWRRIIHUWKRVH VKDUHVRQWKHVDPHRUPRUHIDYRUDEOHWHUPVWRRXUH[LVWLQJVKDUHKROGHUVRQD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-561340</wp:posOffset>
            </wp:positionV>
            <wp:extent cx="2009775" cy="14001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394">
                      <a:extLst>
                        <a:ext uri="{28A0092B-C50C-407E-A947-70E740481C1C}"/>
                      </a:extLst>
                    </a:blip>
                    <a:srcRect/>
                    <a:stretch>
                      <a:fillRect/>
                    </a:stretch>
                  </pic:blipFill>
                  <pic:spPr bwMode="auto">
                    <a:xfrm>
                      <a:off x="0" y="0"/>
                      <a:ext cx="2009775" cy="1400175"/>
                    </a:xfrm>
                    <a:prstGeom prst="rect">
                      <a:avLst/>
                    </a:prstGeom>
                    <a:noFill/>
                  </pic:spPr>
                </pic:pic>
              </a:graphicData>
            </a:graphic>
          </wp:anchor>
        </w:drawing>
      </w:r>
    </w:p>
    <w:p>
      <w:pPr>
        <w:spacing w:after="0"/>
        <w:tabs>
          <w:tab w:leader="none" w:pos="7160" w:val="left"/>
        </w:tabs>
        <w:rPr>
          <w:sz w:val="20"/>
          <w:szCs w:val="20"/>
          <w:color w:val="auto"/>
        </w:rPr>
      </w:pPr>
      <w:r>
        <w:rPr>
          <w:rFonts w:ascii="PMingLiU" w:cs="PMingLiU" w:eastAsia="PMingLiU" w:hAnsi="PMingLiU"/>
          <w:sz w:val="17"/>
          <w:szCs w:val="17"/>
          <w:color w:val="auto"/>
        </w:rPr>
        <w:t>SURUDWDEDVLVFRPPRQO\UHIHUUHGWRDVWKHSUHHPSWLRQULJKW7KHVWDWXWRU\</w:t>
      </w:r>
      <w:r>
        <w:rPr>
          <w:sz w:val="20"/>
          <w:szCs w:val="20"/>
          <w:color w:val="auto"/>
        </w:rPr>
        <w:tab/>
      </w:r>
      <w:r>
        <w:rPr>
          <w:rFonts w:ascii="PMingLiU" w:cs="PMingLiU" w:eastAsia="PMingLiU" w:hAnsi="PMingLiU"/>
          <w:sz w:val="19"/>
          <w:szCs w:val="19"/>
          <w:b w:val="1"/>
          <w:bCs w:val="1"/>
          <w:color w:val="2D2C36"/>
        </w:rPr>
        <w:t>285%2$5'</w:t>
      </w:r>
    </w:p>
    <w:p>
      <w:pPr>
        <w:spacing w:after="0" w:line="32" w:lineRule="exact"/>
        <w:rPr>
          <w:sz w:val="20"/>
          <w:szCs w:val="20"/>
          <w:color w:val="auto"/>
        </w:rPr>
      </w:pPr>
    </w:p>
    <w:p>
      <w:pPr>
        <w:spacing w:after="0"/>
        <w:tabs>
          <w:tab w:leader="none" w:pos="7160" w:val="left"/>
        </w:tabs>
        <w:rPr>
          <w:sz w:val="20"/>
          <w:szCs w:val="20"/>
          <w:color w:val="auto"/>
        </w:rPr>
      </w:pPr>
      <w:r>
        <w:rPr>
          <w:rFonts w:ascii="PMingLiU" w:cs="PMingLiU" w:eastAsia="PMingLiU" w:hAnsi="PMingLiU"/>
          <w:sz w:val="18"/>
          <w:szCs w:val="18"/>
          <w:color w:val="auto"/>
        </w:rPr>
        <w:t>SUHHPSWLRQULJKWVGRQRWDSSO\ZKHUHVKDUHVDUHLVVXHGIRUQRQFDVK</w:t>
      </w:r>
      <w:r>
        <w:rPr>
          <w:sz w:val="20"/>
          <w:szCs w:val="20"/>
          <w:color w:val="auto"/>
        </w:rPr>
        <w:tab/>
      </w:r>
      <w:r>
        <w:rPr>
          <w:rFonts w:ascii="PMingLiU" w:cs="PMingLiU" w:eastAsia="PMingLiU" w:hAnsi="PMingLiU"/>
          <w:sz w:val="20"/>
          <w:szCs w:val="20"/>
          <w:b w:val="1"/>
          <w:bCs w:val="1"/>
          <w:color w:val="2D2C36"/>
        </w:rPr>
        <w:t>5(&amp;200(1'6$927(</w:t>
      </w:r>
    </w:p>
    <w:p>
      <w:pPr>
        <w:spacing w:after="0" w:line="18" w:lineRule="exact"/>
        <w:rPr>
          <w:sz w:val="20"/>
          <w:szCs w:val="20"/>
          <w:color w:val="auto"/>
        </w:rPr>
      </w:pPr>
    </w:p>
    <w:p>
      <w:pPr>
        <w:ind w:right="920"/>
        <w:spacing w:after="0" w:line="210" w:lineRule="auto"/>
        <w:rPr>
          <w:sz w:val="20"/>
          <w:szCs w:val="20"/>
          <w:color w:val="auto"/>
        </w:rPr>
      </w:pPr>
      <w:r>
        <w:rPr>
          <w:rFonts w:ascii="PMingLiU" w:cs="PMingLiU" w:eastAsia="PMingLiU" w:hAnsi="PMingLiU"/>
          <w:sz w:val="18"/>
          <w:szCs w:val="18"/>
          <w:color w:val="auto"/>
        </w:rPr>
        <w:t xml:space="preserve">FRQVLGHUDWLRQRUSXUVXDQWWRHPSOR\HHHTXLW\SODQV8QGHU,ULVKODZWKH </w:t>
      </w:r>
      <w:r>
        <w:rPr>
          <w:rFonts w:ascii="PMingLiU" w:cs="PMingLiU" w:eastAsia="PMingLiU" w:hAnsi="PMingLiU"/>
          <w:sz w:val="40"/>
          <w:szCs w:val="40"/>
          <w:b w:val="1"/>
          <w:bCs w:val="1"/>
          <w:color w:val="5C004D"/>
          <w:vertAlign w:val="subscript"/>
        </w:rPr>
        <w:t>³)25´</w:t>
      </w:r>
      <w:r>
        <w:rPr>
          <w:rFonts w:ascii="PMingLiU" w:cs="PMingLiU" w:eastAsia="PMingLiU" w:hAnsi="PMingLiU"/>
          <w:sz w:val="40"/>
          <w:szCs w:val="40"/>
          <w:b w:val="1"/>
          <w:bCs w:val="1"/>
          <w:color w:val="2D2C36"/>
          <w:vertAlign w:val="subscript"/>
        </w:rPr>
        <w:t>352326$/</w:t>
      </w:r>
      <w:r>
        <w:rPr>
          <w:rFonts w:ascii="PMingLiU" w:cs="PMingLiU" w:eastAsia="PMingLiU" w:hAnsi="PMingLiU"/>
          <w:sz w:val="18"/>
          <w:szCs w:val="18"/>
          <w:color w:val="auto"/>
        </w:rPr>
        <w:t xml:space="preserve"> DXWKRULW\WRRSWRXWRIWKHSUHHPSWLRQULJKWZKLFKZHFDOOWKHSUHHPSWLRQRSW RXWDXWKRULW\FDQEHJUDQWHGE\VKDUHKROGHUVFRYHULQJXSWRWKHPD[LPXPRID FRPSDQ\¶VDXWKRUL]HGEXWXQLVVXHGRUGLQDU\VKDUHFDSLWDOIRUDPD[LPXPSHULRG RIILYH\HDUVDWZKLFKSRLQWLWODSVHVXQOHVVUHQHZHGE\VKDUHKROGHUV</w:t>
      </w:r>
    </w:p>
    <w:p>
      <w:pPr>
        <w:spacing w:after="0" w:line="184" w:lineRule="exact"/>
        <w:rPr>
          <w:sz w:val="20"/>
          <w:szCs w:val="20"/>
          <w:color w:val="auto"/>
        </w:rPr>
      </w:pPr>
    </w:p>
    <w:p>
      <w:pPr>
        <w:spacing w:after="0" w:line="356" w:lineRule="auto"/>
        <w:rPr>
          <w:sz w:val="20"/>
          <w:szCs w:val="20"/>
          <w:color w:val="auto"/>
        </w:rPr>
      </w:pPr>
      <w:r>
        <w:rPr>
          <w:rFonts w:ascii="PMingLiU" w:cs="PMingLiU" w:eastAsia="PMingLiU" w:hAnsi="PMingLiU"/>
          <w:sz w:val="14"/>
          <w:szCs w:val="14"/>
          <w:color w:val="auto"/>
        </w:rPr>
        <w:t>$WRXU$*0RXUVKDUHKROGHUVDSSURYHGRXU%RDUG¶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¶VSUHHPSWLRQRSWRXWDXWKRULW\DWRXU$*0</w:t>
      </w:r>
    </w:p>
    <w:p>
      <w:pPr>
        <w:spacing w:after="0" w:line="103" w:lineRule="exact"/>
        <w:rPr>
          <w:sz w:val="20"/>
          <w:szCs w:val="20"/>
          <w:color w:val="auto"/>
        </w:rPr>
      </w:pPr>
    </w:p>
    <w:p>
      <w:pPr>
        <w:spacing w:after="0" w:line="376" w:lineRule="auto"/>
        <w:rPr>
          <w:sz w:val="20"/>
          <w:szCs w:val="20"/>
          <w:color w:val="auto"/>
        </w:rPr>
      </w:pPr>
      <w:r>
        <w:rPr>
          <w:rFonts w:ascii="PMingLiU" w:cs="PMingLiU" w:eastAsia="PMingLiU" w:hAnsi="PMingLiU"/>
          <w:sz w:val="14"/>
          <w:szCs w:val="14"/>
          <w:color w:val="auto"/>
        </w:rPr>
        <w:t>:HDUHQRWDVNLQJ\RXWRDSSURYHDQLQFUHDVHLQRXUDXWKRUL]HGVKDUHFDSLWDORUWRDSSURYHDVSHFLILFLVVXDQFHRIVKDUHV 5DWKHUDSSURYDORIWKLV3URSRVDOZLOOVLPSO\SURYLGHRXU%RDUGZLWKFHUWDLQFRQWLQXHGIOH[LELOLW\WRLVVXHVKDUHVVXEMHFWWRRXU %RDUG¶VDXWKRULW\WRDOORWDQGLVVXHVXFKVKDUHVWKDWDUHDOUHDG\ZLWKLQRXUDXWKRUL]HGVKDUHFDSLWDOIRUFDVKRQDQRQSUH HPSWLYHEDVLVLQDFFRUGDQFHZLWKWKHWHUPVGHVFULEHGKHUHLQ</w:t>
      </w:r>
    </w:p>
    <w:p>
      <w:pPr>
        <w:spacing w:after="0" w:line="85" w:lineRule="exact"/>
        <w:rPr>
          <w:sz w:val="20"/>
          <w:szCs w:val="20"/>
          <w:color w:val="auto"/>
        </w:rPr>
      </w:pPr>
    </w:p>
    <w:p>
      <w:pPr>
        <w:ind w:right="140"/>
        <w:spacing w:after="0" w:line="345" w:lineRule="auto"/>
        <w:rPr>
          <w:sz w:val="20"/>
          <w:szCs w:val="20"/>
          <w:color w:val="auto"/>
        </w:rPr>
      </w:pPr>
      <w:r>
        <w:rPr>
          <w:rFonts w:ascii="PMingLiU" w:cs="PMingLiU" w:eastAsia="PMingLiU" w:hAnsi="PMingLiU"/>
          <w:sz w:val="15"/>
          <w:szCs w:val="15"/>
          <w:color w:val="auto"/>
        </w:rPr>
        <w:t>,I3URSRVDOLVDSSURYHGRXUFXUUHQWSUHHPSWLRQRSWRXWDXWKRULW\DSSURYHGDWWKH$*0ZLOOEHUHYRNHGHIIHFWLYHXSRQ WKHSDVVLQJRIWKHUHVROXWLRQVHWRXWEHORZ,I3URSRVDOLVQRWDSSURYHGRXUFXUUHQWSUHHPSWLRQRSWRXWDXWKRULW\DSSURYHG DWWKH$*0ZLOOFRQWLQXHWRDSSO\XQWLOLWH[SLUHVLQDFFRUGDQFHZLWKLWVWHUPVXQOHVVRWKHUZLVHYDULHGUHQHZHGRU UHYRNHG</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:K\2XU6KDUHKROGHUV6KRXOG$SSURYHWKLV3URSRVDO</w:t>
      </w:r>
    </w:p>
    <w:p>
      <w:pPr>
        <w:spacing w:after="0" w:line="219"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*UDQWLQJRXU%RDUGWKHSUHHPSWLRQRSWRXWDXWKRULW\RQWKHWHUPVVHWIRUWKLQWKLV3URSRVDOLVYLWDOWRDGYDQFLQJRXUEXVLQHVV DQGGULYLQJVKDUHKROGHUYDOXHLQFOXGLQJLIDSSOLFDEOHLQFRQQHFWLRQZLWKSRWHQWLDOFDSLWDOUDLVLQJDQGFRUSRUDWHGHYHORSPHQW</w:t>
      </w:r>
    </w:p>
    <w:p>
      <w:pPr>
        <w:ind w:right="60"/>
        <w:spacing w:after="0" w:line="376" w:lineRule="auto"/>
        <w:rPr>
          <w:sz w:val="20"/>
          <w:szCs w:val="20"/>
          <w:color w:val="auto"/>
        </w:rPr>
      </w:pPr>
      <w:r>
        <w:rPr>
          <w:rFonts w:ascii="PMingLiU" w:cs="PMingLiU" w:eastAsia="PMingLiU" w:hAnsi="PMingLiU"/>
          <w:sz w:val="14"/>
          <w:szCs w:val="14"/>
          <w:color w:val="auto"/>
        </w:rPr>
        <w:t>WUDQVDFWLRQV2XUVWUDWHJ\IRUJURZWKLVURRWHGLQH[HFXWLQJFRPPHUFLDOODXQFKHVDQGRQJRLQJFRPPHUFLDOL]DWLRQLQLWLDWLYHV DGYDQFLQJUREXVW5 'SURJUDPVDQGGHOLYHULQJLPSDFWIXOFOLQLFDOUHVXOWVHIIHFWLYHO\GHSOR\LQJFDSLWDOWRVWUHQJWKHQWKH SURVSHFWVRIDFKLHYLQJRXUVKRUWDQGORQJWHUPJRDOVWKURXJKVWUDWHJLFFRUSRUDWHGHYHORSPHQWDQGGHOLYHULQJVWURQJILQDQFLDO SHUIRUPDQFH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229870</wp:posOffset>
            </wp:positionV>
            <wp:extent cx="1386840" cy="23368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395">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367"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20"/>
          </w:cols>
          <w:pgMar w:left="900" w:top="1015" w:right="859" w:bottom="0" w:gutter="0" w:footer="0" w:header="0"/>
        </w:sectPr>
      </w:pPr>
    </w:p>
    <w:bookmarkStart w:id="111" w:name="page112"/>
    <w:bookmarkEnd w:id="111"/>
    <w:p>
      <w:pPr>
        <w:ind w:left="12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800100" cy="41910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19100"/>
                        </a:xfrm>
                        <a:prstGeom prst="rect">
                          <a:avLst/>
                        </a:prstGeom>
                        <a:solidFill>
                          <a:srgbClr val="5C004D"/>
                        </a:solidFill>
                      </wps:spPr>
                      <wps:bodyPr/>
                    </wps:wsp>
                  </a:graphicData>
                </a:graphic>
              </wp:anchor>
            </w:drawing>
          </mc:Choice>
          <mc:Fallback>
            <w:pict>
              <v:rect id="Shape 578" o:spid="_x0000_s1603" style="position:absolute;margin-left:44.85pt;margin-top:0.1pt;width:63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352326$/</w:t>
      </w:r>
    </w:p>
    <w:p>
      <w:pPr>
        <w:spacing w:after="0" w:line="200" w:lineRule="exact"/>
        <w:rPr>
          <w:sz w:val="20"/>
          <w:szCs w:val="20"/>
          <w:color w:val="auto"/>
        </w:rPr>
      </w:pPr>
    </w:p>
    <w:p>
      <w:pPr>
        <w:spacing w:after="0" w:line="263" w:lineRule="exact"/>
        <w:rPr>
          <w:sz w:val="20"/>
          <w:szCs w:val="20"/>
          <w:color w:val="auto"/>
        </w:rPr>
      </w:pPr>
    </w:p>
    <w:p>
      <w:pPr>
        <w:ind w:right="260"/>
        <w:spacing w:after="0" w:line="392" w:lineRule="auto"/>
        <w:rPr>
          <w:sz w:val="20"/>
          <w:szCs w:val="20"/>
          <w:color w:val="auto"/>
        </w:rPr>
      </w:pPr>
      <w:r>
        <w:rPr>
          <w:rFonts w:ascii="PMingLiU" w:cs="PMingLiU" w:eastAsia="PMingLiU" w:hAnsi="PMingLiU"/>
          <w:sz w:val="14"/>
          <w:szCs w:val="14"/>
          <w:color w:val="auto"/>
        </w:rPr>
        <w:t>2XUVWUDWHJ\IRUJURZWKGHSHQGVLQSDUWRQRXUDELOLW\WRTXLFNO\WDNHDGYDQWDJHRIVWUDWHJLFRSSRUWXQLWLHVLQFOXGLQJSRWHQWLDO DFTXLVLWLRQVDQGRWKHUFDSLWDOLQWHQVLYHWUDQVDFWLRQVWKDWZHEHOLHYHZRXOGLQFUHDVHVKDUHKROGHUYDOXH0DQ\RIWKHVH RSSRUWXQLWLHVDUHKLJKO\FRPSHWLWLYHZLWKPXOWLSOHSDUWLHVRIWHQRIIHULQJFRPSDUDEOHRUHYHQWKHVDPHHFRQRPLFV</w:t>
      </w:r>
    </w:p>
    <w:p>
      <w:pPr>
        <w:spacing w:after="0" w:line="76" w:lineRule="exact"/>
        <w:rPr>
          <w:sz w:val="20"/>
          <w:szCs w:val="20"/>
          <w:color w:val="auto"/>
        </w:rPr>
      </w:pPr>
    </w:p>
    <w:p>
      <w:pPr>
        <w:spacing w:after="0" w:line="356" w:lineRule="auto"/>
        <w:rPr>
          <w:sz w:val="20"/>
          <w:szCs w:val="20"/>
          <w:color w:val="auto"/>
        </w:rPr>
      </w:pPr>
      <w:r>
        <w:rPr>
          <w:rFonts w:ascii="PMingLiU" w:cs="PMingLiU" w:eastAsia="PMingLiU" w:hAnsi="PMingLiU"/>
          <w:sz w:val="14"/>
          <w:szCs w:val="14"/>
          <w:color w:val="auto"/>
        </w:rPr>
        <w:t>,I3URSRVDOLVQRWDSSURYHGLQHDFKFDVHZKHUHZHSURSRVHWRLVVXHVKDUHVIRUFDVKFRQVLGHUDWLRQDIWHUH[SLU\RIRXUFXUUHQW SUHHPSWLRQRSWRXWDXWKRULW\ZHZRXOGILUVWKDYHWRRIIHUWKRVHVKDUHVRQWKHVDPHRUPRUHIDYRUDEOHWHUPVWRRXUH[LVWLQJ VKDUHKROGHUVSURUDWDWRWKHLUH[LVWLQJVKDUHKROGLQJVIROORZLQJDVSHFLILF,ULVKVWDWXWRU\SURFHGXUHDQGWLPHOLQH7KLVFRXOGSXW XVDWDGLVWLQFWGLVDGYDQWDJHYLVjYLVPDQ\RIRXUSHHUVLQFRPSHWLQJIRUDFTXLVLWLRQVDQGVLPLODUWUDQVDFWLRQVSDUWLFXODUO\ VLQFHPDQ\RIWKHFRPSDQLHVZLWKZKLFKZHFRPSHWHVWUDWHJLFDOO\DUHOLVWHGDQGLQFRUSRUDWHGLQWKH86DQGDUHQRWVXEMHFWWR VLPLODUSUHHPSWLRQULJKWUHVWULFWLRQVDQGPLJKWPDNHLWGLIILFXOWIRUXVWRFRPSOHWHVXFKWUDQVDFWLRQVLQDWLPHO\PDQQHURUDW DOOWKXVSRWHQWLDOO\OLPLWLQJRXUDELOLW\WRIXUWKHURXUVWUDWHJ\IRUJURZWKE\GHSOR\LQJFDSLWDOWRPHHWVWUDWHJLFJRDOVWKDWDUHLQ WKHEHVWLQWHUHVWVRIRXUVKDUHKROGHUV</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32"/>
          <w:szCs w:val="32"/>
          <w:b w:val="1"/>
          <w:bCs w:val="1"/>
          <w:color w:val="5C004D"/>
        </w:rPr>
        <w:t>6XSHUPDMRULW\9RWH6WDQGDUG6SHFLDO5HVROXWLRQ</w:t>
      </w:r>
    </w:p>
    <w:p>
      <w:pPr>
        <w:spacing w:after="0" w:line="219" w:lineRule="exact"/>
        <w:rPr>
          <w:sz w:val="20"/>
          <w:szCs w:val="20"/>
          <w:color w:val="auto"/>
        </w:rPr>
      </w:pPr>
    </w:p>
    <w:p>
      <w:pPr>
        <w:ind w:right="20"/>
        <w:spacing w:after="0" w:line="443" w:lineRule="auto"/>
        <w:rPr>
          <w:sz w:val="20"/>
          <w:szCs w:val="20"/>
          <w:color w:val="auto"/>
        </w:rPr>
      </w:pPr>
      <w:r>
        <w:rPr>
          <w:rFonts w:ascii="PMingLiU" w:cs="PMingLiU" w:eastAsia="PMingLiU" w:hAnsi="PMingLiU"/>
          <w:sz w:val="14"/>
          <w:szCs w:val="14"/>
          <w:color w:val="auto"/>
        </w:rPr>
        <w:t>$VUHTXLUHGXQGHU,ULVKODZ3URSRVDOLVDVSHFLDOUHVROXWLRQWKDWUHTXLUHVWKHDIILUPDWLYHYRWHRIDWOHDVWRIWKHYRWHVFDVW LQSHUVRQRUE\SUR[\DWRXU$*0LQFOXGLQJDQ\DGMRXUQPHQWWKHUHRILQRUGHUWREHDSSURYHG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2XU%RDUGLVDVNLQJRXUVKDUHKROGHUVWRYRWH³)25´WKHIROORZLQJVSHFLDOUHVROXWLRQ</w:t>
      </w:r>
    </w:p>
    <w:p>
      <w:pPr>
        <w:spacing w:after="0" w:line="204" w:lineRule="exact"/>
        <w:rPr>
          <w:sz w:val="20"/>
          <w:szCs w:val="20"/>
          <w:color w:val="auto"/>
        </w:rPr>
      </w:pPr>
    </w:p>
    <w:p>
      <w:pPr>
        <w:ind w:left="440" w:right="60"/>
        <w:spacing w:after="0" w:line="352" w:lineRule="auto"/>
        <w:rPr>
          <w:sz w:val="20"/>
          <w:szCs w:val="20"/>
          <w:color w:val="auto"/>
        </w:rPr>
      </w:pPr>
      <w:r>
        <w:rPr>
          <w:rFonts w:ascii="PMingLiU" w:cs="PMingLiU" w:eastAsia="PMingLiU" w:hAnsi="PMingLiU"/>
          <w:sz w:val="14"/>
          <w:szCs w:val="14"/>
          <w:b w:val="1"/>
          <w:bCs w:val="1"/>
          <w:color w:val="000046"/>
        </w:rPr>
        <w:t>³5(62/9('</w:t>
      </w:r>
      <w:r>
        <w:rPr>
          <w:rFonts w:ascii="PMingLiU" w:cs="PMingLiU" w:eastAsia="PMingLiU" w:hAnsi="PMingLiU"/>
          <w:sz w:val="14"/>
          <w:szCs w:val="14"/>
          <w:color w:val="000000"/>
        </w:rPr>
        <w:t>WKDWWKHGLUHFWRUVEHDQGDUHKHUHE\HPSRZHUHGSXUVXDQWWRVHFWLRQRIWKH$FWWRDOORWHTXLW\</w:t>
      </w:r>
      <w:r>
        <w:rPr>
          <w:rFonts w:ascii="PMingLiU" w:cs="PMingLiU" w:eastAsia="PMingLiU" w:hAnsi="PMingLiU"/>
          <w:sz w:val="14"/>
          <w:szCs w:val="14"/>
          <w:b w:val="1"/>
          <w:bCs w:val="1"/>
          <w:color w:val="000046"/>
        </w:rPr>
        <w:t xml:space="preserve"> </w:t>
      </w:r>
      <w:r>
        <w:rPr>
          <w:rFonts w:ascii="PMingLiU" w:cs="PMingLiU" w:eastAsia="PMingLiU" w:hAnsi="PMingLiU"/>
          <w:sz w:val="14"/>
          <w:szCs w:val="14"/>
          <w:color w:val="000000"/>
        </w:rPr>
        <w:t>VHFXULWLHVDVGHILQHGLQVHFWLRQRIWKH$FWIRUFDVKVXEMHFWWRDQGSXUVXDQWWRWKHDXWKRULW\FRQIHUUHGE\ VKDUHKROGHUVLQDFFRUGDQFHZLWKVHFWLRQRIWKH$FWDVLIVXEVHFWLRQRIVHFWLRQRIWKH$FWGLG QRWDSSO\WRDQ\VXFKDOORWPHQWSURYLGHGWKDWWKLVSRZHUVKDOOEHOLPLWHGWRWKHDOORWPHQWRIHTXLW\VHFXULWLHVXSWRDQ DJJUHJDWHQRPLQDOYDOXHRI86VKDUHVEHLQJHTXLYDOHQWWRDSSUR[LPDWHO\RIWKHDJJUHJDWH QRPLQDOYDOXHRI-D]]3KDUPDFHXWLFDOV¶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´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6400800" cy="6762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396">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200"/>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3493135</wp:posOffset>
            </wp:positionV>
            <wp:extent cx="1386840" cy="23368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397">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40"/>
          </w:cols>
          <w:pgMar w:left="900" w:top="377" w:right="839" w:bottom="0" w:gutter="0" w:footer="0" w:header="0"/>
        </w:sectPr>
      </w:pPr>
    </w:p>
    <w:bookmarkStart w:id="112" w:name="page113"/>
    <w:bookmarkEnd w:id="112"/>
    <w:p>
      <w:pPr>
        <w:spacing w:after="0"/>
        <w:rPr>
          <w:sz w:val="20"/>
          <w:szCs w:val="20"/>
          <w:color w:val="auto"/>
        </w:rPr>
      </w:pPr>
      <w:r>
        <w:rPr>
          <w:rFonts w:ascii="PMingLiU" w:cs="PMingLiU" w:eastAsia="PMingLiU" w:hAnsi="PMingLiU"/>
          <w:sz w:val="24"/>
          <w:szCs w:val="24"/>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203960"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398">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PMingLiU" w:cs="PMingLiU" w:eastAsia="PMingLiU" w:hAnsi="PMingLiU"/>
          <w:sz w:val="60"/>
          <w:szCs w:val="60"/>
          <w:b w:val="1"/>
          <w:bCs w:val="1"/>
          <w:color w:val="000046"/>
        </w:rPr>
        <w:t>$GMRXUQPHQW3URSRVDO</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PMingLiU" w:cs="PMingLiU" w:eastAsia="PMingLiU" w:hAnsi="PMingLiU"/>
          <w:sz w:val="18"/>
          <w:szCs w:val="18"/>
          <w:color w:val="auto"/>
        </w:rPr>
        <w:t>&lt;RXDUHEHLQJDVNHGWRFRQVLGHUDQGYRWHXSRQDQDGMRXUQPHQWSURSRVDO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-104775</wp:posOffset>
            </wp:positionV>
            <wp:extent cx="2009775" cy="14001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399">
                      <a:extLst>
                        <a:ext uri="{28A0092B-C50C-407E-A947-70E740481C1C}"/>
                      </a:extLst>
                    </a:blip>
                    <a:srcRect/>
                    <a:stretch>
                      <a:fillRect/>
                    </a:stretch>
                  </pic:blipFill>
                  <pic:spPr bwMode="auto">
                    <a:xfrm>
                      <a:off x="0" y="0"/>
                      <a:ext cx="2009775" cy="1400175"/>
                    </a:xfrm>
                    <a:prstGeom prst="rect">
                      <a:avLst/>
                    </a:prstGeom>
                    <a:noFill/>
                  </pic:spPr>
                </pic:pic>
              </a:graphicData>
            </a:graphic>
          </wp:anchor>
        </w:drawing>
      </w:r>
    </w:p>
    <w:p>
      <w:pPr>
        <w:spacing w:after="0" w:line="184" w:lineRule="exact"/>
        <w:rPr>
          <w:sz w:val="20"/>
          <w:szCs w:val="20"/>
          <w:color w:val="auto"/>
        </w:rPr>
      </w:pPr>
    </w:p>
    <w:p>
      <w:pPr>
        <w:ind w:right="3860"/>
        <w:spacing w:after="0" w:line="368" w:lineRule="auto"/>
        <w:rPr>
          <w:sz w:val="20"/>
          <w:szCs w:val="20"/>
          <w:color w:val="auto"/>
        </w:rPr>
      </w:pPr>
      <w:r>
        <w:rPr>
          <w:rFonts w:ascii="PMingLiU" w:cs="PMingLiU" w:eastAsia="PMingLiU" w:hAnsi="PMingLiU"/>
          <w:sz w:val="13"/>
          <w:szCs w:val="13"/>
          <w:color w:val="auto"/>
        </w:rPr>
        <w:t>7KLVUHVROXWLRQSURSRVHVWRDSSURYHDQ\PRWLRQWRDGMRXUQWKH$*0RUDQ\ DGMRXUQPHQWVWKHUHRIWRDQRWKHUWLPHDQGSODFHWRVROLFLWDGGLWLRQDOSUR[LHVLI</w:t>
      </w:r>
    </w:p>
    <w:p>
      <w:pPr>
        <w:spacing w:after="0" w:line="184" w:lineRule="auto"/>
        <w:tabs>
          <w:tab w:leader="none" w:pos="7160" w:val="left"/>
        </w:tabs>
        <w:rPr>
          <w:sz w:val="20"/>
          <w:szCs w:val="20"/>
          <w:color w:val="auto"/>
        </w:rPr>
      </w:pPr>
      <w:r>
        <w:rPr>
          <w:rFonts w:ascii="PMingLiU" w:cs="PMingLiU" w:eastAsia="PMingLiU" w:hAnsi="PMingLiU"/>
          <w:sz w:val="18"/>
          <w:szCs w:val="18"/>
          <w:color w:val="auto"/>
        </w:rPr>
        <w:t>WKHUHDUHLQVXIILFLHQWYRWHVDWWKHWLPHRIWKH$*0WRDSSURYHHLWKHU3URSRVDORU</w:t>
      </w:r>
      <w:r>
        <w:rPr>
          <w:sz w:val="20"/>
          <w:szCs w:val="20"/>
          <w:color w:val="auto"/>
        </w:rPr>
        <w:tab/>
      </w:r>
      <w:r>
        <w:rPr>
          <w:rFonts w:ascii="PMingLiU" w:cs="PMingLiU" w:eastAsia="PMingLiU" w:hAnsi="PMingLiU"/>
          <w:sz w:val="28"/>
          <w:szCs w:val="28"/>
          <w:b w:val="1"/>
          <w:bCs w:val="1"/>
          <w:color w:val="2D2C36"/>
          <w:vertAlign w:val="subscript"/>
        </w:rPr>
        <w:t>285%2$5'</w:t>
      </w:r>
    </w:p>
    <w:p>
      <w:pPr>
        <w:spacing w:after="0" w:line="183" w:lineRule="auto"/>
        <w:tabs>
          <w:tab w:leader="none" w:pos="7160" w:val="left"/>
        </w:tabs>
        <w:rPr>
          <w:sz w:val="20"/>
          <w:szCs w:val="20"/>
          <w:color w:val="auto"/>
        </w:rPr>
      </w:pPr>
      <w:r>
        <w:rPr>
          <w:rFonts w:ascii="PMingLiU" w:cs="PMingLiU" w:eastAsia="PMingLiU" w:hAnsi="PMingLiU"/>
          <w:sz w:val="30"/>
          <w:szCs w:val="30"/>
          <w:color w:val="auto"/>
          <w:vertAlign w:val="superscript"/>
        </w:rPr>
        <w:t>3URSRVDO</w:t>
      </w:r>
      <w:r>
        <w:rPr>
          <w:sz w:val="20"/>
          <w:szCs w:val="20"/>
          <w:color w:val="auto"/>
        </w:rPr>
        <w:tab/>
      </w:r>
      <w:r>
        <w:rPr>
          <w:rFonts w:ascii="PMingLiU" w:cs="PMingLiU" w:eastAsia="PMingLiU" w:hAnsi="PMingLiU"/>
          <w:sz w:val="17"/>
          <w:szCs w:val="17"/>
          <w:b w:val="1"/>
          <w:bCs w:val="1"/>
          <w:color w:val="2D2C36"/>
        </w:rPr>
        <w:t>5(&amp;200(1'6$927(</w:t>
      </w:r>
    </w:p>
    <w:p>
      <w:pPr>
        <w:spacing w:after="0" w:line="192" w:lineRule="auto"/>
        <w:tabs>
          <w:tab w:leader="none" w:pos="7160" w:val="left"/>
        </w:tabs>
        <w:rPr>
          <w:sz w:val="20"/>
          <w:szCs w:val="20"/>
          <w:color w:val="auto"/>
        </w:rPr>
      </w:pPr>
      <w:r>
        <w:rPr>
          <w:rFonts w:ascii="PMingLiU" w:cs="PMingLiU" w:eastAsia="PMingLiU" w:hAnsi="PMingLiU"/>
          <w:sz w:val="18"/>
          <w:szCs w:val="18"/>
          <w:color w:val="auto"/>
        </w:rPr>
        <w:t>2XUERDUGLVDVNLQJRXUVKDUHKROGHUVWRYRWH³)25´WKHIROORZLQJRUGLQDU\</w:t>
      </w:r>
      <w:r>
        <w:rPr>
          <w:sz w:val="20"/>
          <w:szCs w:val="20"/>
          <w:color w:val="auto"/>
        </w:rPr>
        <w:tab/>
      </w:r>
      <w:r>
        <w:rPr>
          <w:rFonts w:ascii="PMingLiU" w:cs="PMingLiU" w:eastAsia="PMingLiU" w:hAnsi="PMingLiU"/>
          <w:sz w:val="40"/>
          <w:szCs w:val="40"/>
          <w:b w:val="1"/>
          <w:bCs w:val="1"/>
          <w:color w:val="5C004D"/>
          <w:vertAlign w:val="superscript"/>
        </w:rPr>
        <w:t>³)25´</w:t>
      </w:r>
      <w:r>
        <w:rPr>
          <w:rFonts w:ascii="PMingLiU" w:cs="PMingLiU" w:eastAsia="PMingLiU" w:hAnsi="PMingLiU"/>
          <w:sz w:val="40"/>
          <w:szCs w:val="40"/>
          <w:b w:val="1"/>
          <w:bCs w:val="1"/>
          <w:color w:val="2D2C36"/>
          <w:vertAlign w:val="superscript"/>
        </w:rPr>
        <w:t>352326$/</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color w:val="auto"/>
        </w:rPr>
        <w:t>UHVROXWLRQ</w:t>
      </w:r>
    </w:p>
    <w:p>
      <w:pPr>
        <w:spacing w:after="0" w:line="186" w:lineRule="exact"/>
        <w:rPr>
          <w:sz w:val="20"/>
          <w:szCs w:val="20"/>
          <w:color w:val="auto"/>
        </w:rPr>
      </w:pPr>
    </w:p>
    <w:p>
      <w:pPr>
        <w:ind w:left="440" w:right="3540"/>
        <w:spacing w:after="0" w:line="529" w:lineRule="auto"/>
        <w:rPr>
          <w:sz w:val="20"/>
          <w:szCs w:val="20"/>
          <w:color w:val="auto"/>
        </w:rPr>
      </w:pPr>
      <w:r>
        <w:rPr>
          <w:rFonts w:ascii="PMingLiU" w:cs="PMingLiU" w:eastAsia="PMingLiU" w:hAnsi="PMingLiU"/>
          <w:sz w:val="13"/>
          <w:szCs w:val="13"/>
          <w:b w:val="1"/>
          <w:bCs w:val="1"/>
          <w:color w:val="000046"/>
        </w:rPr>
        <w:t>³5(62/9('</w:t>
      </w:r>
      <w:r>
        <w:rPr>
          <w:rFonts w:ascii="PMingLiU" w:cs="PMingLiU" w:eastAsia="PMingLiU" w:hAnsi="PMingLiU"/>
          <w:sz w:val="13"/>
          <w:szCs w:val="13"/>
          <w:color w:val="000000"/>
        </w:rPr>
        <w:t>WKDWDQ\PRWLRQWRDGMRXUQWKHDQQXDOPHHWLQJRUDQ\</w:t>
      </w:r>
      <w:r>
        <w:rPr>
          <w:rFonts w:ascii="PMingLiU" w:cs="PMingLiU" w:eastAsia="PMingLiU" w:hAnsi="PMingLiU"/>
          <w:sz w:val="13"/>
          <w:szCs w:val="13"/>
          <w:b w:val="1"/>
          <w:bCs w:val="1"/>
          <w:color w:val="000046"/>
        </w:rPr>
        <w:t xml:space="preserve"> </w:t>
      </w:r>
      <w:r>
        <w:rPr>
          <w:rFonts w:ascii="PMingLiU" w:cs="PMingLiU" w:eastAsia="PMingLiU" w:hAnsi="PMingLiU"/>
          <w:sz w:val="13"/>
          <w:szCs w:val="13"/>
          <w:color w:val="000000"/>
        </w:rPr>
        <w:t>DGMRXUQPHQWVWKHUHRIWRDQRWKHUWLPHDQGSODFHWRVROLFLWDGGLWLRQDOSUR[LHV LIWKHUHDUHLQVXIILFLHQWYRWHVDWWKHWLPHRIWKHDQQXDOPHHWLQJWRDSSURYH HLWKHU3URSRVDORU3URSRVDOVHWIRUWKLQWKLVSUR[\VWDWHPHQWEH DSSURYHG´</w:t>
      </w:r>
    </w:p>
    <w:p>
      <w:pPr>
        <w:spacing w:after="0" w:line="2" w:lineRule="exact"/>
        <w:rPr>
          <w:sz w:val="20"/>
          <w:szCs w:val="20"/>
          <w:color w:val="auto"/>
        </w:rPr>
      </w:pPr>
    </w:p>
    <w:p>
      <w:pPr>
        <w:ind w:right="40"/>
        <w:spacing w:after="0" w:line="398" w:lineRule="auto"/>
        <w:rPr>
          <w:sz w:val="20"/>
          <w:szCs w:val="20"/>
          <w:color w:val="auto"/>
        </w:rPr>
      </w:pPr>
      <w:r>
        <w:rPr>
          <w:rFonts w:ascii="PMingLiU" w:cs="PMingLiU" w:eastAsia="PMingLiU" w:hAnsi="PMingLiU"/>
          <w:sz w:val="15"/>
          <w:szCs w:val="15"/>
          <w:color w:val="auto"/>
        </w:rPr>
        <w:t>3URSRVDOLVDQRUGLQDU\UHVROXWLRQDQGPXVWUHFHLYHWKHDIILUPDWLYHYRWHRIDPDMRULW\RIWKHYRWHVFDVWLQSHUVRQRUE\SUR[\ DWRXU$*0LQFOXGLQJDQ\DGMRXUQPHQWWKHUHRILQRUGHUWREHDSSURYHG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400800" cy="6762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400">
                      <a:extLst>
                        <a:ext uri="{28A0092B-C50C-407E-A947-70E740481C1C}"/>
                      </a:extLst>
                    </a:blip>
                    <a:srcRect/>
                    <a:stretch>
                      <a:fillRect/>
                    </a:stretch>
                  </pic:blipFill>
                  <pic:spPr bwMode="auto">
                    <a:xfrm>
                      <a:off x="0" y="0"/>
                      <a:ext cx="6400800" cy="67627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0"/>
        <w:spacing w:after="0"/>
        <w:rPr>
          <w:sz w:val="20"/>
          <w:szCs w:val="20"/>
          <w:color w:val="auto"/>
        </w:rPr>
      </w:pPr>
      <w:r>
        <w:rPr>
          <w:rFonts w:ascii="PMingLiU" w:cs="PMingLiU" w:eastAsia="PMingLiU" w:hAnsi="PMingLiU"/>
          <w:sz w:val="20"/>
          <w:szCs w:val="20"/>
          <w:b w:val="1"/>
          <w:bCs w:val="1"/>
          <w:color w:val="2D2C36"/>
        </w:rPr>
        <w:t>285%2$5'5(&amp;200(1'6$927(</w:t>
      </w:r>
      <w:r>
        <w:rPr>
          <w:rFonts w:ascii="PMingLiU" w:cs="PMingLiU" w:eastAsia="PMingLiU" w:hAnsi="PMingLiU"/>
          <w:sz w:val="20"/>
          <w:szCs w:val="20"/>
          <w:b w:val="1"/>
          <w:bCs w:val="1"/>
          <w:color w:val="5C004D"/>
        </w:rPr>
        <w:t>³)25´</w:t>
      </w:r>
      <w:r>
        <w:rPr>
          <w:rFonts w:ascii="PMingLiU" w:cs="PMingLiU" w:eastAsia="PMingLiU" w:hAnsi="PMingLiU"/>
          <w:sz w:val="20"/>
          <w:szCs w:val="20"/>
          <w:b w:val="1"/>
          <w:bCs w:val="1"/>
          <w:color w:val="2D2C36"/>
        </w:rPr>
        <w:t>352326$/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4260215</wp:posOffset>
            </wp:positionV>
            <wp:extent cx="1386840" cy="23368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40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30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20"/>
          </w:cols>
          <w:pgMar w:left="900" w:top="1015" w:right="959" w:bottom="0" w:gutter="0" w:footer="0" w:header="0"/>
        </w:sectPr>
      </w:pPr>
    </w:p>
    <w:bookmarkStart w:id="113" w:name="page114"/>
    <w:bookmarkEnd w:id="113"/>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ind w:right="480"/>
        <w:spacing w:after="0" w:line="294" w:lineRule="auto"/>
        <w:rPr>
          <w:sz w:val="20"/>
          <w:szCs w:val="20"/>
          <w:color w:val="auto"/>
        </w:rPr>
      </w:pPr>
      <w:r>
        <w:rPr>
          <w:rFonts w:ascii="PMingLiU" w:cs="PMingLiU" w:eastAsia="PMingLiU" w:hAnsi="PMingLiU"/>
          <w:sz w:val="58"/>
          <w:szCs w:val="58"/>
          <w:b w:val="1"/>
          <w:bCs w:val="1"/>
          <w:color w:val="000046"/>
        </w:rPr>
        <w:t>6HFXULW\2ZQHUVKLSRI&amp;HUWDLQ %HQHILFLDO2ZQHUV 0DQDJHPHQW</w:t>
      </w:r>
    </w:p>
    <w:p>
      <w:pPr>
        <w:spacing w:after="0" w:line="334" w:lineRule="exact"/>
        <w:rPr>
          <w:sz w:val="20"/>
          <w:szCs w:val="20"/>
          <w:color w:val="auto"/>
        </w:rPr>
      </w:pPr>
    </w:p>
    <w:p>
      <w:pPr>
        <w:spacing w:after="0" w:line="345" w:lineRule="auto"/>
        <w:rPr>
          <w:sz w:val="20"/>
          <w:szCs w:val="20"/>
          <w:color w:val="auto"/>
        </w:rPr>
      </w:pPr>
      <w:r>
        <w:rPr>
          <w:rFonts w:ascii="PMingLiU" w:cs="PMingLiU" w:eastAsia="PMingLiU" w:hAnsi="PMingLiU"/>
          <w:sz w:val="15"/>
          <w:szCs w:val="15"/>
          <w:color w:val="auto"/>
        </w:rPr>
        <w:t>7KHIROORZLQJWDEOHVHWVIRUWKFHUWDLQLQIRUPDWLRQUHJDUGLQJWKHRZQHUVKLSRIRXURUGLQDU\VKDUHVDVRI0D\H[FHSWDV QRWHGE\LHDFKGLUHFWRUDQGGLUHFWRUQRPLQHHLLHDFKRIRXU1(2VLLLDOORIRXUFXUUHQWH[HFXWLYHRIILFHUVGLUHFWRUVDQG GLUHFWRUQRPLQHHVDVDJURXSDQGLYDOOWKRVHNQRZQE\XVWREHEHQHILFLDORZQHUVRIPRUHWKDQILYHSHUFHQWRIRXURUGLQDU\ VKDUHV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84455</wp:posOffset>
            </wp:positionV>
            <wp:extent cx="2578100"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03">
                      <a:extLst>
                        <a:ext uri="{28A0092B-C50C-407E-A947-70E740481C1C}"/>
                      </a:extLst>
                    </a:blip>
                    <a:srcRect/>
                    <a:stretch>
                      <a:fillRect/>
                    </a:stretch>
                  </pic:blipFill>
                  <pic:spPr bwMode="auto">
                    <a:xfrm>
                      <a:off x="0" y="0"/>
                      <a:ext cx="2578100" cy="2540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50"/>
        </w:trPr>
        <w:tc>
          <w:tcPr>
            <w:tcW w:w="80" w:type="dxa"/>
            <w:vAlign w:val="bottom"/>
          </w:tcPr>
          <w:p>
            <w:pPr>
              <w:spacing w:after="0"/>
              <w:rPr>
                <w:sz w:val="24"/>
                <w:szCs w:val="24"/>
                <w:color w:val="auto"/>
              </w:rPr>
            </w:pPr>
          </w:p>
        </w:tc>
        <w:tc>
          <w:tcPr>
            <w:tcW w:w="6000" w:type="dxa"/>
            <w:vAlign w:val="bottom"/>
            <w:tcBorders>
              <w:right w:val="single" w:sz="8" w:color="000046"/>
            </w:tcBorders>
          </w:tcPr>
          <w:p>
            <w:pPr>
              <w:spacing w:after="0"/>
              <w:rPr>
                <w:sz w:val="24"/>
                <w:szCs w:val="24"/>
                <w:color w:val="auto"/>
              </w:rPr>
            </w:pPr>
          </w:p>
        </w:tc>
        <w:tc>
          <w:tcPr>
            <w:tcW w:w="4020" w:type="dxa"/>
            <w:vAlign w:val="bottom"/>
            <w:tcBorders>
              <w:top w:val="single" w:sz="8" w:color="000046"/>
              <w:right w:val="single" w:sz="8" w:color="000046"/>
            </w:tcBorders>
            <w:gridSpan w:val="2"/>
          </w:tcPr>
          <w:p>
            <w:pPr>
              <w:jc w:val="right"/>
              <w:ind w:right="1100"/>
              <w:spacing w:after="0"/>
              <w:rPr>
                <w:sz w:val="20"/>
                <w:szCs w:val="20"/>
                <w:color w:val="auto"/>
              </w:rPr>
            </w:pPr>
            <w:r>
              <w:rPr>
                <w:rFonts w:ascii="PMingLiU" w:cs="PMingLiU" w:eastAsia="PMingLiU" w:hAnsi="PMingLiU"/>
                <w:sz w:val="16"/>
                <w:szCs w:val="16"/>
                <w:b w:val="1"/>
                <w:bCs w:val="1"/>
                <w:color w:val="000046"/>
              </w:rPr>
              <w:t>%HQHILFLDO2ZQHUVKLS</w:t>
            </w:r>
            <w:r>
              <w:rPr>
                <w:rFonts w:ascii="PMingLiU" w:cs="PMingLiU" w:eastAsia="PMingLiU" w:hAnsi="PMingLiU"/>
                <w:sz w:val="20"/>
                <w:szCs w:val="20"/>
                <w:b w:val="1"/>
                <w:bCs w:val="1"/>
                <w:color w:val="000046"/>
                <w:vertAlign w:val="superscript"/>
              </w:rPr>
              <w:t/>
            </w:r>
          </w:p>
        </w:tc>
      </w:tr>
      <w:tr>
        <w:trPr>
          <w:trHeight w:val="301"/>
        </w:trPr>
        <w:tc>
          <w:tcPr>
            <w:tcW w:w="80" w:type="dxa"/>
            <w:vAlign w:val="bottom"/>
            <w:shd w:val="clear" w:color="auto" w:fill="000046"/>
          </w:tcPr>
          <w:p>
            <w:pPr>
              <w:spacing w:after="0"/>
              <w:rPr>
                <w:sz w:val="24"/>
                <w:szCs w:val="24"/>
                <w:color w:val="auto"/>
              </w:rPr>
            </w:pPr>
          </w:p>
        </w:tc>
        <w:tc>
          <w:tcPr>
            <w:tcW w:w="6000" w:type="dxa"/>
            <w:vAlign w:val="bottom"/>
            <w:tcBorders>
              <w:right w:val="single" w:sz="8" w:color="000046"/>
            </w:tcBorders>
            <w:shd w:val="clear" w:color="auto" w:fill="000046"/>
          </w:tcPr>
          <w:p>
            <w:pPr>
              <w:spacing w:after="0"/>
              <w:rPr>
                <w:sz w:val="24"/>
                <w:szCs w:val="24"/>
                <w:color w:val="auto"/>
              </w:rPr>
            </w:pPr>
          </w:p>
        </w:tc>
        <w:tc>
          <w:tcPr>
            <w:tcW w:w="2200" w:type="dxa"/>
            <w:vAlign w:val="bottom"/>
            <w:shd w:val="clear" w:color="auto" w:fill="000046"/>
          </w:tcPr>
          <w:p>
            <w:pPr>
              <w:jc w:val="right"/>
              <w:ind w:right="160"/>
              <w:spacing w:after="0"/>
              <w:rPr>
                <w:sz w:val="20"/>
                <w:szCs w:val="20"/>
                <w:color w:val="auto"/>
              </w:rPr>
            </w:pPr>
            <w:r>
              <w:rPr>
                <w:rFonts w:ascii="PMingLiU" w:cs="PMingLiU" w:eastAsia="PMingLiU" w:hAnsi="PMingLiU"/>
                <w:sz w:val="16"/>
                <w:szCs w:val="16"/>
                <w:b w:val="1"/>
                <w:bCs w:val="1"/>
                <w:color w:val="FFFFFF"/>
              </w:rPr>
              <w:t>1XPEHURI6KDUHV</w:t>
            </w:r>
          </w:p>
        </w:tc>
        <w:tc>
          <w:tcPr>
            <w:tcW w:w="1820" w:type="dxa"/>
            <w:vAlign w:val="bottom"/>
            <w:tcBorders>
              <w:right w:val="single" w:sz="8" w:color="000046"/>
            </w:tcBorders>
            <w:shd w:val="clear" w:color="auto" w:fill="000046"/>
          </w:tcPr>
          <w:p>
            <w:pPr>
              <w:jc w:val="right"/>
              <w:ind w:right="20"/>
              <w:spacing w:after="0"/>
              <w:rPr>
                <w:sz w:val="20"/>
                <w:szCs w:val="20"/>
                <w:color w:val="auto"/>
              </w:rPr>
            </w:pPr>
            <w:r>
              <w:rPr>
                <w:rFonts w:ascii="PMingLiU" w:cs="PMingLiU" w:eastAsia="PMingLiU" w:hAnsi="PMingLiU"/>
                <w:sz w:val="16"/>
                <w:szCs w:val="16"/>
                <w:b w:val="1"/>
                <w:bCs w:val="1"/>
                <w:color w:val="FFFFFF"/>
              </w:rPr>
              <w:t>3HUFHQWDJHRI7RWDO</w:t>
            </w:r>
          </w:p>
        </w:tc>
      </w:tr>
      <w:tr>
        <w:trPr>
          <w:trHeight w:val="284"/>
        </w:trPr>
        <w:tc>
          <w:tcPr>
            <w:tcW w:w="80" w:type="dxa"/>
            <w:vAlign w:val="bottom"/>
            <w:shd w:val="clear" w:color="auto" w:fill="000046"/>
          </w:tcPr>
          <w:p>
            <w:pPr>
              <w:spacing w:after="0"/>
              <w:rPr>
                <w:sz w:val="24"/>
                <w:szCs w:val="24"/>
                <w:color w:val="auto"/>
              </w:rPr>
            </w:pPr>
          </w:p>
        </w:tc>
        <w:tc>
          <w:tcPr>
            <w:tcW w:w="6000" w:type="dxa"/>
            <w:vAlign w:val="bottom"/>
            <w:tcBorders>
              <w:right w:val="single" w:sz="8" w:color="000046"/>
            </w:tcBorders>
            <w:shd w:val="clear" w:color="auto" w:fill="000046"/>
          </w:tcPr>
          <w:p>
            <w:pPr>
              <w:ind w:left="20"/>
              <w:spacing w:after="0"/>
              <w:rPr>
                <w:sz w:val="20"/>
                <w:szCs w:val="20"/>
                <w:color w:val="auto"/>
              </w:rPr>
            </w:pPr>
            <w:r>
              <w:rPr>
                <w:rFonts w:ascii="PMingLiU" w:cs="PMingLiU" w:eastAsia="PMingLiU" w:hAnsi="PMingLiU"/>
                <w:sz w:val="16"/>
                <w:szCs w:val="16"/>
                <w:b w:val="1"/>
                <w:bCs w:val="1"/>
                <w:color w:val="FFFFFF"/>
              </w:rPr>
              <w:t>1DPHDQG$GGUHVVRI%HQHILFLDO2ZQHU</w:t>
            </w:r>
            <w:r>
              <w:rPr>
                <w:rFonts w:ascii="PMingLiU" w:cs="PMingLiU" w:eastAsia="PMingLiU" w:hAnsi="PMingLiU"/>
                <w:sz w:val="20"/>
                <w:szCs w:val="20"/>
                <w:b w:val="1"/>
                <w:bCs w:val="1"/>
                <w:color w:val="FFFFFF"/>
                <w:vertAlign w:val="superscript"/>
              </w:rPr>
              <w:t/>
            </w:r>
          </w:p>
        </w:tc>
        <w:tc>
          <w:tcPr>
            <w:tcW w:w="2200" w:type="dxa"/>
            <w:vAlign w:val="bottom"/>
            <w:shd w:val="clear" w:color="auto" w:fill="000046"/>
          </w:tcPr>
          <w:p>
            <w:pPr>
              <w:jc w:val="right"/>
              <w:ind w:right="160"/>
              <w:spacing w:after="0"/>
              <w:rPr>
                <w:sz w:val="20"/>
                <w:szCs w:val="20"/>
                <w:color w:val="auto"/>
              </w:rPr>
            </w:pPr>
            <w:r>
              <w:rPr>
                <w:rFonts w:ascii="PMingLiU" w:cs="PMingLiU" w:eastAsia="PMingLiU" w:hAnsi="PMingLiU"/>
                <w:sz w:val="16"/>
                <w:szCs w:val="16"/>
                <w:b w:val="1"/>
                <w:bCs w:val="1"/>
                <w:color w:val="FFFFFF"/>
              </w:rPr>
              <w:t/>
            </w:r>
          </w:p>
        </w:tc>
        <w:tc>
          <w:tcPr>
            <w:tcW w:w="1820" w:type="dxa"/>
            <w:vAlign w:val="bottom"/>
            <w:tcBorders>
              <w:right w:val="single" w:sz="8" w:color="000046"/>
            </w:tcBorders>
            <w:shd w:val="clear" w:color="auto" w:fill="000046"/>
          </w:tcPr>
          <w:p>
            <w:pPr>
              <w:jc w:val="right"/>
              <w:ind w:right="60"/>
              <w:spacing w:after="0"/>
              <w:rPr>
                <w:sz w:val="20"/>
                <w:szCs w:val="20"/>
                <w:color w:val="auto"/>
              </w:rPr>
            </w:pPr>
            <w:r>
              <w:rPr>
                <w:rFonts w:ascii="PMingLiU" w:cs="PMingLiU" w:eastAsia="PMingLiU" w:hAnsi="PMingLiU"/>
                <w:sz w:val="16"/>
                <w:szCs w:val="16"/>
                <w:b w:val="1"/>
                <w:bCs w:val="1"/>
                <w:color w:val="FFFFFF"/>
              </w:rPr>
              <w:t/>
            </w:r>
          </w:p>
        </w:tc>
      </w:tr>
      <w:tr>
        <w:trPr>
          <w:trHeight w:val="293"/>
        </w:trPr>
        <w:tc>
          <w:tcPr>
            <w:tcW w:w="80" w:type="dxa"/>
            <w:vAlign w:val="bottom"/>
            <w:shd w:val="clear" w:color="auto" w:fill="F3F3F1"/>
          </w:tcPr>
          <w:p>
            <w:pPr>
              <w:spacing w:after="0"/>
              <w:rPr>
                <w:sz w:val="24"/>
                <w:szCs w:val="24"/>
                <w:color w:val="auto"/>
              </w:rPr>
            </w:pPr>
          </w:p>
        </w:tc>
        <w:tc>
          <w:tcPr>
            <w:tcW w:w="6000" w:type="dxa"/>
            <w:vAlign w:val="bottom"/>
            <w:tcBorders>
              <w:right w:val="single" w:sz="8" w:color="F3F3F1"/>
            </w:tcBorders>
            <w:shd w:val="clear" w:color="auto" w:fill="F3F3F1"/>
          </w:tcPr>
          <w:p>
            <w:pPr>
              <w:ind w:left="20"/>
              <w:spacing w:after="0"/>
              <w:rPr>
                <w:sz w:val="20"/>
                <w:szCs w:val="20"/>
                <w:color w:val="auto"/>
              </w:rPr>
            </w:pPr>
            <w:r>
              <w:rPr>
                <w:rFonts w:ascii="PMingLiU" w:cs="PMingLiU" w:eastAsia="PMingLiU" w:hAnsi="PMingLiU"/>
                <w:sz w:val="16"/>
                <w:szCs w:val="16"/>
                <w:b w:val="1"/>
                <w:bCs w:val="1"/>
                <w:color w:val="4454A7"/>
              </w:rPr>
              <w:t>6+$5(+2/'(56</w:t>
            </w:r>
          </w:p>
        </w:tc>
        <w:tc>
          <w:tcPr>
            <w:tcW w:w="2200" w:type="dxa"/>
            <w:vAlign w:val="bottom"/>
            <w:shd w:val="clear" w:color="auto" w:fill="F3F3F1"/>
          </w:tcPr>
          <w:p>
            <w:pPr>
              <w:spacing w:after="0"/>
              <w:rPr>
                <w:sz w:val="24"/>
                <w:szCs w:val="24"/>
                <w:color w:val="auto"/>
              </w:rPr>
            </w:pPr>
          </w:p>
        </w:tc>
        <w:tc>
          <w:tcPr>
            <w:tcW w:w="1820" w:type="dxa"/>
            <w:vAlign w:val="bottom"/>
            <w:tcBorders>
              <w:right w:val="single" w:sz="8" w:color="F3F3F1"/>
            </w:tcBorders>
            <w:shd w:val="clear" w:color="auto" w:fill="F3F3F1"/>
          </w:tcPr>
          <w:p>
            <w:pPr>
              <w:spacing w:after="0"/>
              <w:rPr>
                <w:sz w:val="24"/>
                <w:szCs w:val="24"/>
                <w:color w:val="auto"/>
              </w:rPr>
            </w:pPr>
          </w:p>
        </w:tc>
      </w:tr>
      <w:tr>
        <w:trPr>
          <w:trHeight w:val="67"/>
        </w:trPr>
        <w:tc>
          <w:tcPr>
            <w:tcW w:w="80" w:type="dxa"/>
            <w:vAlign w:val="bottom"/>
            <w:shd w:val="clear" w:color="auto" w:fill="F3F3F1"/>
          </w:tcPr>
          <w:p>
            <w:pPr>
              <w:spacing w:after="0"/>
              <w:rPr>
                <w:sz w:val="5"/>
                <w:szCs w:val="5"/>
                <w:color w:val="auto"/>
              </w:rPr>
            </w:pPr>
          </w:p>
        </w:tc>
        <w:tc>
          <w:tcPr>
            <w:tcW w:w="6000" w:type="dxa"/>
            <w:vAlign w:val="bottom"/>
            <w:tcBorders>
              <w:right w:val="single" w:sz="8" w:color="F3F3F1"/>
            </w:tcBorders>
            <w:shd w:val="clear" w:color="auto" w:fill="F3F3F1"/>
          </w:tcPr>
          <w:p>
            <w:pPr>
              <w:spacing w:after="0"/>
              <w:rPr>
                <w:sz w:val="5"/>
                <w:szCs w:val="5"/>
                <w:color w:val="auto"/>
              </w:rPr>
            </w:pPr>
          </w:p>
        </w:tc>
        <w:tc>
          <w:tcPr>
            <w:tcW w:w="2200" w:type="dxa"/>
            <w:vAlign w:val="bottom"/>
            <w:shd w:val="clear" w:color="auto" w:fill="F3F3F1"/>
          </w:tcPr>
          <w:p>
            <w:pPr>
              <w:spacing w:after="0"/>
              <w:rPr>
                <w:sz w:val="5"/>
                <w:szCs w:val="5"/>
                <w:color w:val="auto"/>
              </w:rPr>
            </w:pPr>
          </w:p>
        </w:tc>
        <w:tc>
          <w:tcPr>
            <w:tcW w:w="1820" w:type="dxa"/>
            <w:vAlign w:val="bottom"/>
            <w:tcBorders>
              <w:right w:val="single" w:sz="8" w:color="F3F3F1"/>
            </w:tcBorders>
            <w:shd w:val="clear" w:color="auto" w:fill="F3F3F1"/>
          </w:tcPr>
          <w:p>
            <w:pPr>
              <w:spacing w:after="0"/>
              <w:rPr>
                <w:sz w:val="5"/>
                <w:szCs w:val="5"/>
                <w:color w:val="auto"/>
              </w:rPr>
            </w:pPr>
          </w:p>
        </w:tc>
      </w:tr>
      <w:tr>
        <w:trPr>
          <w:trHeight w:val="229"/>
        </w:trPr>
        <w:tc>
          <w:tcPr>
            <w:tcW w:w="80" w:type="dxa"/>
            <w:vAlign w:val="bottom"/>
          </w:tcPr>
          <w:p>
            <w:pPr>
              <w:spacing w:after="0"/>
              <w:rPr>
                <w:sz w:val="19"/>
                <w:szCs w:val="19"/>
                <w:color w:val="auto"/>
              </w:rPr>
            </w:pPr>
          </w:p>
        </w:tc>
        <w:tc>
          <w:tcPr>
            <w:tcW w:w="6000" w:type="dxa"/>
            <w:vAlign w:val="bottom"/>
          </w:tcPr>
          <w:p>
            <w:pPr>
              <w:ind w:left="20"/>
              <w:spacing w:after="0" w:line="229" w:lineRule="exact"/>
              <w:rPr>
                <w:sz w:val="20"/>
                <w:szCs w:val="20"/>
                <w:color w:val="auto"/>
              </w:rPr>
            </w:pPr>
            <w:r>
              <w:rPr>
                <w:rFonts w:ascii="PMingLiU" w:cs="PMingLiU" w:eastAsia="PMingLiU" w:hAnsi="PMingLiU"/>
                <w:sz w:val="16"/>
                <w:szCs w:val="16"/>
                <w:color w:val="auto"/>
              </w:rPr>
              <w:t>%ODFN5RFN,QF</w:t>
            </w:r>
            <w:r>
              <w:rPr>
                <w:rFonts w:ascii="PMingLiU" w:cs="PMingLiU" w:eastAsia="PMingLiU" w:hAnsi="PMingLiU"/>
                <w:sz w:val="20"/>
                <w:szCs w:val="20"/>
                <w:color w:val="auto"/>
                <w:vertAlign w:val="superscript"/>
              </w:rPr>
              <w:t/>
            </w:r>
          </w:p>
        </w:tc>
        <w:tc>
          <w:tcPr>
            <w:tcW w:w="2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92"/>
        </w:trPr>
        <w:tc>
          <w:tcPr>
            <w:tcW w:w="80" w:type="dxa"/>
            <w:vAlign w:val="bottom"/>
          </w:tcPr>
          <w:p>
            <w:pPr>
              <w:spacing w:after="0"/>
              <w:rPr>
                <w:sz w:val="16"/>
                <w:szCs w:val="16"/>
                <w:color w:val="auto"/>
              </w:rPr>
            </w:pPr>
          </w:p>
        </w:tc>
        <w:tc>
          <w:tcPr>
            <w:tcW w:w="6000" w:type="dxa"/>
            <w:vAlign w:val="bottom"/>
          </w:tcPr>
          <w:p>
            <w:pPr>
              <w:ind w:left="20"/>
              <w:spacing w:after="0"/>
              <w:rPr>
                <w:sz w:val="20"/>
                <w:szCs w:val="20"/>
                <w:color w:val="auto"/>
              </w:rPr>
            </w:pPr>
            <w:r>
              <w:rPr>
                <w:rFonts w:ascii="PMingLiU" w:cs="PMingLiU" w:eastAsia="PMingLiU" w:hAnsi="PMingLiU"/>
                <w:sz w:val="16"/>
                <w:szCs w:val="16"/>
                <w:color w:val="auto"/>
              </w:rPr>
              <w:t>+XGVRQ&lt;DUGV</w:t>
            </w:r>
          </w:p>
        </w:tc>
        <w:tc>
          <w:tcPr>
            <w:tcW w:w="2200" w:type="dxa"/>
            <w:vAlign w:val="bottom"/>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r>
      <w:tr>
        <w:trPr>
          <w:trHeight w:val="213"/>
        </w:trPr>
        <w:tc>
          <w:tcPr>
            <w:tcW w:w="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PMingLiU" w:cs="PMingLiU" w:eastAsia="PMingLiU" w:hAnsi="PMingLiU"/>
                <w:sz w:val="16"/>
                <w:szCs w:val="16"/>
                <w:color w:val="auto"/>
              </w:rPr>
              <w:t>1HZ&lt;RUN1&lt;</w:t>
            </w:r>
          </w:p>
        </w:tc>
        <w:tc>
          <w:tcPr>
            <w:tcW w:w="2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1"/>
        </w:trPr>
        <w:tc>
          <w:tcPr>
            <w:tcW w:w="80" w:type="dxa"/>
            <w:vAlign w:val="bottom"/>
          </w:tcPr>
          <w:p>
            <w:pPr>
              <w:spacing w:after="0"/>
              <w:rPr>
                <w:sz w:val="3"/>
                <w:szCs w:val="3"/>
                <w:color w:val="auto"/>
              </w:rPr>
            </w:pPr>
          </w:p>
        </w:tc>
        <w:tc>
          <w:tcPr>
            <w:tcW w:w="60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93"/>
        </w:trPr>
        <w:tc>
          <w:tcPr>
            <w:tcW w:w="80" w:type="dxa"/>
            <w:vAlign w:val="bottom"/>
            <w:shd w:val="clear" w:color="auto" w:fill="F3F3F1"/>
          </w:tcPr>
          <w:p>
            <w:pPr>
              <w:spacing w:after="0"/>
              <w:rPr>
                <w:sz w:val="24"/>
                <w:szCs w:val="24"/>
                <w:color w:val="auto"/>
              </w:rPr>
            </w:pPr>
          </w:p>
        </w:tc>
        <w:tc>
          <w:tcPr>
            <w:tcW w:w="6000" w:type="dxa"/>
            <w:vAlign w:val="bottom"/>
            <w:tcBorders>
              <w:right w:val="single" w:sz="8" w:color="F3F3F1"/>
            </w:tcBorders>
            <w:shd w:val="clear" w:color="auto" w:fill="F3F3F1"/>
          </w:tcPr>
          <w:p>
            <w:pPr>
              <w:ind w:left="20"/>
              <w:spacing w:after="0"/>
              <w:rPr>
                <w:sz w:val="20"/>
                <w:szCs w:val="20"/>
                <w:color w:val="auto"/>
              </w:rPr>
            </w:pPr>
            <w:r>
              <w:rPr>
                <w:rFonts w:ascii="PMingLiU" w:cs="PMingLiU" w:eastAsia="PMingLiU" w:hAnsi="PMingLiU"/>
                <w:sz w:val="16"/>
                <w:szCs w:val="16"/>
                <w:b w:val="1"/>
                <w:bCs w:val="1"/>
                <w:color w:val="4454A7"/>
              </w:rPr>
              <w:t>1(2V$1'',5(&amp;7256</w:t>
            </w:r>
          </w:p>
        </w:tc>
        <w:tc>
          <w:tcPr>
            <w:tcW w:w="2200" w:type="dxa"/>
            <w:vAlign w:val="bottom"/>
            <w:shd w:val="clear" w:color="auto" w:fill="F3F3F1"/>
          </w:tcPr>
          <w:p>
            <w:pPr>
              <w:spacing w:after="0"/>
              <w:rPr>
                <w:sz w:val="24"/>
                <w:szCs w:val="24"/>
                <w:color w:val="auto"/>
              </w:rPr>
            </w:pPr>
          </w:p>
        </w:tc>
        <w:tc>
          <w:tcPr>
            <w:tcW w:w="1820" w:type="dxa"/>
            <w:vAlign w:val="bottom"/>
            <w:tcBorders>
              <w:right w:val="single" w:sz="8" w:color="F3F3F1"/>
            </w:tcBorders>
            <w:shd w:val="clear" w:color="auto" w:fill="F3F3F1"/>
          </w:tcPr>
          <w:p>
            <w:pPr>
              <w:spacing w:after="0"/>
              <w:rPr>
                <w:sz w:val="24"/>
                <w:szCs w:val="24"/>
                <w:color w:val="auto"/>
              </w:rPr>
            </w:pPr>
          </w:p>
        </w:tc>
      </w:tr>
      <w:tr>
        <w:trPr>
          <w:trHeight w:val="67"/>
        </w:trPr>
        <w:tc>
          <w:tcPr>
            <w:tcW w:w="80" w:type="dxa"/>
            <w:vAlign w:val="bottom"/>
            <w:shd w:val="clear" w:color="auto" w:fill="F3F3F1"/>
          </w:tcPr>
          <w:p>
            <w:pPr>
              <w:spacing w:after="0"/>
              <w:rPr>
                <w:sz w:val="5"/>
                <w:szCs w:val="5"/>
                <w:color w:val="auto"/>
              </w:rPr>
            </w:pPr>
          </w:p>
        </w:tc>
        <w:tc>
          <w:tcPr>
            <w:tcW w:w="6000" w:type="dxa"/>
            <w:vAlign w:val="bottom"/>
            <w:tcBorders>
              <w:right w:val="single" w:sz="8" w:color="F3F3F1"/>
            </w:tcBorders>
            <w:shd w:val="clear" w:color="auto" w:fill="F3F3F1"/>
          </w:tcPr>
          <w:p>
            <w:pPr>
              <w:spacing w:after="0"/>
              <w:rPr>
                <w:sz w:val="5"/>
                <w:szCs w:val="5"/>
                <w:color w:val="auto"/>
              </w:rPr>
            </w:pPr>
          </w:p>
        </w:tc>
        <w:tc>
          <w:tcPr>
            <w:tcW w:w="2200" w:type="dxa"/>
            <w:vAlign w:val="bottom"/>
            <w:shd w:val="clear" w:color="auto" w:fill="F3F3F1"/>
          </w:tcPr>
          <w:p>
            <w:pPr>
              <w:spacing w:after="0"/>
              <w:rPr>
                <w:sz w:val="5"/>
                <w:szCs w:val="5"/>
                <w:color w:val="auto"/>
              </w:rPr>
            </w:pPr>
          </w:p>
        </w:tc>
        <w:tc>
          <w:tcPr>
            <w:tcW w:w="1820" w:type="dxa"/>
            <w:vAlign w:val="bottom"/>
            <w:tcBorders>
              <w:right w:val="single" w:sz="8" w:color="F3F3F1"/>
            </w:tcBorders>
            <w:shd w:val="clear" w:color="auto" w:fill="F3F3F1"/>
          </w:tcPr>
          <w:p>
            <w:pPr>
              <w:spacing w:after="0"/>
              <w:rPr>
                <w:sz w:val="5"/>
                <w:szCs w:val="5"/>
                <w:color w:val="auto"/>
              </w:rPr>
            </w:pPr>
          </w:p>
        </w:tc>
      </w:tr>
      <w:tr>
        <w:trPr>
          <w:trHeight w:val="313"/>
        </w:trPr>
        <w:tc>
          <w:tcPr>
            <w:tcW w:w="80" w:type="dxa"/>
            <w:vAlign w:val="bottom"/>
            <w:tcBorders>
              <w:bottom w:val="single" w:sz="8" w:color="344C68"/>
            </w:tcBorders>
          </w:tcPr>
          <w:p>
            <w:pPr>
              <w:spacing w:after="0"/>
              <w:rPr>
                <w:sz w:val="24"/>
                <w:szCs w:val="24"/>
                <w:color w:val="auto"/>
              </w:rPr>
            </w:pPr>
          </w:p>
        </w:tc>
        <w:tc>
          <w:tcPr>
            <w:tcW w:w="6000" w:type="dxa"/>
            <w:vAlign w:val="bottom"/>
            <w:tcBorders>
              <w:bottom w:val="single" w:sz="8" w:color="344C68"/>
            </w:tcBorders>
          </w:tcPr>
          <w:p>
            <w:pPr>
              <w:ind w:left="20"/>
              <w:spacing w:after="0"/>
              <w:rPr>
                <w:sz w:val="20"/>
                <w:szCs w:val="20"/>
                <w:color w:val="auto"/>
              </w:rPr>
            </w:pPr>
            <w:r>
              <w:rPr>
                <w:rFonts w:ascii="PMingLiU" w:cs="PMingLiU" w:eastAsia="PMingLiU" w:hAnsi="PMingLiU"/>
                <w:sz w:val="16"/>
                <w:szCs w:val="16"/>
                <w:color w:val="auto"/>
              </w:rPr>
              <w:t>5HQHH'*DOD</w:t>
            </w:r>
            <w:r>
              <w:rPr>
                <w:rFonts w:ascii="PMingLiU" w:cs="PMingLiU" w:eastAsia="PMingLiU" w:hAnsi="PMingLiU"/>
                <w:sz w:val="20"/>
                <w:szCs w:val="20"/>
                <w:color w:val="auto"/>
                <w:vertAlign w:val="superscript"/>
              </w:rPr>
              <w:t/>
            </w:r>
          </w:p>
        </w:tc>
        <w:tc>
          <w:tcPr>
            <w:tcW w:w="2200" w:type="dxa"/>
            <w:vAlign w:val="bottom"/>
            <w:tcBorders>
              <w:bottom w:val="single" w:sz="8" w:color="344C68"/>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344C68"/>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3KLOLS/-RKQVRQ</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%UXFH&amp;&amp;R]DGG</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5REHUW,DQQRQH0'06&amp;(</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1HHQD03DWLO</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6DPDQWKD3HDUFH</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-HQQLIHU(&amp;RRN</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3DWULFN*(QULJKW</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/DXUD-+DPLOO</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344C68"/>
            </w:tcBorders>
          </w:tcPr>
          <w:p>
            <w:pPr>
              <w:spacing w:after="0"/>
              <w:rPr>
                <w:sz w:val="24"/>
                <w:szCs w:val="24"/>
                <w:color w:val="auto"/>
              </w:rPr>
            </w:pPr>
          </w:p>
        </w:tc>
        <w:tc>
          <w:tcPr>
            <w:tcW w:w="6000" w:type="dxa"/>
            <w:vAlign w:val="bottom"/>
            <w:tcBorders>
              <w:bottom w:val="single" w:sz="8" w:color="344C68"/>
            </w:tcBorders>
          </w:tcPr>
          <w:p>
            <w:pPr>
              <w:ind w:left="20"/>
              <w:spacing w:after="0"/>
              <w:rPr>
                <w:sz w:val="20"/>
                <w:szCs w:val="20"/>
                <w:color w:val="auto"/>
              </w:rPr>
            </w:pPr>
            <w:r>
              <w:rPr>
                <w:rFonts w:ascii="PMingLiU" w:cs="PMingLiU" w:eastAsia="PMingLiU" w:hAnsi="PMingLiU"/>
                <w:sz w:val="16"/>
                <w:szCs w:val="16"/>
                <w:color w:val="auto"/>
              </w:rPr>
              <w:t>3DWULFN.HQQHG\</w:t>
            </w:r>
            <w:r>
              <w:rPr>
                <w:rFonts w:ascii="PMingLiU" w:cs="PMingLiU" w:eastAsia="PMingLiU" w:hAnsi="PMingLiU"/>
                <w:sz w:val="20"/>
                <w:szCs w:val="20"/>
                <w:color w:val="auto"/>
                <w:vertAlign w:val="superscript"/>
              </w:rPr>
              <w:t/>
            </w:r>
          </w:p>
        </w:tc>
        <w:tc>
          <w:tcPr>
            <w:tcW w:w="2200" w:type="dxa"/>
            <w:vAlign w:val="bottom"/>
            <w:tcBorders>
              <w:bottom w:val="single" w:sz="8" w:color="344C68"/>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344C68"/>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344C68"/>
            </w:tcBorders>
          </w:tcPr>
          <w:p>
            <w:pPr>
              <w:spacing w:after="0"/>
              <w:rPr>
                <w:sz w:val="24"/>
                <w:szCs w:val="24"/>
                <w:color w:val="auto"/>
              </w:rPr>
            </w:pPr>
          </w:p>
        </w:tc>
        <w:tc>
          <w:tcPr>
            <w:tcW w:w="6000" w:type="dxa"/>
            <w:vAlign w:val="bottom"/>
            <w:tcBorders>
              <w:bottom w:val="single" w:sz="8" w:color="344C68"/>
            </w:tcBorders>
          </w:tcPr>
          <w:p>
            <w:pPr>
              <w:ind w:left="20"/>
              <w:spacing w:after="0"/>
              <w:rPr>
                <w:sz w:val="20"/>
                <w:szCs w:val="20"/>
                <w:color w:val="auto"/>
              </w:rPr>
            </w:pPr>
            <w:r>
              <w:rPr>
                <w:rFonts w:ascii="PMingLiU" w:cs="PMingLiU" w:eastAsia="PMingLiU" w:hAnsi="PMingLiU"/>
                <w:sz w:val="16"/>
                <w:szCs w:val="16"/>
                <w:color w:val="auto"/>
              </w:rPr>
              <w:t>7HG:/RYH0'</w:t>
            </w:r>
            <w:r>
              <w:rPr>
                <w:rFonts w:ascii="PMingLiU" w:cs="PMingLiU" w:eastAsia="PMingLiU" w:hAnsi="PMingLiU"/>
                <w:sz w:val="20"/>
                <w:szCs w:val="20"/>
                <w:color w:val="auto"/>
                <w:vertAlign w:val="superscript"/>
              </w:rPr>
              <w:t/>
            </w:r>
          </w:p>
        </w:tc>
        <w:tc>
          <w:tcPr>
            <w:tcW w:w="2200" w:type="dxa"/>
            <w:vAlign w:val="bottom"/>
            <w:tcBorders>
              <w:bottom w:val="single" w:sz="8" w:color="344C68"/>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344C68"/>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+HDWKHU$QQ0F6KDUU\</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6HDPXV&amp;0XOOLJDQ</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2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$QQH2µ5LRUGDQ</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1RUEHUW*5LHGHO3K'</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4454A7"/>
            </w:tcBorders>
          </w:tcPr>
          <w:p>
            <w:pPr>
              <w:spacing w:after="0"/>
              <w:rPr>
                <w:sz w:val="24"/>
                <w:szCs w:val="24"/>
                <w:color w:val="auto"/>
              </w:rPr>
            </w:pPr>
          </w:p>
        </w:tc>
        <w:tc>
          <w:tcPr>
            <w:tcW w:w="6000" w:type="dxa"/>
            <w:vAlign w:val="bottom"/>
            <w:tcBorders>
              <w:bottom w:val="single" w:sz="8" w:color="4454A7"/>
            </w:tcBorders>
          </w:tcPr>
          <w:p>
            <w:pPr>
              <w:ind w:left="20"/>
              <w:spacing w:after="0"/>
              <w:rPr>
                <w:sz w:val="20"/>
                <w:szCs w:val="20"/>
                <w:color w:val="auto"/>
              </w:rPr>
            </w:pPr>
            <w:r>
              <w:rPr>
                <w:rFonts w:ascii="PMingLiU" w:cs="PMingLiU" w:eastAsia="PMingLiU" w:hAnsi="PMingLiU"/>
                <w:sz w:val="16"/>
                <w:szCs w:val="16"/>
                <w:color w:val="auto"/>
              </w:rPr>
              <w:t>0DUN'6PLWK0'</w:t>
            </w:r>
            <w:r>
              <w:rPr>
                <w:rFonts w:ascii="PMingLiU" w:cs="PMingLiU" w:eastAsia="PMingLiU" w:hAnsi="PMingLiU"/>
                <w:sz w:val="20"/>
                <w:szCs w:val="20"/>
                <w:color w:val="auto"/>
                <w:vertAlign w:val="superscript"/>
              </w:rPr>
              <w:t/>
            </w:r>
          </w:p>
        </w:tc>
        <w:tc>
          <w:tcPr>
            <w:tcW w:w="2200" w:type="dxa"/>
            <w:vAlign w:val="bottom"/>
            <w:tcBorders>
              <w:bottom w:val="single" w:sz="8" w:color="4454A7"/>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4454A7"/>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95"/>
        </w:trPr>
        <w:tc>
          <w:tcPr>
            <w:tcW w:w="80" w:type="dxa"/>
            <w:vAlign w:val="bottom"/>
            <w:tcBorders>
              <w:bottom w:val="single" w:sz="8" w:color="344C68"/>
            </w:tcBorders>
          </w:tcPr>
          <w:p>
            <w:pPr>
              <w:spacing w:after="0"/>
              <w:rPr>
                <w:sz w:val="24"/>
                <w:szCs w:val="24"/>
                <w:color w:val="auto"/>
              </w:rPr>
            </w:pPr>
          </w:p>
        </w:tc>
        <w:tc>
          <w:tcPr>
            <w:tcW w:w="6000" w:type="dxa"/>
            <w:vAlign w:val="bottom"/>
            <w:tcBorders>
              <w:bottom w:val="single" w:sz="8" w:color="344C68"/>
            </w:tcBorders>
          </w:tcPr>
          <w:p>
            <w:pPr>
              <w:ind w:left="20"/>
              <w:spacing w:after="0"/>
              <w:rPr>
                <w:sz w:val="20"/>
                <w:szCs w:val="20"/>
                <w:color w:val="auto"/>
              </w:rPr>
            </w:pPr>
            <w:r>
              <w:rPr>
                <w:rFonts w:ascii="PMingLiU" w:cs="PMingLiU" w:eastAsia="PMingLiU" w:hAnsi="PMingLiU"/>
                <w:sz w:val="16"/>
                <w:szCs w:val="16"/>
                <w:color w:val="auto"/>
              </w:rPr>
              <w:t>5LFN(:LQQLQJKDP</w:t>
            </w:r>
            <w:r>
              <w:rPr>
                <w:rFonts w:ascii="PMingLiU" w:cs="PMingLiU" w:eastAsia="PMingLiU" w:hAnsi="PMingLiU"/>
                <w:sz w:val="20"/>
                <w:szCs w:val="20"/>
                <w:color w:val="auto"/>
                <w:vertAlign w:val="superscript"/>
              </w:rPr>
              <w:t/>
            </w:r>
          </w:p>
        </w:tc>
        <w:tc>
          <w:tcPr>
            <w:tcW w:w="2200" w:type="dxa"/>
            <w:vAlign w:val="bottom"/>
            <w:tcBorders>
              <w:bottom w:val="single" w:sz="8" w:color="344C68"/>
            </w:tcBorders>
          </w:tcPr>
          <w:p>
            <w:pPr>
              <w:jc w:val="right"/>
              <w:ind w:right="120"/>
              <w:spacing w:after="0"/>
              <w:rPr>
                <w:sz w:val="20"/>
                <w:szCs w:val="20"/>
                <w:color w:val="auto"/>
              </w:rPr>
            </w:pPr>
            <w:r>
              <w:rPr>
                <w:rFonts w:ascii="PMingLiU" w:cs="PMingLiU" w:eastAsia="PMingLiU" w:hAnsi="PMingLiU"/>
                <w:sz w:val="16"/>
                <w:szCs w:val="16"/>
                <w:color w:val="auto"/>
              </w:rPr>
              <w:t/>
            </w:r>
          </w:p>
        </w:tc>
        <w:tc>
          <w:tcPr>
            <w:tcW w:w="1820" w:type="dxa"/>
            <w:vAlign w:val="bottom"/>
            <w:tcBorders>
              <w:bottom w:val="single" w:sz="8" w:color="344C68"/>
            </w:tcBorders>
          </w:tcPr>
          <w:p>
            <w:pPr>
              <w:jc w:val="right"/>
              <w:ind w:right="100"/>
              <w:spacing w:after="0"/>
              <w:rPr>
                <w:sz w:val="20"/>
                <w:szCs w:val="20"/>
                <w:color w:val="auto"/>
              </w:rPr>
            </w:pPr>
            <w:r>
              <w:rPr>
                <w:rFonts w:ascii="PMingLiU" w:cs="PMingLiU" w:eastAsia="PMingLiU" w:hAnsi="PMingLiU"/>
                <w:sz w:val="16"/>
                <w:szCs w:val="16"/>
                <w:color w:val="auto"/>
              </w:rPr>
              <w:t/>
            </w:r>
          </w:p>
        </w:tc>
      </w:tr>
      <w:tr>
        <w:trPr>
          <w:trHeight w:val="288"/>
        </w:trPr>
        <w:tc>
          <w:tcPr>
            <w:tcW w:w="80" w:type="dxa"/>
            <w:vAlign w:val="bottom"/>
            <w:tcBorders>
              <w:bottom w:val="single" w:sz="8" w:color="5C004D"/>
            </w:tcBorders>
          </w:tcPr>
          <w:p>
            <w:pPr>
              <w:spacing w:after="0"/>
              <w:rPr>
                <w:sz w:val="24"/>
                <w:szCs w:val="24"/>
                <w:color w:val="auto"/>
              </w:rPr>
            </w:pPr>
          </w:p>
        </w:tc>
        <w:tc>
          <w:tcPr>
            <w:tcW w:w="6000" w:type="dxa"/>
            <w:vAlign w:val="bottom"/>
            <w:tcBorders>
              <w:bottom w:val="single" w:sz="8" w:color="5C004D"/>
            </w:tcBorders>
          </w:tcPr>
          <w:p>
            <w:pPr>
              <w:ind w:left="20"/>
              <w:spacing w:after="0"/>
              <w:rPr>
                <w:sz w:val="20"/>
                <w:szCs w:val="20"/>
                <w:color w:val="auto"/>
              </w:rPr>
            </w:pPr>
            <w:r>
              <w:rPr>
                <w:rFonts w:ascii="PMingLiU" w:cs="PMingLiU" w:eastAsia="PMingLiU" w:hAnsi="PMingLiU"/>
                <w:sz w:val="16"/>
                <w:szCs w:val="16"/>
                <w:b w:val="1"/>
                <w:bCs w:val="1"/>
                <w:color w:val="000046"/>
              </w:rPr>
              <w:t>$OOFXUUHQWGLUHFWRUVDQGH[HFXWLYHRIILFHUVDVDJURXSSHUVRQV</w:t>
            </w:r>
            <w:r>
              <w:rPr>
                <w:rFonts w:ascii="PMingLiU" w:cs="PMingLiU" w:eastAsia="PMingLiU" w:hAnsi="PMingLiU"/>
                <w:sz w:val="20"/>
                <w:szCs w:val="20"/>
                <w:b w:val="1"/>
                <w:bCs w:val="1"/>
                <w:color w:val="000046"/>
                <w:vertAlign w:val="superscript"/>
              </w:rPr>
              <w:t/>
            </w:r>
          </w:p>
        </w:tc>
        <w:tc>
          <w:tcPr>
            <w:tcW w:w="2200" w:type="dxa"/>
            <w:vAlign w:val="bottom"/>
            <w:tcBorders>
              <w:bottom w:val="single" w:sz="8" w:color="5C004D"/>
            </w:tcBorders>
          </w:tcPr>
          <w:p>
            <w:pPr>
              <w:jc w:val="right"/>
              <w:ind w:right="120"/>
              <w:spacing w:after="0"/>
              <w:rPr>
                <w:sz w:val="20"/>
                <w:szCs w:val="20"/>
                <w:color w:val="auto"/>
              </w:rPr>
            </w:pPr>
            <w:r>
              <w:rPr>
                <w:rFonts w:ascii="PMingLiU" w:cs="PMingLiU" w:eastAsia="PMingLiU" w:hAnsi="PMingLiU"/>
                <w:sz w:val="16"/>
                <w:szCs w:val="16"/>
                <w:b w:val="1"/>
                <w:bCs w:val="1"/>
                <w:color w:val="000046"/>
              </w:rPr>
              <w:t/>
            </w:r>
          </w:p>
        </w:tc>
        <w:tc>
          <w:tcPr>
            <w:tcW w:w="1820" w:type="dxa"/>
            <w:vAlign w:val="bottom"/>
            <w:tcBorders>
              <w:bottom w:val="single" w:sz="8" w:color="5C004D"/>
            </w:tcBorders>
          </w:tcPr>
          <w:p>
            <w:pPr>
              <w:jc w:val="right"/>
              <w:ind w:right="20"/>
              <w:spacing w:after="0"/>
              <w:rPr>
                <w:sz w:val="20"/>
                <w:szCs w:val="20"/>
                <w:color w:val="auto"/>
              </w:rPr>
            </w:pPr>
            <w:r>
              <w:rPr>
                <w:rFonts w:ascii="PMingLiU" w:cs="PMingLiU" w:eastAsia="PMingLiU" w:hAnsi="PMingLiU"/>
                <w:sz w:val="16"/>
                <w:szCs w:val="16"/>
                <w:b w:val="1"/>
                <w:bCs w:val="1"/>
                <w:color w:val="000046"/>
              </w:rPr>
              <w:t/>
            </w:r>
          </w:p>
        </w:tc>
      </w:tr>
      <w:tr>
        <w:trPr>
          <w:trHeight w:val="316"/>
        </w:trPr>
        <w:tc>
          <w:tcPr>
            <w:tcW w:w="80" w:type="dxa"/>
            <w:vAlign w:val="bottom"/>
          </w:tcPr>
          <w:p>
            <w:pPr>
              <w:jc w:val="right"/>
              <w:spacing w:after="0"/>
              <w:rPr>
                <w:sz w:val="20"/>
                <w:szCs w:val="20"/>
                <w:color w:val="auto"/>
              </w:rPr>
            </w:pPr>
            <w:r>
              <w:rPr>
                <w:rFonts w:ascii="PMingLiU" w:cs="PMingLiU" w:eastAsia="PMingLiU" w:hAnsi="PMingLiU"/>
                <w:sz w:val="16"/>
                <w:szCs w:val="16"/>
                <w:color w:val="auto"/>
                <w:w w:val="94"/>
              </w:rPr>
              <w:t/>
            </w:r>
          </w:p>
        </w:tc>
        <w:tc>
          <w:tcPr>
            <w:tcW w:w="6000" w:type="dxa"/>
            <w:vAlign w:val="bottom"/>
          </w:tcPr>
          <w:p>
            <w:pPr>
              <w:ind w:left="280"/>
              <w:spacing w:after="0"/>
              <w:rPr>
                <w:sz w:val="20"/>
                <w:szCs w:val="20"/>
                <w:color w:val="auto"/>
              </w:rPr>
            </w:pPr>
            <w:r>
              <w:rPr>
                <w:rFonts w:ascii="PMingLiU" w:cs="PMingLiU" w:eastAsia="PMingLiU" w:hAnsi="PMingLiU"/>
                <w:sz w:val="16"/>
                <w:szCs w:val="16"/>
                <w:color w:val="auto"/>
              </w:rPr>
              <w:t>/HVVWKDQ</w:t>
            </w: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6386195</wp:posOffset>
            </wp:positionH>
            <wp:positionV relativeFrom="paragraph">
              <wp:posOffset>-4743450</wp:posOffset>
            </wp:positionV>
            <wp:extent cx="25400" cy="635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404">
                      <a:extLst>
                        <a:ext uri="{28A0092B-C50C-407E-A947-70E740481C1C}"/>
                      </a:extLst>
                    </a:blip>
                    <a:srcRect/>
                    <a:stretch>
                      <a:fillRect/>
                    </a:stretch>
                  </pic:blipFill>
                  <pic:spPr bwMode="auto">
                    <a:xfrm>
                      <a:off x="0" y="0"/>
                      <a:ext cx="25400" cy="63500"/>
                    </a:xfrm>
                    <a:prstGeom prst="rect">
                      <a:avLst/>
                    </a:prstGeom>
                    <a:noFill/>
                  </pic:spPr>
                </pic:pic>
              </a:graphicData>
            </a:graphic>
          </wp:anchor>
        </w:drawing>
      </w:r>
    </w:p>
    <w:p>
      <w:pPr>
        <w:spacing w:after="0" w:line="51" w:lineRule="exact"/>
        <w:rPr>
          <w:sz w:val="20"/>
          <w:szCs w:val="20"/>
          <w:color w:val="auto"/>
        </w:rPr>
      </w:pPr>
    </w:p>
    <w:p>
      <w:pPr>
        <w:ind w:left="360" w:right="160" w:hanging="359"/>
        <w:spacing w:after="0"/>
        <w:tabs>
          <w:tab w:leader="none" w:pos="340" w:val="left"/>
        </w:tabs>
        <w:rPr>
          <w:sz w:val="20"/>
          <w:szCs w:val="20"/>
          <w:color w:val="auto"/>
        </w:rPr>
      </w:pPr>
      <w:r>
        <w:rPr>
          <w:rFonts w:ascii="PMingLiU" w:cs="PMingLiU" w:eastAsia="PMingLiU" w:hAnsi="PMingLiU"/>
          <w:sz w:val="9"/>
          <w:szCs w:val="9"/>
          <w:color w:val="auto"/>
        </w:rPr>
        <w:t/>
      </w:r>
      <w:r>
        <w:rPr>
          <w:sz w:val="20"/>
          <w:szCs w:val="20"/>
          <w:color w:val="auto"/>
        </w:rPr>
        <w:tab/>
      </w:r>
      <w:r>
        <w:rPr>
          <w:rFonts w:ascii="PMingLiU" w:cs="PMingLiU" w:eastAsia="PMingLiU" w:hAnsi="PMingLiU"/>
          <w:sz w:val="9"/>
          <w:szCs w:val="9"/>
          <w:color w:val="auto"/>
        </w:rPr>
        <w:t>8QOHVVRWKHUZLVHSURYLGHGLQWKHWDEOHDERYHRULQWKHQRWHVEHORZWKHDGGUHVVIRUHDFKRIWKHEHQHILFLDORZQHUVOLVWHGLVFR)LIWK)ORRU :DWHUORR([FKDQJH:DWHUORR5RDG'XEOLQ,UHODQG</w:t>
      </w:r>
    </w:p>
    <w:p>
      <w:pPr>
        <w:spacing w:after="0" w:line="366"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4"/>
          <w:szCs w:val="14"/>
          <w:color w:val="auto"/>
        </w:rPr>
        <w:t>7KLVWDEOHLVEDVHGXSRQLQIRUPDWLRQVXSSOLHGE\RIILFHUVDQGGLUHFWRUVDVZHOODV6FKHGXOHV*RU*$ILOHGZLWKWKH6(&amp;E\</w:t>
      </w:r>
    </w:p>
    <w:p>
      <w:pPr>
        <w:spacing w:after="0" w:line="16" w:lineRule="exact"/>
        <w:rPr>
          <w:sz w:val="20"/>
          <w:szCs w:val="20"/>
          <w:color w:val="auto"/>
        </w:rPr>
      </w:pPr>
    </w:p>
    <w:p>
      <w:pPr>
        <w:ind w:left="360"/>
        <w:spacing w:after="0"/>
        <w:rPr>
          <w:sz w:val="20"/>
          <w:szCs w:val="20"/>
          <w:color w:val="auto"/>
        </w:rPr>
      </w:pPr>
      <w:r>
        <w:rPr>
          <w:rFonts w:ascii="PMingLiU" w:cs="PMingLiU" w:eastAsia="PMingLiU" w:hAnsi="PMingLiU"/>
          <w:sz w:val="12"/>
          <w:szCs w:val="12"/>
          <w:color w:val="auto"/>
        </w:rPr>
        <w:t>EHQHILFLDORZQHUVRIPRUHWKDQILYHSHUFHQWRIRXURUGLQDU\VKDUHV8QOHVVRWKHUZLVHLQGLFDWHGLQWKHIRRWQRWHVWRWKLVWDEOHDQGVXEMHFWWR</w:t>
      </w:r>
    </w:p>
    <w:p>
      <w:pPr>
        <w:spacing w:after="0" w:line="48" w:lineRule="exact"/>
        <w:rPr>
          <w:sz w:val="20"/>
          <w:szCs w:val="20"/>
          <w:color w:val="auto"/>
        </w:rPr>
      </w:pPr>
    </w:p>
    <w:p>
      <w:pPr>
        <w:ind w:left="360"/>
        <w:spacing w:after="0"/>
        <w:rPr>
          <w:sz w:val="20"/>
          <w:szCs w:val="20"/>
          <w:color w:val="auto"/>
        </w:rPr>
      </w:pPr>
      <w:r>
        <w:rPr>
          <w:rFonts w:ascii="PMingLiU" w:cs="PMingLiU" w:eastAsia="PMingLiU" w:hAnsi="PMingLiU"/>
          <w:sz w:val="13"/>
          <w:szCs w:val="13"/>
          <w:color w:val="auto"/>
        </w:rPr>
        <w:t>FRPPXQLW\SURSHUW\ODZVZKHUHDSSOLFDEOHZHEHOLHYHWKDWHDFKRIWKHVKDUHKROGHUVQDPHGLQWKLVWDEOHKDVVROHYRWLQJDQGLQYHVWPHQW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225425</wp:posOffset>
            </wp:positionV>
            <wp:extent cx="1389380" cy="2343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40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360"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1440" w:right="859" w:bottom="0" w:gutter="0" w:footer="0" w:header="0"/>
        </w:sectPr>
      </w:pPr>
    </w:p>
    <w:bookmarkStart w:id="114" w:name="page115"/>
    <w:bookmarkEnd w:id="114"/>
    <w:p>
      <w:pPr>
        <w:ind w:left="7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4712970</wp:posOffset>
                </wp:positionH>
                <wp:positionV relativeFrom="page">
                  <wp:posOffset>1270</wp:posOffset>
                </wp:positionV>
                <wp:extent cx="2257425" cy="41910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19100"/>
                        </a:xfrm>
                        <a:prstGeom prst="rect">
                          <a:avLst/>
                        </a:prstGeom>
                        <a:solidFill>
                          <a:srgbClr val="5C004D"/>
                        </a:solidFill>
                      </wps:spPr>
                      <wps:bodyPr/>
                    </wps:wsp>
                  </a:graphicData>
                </a:graphic>
              </wp:anchor>
            </w:drawing>
          </mc:Choice>
          <mc:Fallback>
            <w:pict>
              <v:rect id="Shape 589" o:spid="_x0000_s1614" style="position:absolute;margin-left:371.1pt;margin-top:0.1pt;width:177.7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6(&amp;85,7&lt;2:1(56+,32)&amp;(57$,1</w:t>
      </w:r>
    </w:p>
    <w:p>
      <w:pPr>
        <w:spacing w:after="0" w:line="40" w:lineRule="exact"/>
        <w:rPr>
          <w:sz w:val="20"/>
          <w:szCs w:val="20"/>
          <w:color w:val="auto"/>
        </w:rPr>
      </w:pPr>
    </w:p>
    <w:p>
      <w:pPr>
        <w:ind w:left="6640"/>
        <w:spacing w:after="0"/>
        <w:rPr>
          <w:sz w:val="20"/>
          <w:szCs w:val="20"/>
          <w:color w:val="auto"/>
        </w:rPr>
      </w:pPr>
      <w:r>
        <w:rPr>
          <w:rFonts w:ascii="PMingLiU" w:cs="PMingLiU" w:eastAsia="PMingLiU" w:hAnsi="PMingLiU"/>
          <w:sz w:val="16"/>
          <w:szCs w:val="16"/>
          <w:b w:val="1"/>
          <w:bCs w:val="1"/>
          <w:color w:val="FFFFFF"/>
        </w:rPr>
        <w:t>%(1(),&amp;,$/2:1(56$1'0$1$*(0(17</w:t>
      </w:r>
    </w:p>
    <w:p>
      <w:pPr>
        <w:spacing w:after="0" w:line="200" w:lineRule="exact"/>
        <w:rPr>
          <w:sz w:val="20"/>
          <w:szCs w:val="20"/>
          <w:color w:val="auto"/>
        </w:rPr>
      </w:pPr>
    </w:p>
    <w:p>
      <w:pPr>
        <w:spacing w:after="0" w:line="268" w:lineRule="exact"/>
        <w:rPr>
          <w:sz w:val="20"/>
          <w:szCs w:val="20"/>
          <w:color w:val="auto"/>
        </w:rPr>
      </w:pPr>
    </w:p>
    <w:p>
      <w:pPr>
        <w:ind w:left="360" w:right="20"/>
        <w:spacing w:after="0" w:line="300" w:lineRule="auto"/>
        <w:rPr>
          <w:sz w:val="20"/>
          <w:szCs w:val="20"/>
          <w:color w:val="auto"/>
        </w:rPr>
      </w:pPr>
      <w:r>
        <w:rPr>
          <w:rFonts w:ascii="PMingLiU" w:cs="PMingLiU" w:eastAsia="PMingLiU" w:hAnsi="PMingLiU"/>
          <w:sz w:val="13"/>
          <w:szCs w:val="13"/>
          <w:color w:val="auto"/>
        </w:rPr>
        <w:t>SRZHUZLWKUHVSHFWWRWKHRUGLQDU\VKDUHVLQGLFDWHGDVEHQHILFLDOO\RZQHG$SSOLFDEOHSHUFHQWDJHVDUHEDVHGRQRUGLQDU\ VKDUHVRXWVWDQGLQJRQ0D\DGMXVWHGDVUHTXLUHGE\UXOHVSURPXOJDWHGE\WKH6(&amp;7KHQXPEHURIVKDUHVEHQHILFLDOO\RZQHG LQFOXGHVRUGLQDU\VKDUHVLVVXDEOHSXUVXDQWWRWKHH[HUFLVHRIVWRFNRSWLRQVWKDWDUHH[HUFLVDEOHDQG568VWKDWZLOOYHVWZLWKLQGD\VRI 0D\6KDUHVLVVXDEOHSXUVXDQWWRWKHH[HUFLVHRIVWRFNRSWLRQVWKDWDUHH[HUFLVDEOHDQG568VWKDWZLOOYHVWZLWKLQGD\VRI 0D\DUHGHHPHGWREHRXWVWDQGLQJDQGEHQHILFLDOO\RZQHGE\WKHSHUVRQWRZKRPVXFKVKDUHVDUHLVVXDEOHIRUWKHSXUSRVHRI</w:t>
      </w:r>
    </w:p>
    <w:p>
      <w:pPr>
        <w:spacing w:after="0" w:line="2" w:lineRule="exact"/>
        <w:rPr>
          <w:sz w:val="20"/>
          <w:szCs w:val="20"/>
          <w:color w:val="auto"/>
        </w:rPr>
      </w:pPr>
    </w:p>
    <w:p>
      <w:pPr>
        <w:ind w:left="360"/>
        <w:spacing w:after="0" w:line="352" w:lineRule="auto"/>
        <w:rPr>
          <w:sz w:val="20"/>
          <w:szCs w:val="20"/>
          <w:color w:val="auto"/>
        </w:rPr>
      </w:pPr>
      <w:r>
        <w:rPr>
          <w:rFonts w:ascii="PMingLiU" w:cs="PMingLiU" w:eastAsia="PMingLiU" w:hAnsi="PMingLiU"/>
          <w:sz w:val="13"/>
          <w:szCs w:val="13"/>
          <w:color w:val="auto"/>
        </w:rPr>
        <w:t>FRPSXWLQJWKHSHUFHQWDJHRZQHUVKLSRIWKDWSHUVRQEXWWKH\DUHQRWWUHDWHGDVRXWVWDQGLQJIRUWKHSXUSRVHRIFRPSXWLQJWKHSHUFHQWDJH RZQHUVKLSRIDQ\RWKHUSHUVRQ</w:t>
      </w:r>
    </w:p>
    <w:p>
      <w:pPr>
        <w:spacing w:after="0" w:line="1" w:lineRule="exact"/>
        <w:rPr>
          <w:sz w:val="20"/>
          <w:szCs w:val="20"/>
          <w:color w:val="auto"/>
        </w:rPr>
      </w:pPr>
    </w:p>
    <w:p>
      <w:pPr>
        <w:ind w:left="360" w:right="20" w:hanging="359"/>
        <w:spacing w:after="0" w:line="287" w:lineRule="auto"/>
        <w:tabs>
          <w:tab w:leader="none" w:pos="340" w:val="left"/>
        </w:tabs>
        <w:rPr>
          <w:sz w:val="20"/>
          <w:szCs w:val="20"/>
          <w:color w:val="auto"/>
        </w:rPr>
      </w:pPr>
      <w:r>
        <w:rPr>
          <w:rFonts w:ascii="PMingLiU" w:cs="PMingLiU" w:eastAsia="PMingLiU" w:hAnsi="PMingLiU"/>
          <w:sz w:val="14"/>
          <w:szCs w:val="14"/>
          <w:color w:val="auto"/>
        </w:rPr>
        <w:t/>
        <w:tab/>
        <w:t>7KLVLQIRUPDWLRQLVEDVHGRQD6FKHGXOH*$ILOHGZLWKWKH6(&amp;RQ1RYHPEHUE\%ODFN5RFN,QF$FFRUGLQJWRWKH6FKHGXOH *$DVRI6HSWHPEHU%ODFN5RFN,QFKDVVROHSRZHUWRYRWHRUGLUHFWWKHYRWHRIRUGLQDU\VKDUHVDQGVROHSRZHU WRGLVSRVHRUGLUHFWWKHGLVSRVLWLRQRIRUGLQDU\VKDUHV7KH6FKHGXOH*$DOVRLQGLFDWHVWKDW%ODFN5RFN,QFLVDFWLQJDVD SDUHQWKROGLQJFRPSDQ\IRUDQXPEHURIHQWLWLHVWKDWEHQHILFLDOO\RZQHGWKHRUGLQDU\VKDUHVEHLQJUHSRUWHG7KH6FKHGXOH*$ SURYLGHVLQIRUPDWLRQRQO\DVRI6HSWHPEHUDQGFRQVHTXHQWO\WKHEHQHILFLDORZQHUVKLSRIWKHDERYHPHQWLRQHGHQWLW\PD\KDYH FKDQJHGEHWZHHQ6HSWHPEHUDQG0D\</w:t>
      </w:r>
    </w:p>
    <w:p>
      <w:pPr>
        <w:spacing w:after="0" w:line="37" w:lineRule="exact"/>
        <w:rPr>
          <w:sz w:val="20"/>
          <w:szCs w:val="20"/>
          <w:color w:val="auto"/>
        </w:rPr>
      </w:pPr>
    </w:p>
    <w:p>
      <w:pPr>
        <w:ind w:left="360" w:right="20" w:hanging="359"/>
        <w:spacing w:after="0" w:line="335" w:lineRule="auto"/>
        <w:tabs>
          <w:tab w:leader="none" w:pos="340" w:val="left"/>
        </w:tabs>
        <w:rPr>
          <w:sz w:val="20"/>
          <w:szCs w:val="20"/>
          <w:color w:val="auto"/>
        </w:rPr>
      </w:pPr>
      <w:r>
        <w:rPr>
          <w:rFonts w:ascii="PMingLiU" w:cs="PMingLiU" w:eastAsia="PMingLiU" w:hAnsi="PMingLiU"/>
          <w:sz w:val="14"/>
          <w:szCs w:val="14"/>
          <w:color w:val="auto"/>
        </w:rPr>
        <w:t/>
        <w:tab/>
        <w:t>,QFOXGHVRUGLQDU\VKDUHV0V*DODKDVWKHULJKWWRDFTXLUHSXUVXDQWWRRSWLRQVH[HUFLVDEOHDQG568VVFKHGXOHGWRYHVWLQ HDFKFDVHZLWKLQGD\VRI0D\</w:t>
      </w:r>
    </w:p>
    <w:p>
      <w:pPr>
        <w:spacing w:after="0" w:line="5"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,QFOXGHV568VVFKHGXOHGWRYHVWWR0U-RKQVRQZLWKLQGD\VRI0D\</w:t>
      </w:r>
    </w:p>
    <w:p>
      <w:pPr>
        <w:spacing w:after="0" w:line="90" w:lineRule="exact"/>
        <w:rPr>
          <w:sz w:val="20"/>
          <w:szCs w:val="20"/>
          <w:color w:val="auto"/>
        </w:rPr>
      </w:pPr>
    </w:p>
    <w:p>
      <w:pPr>
        <w:ind w:left="36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,QFOXGHVRUGLQDU\VKDUHV0U&amp;R]DGGKDVWKHULJKWWRDFTXLUHSXUVXDQWWRRSWLRQVH[HUFLVDEOHDQG568VVFKHGXOHGWRYHVW LQHDFKFDVHZLWKLQGD\VRI0D\</w:t>
      </w:r>
    </w:p>
    <w:p>
      <w:pPr>
        <w:spacing w:after="0" w:line="1" w:lineRule="exact"/>
        <w:rPr>
          <w:sz w:val="20"/>
          <w:szCs w:val="20"/>
          <w:color w:val="auto"/>
        </w:rPr>
      </w:pPr>
    </w:p>
    <w:p>
      <w:pPr>
        <w:ind w:left="360" w:right="80" w:hanging="359"/>
        <w:spacing w:after="0" w:line="338" w:lineRule="auto"/>
        <w:tabs>
          <w:tab w:leader="none" w:pos="340" w:val="left"/>
        </w:tabs>
        <w:rPr>
          <w:sz w:val="20"/>
          <w:szCs w:val="20"/>
          <w:color w:val="auto"/>
        </w:rPr>
      </w:pPr>
      <w:r>
        <w:rPr>
          <w:rFonts w:ascii="PMingLiU" w:cs="PMingLiU" w:eastAsia="PMingLiU" w:hAnsi="PMingLiU"/>
          <w:sz w:val="14"/>
          <w:szCs w:val="14"/>
          <w:color w:val="auto"/>
        </w:rPr>
        <w:t/>
        <w:tab/>
        <w:t>,QFOXGHVRUGLQDU\VKDUHV'U,DQQRQHKDVWKHULJKWWRDFTXLUHSXUVXDQWWRRSWLRQVH[HUFLVDEOHDQG568VVFKHGXOHGWRYHVW LQHDFKFDVHZLWKLQGD\VRI0D\</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
        <w:tab/>
        <w:t>,QFOXGHV568VVFKHGXOHGWRYHVWWR0V3DWLOZLWKLQGD\VRI0D\</w:t>
      </w:r>
    </w:p>
    <w:p>
      <w:pPr>
        <w:spacing w:after="0" w:line="90" w:lineRule="exact"/>
        <w:rPr>
          <w:sz w:val="20"/>
          <w:szCs w:val="20"/>
          <w:color w:val="auto"/>
        </w:rPr>
      </w:pPr>
    </w:p>
    <w:p>
      <w:pPr>
        <w:ind w:left="360" w:right="20" w:hanging="359"/>
        <w:spacing w:after="0" w:line="335" w:lineRule="auto"/>
        <w:tabs>
          <w:tab w:leader="none" w:pos="340" w:val="left"/>
        </w:tabs>
        <w:rPr>
          <w:sz w:val="20"/>
          <w:szCs w:val="20"/>
          <w:color w:val="auto"/>
        </w:rPr>
      </w:pPr>
      <w:r>
        <w:rPr>
          <w:rFonts w:ascii="PMingLiU" w:cs="PMingLiU" w:eastAsia="PMingLiU" w:hAnsi="PMingLiU"/>
          <w:sz w:val="14"/>
          <w:szCs w:val="14"/>
          <w:color w:val="auto"/>
        </w:rPr>
        <w:t/>
        <w:tab/>
        <w:t>,QFOXGHVRUGLQDU\VKDUHV0V3HDUFHKDVWKHULJKWWRDFTXLUHSXUVXDQWWRRSWLRQVH[HUFLVDEOHDQG568VVFKHGXOHGWRYHVWLQ HDFKFDVHZLWKLQGD\VRI0D\</w:t>
      </w:r>
    </w:p>
    <w:p>
      <w:pPr>
        <w:spacing w:after="0" w:line="5" w:lineRule="exact"/>
        <w:rPr>
          <w:sz w:val="20"/>
          <w:szCs w:val="20"/>
          <w:color w:val="auto"/>
        </w:rPr>
      </w:pPr>
    </w:p>
    <w:p>
      <w:pPr>
        <w:jc w:val="both"/>
        <w:ind w:left="360" w:right="160" w:hanging="359"/>
        <w:spacing w:after="0" w:line="300" w:lineRule="auto"/>
        <w:rPr>
          <w:sz w:val="20"/>
          <w:szCs w:val="20"/>
          <w:color w:val="auto"/>
        </w:rPr>
      </w:pPr>
      <w:r>
        <w:rPr>
          <w:rFonts w:ascii="PMingLiU" w:cs="PMingLiU" w:eastAsia="PMingLiU" w:hAnsi="PMingLiU"/>
          <w:sz w:val="15"/>
          <w:szCs w:val="15"/>
          <w:color w:val="auto"/>
        </w:rPr>
        <w:t> ,QFOXGHVRUGLQDU\VKDUHV0V&amp;RRNKDVWKHULJKWWRDFTXLUHSXUVXDQWWRRSWLRQVH[HUFLVDEOHDQG568VVFKHGXOHGWRYHVWLQ HDFKFDVHZLWKLQGD\VRI0D\</w:t>
      </w:r>
    </w:p>
    <w:p>
      <w:pPr>
        <w:spacing w:after="0" w:line="24" w:lineRule="exact"/>
        <w:rPr>
          <w:sz w:val="20"/>
          <w:szCs w:val="20"/>
          <w:color w:val="auto"/>
        </w:rPr>
      </w:pPr>
    </w:p>
    <w:p>
      <w:pPr>
        <w:ind w:left="360" w:right="140" w:hanging="359"/>
        <w:spacing w:after="0" w:line="300" w:lineRule="auto"/>
        <w:rPr>
          <w:sz w:val="20"/>
          <w:szCs w:val="20"/>
          <w:color w:val="auto"/>
        </w:rPr>
      </w:pPr>
      <w:r>
        <w:rPr>
          <w:rFonts w:ascii="PMingLiU" w:cs="PMingLiU" w:eastAsia="PMingLiU" w:hAnsi="PMingLiU"/>
          <w:sz w:val="15"/>
          <w:szCs w:val="15"/>
          <w:color w:val="auto"/>
        </w:rPr>
        <w:t> ,QFOXGHVRUGLQDU\VKDUHV0U(QULJKWKDVWKHULJKWWRDFTXLUHSXUVXDQWWRRSWLRQVH[HUFLVDEOHDQG568VVFKHGXOHGWRYHVW LQHDFKFDVHZLWKLQGD\VRI0D\</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6"/>
          <w:szCs w:val="16"/>
          <w:color w:val="auto"/>
        </w:rPr>
        <w:t> ,QFOXGHV568VVFKHGXOHGWRYHVWWR0V+DPLOOZLWKLQGD\VGD\VRI0D\</w:t>
      </w:r>
    </w:p>
    <w:p>
      <w:pPr>
        <w:spacing w:after="0" w:line="90" w:lineRule="exact"/>
        <w:rPr>
          <w:sz w:val="20"/>
          <w:szCs w:val="20"/>
          <w:color w:val="auto"/>
        </w:rPr>
      </w:pPr>
    </w:p>
    <w:p>
      <w:pPr>
        <w:ind w:right="3120"/>
        <w:spacing w:after="0" w:line="352" w:lineRule="auto"/>
        <w:rPr>
          <w:sz w:val="20"/>
          <w:szCs w:val="20"/>
          <w:color w:val="auto"/>
        </w:rPr>
      </w:pPr>
      <w:r>
        <w:rPr>
          <w:rFonts w:ascii="PMingLiU" w:cs="PMingLiU" w:eastAsia="PMingLiU" w:hAnsi="PMingLiU"/>
          <w:sz w:val="16"/>
          <w:szCs w:val="16"/>
          <w:color w:val="auto"/>
        </w:rPr>
        <w:t> ,QFOXGHV568VVFKHGXOHGWRYHVWWR0U.HQQHG\ZLWKLQGD\VGD\VRI0D\  &amp;RPSULVHV568VVFKHGXOHGWRYHVWWR'U/RYHZLWKLQGD\VGD\VRI0D\</w:t>
      </w:r>
    </w:p>
    <w:p>
      <w:pPr>
        <w:spacing w:after="0" w:line="1" w:lineRule="exact"/>
        <w:rPr>
          <w:sz w:val="20"/>
          <w:szCs w:val="20"/>
          <w:color w:val="auto"/>
        </w:rPr>
      </w:pPr>
    </w:p>
    <w:p>
      <w:pPr>
        <w:ind w:left="360" w:right="300" w:hanging="359"/>
        <w:spacing w:after="0" w:line="300" w:lineRule="auto"/>
        <w:rPr>
          <w:sz w:val="20"/>
          <w:szCs w:val="20"/>
          <w:color w:val="auto"/>
        </w:rPr>
      </w:pPr>
      <w:r>
        <w:rPr>
          <w:rFonts w:ascii="PMingLiU" w:cs="PMingLiU" w:eastAsia="PMingLiU" w:hAnsi="PMingLiU"/>
          <w:sz w:val="15"/>
          <w:szCs w:val="15"/>
          <w:color w:val="auto"/>
        </w:rPr>
        <w:t> ,QFOXGHVRUGLQDU\VKDUHV0V0F6KDUU\KDVWKHULJKWWRDFTXLUHSXUVXDQWWRRSWLRQVH[HUFLVDEOHDQG568VVFKHGXOHGWR YHVWLQHDFKFDVHZLWKLQGD\VRI0D\</w:t>
      </w:r>
    </w:p>
    <w:p>
      <w:pPr>
        <w:spacing w:after="0" w:line="24" w:lineRule="exact"/>
        <w:rPr>
          <w:sz w:val="20"/>
          <w:szCs w:val="20"/>
          <w:color w:val="auto"/>
        </w:rPr>
      </w:pPr>
    </w:p>
    <w:p>
      <w:pPr>
        <w:jc w:val="both"/>
        <w:ind w:left="360" w:right="180" w:hanging="359"/>
        <w:spacing w:after="0" w:line="306" w:lineRule="auto"/>
        <w:rPr>
          <w:sz w:val="20"/>
          <w:szCs w:val="20"/>
          <w:color w:val="auto"/>
        </w:rPr>
      </w:pPr>
      <w:r>
        <w:rPr>
          <w:rFonts w:ascii="PMingLiU" w:cs="PMingLiU" w:eastAsia="PMingLiU" w:hAnsi="PMingLiU"/>
          <w:sz w:val="14"/>
          <w:szCs w:val="14"/>
          <w:color w:val="auto"/>
        </w:rPr>
        <w:t> ,QFOXGHVRUGLQDU\VKDUHVKHOGE\1HUDQR3KDUPD/LPLWHGZKLFK0U0XOOLJDQEHQHILFLDOO\RZQV$OVRLQFOXGHVRUGLQDU\ VKDUHV0U0XOOLJDQKDVWKHULJKWWRDFTXLUHSXUVXDQWWRRSWLRQVH[HUFLVDEOHDQG568VVFKHGXOHGWRYHVWLQHDFKFDVHZLWKLQ GD\VRI0D\</w:t>
      </w:r>
    </w:p>
    <w:p>
      <w:pPr>
        <w:spacing w:after="0" w:line="24" w:lineRule="exact"/>
        <w:rPr>
          <w:sz w:val="20"/>
          <w:szCs w:val="20"/>
          <w:color w:val="auto"/>
        </w:rPr>
      </w:pPr>
    </w:p>
    <w:p>
      <w:pPr>
        <w:ind w:left="360" w:right="260" w:hanging="359"/>
        <w:spacing w:after="0" w:line="300" w:lineRule="auto"/>
        <w:rPr>
          <w:sz w:val="20"/>
          <w:szCs w:val="20"/>
          <w:color w:val="auto"/>
        </w:rPr>
      </w:pPr>
      <w:r>
        <w:rPr>
          <w:rFonts w:ascii="PMingLiU" w:cs="PMingLiU" w:eastAsia="PMingLiU" w:hAnsi="PMingLiU"/>
          <w:sz w:val="15"/>
          <w:szCs w:val="15"/>
          <w:color w:val="auto"/>
        </w:rPr>
        <w:t> ,QFOXGHVRUGLQDU\VKDUHV0V2¶5LRUGDQKDVWKHULJKWWRDFTXLUHSXUVXDQWWRRSWLRQVH[HUFLVDEOHDQG568VVFKHGXOHGWR YHVWLQHDFKFDVHZLWKLQGD\VRI0D\</w:t>
      </w:r>
    </w:p>
    <w:p>
      <w:pPr>
        <w:spacing w:after="0" w:line="24" w:lineRule="exact"/>
        <w:rPr>
          <w:sz w:val="20"/>
          <w:szCs w:val="20"/>
          <w:color w:val="auto"/>
        </w:rPr>
      </w:pPr>
    </w:p>
    <w:p>
      <w:pPr>
        <w:ind w:left="360" w:right="40" w:hanging="359"/>
        <w:spacing w:after="0" w:line="300" w:lineRule="auto"/>
        <w:rPr>
          <w:sz w:val="20"/>
          <w:szCs w:val="20"/>
          <w:color w:val="auto"/>
        </w:rPr>
      </w:pPr>
      <w:r>
        <w:rPr>
          <w:rFonts w:ascii="PMingLiU" w:cs="PMingLiU" w:eastAsia="PMingLiU" w:hAnsi="PMingLiU"/>
          <w:sz w:val="15"/>
          <w:szCs w:val="15"/>
          <w:color w:val="auto"/>
        </w:rPr>
        <w:t> ,QFOXGHVRUGLQDU\VKDUHV'U5LHGHOKDVWKHULJKWWRDFTXLUHSXUVXDQWWRRSWLRQVH[HUFLVDEOHDQG568VVFKHGXOHGWRYHVWLQ HDFKFDVHZLWKLQGD\VRI0D\</w:t>
      </w:r>
    </w:p>
    <w:p>
      <w:pPr>
        <w:spacing w:after="0" w:line="24" w:lineRule="exact"/>
        <w:rPr>
          <w:sz w:val="20"/>
          <w:szCs w:val="20"/>
          <w:color w:val="auto"/>
        </w:rPr>
      </w:pPr>
    </w:p>
    <w:p>
      <w:pPr>
        <w:ind w:left="360" w:right="160" w:hanging="359"/>
        <w:spacing w:after="0" w:line="297" w:lineRule="auto"/>
        <w:rPr>
          <w:sz w:val="20"/>
          <w:szCs w:val="20"/>
          <w:color w:val="auto"/>
        </w:rPr>
      </w:pPr>
      <w:r>
        <w:rPr>
          <w:rFonts w:ascii="PMingLiU" w:cs="PMingLiU" w:eastAsia="PMingLiU" w:hAnsi="PMingLiU"/>
          <w:sz w:val="15"/>
          <w:szCs w:val="15"/>
          <w:color w:val="auto"/>
        </w:rPr>
        <w:t> ,QFOXGHVRUGLQDU\VKDUHV'U6PLWKKDVWKHULJKWWRDFTXLUHSXUVXDQWWRRSWLRQVH[HUFLVDEOHDQG568VVFKHGXOHGWRYHVWLQ HDFKFDVHZLWKLQGD\VRI0D\</w:t>
      </w:r>
    </w:p>
    <w:p>
      <w:pPr>
        <w:spacing w:after="0" w:line="29" w:lineRule="exact"/>
        <w:rPr>
          <w:sz w:val="20"/>
          <w:szCs w:val="20"/>
          <w:color w:val="auto"/>
        </w:rPr>
      </w:pPr>
    </w:p>
    <w:p>
      <w:pPr>
        <w:ind w:left="360" w:right="140" w:hanging="359"/>
        <w:spacing w:after="0" w:line="300" w:lineRule="auto"/>
        <w:rPr>
          <w:sz w:val="20"/>
          <w:szCs w:val="20"/>
          <w:color w:val="auto"/>
        </w:rPr>
      </w:pPr>
      <w:r>
        <w:rPr>
          <w:rFonts w:ascii="PMingLiU" w:cs="PMingLiU" w:eastAsia="PMingLiU" w:hAnsi="PMingLiU"/>
          <w:sz w:val="15"/>
          <w:szCs w:val="15"/>
          <w:color w:val="auto"/>
        </w:rPr>
        <w:t> ,QFOXGHVRUGLQDU\VKDUHV0U:LQQLQJKDPKDVWKHULJKWWRDFTXLUHSXUVXDQWWRRSWLRQVH[HUFLVDEOHDQG568VVFKHGXOHGWR YHVWLQHDFKFDVHZLWKLQGD\VRI0D\</w:t>
      </w:r>
    </w:p>
    <w:p>
      <w:pPr>
        <w:spacing w:after="0" w:line="24" w:lineRule="exact"/>
        <w:rPr>
          <w:sz w:val="20"/>
          <w:szCs w:val="20"/>
          <w:color w:val="auto"/>
        </w:rPr>
      </w:pPr>
    </w:p>
    <w:p>
      <w:pPr>
        <w:jc w:val="both"/>
        <w:ind w:left="360" w:right="240" w:hanging="359"/>
        <w:spacing w:after="0" w:line="328" w:lineRule="auto"/>
        <w:rPr>
          <w:sz w:val="20"/>
          <w:szCs w:val="20"/>
          <w:color w:val="auto"/>
        </w:rPr>
      </w:pPr>
      <w:r>
        <w:rPr>
          <w:rFonts w:ascii="PMingLiU" w:cs="PMingLiU" w:eastAsia="PMingLiU" w:hAnsi="PMingLiU"/>
          <w:sz w:val="14"/>
          <w:szCs w:val="14"/>
          <w:color w:val="auto"/>
        </w:rPr>
        <w:t> ,QFOXGHVRUGLQDU\VKDUHVWKDWRXUH[HFXWLYHRIILFHUVDQGQRQHPSOR\HHGLUHFWRUVKDYHWKHULJKWWRDFTXLUHSXUVXDQWWRRSWLRQV H[HUFLVDEOHDQG568VVFKHGXOHGWRYHVWIRUFHUWDLQRIRXUH[HFXWLYHRIILFHUVDQGGLUHFWRUVLQHDFKFDVHZLWKLQGD\VRI0D\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2110740</wp:posOffset>
            </wp:positionV>
            <wp:extent cx="1386840" cy="23368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06">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145" w:right="919" w:bottom="0" w:gutter="0" w:footer="0" w:header="0"/>
        </w:sectPr>
      </w:pPr>
    </w:p>
    <w:bookmarkStart w:id="115" w:name="page116"/>
    <w:bookmarkEnd w:id="115"/>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$GGLWLRQDO,QIRUPDWLRQ</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PMingLiU" w:cs="PMingLiU" w:eastAsia="PMingLiU" w:hAnsi="PMingLiU"/>
          <w:sz w:val="32"/>
          <w:szCs w:val="32"/>
          <w:color w:val="5C004D"/>
        </w:rPr>
        <w:t>6SHFLDO1RWH5HJDUGLQJ)RUZDUG/RRNLQJ6WDWHPHQWV</w:t>
      </w:r>
    </w:p>
    <w:p>
      <w:pPr>
        <w:spacing w:after="0" w:line="219"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amp;66,VWUDWHJ\HIIRUWVDQGLQLWLDWLYHVRXUDQWLFLSDWHGQHHGVZLWKUHVSHFWWRWKHDOORWPHQWDQGLVVXDQFHRIRXUVKDUH FDSLWDODQGRXUDELOLW\WRH[HFXWHRQRXUJURZWKVWUDWHJ\DQ\SRWHQWLDOIXWXUHVWUDWHJLFRSSRUWXQLWLHVLQFOXGLQJSRWHQWLDO</w:t>
      </w:r>
    </w:p>
    <w:p>
      <w:pPr>
        <w:spacing w:after="0" w:line="1" w:lineRule="exact"/>
        <w:rPr>
          <w:sz w:val="20"/>
          <w:szCs w:val="20"/>
          <w:color w:val="auto"/>
        </w:rPr>
      </w:pPr>
    </w:p>
    <w:p>
      <w:pPr>
        <w:ind w:right="800"/>
        <w:spacing w:after="0" w:line="368" w:lineRule="auto"/>
        <w:rPr>
          <w:sz w:val="20"/>
          <w:szCs w:val="20"/>
          <w:color w:val="auto"/>
        </w:rPr>
      </w:pPr>
      <w:r>
        <w:rPr>
          <w:rFonts w:ascii="PMingLiU" w:cs="PMingLiU" w:eastAsia="PMingLiU" w:hAnsi="PMingLiU"/>
          <w:sz w:val="13"/>
          <w:szCs w:val="13"/>
          <w:color w:val="auto"/>
        </w:rPr>
        <w:t>DFTXLVLWLRQVRURWKHUEXVLQHVVGHYHORSPHQWWUDQVDFWLRQVWKHDQWLFLSDWHGEHQHILWVWRXVRIRXUFRUSRUDWHGHYHORSPHQW WUDQVDFWLRQVDQG5 'HIIRUWVWKHJRDOVRI,&amp;$5(RXUFRPSOLDQFHDQGHWKLFVSURJUDPWKHJRDOVRIRXUH[HFXWLYH</w:t>
      </w:r>
    </w:p>
    <w:p>
      <w:pPr>
        <w:spacing w:after="0" w:line="1" w:lineRule="exact"/>
        <w:rPr>
          <w:sz w:val="20"/>
          <w:szCs w:val="20"/>
          <w:color w:val="auto"/>
        </w:rPr>
      </w:pPr>
    </w:p>
    <w:p>
      <w:pPr>
        <w:ind w:right="80"/>
        <w:spacing w:after="0" w:line="368" w:lineRule="auto"/>
        <w:rPr>
          <w:sz w:val="20"/>
          <w:szCs w:val="20"/>
          <w:color w:val="auto"/>
        </w:rPr>
      </w:pPr>
      <w:r>
        <w:rPr>
          <w:rFonts w:ascii="PMingLiU" w:cs="PMingLiU" w:eastAsia="PMingLiU" w:hAnsi="PMingLiU"/>
          <w:sz w:val="13"/>
          <w:szCs w:val="13"/>
          <w:color w:val="auto"/>
        </w:rPr>
        <w:t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w:t>
      </w:r>
    </w:p>
    <w:p>
      <w:pPr>
        <w:spacing w:after="0" w:line="2" w:lineRule="exact"/>
        <w:rPr>
          <w:sz w:val="20"/>
          <w:szCs w:val="20"/>
          <w:color w:val="auto"/>
        </w:rPr>
      </w:pPr>
    </w:p>
    <w:p>
      <w:pPr>
        <w:ind w:right="40"/>
        <w:spacing w:after="0" w:line="368" w:lineRule="auto"/>
        <w:rPr>
          <w:sz w:val="20"/>
          <w:szCs w:val="20"/>
          <w:color w:val="auto"/>
        </w:rPr>
      </w:pPr>
      <w:r>
        <w:rPr>
          <w:rFonts w:ascii="PMingLiU" w:cs="PMingLiU" w:eastAsia="PMingLiU" w:hAnsi="PMingLiU"/>
          <w:sz w:val="13"/>
          <w:szCs w:val="13"/>
          <w:color w:val="auto"/>
        </w:rPr>
        <w:t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amp;66, VWUDWHJLHVHIIRUWVDQGLQLWLDWLYHVZKLFKDUHQRWJXDUDQWHHVRUSURPLVHVWKDWVXFKJRDOVLQLWLDWLYHVDQGREMHFWLYHVZLOOEHPHW RXUDELOLW\WRPHHWRXUSURMHFWHGORQJWHUPJRDOVDQGREMHFWLYHVLQWKHWLPHSHULRGVWKDWZHDQWLFLSDWHRUDWDOODQGWKH LQKHUHQWXQFHUWDLQW\DQGVLJQLILFDQWMXGJPHQWVDQGDVVXPSWLRQVXQGHUO\LQJRXUORQJWHUPJRDOVDQGREMHFWLYHVRXUDELOLW\ WRLGHQWLI\FRPSHWHZLWKRWKHUVIRUDQGVXFFHVVIXOO\FRPSOHWHDQ\SRWHQWLDOIXWXUHEXVLQHVVGHYHORSPHQWWUDQVDFWLRQVDQG</w:t>
      </w:r>
    </w:p>
    <w:p>
      <w:pPr>
        <w:spacing w:after="0" w:line="7" w:lineRule="exact"/>
        <w:rPr>
          <w:sz w:val="20"/>
          <w:szCs w:val="20"/>
          <w:color w:val="auto"/>
        </w:rPr>
      </w:pPr>
    </w:p>
    <w:p>
      <w:pPr>
        <w:spacing w:after="0" w:line="342" w:lineRule="auto"/>
        <w:rPr>
          <w:sz w:val="20"/>
          <w:szCs w:val="20"/>
          <w:color w:val="auto"/>
        </w:rPr>
      </w:pPr>
      <w:r>
        <w:rPr>
          <w:rFonts w:ascii="PMingLiU" w:cs="PMingLiU" w:eastAsia="PMingLiU" w:hAnsi="PMingLiU"/>
          <w:sz w:val="14"/>
          <w:szCs w:val="14"/>
          <w:color w:val="auto"/>
        </w:rPr>
        <w:t>RWKHUULVNVDQGXQFHUWDLQWLHVDIIHFWLQJXVLQFOXGLQJWKRVHGHVFULEHGIURPWLPHWRWLPHXQGHUWKHFDSWLRQ³5LVN)DFWRUV´DQG HOVHZKHUHLQRXU6(&amp;ILOLQJVDQGUHSRUWVLQFOXGLQJ-D]]3KDUPDFHXWLFDOVSOF¶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w:t>
      </w:r>
    </w:p>
    <w:p>
      <w:pPr>
        <w:spacing w:after="0" w:line="1" w:lineRule="exact"/>
        <w:rPr>
          <w:sz w:val="20"/>
          <w:szCs w:val="20"/>
          <w:color w:val="auto"/>
        </w:rPr>
      </w:pPr>
    </w:p>
    <w:p>
      <w:pPr>
        <w:ind w:right="160"/>
        <w:spacing w:after="0" w:line="443" w:lineRule="auto"/>
        <w:rPr>
          <w:sz w:val="20"/>
          <w:szCs w:val="20"/>
          <w:color w:val="auto"/>
        </w:rPr>
      </w:pPr>
      <w:r>
        <w:rPr>
          <w:rFonts w:ascii="PMingLiU" w:cs="PMingLiU" w:eastAsia="PMingLiU" w:hAnsi="PMingLiU"/>
          <w:sz w:val="14"/>
          <w:szCs w:val="14"/>
          <w:color w:val="auto"/>
        </w:rPr>
        <w:t>DFWXDOUHVXOWVQHZLQIRUPDWLRQIXWXUHHYHQWVFKDQJHVLQRXUH[SHFWDWLRQVRURWKHUFLUFXPVWDQFHVWKDWH[LVWDIWHUWKHGDWHDV RIZKLFKWKHIRUZDUGORRNLQJVWDWHPHQWVZHUHPDGH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283845</wp:posOffset>
            </wp:positionV>
            <wp:extent cx="1386840" cy="23368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408">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120"/>
          </w:cols>
          <w:pgMar w:left="900" w:top="1440" w:right="859" w:bottom="0" w:gutter="0" w:footer="0" w:header="0"/>
        </w:sectPr>
      </w:pPr>
    </w:p>
    <w:bookmarkStart w:id="116" w:name="page117"/>
    <w:bookmarkEnd w:id="116"/>
    <w:p>
      <w:pPr>
        <w:ind w:left="78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5455920</wp:posOffset>
                </wp:positionH>
                <wp:positionV relativeFrom="page">
                  <wp:posOffset>1270</wp:posOffset>
                </wp:positionV>
                <wp:extent cx="1514475" cy="41910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4475" cy="419100"/>
                        </a:xfrm>
                        <a:prstGeom prst="rect">
                          <a:avLst/>
                        </a:prstGeom>
                        <a:solidFill>
                          <a:srgbClr val="5C004D"/>
                        </a:solidFill>
                      </wps:spPr>
                      <wps:bodyPr/>
                    </wps:wsp>
                  </a:graphicData>
                </a:graphic>
              </wp:anchor>
            </w:drawing>
          </mc:Choice>
          <mc:Fallback>
            <w:pict>
              <v:rect id="Shape 593" o:spid="_x0000_s1618" style="position:absolute;margin-left:429.6pt;margin-top:0.1pt;width:119.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$'',7,21$/,1)250$7,21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+RXVHKROGLQJRI3UR[\0DWHULDOV</w:t>
      </w:r>
    </w:p>
    <w:p>
      <w:pPr>
        <w:spacing w:after="0" w:line="219" w:lineRule="exact"/>
        <w:rPr>
          <w:sz w:val="20"/>
          <w:szCs w:val="20"/>
          <w:color w:val="auto"/>
        </w:rPr>
      </w:pPr>
    </w:p>
    <w:p>
      <w:pPr>
        <w:ind w:right="260"/>
        <w:spacing w:after="0" w:line="376" w:lineRule="auto"/>
        <w:rPr>
          <w:sz w:val="20"/>
          <w:szCs w:val="20"/>
          <w:color w:val="auto"/>
        </w:rPr>
      </w:pPr>
      <w:r>
        <w:rPr>
          <w:rFonts w:ascii="PMingLiU" w:cs="PMingLiU" w:eastAsia="PMingLiU" w:hAnsi="PMingLiU"/>
          <w:sz w:val="14"/>
          <w:szCs w:val="14"/>
          <w:color w:val="auto"/>
        </w:rPr>
        <w:t>7KH6(&amp;KDVDGRSWHGUXOHVWKDWSHUPLWFRPSDQLHVDQGLQWHUPHGLDULHVVXFKDVEURNHUVWRVDWLVI\WKHGHOLYHU\UHTXLUHPHQWV IRU1RWLFHVDQGSUR[\PDWHULDOVZLWKUHVSHFWWRWZRRUPRUHVKDUHKROGHUVVKDULQJWKHVDPHDGGUHVVE\GHOLYHULQJDVLQJOH 1RWLFHRUDVLQJOHVHWRISUR[\PDWHULDOVDVDSSOLFDEOHDGGUHVVHGWRWKRVHVKDUHKROGHUV7KLVSURFHVVZKLFKLVFRPPRQO\ UHIHUUHGWRDV³KRXVHKROGLQJ´SRWHQWLDOO\PHDQVH[WUDFRQYHQLHQFHIRUVKDUHKROGHUVDQGFRVWVDYLQJVIRUFRPSDQLHV</w:t>
      </w:r>
    </w:p>
    <w:p>
      <w:pPr>
        <w:spacing w:after="0" w:line="85" w:lineRule="exact"/>
        <w:rPr>
          <w:sz w:val="20"/>
          <w:szCs w:val="20"/>
          <w:color w:val="auto"/>
        </w:rPr>
      </w:pPr>
    </w:p>
    <w:p>
      <w:pPr>
        <w:ind w:right="20"/>
        <w:spacing w:after="0" w:line="342" w:lineRule="auto"/>
        <w:rPr>
          <w:sz w:val="20"/>
          <w:szCs w:val="20"/>
          <w:color w:val="auto"/>
        </w:rPr>
      </w:pPr>
      <w:r>
        <w:rPr>
          <w:rFonts w:ascii="PMingLiU" w:cs="PMingLiU" w:eastAsia="PMingLiU" w:hAnsi="PMingLiU"/>
          <w:sz w:val="14"/>
          <w:szCs w:val="14"/>
          <w:color w:val="auto"/>
        </w:rPr>
        <w:t>$QXPEHURIEURNHUVZLWKDFFRXQWKROGHUVZKRDUHRXUVKDUHKROGHUVZLOOEH³KRXVHKROGLQJ´1RWLFHVDQGRXUSUR[\PDWHULDOV $VLQJOH1RWLFHRUDVLQJOHVHWRISUR[\PDWHULDOVDVDSSOLFDEOHPD\EHGHOLYHUHGWRPXOWLSOHVKDUHKROGHUVVKDULQJDQDGGUHVV XQOHVVFRQWUDU\LQVWUXFWLRQVKDYHEHHQUHFHLYHGIURPWKHDIIHFWHGVKDUHKROGHUV2QFH\RXKDYHUHFHLYHGQRWLFHIURP\RXU EURNHUWKDWLWZLOOEH³KRXVHKROGLQJ´FRPPXQLFDWLRQVWR\RXUDGGUHVV³KRXVHKROGLQJ´ZLOOFRQWLQXHXQWLO\RXDUHQRWLILHG RWKHUZLVHRUXQWLO\RXUHYRNH\RXUFRQVHQW,IDWDQ\WLPH\RXQRORQJHUZLVKWRSDUWLFLSDWHLQ³KRXVHKROGLQJ´DQGZRXOG SUHIHUWRUHFHLYHDVHSDUDWH1RWLFHRUVHWRISUR[\PDWHULDOVDVDSSOLFDEOHLQWKHIXWXUH\RXPD\QRWLI\\RXUEURNHU GLUHFW\RXUZULWWHQUHTXHVWWR-D]]3KDUPDFHXWLFDOVSOF$WWHQWLRQ,QYHVWRU5HODWLRQV)LIWK)ORRU:DWHUORR([FKDQJH:DWHUORR 5RDG'XEOLQ,UHODQGRUFRQWDFWRXU,QYHVWRU5HODWLRQVGHSDUWPHQWDW,UHODQGRU 86RUE\HPDLODWLQYHVWRULQIR#MD]]SKDUPDFHXWLFDOVFRP6KDUHKROGHUVZKRFXUUHQWO\UHFHLYHPXOWLSOHFRSLHVRI1RWLFHVRU</w:t>
      </w:r>
    </w:p>
    <w:p>
      <w:pPr>
        <w:spacing w:after="0" w:line="1" w:lineRule="exact"/>
        <w:rPr>
          <w:sz w:val="20"/>
          <w:szCs w:val="20"/>
          <w:color w:val="auto"/>
        </w:rPr>
      </w:pPr>
    </w:p>
    <w:p>
      <w:pPr>
        <w:spacing w:after="0" w:line="1656" w:lineRule="auto"/>
        <w:rPr>
          <w:sz w:val="20"/>
          <w:szCs w:val="20"/>
          <w:color w:val="auto"/>
        </w:rPr>
      </w:pPr>
      <w:r>
        <w:rPr>
          <w:rFonts w:ascii="PMingLiU" w:cs="PMingLiU" w:eastAsia="PMingLiU" w:hAnsi="PMingLiU"/>
          <w:sz w:val="7"/>
          <w:szCs w:val="7"/>
          <w:color w:val="auto"/>
        </w:rPr>
        <w:t>SUR[\PDWHULDOVDWWKHLUDGGUHVVDQGZRXOGOLNHWRUHTXHVW³KRXVHKROGLQJ´RIWKHLUFRPPXQLFDWLRQVVKRXOGFRQWDFWWKHLUEURNHU ,QDGGLWLRQZHZLOOSURPSWO\GHOLYHUXSRQZULWWHQRURUDOUHTXHVWWRWKHDGGUHVVRUWHOHSKRQHQXPEHUDERYHDVHSDUDWHFRS\RI D1RWLFHRUVHWRISUR[\PDWHULDOVWRDVKDUHKROGHUDWDVKDUHGDGGUHVVWRZKLFKDVLQJOH1RWLFHRUVHWRISUR[\PDWHULDOVDV DSSOLFDEOHZDVGHOLYHUHG</w:t>
      </w:r>
    </w:p>
    <w:p>
      <w:pPr>
        <w:spacing w:after="0"/>
        <w:rPr>
          <w:sz w:val="20"/>
          <w:szCs w:val="20"/>
          <w:color w:val="auto"/>
        </w:rPr>
      </w:pPr>
      <w:r>
        <w:rPr>
          <w:rFonts w:ascii="PMingLiU" w:cs="PMingLiU" w:eastAsia="PMingLiU" w:hAnsi="PMingLiU"/>
          <w:sz w:val="32"/>
          <w:szCs w:val="32"/>
          <w:color w:val="5C004D"/>
        </w:rPr>
        <w:t>'HOLQTXHQW6HFWLRQD5HSRUWV</w:t>
      </w:r>
    </w:p>
    <w:p>
      <w:pPr>
        <w:spacing w:after="0" w:line="219" w:lineRule="exact"/>
        <w:rPr>
          <w:sz w:val="20"/>
          <w:szCs w:val="20"/>
          <w:color w:val="auto"/>
        </w:rPr>
      </w:pPr>
    </w:p>
    <w:p>
      <w:pPr>
        <w:spacing w:after="0"/>
        <w:rPr>
          <w:sz w:val="20"/>
          <w:szCs w:val="20"/>
          <w:color w:val="auto"/>
        </w:rPr>
      </w:pPr>
      <w:r>
        <w:rPr>
          <w:rFonts w:ascii="PMingLiU" w:cs="PMingLiU" w:eastAsia="PMingLiU" w:hAnsi="PMingLiU"/>
          <w:sz w:val="16"/>
          <w:szCs w:val="16"/>
          <w:color w:val="auto"/>
        </w:rPr>
        <w:t>6HFWLRQDRIWKH([FKDQJH$FWUHTXLUHVRXUGLUHFWRUVH[HFXWLYHRIILFHUVDQGSHUVRQVZKREHQHILFLDOO\RZQPRUHWKDQ</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4"/>
          <w:szCs w:val="14"/>
          <w:color w:val="auto"/>
        </w:rPr>
        <w:t>RIWKHRXWVWDQGLQJVKDUHVRIRXURUGLQDU\VKDUHVWRILOHUHSRUWVRIWKHLUVWRFNRZQHUVKLSDQGFKDQJHVLQWKHLURZQHUVKLSRIRXU</w:t>
      </w:r>
    </w:p>
    <w:p>
      <w:pPr>
        <w:spacing w:after="0" w:line="72" w:lineRule="exact"/>
        <w:rPr>
          <w:sz w:val="20"/>
          <w:szCs w:val="20"/>
          <w:color w:val="auto"/>
        </w:rPr>
      </w:pPr>
    </w:p>
    <w:p>
      <w:pPr>
        <w:ind w:right="780"/>
        <w:spacing w:after="0" w:line="358" w:lineRule="auto"/>
        <w:rPr>
          <w:sz w:val="20"/>
          <w:szCs w:val="20"/>
          <w:color w:val="auto"/>
        </w:rPr>
      </w:pPr>
      <w:r>
        <w:rPr>
          <w:rFonts w:ascii="PMingLiU" w:cs="PMingLiU" w:eastAsia="PMingLiU" w:hAnsi="PMingLiU"/>
          <w:sz w:val="15"/>
          <w:szCs w:val="15"/>
          <w:color w:val="auto"/>
        </w:rPr>
        <w:t>RUGLQDU\VKDUHVZLWKWKH6(&amp;%DVHGVROHO\RQDUHYLHZRIWKHUHSRUWVILOHGIRUILVFDO\HDUDQGUHODWHGZULWWHQ UHSUHVHQWDWLRQVZHEHOLHYHWKDWDOO6HFWLRQDUHSRUWVZHUHILOHGRQDWLPHO\EDVLVH[FHSWIRUDODWHILOLQJGXHWRDQ LQDGYHUWHQWDGPLQLVWUDWLYHHUURURIRQH)RUPWRUHSRUWVKDUHVWUDQVIHUUHGLQ$XJXVWE\3DWULFN(QULJKW</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32"/>
          <w:szCs w:val="32"/>
          <w:color w:val="5C004D"/>
        </w:rPr>
        <w:t>*HQHUDO</w:t>
      </w:r>
    </w:p>
    <w:p>
      <w:pPr>
        <w:spacing w:after="0" w:line="219" w:lineRule="exact"/>
        <w:rPr>
          <w:sz w:val="20"/>
          <w:szCs w:val="20"/>
          <w:color w:val="auto"/>
        </w:rPr>
      </w:pPr>
    </w:p>
    <w:p>
      <w:pPr>
        <w:ind w:right="20"/>
        <w:spacing w:after="0" w:line="345" w:lineRule="auto"/>
        <w:rPr>
          <w:sz w:val="20"/>
          <w:szCs w:val="20"/>
          <w:color w:val="auto"/>
        </w:rPr>
      </w:pPr>
      <w:r>
        <w:rPr>
          <w:rFonts w:ascii="PMingLiU" w:cs="PMingLiU" w:eastAsia="PMingLiU" w:hAnsi="PMingLiU"/>
          <w:sz w:val="15"/>
          <w:szCs w:val="15"/>
          <w:color w:val="auto"/>
        </w:rPr>
        <w:t>&lt;RXUSUR[\LVVROLFLWHGRQEHKDOIRIRXU%RDUG8QOHVVRWKHUZLVHGLUHFWHGDWRXU$*0RUDQ\DGMRXUQPHQWWKHUHRI SUR[LHVZLOOEHYRWHG³)25´DOORIWKHQRPLQHHVOLVWHGLQ3URSRVDODQG³)25´3URSRVDOVDQG,IDQ\PDWWHURWKHU WKDQWKRVHGHVFULEHGLQRXUSUR[\VWDWHPHQWLVSURSHUO\WDEOHGWRRXU$*0RUDQ\DGMRXUQPHQWWKHUHRILWLVWKHLQWHQWLRQ RIWKHSHUVRQVQDPHGLQWKHDFFRPSDQ\LQJSUR[\WRYRWHRQVXFKPDWWHUVLQDFFRUGDQFHZLWKWKHLUEHVWMXGJPHQW</w:t>
      </w:r>
    </w:p>
    <w:p>
      <w:pPr>
        <w:spacing w:after="0" w:line="103"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%\RUGHURIRXU%RDUG</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V$LVOLQQ'RRG\</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b w:val="1"/>
          <w:bCs w:val="1"/>
          <w:color w:val="000046"/>
        </w:rPr>
        <w:t>$LVOLQQ'RRG\</w:t>
      </w:r>
      <w:r>
        <w:rPr>
          <w:rFonts w:ascii="PMingLiU" w:cs="PMingLiU" w:eastAsia="PMingLiU" w:hAnsi="PMingLiU"/>
          <w:sz w:val="18"/>
          <w:szCs w:val="18"/>
          <w:color w:val="000000"/>
        </w:rPr>
        <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&amp;RPSDQ\6HFUHWDU\</w:t>
      </w:r>
    </w:p>
    <w:p>
      <w:pPr>
        <w:spacing w:after="0" w:line="20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'XEOLQ,UHODQG</w:t>
      </w:r>
    </w:p>
    <w:p>
      <w:pPr>
        <w:spacing w:after="0" w:line="24" w:lineRule="exact"/>
        <w:rPr>
          <w:sz w:val="20"/>
          <w:szCs w:val="20"/>
          <w:color w:val="auto"/>
        </w:rPr>
      </w:pPr>
    </w:p>
    <w:p>
      <w:pPr>
        <w:ind w:left="5760"/>
        <w:spacing w:after="0"/>
        <w:rPr>
          <w:sz w:val="20"/>
          <w:szCs w:val="20"/>
          <w:color w:val="auto"/>
        </w:rPr>
      </w:pPr>
      <w:r>
        <w:rPr>
          <w:rFonts w:ascii="PMingLiU" w:cs="PMingLiU" w:eastAsia="PMingLiU" w:hAnsi="PMingLiU"/>
          <w:sz w:val="18"/>
          <w:szCs w:val="18"/>
          <w:color w:val="auto"/>
        </w:rPr>
        <w:t>-XQH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1819275</wp:posOffset>
            </wp:positionV>
            <wp:extent cx="1386840" cy="23368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409">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140"/>
          </w:cols>
          <w:pgMar w:left="900" w:top="377" w:right="839" w:bottom="0" w:gutter="0" w:footer="0" w:header="0"/>
        </w:sectPr>
      </w:pPr>
    </w:p>
    <w:bookmarkStart w:id="117" w:name="page118"/>
    <w:bookmarkEnd w:id="117"/>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575945</wp:posOffset>
            </wp:positionH>
            <wp:positionV relativeFrom="page">
              <wp:posOffset>908050</wp:posOffset>
            </wp:positionV>
            <wp:extent cx="1203960"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1203960" cy="38100"/>
                    </a:xfrm>
                    <a:prstGeom prst="rect">
                      <a:avLst/>
                    </a:prstGeom>
                    <a:noFill/>
                  </pic:spPr>
                </pic:pic>
              </a:graphicData>
            </a:graphic>
          </wp:anchor>
        </w:drawing>
      </w:r>
    </w:p>
    <w:p>
      <w:pPr>
        <w:spacing w:after="0"/>
        <w:rPr>
          <w:sz w:val="20"/>
          <w:szCs w:val="20"/>
          <w:color w:val="auto"/>
        </w:rPr>
      </w:pPr>
      <w:r>
        <w:rPr>
          <w:rFonts w:ascii="PMingLiU" w:cs="PMingLiU" w:eastAsia="PMingLiU" w:hAnsi="PMingLiU"/>
          <w:sz w:val="60"/>
          <w:szCs w:val="60"/>
          <w:b w:val="1"/>
          <w:bCs w:val="1"/>
          <w:color w:val="000046"/>
        </w:rPr>
        <w:t>4XHVWLRQVDQG$QVZHUV</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54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3"/>
          <w:szCs w:val="23"/>
          <w:color w:val="5C004D"/>
        </w:rPr>
        <w:t>:K\GLG,UHFHLYHWKHVHPDWHULDOV"</w:t>
      </w:r>
    </w:p>
    <w:p>
      <w:pPr>
        <w:spacing w:after="0" w:line="84" w:lineRule="exact"/>
        <w:rPr>
          <w:sz w:val="20"/>
          <w:szCs w:val="20"/>
          <w:color w:val="auto"/>
        </w:rPr>
      </w:pPr>
    </w:p>
    <w:p>
      <w:pPr>
        <w:jc w:val="right"/>
        <w:ind w:left="40" w:right="500"/>
        <w:spacing w:after="0" w:line="202" w:lineRule="auto"/>
        <w:rPr>
          <w:sz w:val="20"/>
          <w:szCs w:val="20"/>
          <w:color w:val="auto"/>
        </w:rPr>
      </w:pPr>
      <w:r>
        <w:rPr>
          <w:rFonts w:ascii="PMingLiU" w:cs="PMingLiU" w:eastAsia="PMingLiU" w:hAnsi="PMingLiU"/>
          <w:sz w:val="25"/>
          <w:szCs w:val="25"/>
          <w:color w:val="2D2C36"/>
        </w:rPr>
        <w:t xml:space="preserve">$  </w:t>
      </w:r>
      <w:r>
        <w:rPr>
          <w:rFonts w:ascii="PMingLiU" w:cs="PMingLiU" w:eastAsia="PMingLiU" w:hAnsi="PMingLiU"/>
          <w:sz w:val="16"/>
          <w:szCs w:val="16"/>
          <w:color w:val="000000"/>
        </w:rPr>
        <w:t>2XU%RDUGLVVROLFLWLQJ\RXUSUR[\WRYRWHDWRXU$*02XUSUR[\VWDWHPHQWFRQWDLQVLPSRUWDQWLQIRUPDWLRQ</w:t>
      </w:r>
      <w:r>
        <w:rPr>
          <w:rFonts w:ascii="PMingLiU" w:cs="PMingLiU" w:eastAsia="PMingLiU" w:hAnsi="PMingLiU"/>
          <w:sz w:val="25"/>
          <w:szCs w:val="25"/>
          <w:color w:val="2D2C36"/>
        </w:rPr>
        <w:t xml:space="preserve"> </w:t>
      </w:r>
      <w:r>
        <w:rPr>
          <w:rFonts w:ascii="PMingLiU" w:cs="PMingLiU" w:eastAsia="PMingLiU" w:hAnsi="PMingLiU"/>
          <w:sz w:val="16"/>
          <w:szCs w:val="16"/>
          <w:color w:val="000000"/>
        </w:rPr>
        <w:t>UHJDUGLQJRXU$*0WKHSURSRVDOVRQZKLFK\RXDUHEHLQJDVNHGWRYRWHLQIRUPDWLRQ\RXPD\ILQGXVHIXOLQ</w:t>
      </w:r>
    </w:p>
    <w:p>
      <w:pPr>
        <w:spacing w:after="0" w:line="2" w:lineRule="exact"/>
        <w:rPr>
          <w:sz w:val="20"/>
          <w:szCs w:val="20"/>
          <w:color w:val="auto"/>
        </w:rPr>
      </w:pPr>
    </w:p>
    <w:p>
      <w:pPr>
        <w:ind w:left="560"/>
        <w:spacing w:after="0"/>
        <w:rPr>
          <w:sz w:val="20"/>
          <w:szCs w:val="20"/>
          <w:color w:val="auto"/>
        </w:rPr>
      </w:pPr>
      <w:r>
        <w:rPr>
          <w:rFonts w:ascii="PMingLiU" w:cs="PMingLiU" w:eastAsia="PMingLiU" w:hAnsi="PMingLiU"/>
          <w:sz w:val="18"/>
          <w:szCs w:val="18"/>
          <w:color w:val="auto"/>
        </w:rPr>
        <w:t>GHWHUPLQLQJKRZWRYRWHDQGYRWLQJSURFHGXUHV</w:t>
      </w:r>
    </w:p>
    <w:p>
      <w:pPr>
        <w:spacing w:after="0" w:line="253" w:lineRule="exact"/>
        <w:rPr>
          <w:sz w:val="20"/>
          <w:szCs w:val="20"/>
          <w:color w:val="auto"/>
        </w:rPr>
      </w:pPr>
    </w:p>
    <w:p>
      <w:pPr>
        <w:ind w:left="540" w:right="460" w:hanging="539"/>
        <w:spacing w:after="0" w:line="347" w:lineRule="auto"/>
        <w:tabs>
          <w:tab w:leader="none" w:pos="520" w:val="left"/>
        </w:tabs>
        <w:rPr>
          <w:sz w:val="20"/>
          <w:szCs w:val="20"/>
          <w:color w:val="auto"/>
        </w:rPr>
      </w:pPr>
      <w:r>
        <w:rPr>
          <w:rFonts w:ascii="PMingLiU" w:cs="PMingLiU" w:eastAsia="PMingLiU" w:hAnsi="PMingLiU"/>
          <w:sz w:val="22"/>
          <w:szCs w:val="22"/>
          <w:color w:val="5C004D"/>
        </w:rPr>
        <w:t>4</w:t>
        <w:tab/>
        <w:t>:K\GLG,UHFHLYHDQRWLFHLQWKHPDLOUHJDUGLQJWKHLQWHUQHWDYDLODELOLW\RI SUR[\PDWHULDOVLQVWHDGRIDIXOOVHWRISUR[\PDWHULDOV"</w:t>
      </w:r>
    </w:p>
    <w:p>
      <w:pPr>
        <w:spacing w:after="0" w:line="2" w:lineRule="exact"/>
        <w:rPr>
          <w:sz w:val="20"/>
          <w:szCs w:val="20"/>
          <w:color w:val="auto"/>
        </w:rPr>
      </w:pPr>
    </w:p>
    <w:p>
      <w:pPr>
        <w:ind w:left="540" w:right="20" w:hanging="521"/>
        <w:spacing w:after="0" w:line="367"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4"/>
          <w:szCs w:val="14"/>
          <w:color w:val="auto"/>
        </w:rPr>
        <w:t>:HDUHSOHDVHGWRWDNHDGYDQWDJHRI6(&amp;UXOHVWKDWDOORZFRPSDQLHVWRIXUQLVKWKHLUSUR[\PDWHULDOVRYHUWKHLQWHUQHW 0RVWRIRXUVKDUHKROGHUVZLOOQRWUHFHLYHSDSHUFRSLHVRIRXUSUR[\PDWHULDOVXQOHVVUHTXHVWHGDQGZLOOLQVWHDGEH VHQWD1RWLFH$OOVKDUHKROGHUVUHFHLYLQJD1RWLFHZLOOKDYHWKHDELOLW\WRDFFHVVRXUSUR[\PDWHULDOVRQWKHZHEVLWH UHIHUUHGWRLQWKH1RWLFHDQGWRUHTXHVWDSULQWHGVHWRIRXUSUR[\PDWHULDOV,QVWUXFWLRQVRQKRZWRDFFHVVRXUSUR[\ PDWHULDOVYLDWKHLQWHUQHWRUWRUHTXHVWDSULQWHGVHWRIRXUSUR[\PDWHULDOVPD\EHIRXQGLQWKH1RWLFH</w:t>
      </w:r>
    </w:p>
    <w:p>
      <w:pPr>
        <w:spacing w:after="0" w:line="171" w:lineRule="exact"/>
        <w:rPr>
          <w:sz w:val="20"/>
          <w:szCs w:val="20"/>
          <w:color w:val="auto"/>
        </w:rPr>
      </w:pPr>
    </w:p>
    <w:p>
      <w:pPr>
        <w:ind w:left="540" w:right="180" w:hanging="539"/>
        <w:spacing w:after="0" w:line="318" w:lineRule="auto"/>
        <w:tabs>
          <w:tab w:leader="none" w:pos="520" w:val="left"/>
        </w:tabs>
        <w:rPr>
          <w:sz w:val="20"/>
          <w:szCs w:val="20"/>
          <w:color w:val="auto"/>
        </w:rPr>
      </w:pPr>
      <w:r>
        <w:rPr>
          <w:rFonts w:ascii="PMingLiU" w:cs="PMingLiU" w:eastAsia="PMingLiU" w:hAnsi="PMingLiU"/>
          <w:sz w:val="24"/>
          <w:szCs w:val="24"/>
          <w:color w:val="5C004D"/>
        </w:rPr>
        <w:t>4</w:t>
        <w:tab/>
        <w:t>:K\GLG,UHFHLYHDIXOOVHWRISUR[\PDWHULDOVLQWKHPDLOLQVWHDGRIDQRWLFH UHJDUGLQJWKHLQWHUQHWDYDLODELOLW\RISUR[\PDWHULDOV"</w:t>
      </w:r>
    </w:p>
    <w:p>
      <w:pPr>
        <w:spacing w:after="0" w:line="2" w:lineRule="exact"/>
        <w:rPr>
          <w:sz w:val="20"/>
          <w:szCs w:val="20"/>
          <w:color w:val="auto"/>
        </w:rPr>
      </w:pPr>
    </w:p>
    <w:p>
      <w:pPr>
        <w:ind w:left="540" w:right="20" w:hanging="521"/>
        <w:spacing w:after="0" w:line="39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:HDUHSURYLGLQJVKDUHKROGHUVZKRKDYHSUHYLRXVO\UHTXHVWHGDSULQWHGVHWRIRXUSUR[\PDWHULDOVZLWKSDSHUFRSLHVRI RXUSUR[\PDWHULDOVLQVWHDGRID1RWLFH</w:t>
      </w:r>
    </w:p>
    <w:p>
      <w:pPr>
        <w:spacing w:after="0" w:line="138"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2"/>
          <w:szCs w:val="22"/>
          <w:color w:val="5C004D"/>
        </w:rPr>
        <w:t>:KDWLVWKHDQQXDOUHSRUWLQFOXGHGLQWKHSUR[\PDWHULDOV"</w:t>
      </w:r>
    </w:p>
    <w:p>
      <w:pPr>
        <w:spacing w:after="0" w:line="84" w:lineRule="exact"/>
        <w:rPr>
          <w:sz w:val="20"/>
          <w:szCs w:val="20"/>
          <w:color w:val="auto"/>
        </w:rPr>
      </w:pPr>
    </w:p>
    <w:p>
      <w:pPr>
        <w:ind w:left="540" w:right="80" w:hanging="521"/>
        <w:spacing w:after="0" w:line="337"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8QGHUDSSOLFDEOH86VHFXULWLHVODZVZHDUHUHTXLUHGWRSURYLGHDQDQQXDOUHSRUWWRVHFXULW\KROGHUVDORQJZLWKRXU SUR[\VWDWHPHQW:HLQWHQGWRVDWLVI\WKLVDQQXDOUHSRUWUHTXLUHPHQWE\SURYLGLQJWKH$QQXDO5HSRUWRQ)RUP</w:t>
      </w:r>
    </w:p>
    <w:p>
      <w:pPr>
        <w:spacing w:after="0" w:line="1" w:lineRule="exact"/>
        <w:rPr>
          <w:sz w:val="20"/>
          <w:szCs w:val="20"/>
          <w:color w:val="auto"/>
        </w:rPr>
      </w:pPr>
    </w:p>
    <w:p>
      <w:pPr>
        <w:ind w:left="540"/>
        <w:spacing w:after="0"/>
        <w:rPr>
          <w:sz w:val="20"/>
          <w:szCs w:val="20"/>
          <w:color w:val="auto"/>
        </w:rPr>
      </w:pPr>
      <w:r>
        <w:rPr>
          <w:rFonts w:ascii="PMingLiU" w:cs="PMingLiU" w:eastAsia="PMingLiU" w:hAnsi="PMingLiU"/>
          <w:sz w:val="18"/>
          <w:szCs w:val="18"/>
          <w:color w:val="auto"/>
        </w:rPr>
        <w:t>.WRJHWKHUZLWKRXUSUR[\VWDWHPHQW</w:t>
      </w:r>
    </w:p>
    <w:p>
      <w:pPr>
        <w:spacing w:after="0" w:line="25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+RZGR,DWWHQGWKH$*0"</w:t>
      </w:r>
    </w:p>
    <w:p>
      <w:pPr>
        <w:spacing w:after="0" w:line="84" w:lineRule="exact"/>
        <w:rPr>
          <w:sz w:val="20"/>
          <w:szCs w:val="20"/>
          <w:color w:val="auto"/>
        </w:rPr>
      </w:pPr>
    </w:p>
    <w:p>
      <w:pPr>
        <w:ind w:left="540" w:hanging="521"/>
        <w:spacing w:after="0" w:line="526"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0"/>
          <w:szCs w:val="10"/>
          <w:color w:val="auto"/>
        </w:rPr>
        <w:t>2XU$*0ZLOOEHKHOGRQ7KXUVGD\-XO\DWDPORFDOWLPHDWRXUFRUSRUDWHKHDGTXDUWHUVORFDWHGDW )LIWK)ORRU:DWHUORR([FKDQJH:DWHUORR5RDG'XEOLQ,UHODQG)RUGLUHFWLRQVWRDWWHQGRXU$*0LQSHUVRQ SOHDVHFRQWDFWRXU,QYHVWRU5HODWLRQVGHSDUWPHQWDW,UHODQGRU86RUE\HPDLO DWLQYHVWRULQIR#MD]]SKDUPDFHXWLFDOVFRP,QIRUPDWLRQRQKRZWRYRWHLQSHUVRQDWRXU$*0LVGLVFXVVHGEHORZ +RZHYHU\RXGRQRWQHHGWRDWWHQGRXU$*0WRYRWH\RXUVKDUHVDQGDVQRWHGLQWKHQH[WTXHVWLRQZHVWURQJO\ UHFRPPHQGWKDW\RXYRWH\RXUVKDUHVLQDGYDQFHRIWKHPHHWLQJDVLQVWUXFWHGEHORZ</w:t>
      </w:r>
    </w:p>
    <w:p>
      <w:pPr>
        <w:spacing w:after="0" w:line="118"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:KRFDQYRWHDWWKH$*0"</w:t>
      </w:r>
    </w:p>
    <w:p>
      <w:pPr>
        <w:spacing w:after="0" w:line="84" w:lineRule="exact"/>
        <w:rPr>
          <w:sz w:val="20"/>
          <w:szCs w:val="20"/>
          <w:color w:val="auto"/>
        </w:rPr>
      </w:pPr>
    </w:p>
    <w:p>
      <w:pPr>
        <w:ind w:left="540" w:right="600" w:hanging="521"/>
        <w:spacing w:after="0" w:line="291"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8"/>
          <w:szCs w:val="18"/>
          <w:color w:val="auto"/>
        </w:rPr>
        <w:t>2QO\VKDUHKROGHUVRIUHFRUGDWWKHFORVHRIEXVLQHVVRQ0D\WKHUHFRUGGDWHIRURXU$*0ZLOOEH HQWLWOHGWRYRWHDWRXU$*0</w:t>
      </w:r>
    </w:p>
    <w:p>
      <w:pPr>
        <w:spacing w:after="0" w:line="172" w:lineRule="exact"/>
        <w:rPr>
          <w:sz w:val="20"/>
          <w:szCs w:val="20"/>
          <w:color w:val="auto"/>
        </w:rPr>
      </w:pPr>
    </w:p>
    <w:p>
      <w:pPr>
        <w:ind w:left="540"/>
        <w:spacing w:after="0"/>
        <w:rPr>
          <w:sz w:val="20"/>
          <w:szCs w:val="20"/>
          <w:color w:val="auto"/>
        </w:rPr>
      </w:pPr>
      <w:r>
        <w:rPr>
          <w:rFonts w:ascii="PMingLiU" w:cs="PMingLiU" w:eastAsia="PMingLiU" w:hAnsi="PMingLiU"/>
          <w:sz w:val="22"/>
          <w:szCs w:val="22"/>
          <w:b w:val="1"/>
          <w:bCs w:val="1"/>
          <w:color w:val="000046"/>
        </w:rPr>
        <w:t>6KDUHKROGHUVRI5HFRUG6KDUHV5HJLVWHUHGLQ\RXU1DPH</w:t>
      </w:r>
    </w:p>
    <w:p>
      <w:pPr>
        <w:spacing w:after="0" w:line="131" w:lineRule="exact"/>
        <w:rPr>
          <w:sz w:val="20"/>
          <w:szCs w:val="20"/>
          <w:color w:val="auto"/>
        </w:rPr>
      </w:pPr>
    </w:p>
    <w:p>
      <w:pPr>
        <w:ind w:left="540" w:right="60"/>
        <w:spacing w:after="0" w:line="367" w:lineRule="auto"/>
        <w:rPr>
          <w:sz w:val="20"/>
          <w:szCs w:val="20"/>
          <w:color w:val="auto"/>
        </w:rPr>
      </w:pPr>
      <w:r>
        <w:rPr>
          <w:rFonts w:ascii="PMingLiU" w:cs="PMingLiU" w:eastAsia="PMingLiU" w:hAnsi="PMingLiU"/>
          <w:sz w:val="14"/>
          <w:szCs w:val="14"/>
          <w:color w:val="auto"/>
        </w:rPr>
        <w:t>,IDWWKHFORVHRIEXVLQHVVRQ0D\\RXUVKDUHVZHUHUHJLVWHUHGGLUHFWO\LQ\RXUQDPHZLWKRXUWUDQVIHUDJHQW &amp;RPSXWHUVKDUH7UXVW&amp;RPSDQ\1$WKHQ\RXDUHDVKDUHKROGHURIUHFRUG$VDVKDUHKROGHURIUHFRUG\RXPD\YRWH LQSHUVRQDWRXU$*0RUYRWHE\SUR[\:KHWKHURUQRW\RXSODQWRDWWHQGRXU$*0ZHXUJH\RXWRYRWHE\ SUR[\RYHUWKHWHOHSKRQHRUYLDWKHLQWHUQHWDVLQVWUXFWHGEHORZRUIRUWKRVHVKDUHKROGHUVZKRUHFHLYHDSDSHUSUR[\ FDUGLQWKHPDLOE\PDLOLQJDFRPSOHWHGSUR[\FDUG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153670</wp:posOffset>
            </wp:positionV>
            <wp:extent cx="1386840" cy="23368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411">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46"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60"/>
          </w:cols>
          <w:pgMar w:left="900" w:top="1440" w:right="919" w:bottom="0" w:gutter="0" w:footer="0" w:header="0"/>
        </w:sectPr>
      </w:pPr>
    </w:p>
    <w:bookmarkStart w:id="118" w:name="page119"/>
    <w:bookmarkEnd w:id="118"/>
    <w:p>
      <w:pPr>
        <w:ind w:left="77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597" o:spid="_x0000_s1622"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48(67,216$1'$16:(56</w:t>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PMingLiU" w:cs="PMingLiU" w:eastAsia="PMingLiU" w:hAnsi="PMingLiU"/>
          <w:sz w:val="22"/>
          <w:szCs w:val="22"/>
          <w:b w:val="1"/>
          <w:bCs w:val="1"/>
          <w:color w:val="000046"/>
        </w:rPr>
        <w:t>%HQHILFLDO2ZQHUV6KDUHV5HJLVWHUHGLQWKH1DPHRID%URNHU%DQNRU2WKHU$JHQW</w:t>
      </w:r>
    </w:p>
    <w:p>
      <w:pPr>
        <w:spacing w:after="0" w:line="131" w:lineRule="exact"/>
        <w:rPr>
          <w:sz w:val="20"/>
          <w:szCs w:val="20"/>
          <w:color w:val="auto"/>
        </w:rPr>
      </w:pPr>
    </w:p>
    <w:p>
      <w:pPr>
        <w:ind w:left="540" w:right="160"/>
        <w:spacing w:after="0" w:line="319" w:lineRule="auto"/>
        <w:rPr>
          <w:sz w:val="20"/>
          <w:szCs w:val="20"/>
          <w:color w:val="auto"/>
        </w:rPr>
      </w:pPr>
      <w:r>
        <w:rPr>
          <w:rFonts w:ascii="PMingLiU" w:cs="PMingLiU" w:eastAsia="PMingLiU" w:hAnsi="PMingLiU"/>
          <w:sz w:val="15"/>
          <w:szCs w:val="15"/>
          <w:color w:val="auto"/>
        </w:rPr>
        <w:t>,IDWWKHFORVHRIEXVLQHVVRQ0D\\RXUVKDUHVZHUHKHOGQRWLQ\RXUQDPHEXWUDWKHULQDQDFFRXQWDWD EURNHUDJHILUPEDQNRURWKHUDJHQWWKHQ\RXDUHWKHEHQHILFLDORZQHURIVKDUHVKHOGLQ³VWUHHWQDPH´DQGD1RWLFHLV</w:t>
      </w:r>
    </w:p>
    <w:p>
      <w:pPr>
        <w:spacing w:after="0" w:line="1" w:lineRule="exact"/>
        <w:rPr>
          <w:sz w:val="20"/>
          <w:szCs w:val="20"/>
          <w:color w:val="auto"/>
        </w:rPr>
      </w:pPr>
    </w:p>
    <w:p>
      <w:pPr>
        <w:ind w:left="540"/>
        <w:spacing w:after="0" w:line="362" w:lineRule="auto"/>
        <w:rPr>
          <w:sz w:val="20"/>
          <w:szCs w:val="20"/>
          <w:color w:val="auto"/>
        </w:rPr>
      </w:pPr>
      <w:r>
        <w:rPr>
          <w:rFonts w:ascii="PMingLiU" w:cs="PMingLiU" w:eastAsia="PMingLiU" w:hAnsi="PMingLiU"/>
          <w:sz w:val="14"/>
          <w:szCs w:val="14"/>
          <w:color w:val="auto"/>
        </w:rPr>
        <w:t>EHLQJVHQWWR\RXE\WKDWEURNHUEDQNRURWKHUDJHQW7KHEURNHUEDQNRURWKHUDJHQWKROGLQJ\RXUDFFRXQWLV FRQVLGHUHGWREHWKHVKDUHKROGHURIUHFRUGIRUSXUSRVHVRIYRWLQJDWRXU$*0$VDEHQHILFLDORZQHU\RXKDYH WKHULJKWWRGLUHFW\RXUEURNHUEDQNRURWKHUDJHQWUHJDUGLQJKRZWRYRWHWKHVKDUHVLQ\RXUDFFRXQWDVVHWIRUWKLQWKH YRWLQJLQVWUXFWLRQVLQWKH1RWLFHIURP\RXUEURNHUEDQNRURWKHUDJHQW&lt;RXDUHDOVRLQYLWHGWRDWWHQGRXU$*0 +RZHYHUVLQFH\RXDUHQRWWKHVKDUHKROGHURIUHFRUG\RXPD\QRWYRWH\RXUVKDUHVLQSHUVRQDWRXU$*0XQOHVV \RXUHTXHVWDQGREWDLQDYDOLGSUR[\IURP\RXUEURNHUEDQNRURWKHUDJHQW</w:t>
      </w:r>
    </w:p>
    <w:p>
      <w:pPr>
        <w:spacing w:after="0" w:line="155"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:KDWDP,YRWLQJRQ"</w:t>
      </w:r>
    </w:p>
    <w:p>
      <w:pPr>
        <w:spacing w:after="0" w:line="84" w:lineRule="exact"/>
        <w:rPr>
          <w:sz w:val="20"/>
          <w:szCs w:val="20"/>
          <w:color w:val="auto"/>
        </w:rPr>
      </w:pPr>
    </w:p>
    <w:p>
      <w:pPr>
        <w:ind w:left="20"/>
        <w:spacing w:after="0"/>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7"/>
          <w:szCs w:val="17"/>
          <w:color w:val="auto"/>
        </w:rPr>
        <w:t>7KHUHDUHVL[PDWWHUVVFKHGXOHGIRUDYRWHDWRXU$*0</w:t>
      </w:r>
    </w:p>
    <w:p>
      <w:pPr>
        <w:sectPr>
          <w:pgSz w:w="11880" w:h="15479" w:orient="portrait"/>
          <w:cols w:equalWidth="0" w:num="1">
            <w:col w:w="10060"/>
          </w:cols>
          <w:pgMar w:left="900" w:top="377" w:right="919" w:bottom="0" w:gutter="0" w:footer="0" w:header="0"/>
        </w:sectPr>
      </w:pPr>
    </w:p>
    <w:p>
      <w:pPr>
        <w:spacing w:after="0" w:line="111" w:lineRule="exact"/>
        <w:rPr>
          <w:sz w:val="20"/>
          <w:szCs w:val="20"/>
          <w:color w:val="auto"/>
        </w:rPr>
      </w:pPr>
    </w:p>
    <w:p>
      <w:pPr>
        <w:ind w:left="640"/>
        <w:spacing w:after="0"/>
        <w:rPr>
          <w:sz w:val="20"/>
          <w:szCs w:val="20"/>
          <w:color w:val="auto"/>
        </w:rPr>
      </w:pPr>
      <w:r>
        <w:rPr>
          <w:rFonts w:ascii="PMingLiU" w:cs="PMingLiU" w:eastAsia="PMingLiU" w:hAnsi="PMingLiU"/>
          <w:sz w:val="12"/>
          <w:szCs w:val="12"/>
          <w:b w:val="1"/>
          <w:bCs w:val="1"/>
          <w:color w:val="000046"/>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640"/>
        <w:spacing w:after="0" w:line="392" w:lineRule="auto"/>
        <w:rPr>
          <w:sz w:val="20"/>
          <w:szCs w:val="20"/>
          <w:color w:val="auto"/>
        </w:rPr>
      </w:pPr>
      <w:r>
        <w:rPr>
          <w:rFonts w:ascii="PMingLiU" w:cs="PMingLiU" w:eastAsia="PMingLiU" w:hAnsi="PMingLiU"/>
          <w:sz w:val="15"/>
          <w:szCs w:val="15"/>
          <w:color w:val="auto"/>
        </w:rPr>
        <w:t>(OHFWLRQE\VHSDUDWHUHVROXWLRQVRIWKHWKUHHQDPHGQRPLQHHVIRUGLUHFWRUWRKROGRIILFHXQWLORXU$*0 3URSRVDO</w:t>
      </w:r>
    </w:p>
    <w:p>
      <w:pPr>
        <w:spacing w:after="0" w:line="1" w:lineRule="exact"/>
        <w:rPr>
          <w:sz w:val="20"/>
          <w:szCs w:val="20"/>
          <w:color w:val="auto"/>
        </w:rPr>
      </w:pPr>
    </w:p>
    <w:p>
      <w:pPr>
        <w:sectPr>
          <w:pgSz w:w="11880" w:h="15479" w:orient="portrait"/>
          <w:cols w:equalWidth="0" w:num="2">
            <w:col w:w="700" w:space="200"/>
            <w:col w:w="9160"/>
          </w:cols>
          <w:pgMar w:left="900" w:top="377" w:right="919" w:bottom="0" w:gutter="0" w:footer="0" w:header="0"/>
          <w:type w:val="continuous"/>
        </w:sectPr>
      </w:pPr>
    </w:p>
    <w:p>
      <w:pPr>
        <w:ind w:left="640"/>
        <w:spacing w:after="0"/>
        <w:rPr>
          <w:sz w:val="20"/>
          <w:szCs w:val="20"/>
          <w:color w:val="auto"/>
        </w:rPr>
      </w:pPr>
      <w:r>
        <w:rPr>
          <w:rFonts w:ascii="PMingLiU" w:cs="PMingLiU" w:eastAsia="PMingLiU" w:hAnsi="PMingLiU"/>
          <w:sz w:val="12"/>
          <w:szCs w:val="12"/>
          <w:b w:val="1"/>
          <w:bCs w:val="1"/>
          <w:color w:val="000046"/>
        </w:rPr>
        <w:t></w:t>
      </w:r>
    </w:p>
    <w:p>
      <w:pPr>
        <w:spacing w:after="0" w:line="20" w:lineRule="exact"/>
        <w:rPr>
          <w:sz w:val="20"/>
          <w:szCs w:val="20"/>
          <w:color w:val="auto"/>
        </w:rPr>
      </w:pPr>
      <w:r>
        <w:rPr>
          <w:sz w:val="20"/>
          <w:szCs w:val="20"/>
          <w:color w:val="auto"/>
        </w:rPr>
        <w:br w:type="column"/>
      </w:r>
    </w:p>
    <w:p>
      <w:pPr>
        <w:ind w:right="340"/>
        <w:spacing w:after="0" w:line="358" w:lineRule="auto"/>
        <w:rPr>
          <w:sz w:val="20"/>
          <w:szCs w:val="20"/>
          <w:color w:val="auto"/>
        </w:rPr>
      </w:pPr>
      <w:r>
        <w:rPr>
          <w:rFonts w:ascii="PMingLiU" w:cs="PMingLiU" w:eastAsia="PMingLiU" w:hAnsi="PMingLiU"/>
          <w:sz w:val="15"/>
          <w:szCs w:val="15"/>
          <w:color w:val="auto"/>
        </w:rPr>
        <w:t>5DWLILFDWLRQRQDQRQELQGLQJDGYLVRU\EDVLVRIWKHDSSRLQWPHQWRI.30*DVRXULQGHSHQGHQWDXGLWRUVIRUWKH ILVFDO\HDUHQGLQJ'HFHPEHUDQGWKHDXWKRUL]DWLRQLQDELQGLQJYRWHRIRXU%RDUGDFWLQJWKURXJKRXU $XGLW&amp;RPPLWWHHWRGHWHUPLQHWKHLQGHSHQGHQWDXGLWRUV¶UHPXQHUDWLRQ</w:t>
      </w:r>
      <w:r>
        <w:rPr>
          <w:rFonts w:ascii="PMingLiU" w:cs="PMingLiU" w:eastAsia="PMingLiU" w:hAnsi="PMingLiU"/>
          <w:sz w:val="15"/>
          <w:szCs w:val="15"/>
          <w:i w:val="1"/>
          <w:iCs w:val="1"/>
          <w:color w:val="auto"/>
        </w:rPr>
        <w:t/>
      </w:r>
      <w:r>
        <w:rPr>
          <w:rFonts w:ascii="PMingLiU" w:cs="PMingLiU" w:eastAsia="PMingLiU" w:hAnsi="PMingLiU"/>
          <w:sz w:val="15"/>
          <w:szCs w:val="15"/>
          <w:color w:val="auto"/>
        </w:rPr>
        <w:t>3URSRVDO</w:t>
      </w:r>
      <w:r>
        <w:rPr>
          <w:rFonts w:ascii="PMingLiU" w:cs="PMingLiU" w:eastAsia="PMingLiU" w:hAnsi="PMingLiU"/>
          <w:sz w:val="15"/>
          <w:szCs w:val="15"/>
          <w:i w:val="1"/>
          <w:iCs w:val="1"/>
          <w:color w:val="auto"/>
        </w:rPr>
        <w:t/>
      </w:r>
    </w:p>
    <w:p>
      <w:pPr>
        <w:spacing w:after="0" w:line="23" w:lineRule="exact"/>
        <w:rPr>
          <w:sz w:val="20"/>
          <w:szCs w:val="20"/>
          <w:color w:val="auto"/>
        </w:rPr>
      </w:pPr>
    </w:p>
    <w:p>
      <w:pPr>
        <w:sectPr>
          <w:pgSz w:w="11880" w:h="15479" w:orient="portrait"/>
          <w:cols w:equalWidth="0" w:num="2">
            <w:col w:w="700" w:space="200"/>
            <w:col w:w="9160"/>
          </w:cols>
          <w:pgMar w:left="900" w:top="377" w:right="919" w:bottom="0" w:gutter="0" w:footer="0" w:header="0"/>
          <w:type w:val="continuous"/>
        </w:sectPr>
      </w:pPr>
    </w:p>
    <w:p>
      <w:pPr>
        <w:ind w:left="640"/>
        <w:spacing w:after="0"/>
        <w:rPr>
          <w:sz w:val="20"/>
          <w:szCs w:val="20"/>
          <w:color w:val="auto"/>
        </w:rPr>
      </w:pPr>
      <w:r>
        <w:rPr>
          <w:rFonts w:ascii="PMingLiU" w:cs="PMingLiU" w:eastAsia="PMingLiU" w:hAnsi="PMingLiU"/>
          <w:sz w:val="12"/>
          <w:szCs w:val="12"/>
          <w:b w:val="1"/>
          <w:bCs w:val="1"/>
          <w:color w:val="000046"/>
        </w:rPr>
        <w:t></w:t>
      </w:r>
    </w:p>
    <w:p>
      <w:pPr>
        <w:spacing w:after="0" w:line="20" w:lineRule="exact"/>
        <w:rPr>
          <w:sz w:val="20"/>
          <w:szCs w:val="20"/>
          <w:color w:val="auto"/>
        </w:rPr>
      </w:pPr>
      <w:r>
        <w:rPr>
          <w:sz w:val="20"/>
          <w:szCs w:val="20"/>
          <w:color w:val="auto"/>
        </w:rPr>
        <w:br w:type="column"/>
      </w:r>
    </w:p>
    <w:p>
      <w:pPr>
        <w:ind w:right="180"/>
        <w:spacing w:after="0" w:line="358" w:lineRule="auto"/>
        <w:rPr>
          <w:sz w:val="20"/>
          <w:szCs w:val="20"/>
          <w:color w:val="auto"/>
        </w:rPr>
      </w:pPr>
      <w:r>
        <w:rPr>
          <w:rFonts w:ascii="PMingLiU" w:cs="PMingLiU" w:eastAsia="PMingLiU" w:hAnsi="PMingLiU"/>
          <w:sz w:val="16"/>
          <w:szCs w:val="16"/>
          <w:color w:val="auto"/>
        </w:rPr>
        <w:t>$SSURYDORQDQRQELQGLQJDGYLVRU\EDVLVRIWKHFRPSHQVDWLRQRIRXU1(2VDVGLVFORVHGLQRXUSUR[\VWDWHPHQW 3URSRVDO</w:t>
      </w:r>
    </w:p>
    <w:p>
      <w:pPr>
        <w:spacing w:after="0" w:line="16" w:lineRule="exact"/>
        <w:rPr>
          <w:sz w:val="20"/>
          <w:szCs w:val="20"/>
          <w:color w:val="auto"/>
        </w:rPr>
      </w:pPr>
    </w:p>
    <w:p>
      <w:pPr>
        <w:sectPr>
          <w:pgSz w:w="11880" w:h="15479" w:orient="portrait"/>
          <w:cols w:equalWidth="0" w:num="2">
            <w:col w:w="700" w:space="200"/>
            <w:col w:w="9160"/>
          </w:cols>
          <w:pgMar w:left="900" w:top="377" w:right="919" w:bottom="0" w:gutter="0" w:footer="0" w:header="0"/>
          <w:type w:val="continuous"/>
        </w:sectPr>
      </w:pPr>
    </w:p>
    <w:p>
      <w:pPr>
        <w:ind w:left="640"/>
        <w:spacing w:after="0"/>
        <w:rPr>
          <w:sz w:val="20"/>
          <w:szCs w:val="20"/>
          <w:color w:val="auto"/>
        </w:rPr>
      </w:pPr>
      <w:r>
        <w:rPr>
          <w:rFonts w:ascii="PMingLiU" w:cs="PMingLiU" w:eastAsia="PMingLiU" w:hAnsi="PMingLiU"/>
          <w:sz w:val="12"/>
          <w:szCs w:val="12"/>
          <w:b w:val="1"/>
          <w:bCs w:val="1"/>
          <w:color w:val="000046"/>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4"/>
          <w:szCs w:val="14"/>
          <w:color w:val="auto"/>
        </w:rPr>
        <w:t>*UDQWLQJRXU%RDUGDXWKRULW\XQGHU,ULVKODZWRDOORWDQGLVVXHRUGLQDU\VKDUHV3URSRVDO</w:t>
      </w:r>
    </w:p>
    <w:p>
      <w:pPr>
        <w:spacing w:after="0" w:line="182" w:lineRule="exact"/>
        <w:rPr>
          <w:sz w:val="20"/>
          <w:szCs w:val="20"/>
          <w:color w:val="auto"/>
        </w:rPr>
      </w:pPr>
    </w:p>
    <w:p>
      <w:pPr>
        <w:sectPr>
          <w:pgSz w:w="11880" w:h="15479" w:orient="portrait"/>
          <w:cols w:equalWidth="0" w:num="2">
            <w:col w:w="700" w:space="200"/>
            <w:col w:w="9160"/>
          </w:cols>
          <w:pgMar w:left="900" w:top="377" w:right="919" w:bottom="0" w:gutter="0" w:footer="0" w:header="0"/>
          <w:type w:val="continuous"/>
        </w:sectPr>
      </w:pPr>
    </w:p>
    <w:p>
      <w:pPr>
        <w:ind w:left="640"/>
        <w:spacing w:after="0"/>
        <w:rPr>
          <w:sz w:val="20"/>
          <w:szCs w:val="20"/>
          <w:color w:val="auto"/>
        </w:rPr>
      </w:pPr>
      <w:r>
        <w:rPr>
          <w:rFonts w:ascii="PMingLiU" w:cs="PMingLiU" w:eastAsia="PMingLiU" w:hAnsi="PMingLiU"/>
          <w:sz w:val="12"/>
          <w:szCs w:val="12"/>
          <w:b w:val="1"/>
          <w:bCs w:val="1"/>
          <w:color w:val="000046"/>
        </w:rPr>
        <w:t></w:t>
      </w:r>
    </w:p>
    <w:p>
      <w:pPr>
        <w:spacing w:after="0" w:line="20" w:lineRule="exact"/>
        <w:rPr>
          <w:sz w:val="20"/>
          <w:szCs w:val="20"/>
          <w:color w:val="auto"/>
        </w:rPr>
      </w:pPr>
      <w:r>
        <w:rPr>
          <w:sz w:val="20"/>
          <w:szCs w:val="20"/>
          <w:color w:val="auto"/>
        </w:rPr>
        <w:br w:type="column"/>
      </w:r>
    </w:p>
    <w:p>
      <w:pPr>
        <w:ind w:right="180"/>
        <w:spacing w:after="0" w:line="392" w:lineRule="auto"/>
        <w:rPr>
          <w:sz w:val="20"/>
          <w:szCs w:val="20"/>
          <w:color w:val="auto"/>
        </w:rPr>
      </w:pPr>
      <w:r>
        <w:rPr>
          <w:rFonts w:ascii="PMingLiU" w:cs="PMingLiU" w:eastAsia="PMingLiU" w:hAnsi="PMingLiU"/>
          <w:sz w:val="14"/>
          <w:szCs w:val="14"/>
          <w:color w:val="auto"/>
        </w:rPr>
        <w:t>*UDQWLQJRXU%RDUGDXWKRULW\XQGHU,ULVKODZWRDOORWDQGLVVXHRUGLQDU\VKDUHVIRUFDVKZLWKRXWILUVWRIIHULQJWKRVH RUGLQDU\VKDUHVWRH[LVWLQJVKDUHKROGHUVSXUVXDQWWRWKHVWDWXWRU\SUHHPSWLRQULJKWWKDWZRXOGRWKHUZLVHDSSO\ 3URSRVDO</w:t>
      </w:r>
    </w:p>
    <w:p>
      <w:pPr>
        <w:spacing w:after="0" w:line="6" w:lineRule="exact"/>
        <w:rPr>
          <w:sz w:val="20"/>
          <w:szCs w:val="20"/>
          <w:color w:val="auto"/>
        </w:rPr>
      </w:pPr>
    </w:p>
    <w:p>
      <w:pPr>
        <w:sectPr>
          <w:pgSz w:w="11880" w:h="15479" w:orient="portrait"/>
          <w:cols w:equalWidth="0" w:num="2">
            <w:col w:w="700" w:space="200"/>
            <w:col w:w="9160"/>
          </w:cols>
          <w:pgMar w:left="900" w:top="377" w:right="919" w:bottom="0" w:gutter="0" w:footer="0" w:header="0"/>
          <w:type w:val="continuous"/>
        </w:sectPr>
      </w:pPr>
    </w:p>
    <w:p>
      <w:pPr>
        <w:ind w:left="900" w:right="80" w:hanging="259"/>
        <w:spacing w:after="0" w:line="358" w:lineRule="auto"/>
        <w:tabs>
          <w:tab w:leader="none" w:pos="88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$SSURYDORIDQ\PRWLRQWRDGMRXUQWKH$*0RUDQ\DGMRXUQPHQWVWKHUHRIWRDQRWKHUWLPHDQGSODFHWRVROLFLW DGGLWLRQDOSUR[LHVLIWKHUHDUHLQVXIILFLHQWYRWHVDWWKHWLPHRIWKH$*0WRDSSURYHHLWKHU3URSRVDORU 3URSRVDO3URSRVDO</w:t>
      </w:r>
    </w:p>
    <w:p>
      <w:pPr>
        <w:spacing w:after="0" w:line="140"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3"/>
          <w:szCs w:val="23"/>
          <w:color w:val="5C004D"/>
        </w:rPr>
        <w:t>:KDWDUHRXU%RDUG¶VYRWLQJUHFRPPHQGDWLRQV"</w:t>
      </w:r>
    </w:p>
    <w:p>
      <w:pPr>
        <w:spacing w:after="0" w:line="84" w:lineRule="exact"/>
        <w:rPr>
          <w:sz w:val="20"/>
          <w:szCs w:val="20"/>
          <w:color w:val="auto"/>
        </w:rPr>
      </w:pPr>
    </w:p>
    <w:p>
      <w:pPr>
        <w:ind w:left="540" w:right="80" w:hanging="521"/>
        <w:spacing w:after="0" w:line="35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6"/>
          <w:szCs w:val="16"/>
          <w:color w:val="auto"/>
        </w:rPr>
        <w:t>2XU%RDUGUHFRPPHQGVWKDW\RXYRWH\RXUVKDUHV³)25´HDFKRIWKHGLUHFWRUQRPLQHHVQDPHGLQRXUSUR[\VWDWHPHQW WRKROGRIILFHXQWLOWKH$*0DQG³)25´WKHRWKHUILYHSURSRVDOV</w:t>
      </w:r>
    </w:p>
    <w:p>
      <w:pPr>
        <w:spacing w:after="0" w:line="16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6"/>
          <w:szCs w:val="26"/>
          <w:color w:val="5C004D"/>
        </w:rPr>
        <w:t>:KDWLIDQRWKHUPDWWHULVSURSHUO\EURXJKWEHIRUHWKH$*0"</w:t>
      </w:r>
    </w:p>
    <w:p>
      <w:pPr>
        <w:spacing w:after="0" w:line="84" w:lineRule="exact"/>
        <w:rPr>
          <w:sz w:val="20"/>
          <w:szCs w:val="20"/>
          <w:color w:val="auto"/>
        </w:rPr>
      </w:pPr>
    </w:p>
    <w:p>
      <w:pPr>
        <w:jc w:val="both"/>
        <w:ind w:left="540" w:right="240" w:hanging="521"/>
        <w:spacing w:after="0" w:line="331"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2XU%RDUGNQRZVRIQRRWKHUPDWWHUVWKDWZLOOEHSUHVHQWHGIRUFRQVLGHUDWLRQDWRXU$*0,IDQ\RWKHUPDWWHUV DUHSURSHUO\EURXJKWEHIRUHRXU$*0LWLVWKHLQWHQWLRQRIWKHSHUVRQVQDPHGLQWKHDFFRPSDQ\LQJSUR[\FDUG UHIHUUHGWRLQRXUSUR[\VWDWHPHQWDVWKH³SUR[\KROGHUV´WRYRWHRQWKRVHPDWWHUVLQDFFRUGDQFHZLWKWKHLUEHVW</w:t>
      </w:r>
    </w:p>
    <w:p>
      <w:pPr>
        <w:spacing w:after="0" w:line="2" w:lineRule="exact"/>
        <w:rPr>
          <w:sz w:val="20"/>
          <w:szCs w:val="20"/>
          <w:color w:val="auto"/>
        </w:rPr>
      </w:pPr>
    </w:p>
    <w:p>
      <w:pPr>
        <w:ind w:left="540"/>
        <w:spacing w:after="0"/>
        <w:rPr>
          <w:sz w:val="20"/>
          <w:szCs w:val="20"/>
          <w:color w:val="auto"/>
        </w:rPr>
      </w:pPr>
      <w:r>
        <w:rPr>
          <w:rFonts w:ascii="PMingLiU" w:cs="PMingLiU" w:eastAsia="PMingLiU" w:hAnsi="PMingLiU"/>
          <w:sz w:val="18"/>
          <w:szCs w:val="18"/>
          <w:color w:val="auto"/>
        </w:rPr>
        <w:t>MXGJPHQW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2306320</wp:posOffset>
            </wp:positionV>
            <wp:extent cx="1386840" cy="23368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412">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377" w:right="919" w:bottom="0" w:gutter="0" w:footer="0" w:header="0"/>
          <w:type w:val="continuous"/>
        </w:sectPr>
      </w:pPr>
    </w:p>
    <w:bookmarkStart w:id="119" w:name="page120"/>
    <w:bookmarkEnd w:id="119"/>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599" o:spid="_x0000_s1624"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48(67,216$1'$16:(56</w:t>
      </w:r>
    </w:p>
    <w:p>
      <w:pPr>
        <w:spacing w:after="0" w:line="200" w:lineRule="exact"/>
        <w:rPr>
          <w:sz w:val="20"/>
          <w:szCs w:val="20"/>
          <w:color w:val="auto"/>
        </w:rPr>
      </w:pPr>
    </w:p>
    <w:p>
      <w:pPr>
        <w:spacing w:after="0" w:line="288"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+RZGR,YRWH"</w:t>
      </w:r>
    </w:p>
    <w:p>
      <w:pPr>
        <w:spacing w:after="0" w:line="84" w:lineRule="exact"/>
        <w:rPr>
          <w:sz w:val="20"/>
          <w:szCs w:val="20"/>
          <w:color w:val="auto"/>
        </w:rPr>
      </w:pPr>
    </w:p>
    <w:p>
      <w:pPr>
        <w:ind w:left="540" w:right="40" w:hanging="521"/>
        <w:spacing w:after="0" w:line="29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7"/>
          <w:szCs w:val="17"/>
          <w:color w:val="auto"/>
        </w:rPr>
        <w:t>)RUWKHHOHFWLRQRIGLUHFWRUV3URSRVDO\RXPD\YRWH³)25´RU³$*$,167´RU\RXPD\DEVWDLQIURPYRWLQJLQ UHVSHFWRIHDFKQRPLQHH)RUHDFKRIWKHRWKHUILYHSURSRVDOV\RXPD\YRWH³)25´RU³$*$,167´RU\RXPD\DEVWDLQ</w:t>
      </w:r>
    </w:p>
    <w:p>
      <w:pPr>
        <w:ind w:left="540"/>
        <w:spacing w:after="0"/>
        <w:rPr>
          <w:sz w:val="20"/>
          <w:szCs w:val="20"/>
          <w:color w:val="auto"/>
        </w:rPr>
      </w:pPr>
      <w:r>
        <w:rPr>
          <w:rFonts w:ascii="PMingLiU" w:cs="PMingLiU" w:eastAsia="PMingLiU" w:hAnsi="PMingLiU"/>
          <w:sz w:val="18"/>
          <w:szCs w:val="18"/>
          <w:color w:val="auto"/>
        </w:rPr>
        <w:t>IURPYRWLQJ</w:t>
      </w:r>
    </w:p>
    <w:p>
      <w:pPr>
        <w:spacing w:after="0" w:line="252" w:lineRule="exact"/>
        <w:rPr>
          <w:sz w:val="20"/>
          <w:szCs w:val="20"/>
          <w:color w:val="auto"/>
        </w:rPr>
      </w:pPr>
    </w:p>
    <w:p>
      <w:pPr>
        <w:ind w:left="540"/>
        <w:spacing w:after="0"/>
        <w:rPr>
          <w:sz w:val="20"/>
          <w:szCs w:val="20"/>
          <w:color w:val="auto"/>
        </w:rPr>
      </w:pPr>
      <w:r>
        <w:rPr>
          <w:rFonts w:ascii="PMingLiU" w:cs="PMingLiU" w:eastAsia="PMingLiU" w:hAnsi="PMingLiU"/>
          <w:sz w:val="22"/>
          <w:szCs w:val="22"/>
          <w:b w:val="1"/>
          <w:bCs w:val="1"/>
          <w:color w:val="000046"/>
        </w:rPr>
        <w:t>6KDUHKROGHUVRI5HFRUG6KDUHV5HJLVWHUHGLQ\RXU1DPH</w:t>
      </w:r>
    </w:p>
    <w:p>
      <w:pPr>
        <w:spacing w:after="0" w:line="131" w:lineRule="exact"/>
        <w:rPr>
          <w:sz w:val="20"/>
          <w:szCs w:val="20"/>
          <w:color w:val="auto"/>
        </w:rPr>
      </w:pPr>
    </w:p>
    <w:p>
      <w:pPr>
        <w:ind w:left="540"/>
        <w:spacing w:after="0" w:line="456" w:lineRule="auto"/>
        <w:rPr>
          <w:sz w:val="20"/>
          <w:szCs w:val="20"/>
          <w:color w:val="auto"/>
        </w:rPr>
      </w:pPr>
      <w:r>
        <w:rPr>
          <w:rFonts w:ascii="PMingLiU" w:cs="PMingLiU" w:eastAsia="PMingLiU" w:hAnsi="PMingLiU"/>
          <w:sz w:val="14"/>
          <w:szCs w:val="14"/>
          <w:color w:val="auto"/>
        </w:rPr>
        <w:t>,I\RXDUHDVKDUHKROGHURIUHFRUG\RXPD\YRWHLQSHUVRQDWRXU$*0\RXPD\YRWHE\HOHFWURQLFSUR[\RYHUWKH WHOHSKRQHRUYLDWKHLQWHUQHWDVLQVWUXFWHGEHORZRUIRUWKRVHVKDUHKROGHUVZKRUHFHLYHDSDSHUSUR[\FDUGLQWKHPDLO E\PDLOLQJDFRPSOHWHGSUR[\FDUG:KHWKHURUQRW\RXSODQWRDWWHQGRXU$*0ZHXUJH\RXWRYRWHE\SUR[\WR HQVXUH\RXUYRWHLVFRXQWHG&lt;RXPD\VWLOODWWHQGRXU$*0DQGYRWHLQSHUVRQHYHQLI\RXKDYHDOUHDG\YRWHGE\ SUR[\</w:t>
      </w:r>
      <w:r>
        <w:rPr>
          <w:rFonts w:ascii="PMingLiU" w:cs="PMingLiU" w:eastAsia="PMingLiU" w:hAnsi="PMingLiU"/>
          <w:sz w:val="14"/>
          <w:szCs w:val="14"/>
          <w:b w:val="1"/>
          <w:bCs w:val="1"/>
          <w:color w:val="000046"/>
        </w:rPr>
        <w:t>+RZHYHUDVQRWHGDERYHZHUHFRPPHQGWKDW\RXYRWH\RXUVKDUHVE\SUR[\LQDGYDQFHRIRXU</w:t>
      </w:r>
      <w:r>
        <w:rPr>
          <w:rFonts w:ascii="PMingLiU" w:cs="PMingLiU" w:eastAsia="PMingLiU" w:hAnsi="PMingLiU"/>
          <w:sz w:val="14"/>
          <w:szCs w:val="14"/>
          <w:color w:val="auto"/>
        </w:rPr>
        <w:t xml:space="preserve"> </w:t>
      </w:r>
      <w:r>
        <w:rPr>
          <w:rFonts w:ascii="PMingLiU" w:cs="PMingLiU" w:eastAsia="PMingLiU" w:hAnsi="PMingLiU"/>
          <w:sz w:val="14"/>
          <w:szCs w:val="14"/>
          <w:b w:val="1"/>
          <w:bCs w:val="1"/>
          <w:color w:val="000046"/>
        </w:rPr>
        <w:t>$*0</w:t>
      </w:r>
    </w:p>
    <w:p>
      <w:pPr>
        <w:spacing w:after="0" w:line="48" w:lineRule="exact"/>
        <w:rPr>
          <w:sz w:val="20"/>
          <w:szCs w:val="20"/>
          <w:color w:val="auto"/>
        </w:rPr>
      </w:pPr>
    </w:p>
    <w:p>
      <w:pPr>
        <w:ind w:left="900" w:right="260" w:hanging="259"/>
        <w:spacing w:after="0" w:line="299" w:lineRule="auto"/>
        <w:tabs>
          <w:tab w:leader="none" w:pos="88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7RYRWHLQSHUVRQFRPHWRRXU$*0DQGZHZLOOJLYH\RXDEDOORWZKHQ\RXDUULYH3OHDVHEULQJ\RXU DGPLVVLRQWLFNHWRUSURRIRIRZQHUVKLSDVIXUWKHUGLVFXVVHGXQGHU</w:t>
      </w:r>
      <w:r>
        <w:rPr>
          <w:rFonts w:ascii="PMingLiU" w:cs="PMingLiU" w:eastAsia="PMingLiU" w:hAnsi="PMingLiU"/>
          <w:sz w:val="16"/>
          <w:szCs w:val="16"/>
          <w:i w:val="1"/>
          <w:iCs w:val="1"/>
          <w:color w:val="auto"/>
        </w:rPr>
        <w:t>E54,,+(:0*1,::5(::,4+:/,  F</w:t>
      </w:r>
    </w:p>
    <w:p>
      <w:pPr>
        <w:spacing w:after="0" w:line="1" w:lineRule="exact"/>
        <w:rPr>
          <w:sz w:val="20"/>
          <w:szCs w:val="20"/>
          <w:color w:val="auto"/>
        </w:rPr>
      </w:pPr>
    </w:p>
    <w:p>
      <w:pPr>
        <w:ind w:left="900"/>
        <w:spacing w:after="0"/>
        <w:rPr>
          <w:sz w:val="20"/>
          <w:szCs w:val="20"/>
          <w:color w:val="auto"/>
        </w:rPr>
      </w:pPr>
      <w:r>
        <w:rPr>
          <w:rFonts w:ascii="PMingLiU" w:cs="PMingLiU" w:eastAsia="PMingLiU" w:hAnsi="PMingLiU"/>
          <w:sz w:val="18"/>
          <w:szCs w:val="18"/>
          <w:color w:val="auto"/>
        </w:rPr>
        <w:t>EHORZ</w:t>
      </w:r>
    </w:p>
    <w:p>
      <w:pPr>
        <w:spacing w:after="0" w:line="144" w:lineRule="exact"/>
        <w:rPr>
          <w:sz w:val="20"/>
          <w:szCs w:val="20"/>
          <w:color w:val="auto"/>
        </w:rPr>
      </w:pPr>
    </w:p>
    <w:p>
      <w:pPr>
        <w:ind w:left="900" w:right="60" w:hanging="259"/>
        <w:spacing w:after="0" w:line="376" w:lineRule="auto"/>
        <w:tabs>
          <w:tab w:leader="none" w:pos="880" w:val="left"/>
        </w:tabs>
        <w:rPr>
          <w:sz w:val="20"/>
          <w:szCs w:val="20"/>
          <w:color w:val="auto"/>
        </w:rPr>
      </w:pPr>
      <w:r>
        <w:rPr>
          <w:rFonts w:ascii="PMingLiU" w:cs="PMingLiU" w:eastAsia="PMingLiU" w:hAnsi="PMingLiU"/>
          <w:sz w:val="14"/>
          <w:szCs w:val="14"/>
          <w:b w:val="1"/>
          <w:bCs w:val="1"/>
          <w:color w:val="000046"/>
        </w:rPr>
        <w:t></w:t>
      </w:r>
      <w:r>
        <w:rPr>
          <w:sz w:val="20"/>
          <w:szCs w:val="20"/>
          <w:color w:val="auto"/>
        </w:rPr>
        <w:tab/>
      </w:r>
      <w:r>
        <w:rPr>
          <w:rFonts w:ascii="PMingLiU" w:cs="PMingLiU" w:eastAsia="PMingLiU" w:hAnsi="PMingLiU"/>
          <w:sz w:val="14"/>
          <w:szCs w:val="14"/>
          <w:color w:val="auto"/>
        </w:rPr>
        <w:t>7RYRWHXVLQJDSUR[\FDUGVLPSO\FRPSOHWHVLJQDQGGDWHWKHSUR[\FDUGWKDWZDVPDLOHGWR\RXDQGUHWXUQLW SURPSWO\LQWKHHQYHORSHSURYLGHG3UR[\FDUGVPXVWEHUHFHLYHGE\-XO\,I\RXUHWXUQ\RXUVLJQHG SUR[\FDUGEHIRUHWKLVWLPHZHZLOOIRUZDUGLWWRRXUUHJLVWHUHGRIILFHHOHFWURQLFDOO\LQDFFRUGDQFHZLWK,ULVKODZDQG ZHZLOOYRWH\RXUVKDUHVDV\RXGLUHFW</w:t>
      </w:r>
    </w:p>
    <w:p>
      <w:pPr>
        <w:spacing w:after="0" w:line="25" w:lineRule="exact"/>
        <w:rPr>
          <w:sz w:val="20"/>
          <w:szCs w:val="20"/>
          <w:color w:val="auto"/>
        </w:rPr>
      </w:pPr>
    </w:p>
    <w:p>
      <w:pPr>
        <w:ind w:left="900" w:right="20" w:hanging="259"/>
        <w:spacing w:after="0" w:line="345" w:lineRule="auto"/>
        <w:tabs>
          <w:tab w:leader="none" w:pos="880" w:val="left"/>
        </w:tabs>
        <w:rPr>
          <w:sz w:val="20"/>
          <w:szCs w:val="20"/>
          <w:color w:val="auto"/>
        </w:rPr>
      </w:pPr>
      <w:r>
        <w:rPr>
          <w:rFonts w:ascii="PMingLiU" w:cs="PMingLiU" w:eastAsia="PMingLiU" w:hAnsi="PMingLiU"/>
          <w:sz w:val="15"/>
          <w:szCs w:val="15"/>
          <w:b w:val="1"/>
          <w:bCs w:val="1"/>
          <w:color w:val="000046"/>
        </w:rPr>
        <w:t></w:t>
      </w:r>
      <w:r>
        <w:rPr>
          <w:sz w:val="20"/>
          <w:szCs w:val="20"/>
          <w:color w:val="auto"/>
        </w:rPr>
        <w:tab/>
      </w:r>
      <w:r>
        <w:rPr>
          <w:rFonts w:ascii="PMingLiU" w:cs="PMingLiU" w:eastAsia="PMingLiU" w:hAnsi="PMingLiU"/>
          <w:sz w:val="15"/>
          <w:szCs w:val="15"/>
          <w:color w:val="auto"/>
        </w:rPr>
        <w:t>7RYRWHE\WHOHSKRQHGLDOWROOIUHHZLWKLQWKH8686WHUULWRULHVDQG&amp;DQDGDXVLQJDWRXFKWRQH SKRQHDQGIROORZWKHUHFRUGHGLQVWUXFWLRQVWRVXEPLWDQHOHFWURQLFSUR[\FDUG&lt;RXZLOOEHDVNHGWRSURYLGHRXU &amp;RPSDQ\QXPEHUDQGFRQWUROQXPEHUIURPWKHHQFORVHGSUR[\FDUG&lt;RXUYRWHPXVWEHUHFHLYHGE\SP 86(DVWHUQ7LPHRQ-XO\WREHFRXQWHG</w:t>
      </w:r>
    </w:p>
    <w:p>
      <w:pPr>
        <w:spacing w:after="0" w:line="43" w:lineRule="exact"/>
        <w:rPr>
          <w:sz w:val="20"/>
          <w:szCs w:val="20"/>
          <w:color w:val="auto"/>
        </w:rPr>
      </w:pPr>
    </w:p>
    <w:p>
      <w:pPr>
        <w:ind w:left="900" w:right="220" w:hanging="259"/>
        <w:spacing w:after="0" w:line="328" w:lineRule="auto"/>
        <w:tabs>
          <w:tab w:leader="none" w:pos="880" w:val="left"/>
        </w:tabs>
        <w:rPr>
          <w:sz w:val="20"/>
          <w:szCs w:val="20"/>
          <w:color w:val="auto"/>
        </w:rPr>
      </w:pPr>
      <w:r>
        <w:rPr>
          <w:rFonts w:ascii="PMingLiU" w:cs="PMingLiU" w:eastAsia="PMingLiU" w:hAnsi="PMingLiU"/>
          <w:sz w:val="16"/>
          <w:szCs w:val="16"/>
          <w:b w:val="1"/>
          <w:bCs w:val="1"/>
          <w:color w:val="000046"/>
        </w:rPr>
        <w:t></w:t>
      </w:r>
      <w:r>
        <w:rPr>
          <w:sz w:val="20"/>
          <w:szCs w:val="20"/>
          <w:color w:val="auto"/>
        </w:rPr>
        <w:tab/>
      </w:r>
      <w:r>
        <w:rPr>
          <w:rFonts w:ascii="PMingLiU" w:cs="PMingLiU" w:eastAsia="PMingLiU" w:hAnsi="PMingLiU"/>
          <w:sz w:val="16"/>
          <w:szCs w:val="16"/>
          <w:color w:val="auto"/>
        </w:rPr>
        <w:t>7RYRWHYLDWKHLQWHUQHWJRWRZZZSUR[\YRWHFRPWRFRPSOHWHDQHOHFWURQLFSUR[\FDUG&lt;RXZLOOEHDVNHGWR SURYLGHRXU&amp;RPSDQ\QXPEHUDQGFRQWUROQXPEHUIURPWKHHQFORVHGSUR[\FDUG&lt;RXUYRWHPXVWEHUHFHLYHGE\ SP86(DVWHUQ7LPHRQ-XO\WREHFRXQWHG</w:t>
      </w:r>
    </w:p>
    <w:p>
      <w:pPr>
        <w:spacing w:after="0" w:line="160" w:lineRule="exact"/>
        <w:rPr>
          <w:sz w:val="20"/>
          <w:szCs w:val="20"/>
          <w:color w:val="auto"/>
        </w:rPr>
      </w:pPr>
    </w:p>
    <w:p>
      <w:pPr>
        <w:ind w:left="540"/>
        <w:spacing w:after="0"/>
        <w:rPr>
          <w:sz w:val="20"/>
          <w:szCs w:val="20"/>
          <w:color w:val="auto"/>
        </w:rPr>
      </w:pPr>
      <w:r>
        <w:rPr>
          <w:rFonts w:ascii="PMingLiU" w:cs="PMingLiU" w:eastAsia="PMingLiU" w:hAnsi="PMingLiU"/>
          <w:sz w:val="22"/>
          <w:szCs w:val="22"/>
          <w:b w:val="1"/>
          <w:bCs w:val="1"/>
          <w:color w:val="000046"/>
        </w:rPr>
        <w:t>%HQHILFLDO2ZQHUV6KDUHV5HJLVWHUHGLQWKH1DPHRID%URNHU%DQNRU2WKHU$JHQW</w:t>
      </w:r>
    </w:p>
    <w:p>
      <w:pPr>
        <w:spacing w:after="0" w:line="131" w:lineRule="exact"/>
        <w:rPr>
          <w:sz w:val="20"/>
          <w:szCs w:val="20"/>
          <w:color w:val="auto"/>
        </w:rPr>
      </w:pPr>
    </w:p>
    <w:p>
      <w:pPr>
        <w:ind w:left="540" w:right="180"/>
        <w:spacing w:after="0" w:line="342" w:lineRule="auto"/>
        <w:rPr>
          <w:sz w:val="20"/>
          <w:szCs w:val="20"/>
          <w:color w:val="auto"/>
        </w:rPr>
      </w:pPr>
      <w:r>
        <w:rPr>
          <w:rFonts w:ascii="PMingLiU" w:cs="PMingLiU" w:eastAsia="PMingLiU" w:hAnsi="PMingLiU"/>
          <w:sz w:val="14"/>
          <w:szCs w:val="14"/>
          <w:color w:val="auto"/>
        </w:rPr>
        <w:t>,I\RXDUHDEHQHILFLDORZQHURIVKDUHVUHJLVWHUHGLQWKHQDPHRI\RXUEURNHUEDQNRURWKHUDJHQW\RXVKRXOGKDYH UHFHLYHGD1RWLFHRUWKHIXOOVHWRISUR[\PDWHULDOVFRQWDLQLQJYRWLQJLQVWUXFWLRQVIURPWKDWEURNHUEDQNRURWKHUDJHQW</w:t>
      </w:r>
    </w:p>
    <w:p>
      <w:pPr>
        <w:ind w:left="540" w:right="60"/>
        <w:spacing w:after="0" w:line="367" w:lineRule="auto"/>
        <w:rPr>
          <w:sz w:val="20"/>
          <w:szCs w:val="20"/>
          <w:color w:val="auto"/>
        </w:rPr>
      </w:pPr>
      <w:r>
        <w:rPr>
          <w:rFonts w:ascii="PMingLiU" w:cs="PMingLiU" w:eastAsia="PMingLiU" w:hAnsi="PMingLiU"/>
          <w:sz w:val="14"/>
          <w:szCs w:val="14"/>
          <w:color w:val="auto"/>
        </w:rPr>
        <w:t>UDWKHUWKDQIURPXV6LPSO\IROORZWKHYRWLQJLQVWUXFWLRQVLQWKH1RWLFHRUWKHIXOOVHWRISUR[\PDWHULDOVWRHQVXUHWKDW \RXUYRWHLVFRXQWHG$OWHUQDWLYHO\\RXPD\YRWHE\WHOHSKRQHRUYLDWKHLQWHUQHWDVLQVWUXFWHGE\\RXUEURNHUEDQNRU RWKHUDJHQW7RYRWHLQSHUVRQDWRXU$*0\RXPXVWUHTXHVWDQGREWDLQDYDOLGSUR[\IURP\RXUEURNHUEDQNRU RWKHUDJHQW)ROORZWKHYRWLQJLQVWUXFWLRQVIURP\RXUEURNHUEDQNRURWKHUDJHQWRUFRQWDFW\RXUEURNHUEDQNRURWKHU DJHQWWRUHTXHVWDSUR[\IRUP</w:t>
      </w:r>
    </w:p>
    <w:p>
      <w:pPr>
        <w:spacing w:after="0" w:line="93" w:lineRule="exact"/>
        <w:rPr>
          <w:sz w:val="20"/>
          <w:szCs w:val="20"/>
          <w:color w:val="auto"/>
        </w:rPr>
      </w:pPr>
    </w:p>
    <w:p>
      <w:pPr>
        <w:ind w:left="540" w:right="60"/>
        <w:spacing w:after="0" w:line="322" w:lineRule="auto"/>
        <w:rPr>
          <w:sz w:val="20"/>
          <w:szCs w:val="20"/>
          <w:color w:val="auto"/>
        </w:rPr>
      </w:pPr>
      <w:r>
        <w:rPr>
          <w:rFonts w:ascii="PMingLiU" w:cs="PMingLiU" w:eastAsia="PMingLiU" w:hAnsi="PMingLiU"/>
          <w:sz w:val="16"/>
          <w:szCs w:val="16"/>
          <w:b w:val="1"/>
          <w:bCs w:val="1"/>
          <w:color w:val="000046"/>
        </w:rPr>
        <w:t>:HSURYLGHLQWHUQHWSUR[\YRWLQJWRDOORZ\RXWRYRWH\RXUVKDUHVRQOLQHZLWKSURFHGXUHVGHVLJQHGWRHQVXUH WKHDXWKHQWLFLW\DQGFRUUHFWQHVVRI\RXUSUR[\YRWHLQVWUXFWLRQV+RZHYHUSOHDVHEHDZDUHWKDW\RXPXVW EHDUDQ\FRVWVDVVRFLDWHGZLWK\RXULQWHUQHWDFFHVVVXFKDVXVDJHFKDUJHVIURPLQWHUQHWDFFHVVSURYLGHUV DQGWHOHSKRQHFRPSDQLHV</w:t>
      </w:r>
    </w:p>
    <w:p>
      <w:pPr>
        <w:spacing w:after="0" w:line="236"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+RZPDQ\YRWHVGR,KDYH"</w:t>
      </w:r>
    </w:p>
    <w:p>
      <w:pPr>
        <w:spacing w:after="0" w:line="84" w:lineRule="exact"/>
        <w:rPr>
          <w:sz w:val="20"/>
          <w:szCs w:val="20"/>
          <w:color w:val="auto"/>
        </w:rPr>
      </w:pPr>
    </w:p>
    <w:p>
      <w:pPr>
        <w:ind w:left="540" w:right="40" w:hanging="521"/>
        <w:spacing w:after="0" w:line="35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6"/>
          <w:szCs w:val="16"/>
          <w:color w:val="auto"/>
        </w:rPr>
        <w:t>2QHDFKPDWWHUWREHYRWHGXSRQ\RXKDYHRQHYRWHIRUHDFKRUGLQDU\VKDUH\RXRZQHGDVRIWKHFORVHRIEXVLQHVVRQ 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1172845</wp:posOffset>
            </wp:positionV>
            <wp:extent cx="1386840" cy="23368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13">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40"/>
          </w:cols>
          <w:pgMar w:left="900" w:top="377" w:right="939" w:bottom="0" w:gutter="0" w:footer="0" w:header="0"/>
        </w:sectPr>
      </w:pPr>
    </w:p>
    <w:bookmarkStart w:id="120" w:name="page121"/>
    <w:bookmarkEnd w:id="120"/>
    <w:p>
      <w:pPr>
        <w:ind w:left="77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601" o:spid="_x0000_s1626"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48(67,216$1'$16:(56</w:t>
      </w:r>
    </w:p>
    <w:p>
      <w:pPr>
        <w:spacing w:after="0" w:line="200" w:lineRule="exact"/>
        <w:rPr>
          <w:sz w:val="20"/>
          <w:szCs w:val="20"/>
          <w:color w:val="auto"/>
        </w:rPr>
      </w:pPr>
    </w:p>
    <w:p>
      <w:pPr>
        <w:spacing w:after="0" w:line="288" w:lineRule="exact"/>
        <w:rPr>
          <w:sz w:val="20"/>
          <w:szCs w:val="20"/>
          <w:color w:val="auto"/>
        </w:rPr>
      </w:pPr>
    </w:p>
    <w:p>
      <w:pPr>
        <w:jc w:val="center"/>
        <w:ind w:left="1440"/>
        <w:spacing w:after="0" w:line="332" w:lineRule="auto"/>
        <w:tabs>
          <w:tab w:leader="none" w:pos="220" w:val="left"/>
        </w:tabs>
        <w:rPr>
          <w:sz w:val="20"/>
          <w:szCs w:val="20"/>
          <w:color w:val="auto"/>
        </w:rPr>
      </w:pPr>
      <w:r>
        <w:rPr>
          <w:rFonts w:ascii="PMingLiU" w:cs="PMingLiU" w:eastAsia="PMingLiU" w:hAnsi="PMingLiU"/>
          <w:sz w:val="23"/>
          <w:szCs w:val="23"/>
          <w:color w:val="5C004D"/>
        </w:rPr>
        <w:t>4</w:t>
        <w:tab/>
        <w:t>,I,DPDVKDUHKROGHURIUHFRUGDQG,GRQRWYRWHRULI,UHWXUQDSUR[\FDUGRU RWKHUZLVHYRWHZLWKRXWJLYLQJVSHFLILFYRWLQJLQVWUXFWLRQVZKDWKDSSHQV"</w:t>
      </w:r>
    </w:p>
    <w:p>
      <w:pPr>
        <w:spacing w:after="0" w:line="2" w:lineRule="exact"/>
        <w:rPr>
          <w:sz w:val="20"/>
          <w:szCs w:val="20"/>
          <w:color w:val="auto"/>
        </w:rPr>
      </w:pPr>
    </w:p>
    <w:p>
      <w:pPr>
        <w:ind w:left="540" w:right="160" w:hanging="521"/>
        <w:spacing w:after="0" w:line="35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6"/>
          <w:szCs w:val="16"/>
          <w:color w:val="auto"/>
        </w:rPr>
        <w:t>,I\RXDUHDVKDUHKROGHURIUHFRUGDQG\RXGRQRWYRWHE\FRPSOHWLQJ\RXUSUR[\FDUGYRWHE\SUR[\YLDWKHLQWHUQHWRU E\WHOHSKRQHRUYRWHLQSHUVRQDWRXU$*0\RXUVKDUHVZLOOQRWEHYRWHG</w:t>
      </w:r>
    </w:p>
    <w:p>
      <w:pPr>
        <w:spacing w:after="0" w:line="54" w:lineRule="exact"/>
        <w:rPr>
          <w:sz w:val="20"/>
          <w:szCs w:val="20"/>
          <w:color w:val="auto"/>
        </w:rPr>
      </w:pPr>
    </w:p>
    <w:p>
      <w:pPr>
        <w:ind w:left="540"/>
        <w:spacing w:after="0" w:line="342" w:lineRule="auto"/>
        <w:rPr>
          <w:sz w:val="20"/>
          <w:szCs w:val="20"/>
          <w:color w:val="auto"/>
        </w:rPr>
      </w:pPr>
      <w:r>
        <w:rPr>
          <w:rFonts w:ascii="PMingLiU" w:cs="PMingLiU" w:eastAsia="PMingLiU" w:hAnsi="PMingLiU"/>
          <w:sz w:val="14"/>
          <w:szCs w:val="14"/>
          <w:color w:val="auto"/>
        </w:rPr>
        <w:t>,I\RXDUHDVKDUHKROGHURIUHFRUGDQG\RXGRQRWVSHFLI\\RXUYRWHRQHDFKSURSRVDOLQGLYLGXDOO\ZKHQYRWLQJE\SUR[\ YLDWKHLQWHUQHWRUE\WHOHSKRQHRULI\RXVLJQDQGUHWXUQDSUR[\FDUGZLWKRXWJLYLQJVSHFLILFYRWLQJLQVWUXFWLRQVWKHQ WKHSUR[\KROGHUVZLOOYRWH\RXUVKDUHVLQWKHPDQQHUUHFRPPHQGHGE\RXU%RDUGRQDOOPDWWHUVSUHVHQWHGLQRXUSUR[\</w:t>
      </w:r>
    </w:p>
    <w:p>
      <w:pPr>
        <w:ind w:left="540" w:right="280"/>
        <w:spacing w:after="0" w:line="392" w:lineRule="auto"/>
        <w:rPr>
          <w:sz w:val="20"/>
          <w:szCs w:val="20"/>
          <w:color w:val="auto"/>
        </w:rPr>
      </w:pPr>
      <w:r>
        <w:rPr>
          <w:rFonts w:ascii="PMingLiU" w:cs="PMingLiU" w:eastAsia="PMingLiU" w:hAnsi="PMingLiU"/>
          <w:sz w:val="14"/>
          <w:szCs w:val="14"/>
          <w:color w:val="auto"/>
        </w:rPr>
        <w:t>VWDWHPHQWDQGDVWKHSUR[\KROGHUVPD\GHWHUPLQHLQWKHLUGLVFUHWLRQZLWKUHVSHFWWRDQ\RWKHUPDWWHUVSURSHUO\ SUHVHQWHGIRUDYRWHDWRXU$*07KHYRWLQJUHFRPPHQGDWLRQVRIRXU%RDUGDUHVHWIRUWKXQGHU</w:t>
      </w:r>
      <w:r>
        <w:rPr>
          <w:rFonts w:ascii="PMingLiU" w:cs="PMingLiU" w:eastAsia="PMingLiU" w:hAnsi="PMingLiU"/>
          <w:sz w:val="14"/>
          <w:szCs w:val="14"/>
          <w:i w:val="1"/>
          <w:iCs w:val="1"/>
          <w:color w:val="auto"/>
        </w:rPr>
        <w:t>E'/(:(8,5;8</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5(8+D9&lt;5:04.8,*533,4+(:0549F</w:t>
      </w:r>
      <w:r>
        <w:rPr>
          <w:rFonts w:ascii="PMingLiU" w:cs="PMingLiU" w:eastAsia="PMingLiU" w:hAnsi="PMingLiU"/>
          <w:sz w:val="14"/>
          <w:szCs w:val="14"/>
          <w:color w:val="auto"/>
        </w:rPr>
        <w:t>DERYH</w:t>
      </w:r>
    </w:p>
    <w:p>
      <w:pPr>
        <w:spacing w:after="0" w:line="128" w:lineRule="exact"/>
        <w:rPr>
          <w:sz w:val="20"/>
          <w:szCs w:val="20"/>
          <w:color w:val="auto"/>
        </w:rPr>
      </w:pPr>
    </w:p>
    <w:p>
      <w:pPr>
        <w:ind w:left="540" w:right="80" w:hanging="539"/>
        <w:spacing w:after="0" w:line="318" w:lineRule="auto"/>
        <w:tabs>
          <w:tab w:leader="none" w:pos="520" w:val="left"/>
        </w:tabs>
        <w:rPr>
          <w:sz w:val="20"/>
          <w:szCs w:val="20"/>
          <w:color w:val="auto"/>
        </w:rPr>
      </w:pPr>
      <w:r>
        <w:rPr>
          <w:rFonts w:ascii="PMingLiU" w:cs="PMingLiU" w:eastAsia="PMingLiU" w:hAnsi="PMingLiU"/>
          <w:sz w:val="24"/>
          <w:szCs w:val="24"/>
          <w:color w:val="5C004D"/>
        </w:rPr>
        <w:t>4</w:t>
        <w:tab/>
        <w:t>,I,DPDEHQHILFLDORZQHURIVKDUHVKHOGLQVWUHHWQDPHDQG,GRQRWSURYLGH P\EURNHURUEDQNZLWKYRWLQJLQVWUXFWLRQVZKDWKDSSHQV"</w:t>
      </w:r>
    </w:p>
    <w:p>
      <w:pPr>
        <w:spacing w:after="0" w:line="2" w:lineRule="exact"/>
        <w:rPr>
          <w:sz w:val="20"/>
          <w:szCs w:val="20"/>
          <w:color w:val="auto"/>
        </w:rPr>
      </w:pPr>
    </w:p>
    <w:p>
      <w:pPr>
        <w:ind w:left="540" w:right="100" w:hanging="521"/>
        <w:spacing w:after="0" w:line="354"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4"/>
          <w:szCs w:val="14"/>
          <w:color w:val="auto"/>
        </w:rPr>
        <w:t>,I\RXDUHDEHQHILFLDORZQHURIVKDUHVKHOGLQVWUHHWQDPHDQG\RXGRQRWLQVWUXFW\RXUEURNHUEDQNRURWKHUDJHQW KRZWRYRWH\RXUVKDUHV\RXUEURNHUEDQNRURWKHUDJHQWPD\VWLOOEHDEOHWRYRWH\RXUVKDUHVLQLWVGLVFUHWLRQ,QWKLV UHJDUGXQGHUWKHUXOHVRIWKH1&lt;6(EURNHUVEDQNVDQGRWKHUVHFXULWLHVLQWHUPHGLDULHVWKDWDUHVXEMHFWWR1&lt;6( UXOHVPD\XVHWKHLUGLVFUHWLRQWRYRWH\RXU³XQLQVWUXFWHG´VKDUHVZLWKUHVSHFWWRPDWWHUVFRQVLGHUHGWREH³URXWLQH´ XQGHU1&lt;6(UXOHVEXWQRWZLWKUHVSHFWWR³QRQURXWLQH´PDWWHUV,QWKLVUHJDUG3URSRVDOVDQGDUHFRQVLGHUHGWR EH³QRQURXWLQH´XQGHU1&lt;6(UXOHVPHDQLQJWKDW\RXUEURNHUPD\QRWYRWH\RXUVKDUHVRQWKRVHSURSRVDOVLQWKH DEVHQFHRI\RXUYRWLQJLQVWUXFWLRQV3URSRVDOVDQGDUHFRQVLGHUHGWREH³URXWLQH´PDWWHUVXQGHU1&lt;6(UXOHV PHDQLQJWKDWLI\RXGRQRWUHWXUQYRWLQJLQVWUXFWLRQVWR\RXUEURNHUE\LWVGHDGOLQH\RXUVKDUHVPD\EHYRWHGE\\RXU EURNHULQLWVGLVFUHWLRQRQ3URSRVDOVDQG</w:t>
      </w:r>
    </w:p>
    <w:p>
      <w:pPr>
        <w:spacing w:after="0" w:line="154" w:lineRule="exact"/>
        <w:rPr>
          <w:sz w:val="20"/>
          <w:szCs w:val="20"/>
          <w:color w:val="auto"/>
        </w:rPr>
      </w:pPr>
    </w:p>
    <w:p>
      <w:pPr>
        <w:ind w:left="540" w:right="40"/>
        <w:spacing w:after="0" w:line="333" w:lineRule="auto"/>
        <w:rPr>
          <w:sz w:val="20"/>
          <w:szCs w:val="20"/>
          <w:color w:val="auto"/>
        </w:rPr>
      </w:pPr>
      <w:r>
        <w:rPr>
          <w:rFonts w:ascii="PMingLiU" w:cs="PMingLiU" w:eastAsia="PMingLiU" w:hAnsi="PMingLiU"/>
          <w:sz w:val="16"/>
          <w:szCs w:val="16"/>
          <w:b w:val="1"/>
          <w:bCs w:val="1"/>
          <w:color w:val="000046"/>
        </w:rPr>
        <w:t>,I\RXDUHDEHQHILFLDORZQHURIVKDUHVKHOGLQVWUHHWQDPHLQRUGHUWRHQVXUH\RXUVKDUHVDUHYRWHGLQWKHZD\ \RXZRXOGSUHIHU\RX</w:t>
      </w:r>
      <w:r>
        <w:rPr>
          <w:rFonts w:ascii="PMingLiU" w:cs="PMingLiU" w:eastAsia="PMingLiU" w:hAnsi="PMingLiU"/>
          <w:sz w:val="16"/>
          <w:szCs w:val="16"/>
          <w:b w:val="1"/>
          <w:bCs w:val="1"/>
          <w:u w:val="single" w:color="auto"/>
          <w:color w:val="000046"/>
        </w:rPr>
        <w:t>PXVW</w:t>
      </w:r>
      <w:r>
        <w:rPr>
          <w:rFonts w:ascii="PMingLiU" w:cs="PMingLiU" w:eastAsia="PMingLiU" w:hAnsi="PMingLiU"/>
          <w:sz w:val="16"/>
          <w:szCs w:val="16"/>
          <w:b w:val="1"/>
          <w:bCs w:val="1"/>
          <w:color w:val="000046"/>
        </w:rPr>
        <w:t>SURYLGHYRWLQJLQVWUXFWLRQVWR\RXUEURNHUEDQNRURWKHUDJHQWE\WKHGHDGOLQH SURYLGHGLQWKHPDWHULDOV\RXUHFHLYHIURP\RXUEURNHUEDQNRURWKHUDJHQW</w:t>
      </w:r>
    </w:p>
    <w:p>
      <w:pPr>
        <w:spacing w:after="0" w:line="149" w:lineRule="exact"/>
        <w:rPr>
          <w:sz w:val="20"/>
          <w:szCs w:val="20"/>
          <w:color w:val="auto"/>
        </w:rPr>
      </w:pPr>
    </w:p>
    <w:p>
      <w:pPr>
        <w:ind w:left="540" w:right="340" w:hanging="539"/>
        <w:spacing w:after="0" w:line="306" w:lineRule="auto"/>
        <w:tabs>
          <w:tab w:leader="none" w:pos="520" w:val="left"/>
        </w:tabs>
        <w:rPr>
          <w:sz w:val="20"/>
          <w:szCs w:val="20"/>
          <w:color w:val="auto"/>
        </w:rPr>
      </w:pPr>
      <w:r>
        <w:rPr>
          <w:rFonts w:ascii="PMingLiU" w:cs="PMingLiU" w:eastAsia="PMingLiU" w:hAnsi="PMingLiU"/>
          <w:sz w:val="25"/>
          <w:szCs w:val="25"/>
          <w:color w:val="5C004D"/>
        </w:rPr>
        <w:t>4</w:t>
        <w:tab/>
        <w:t>:KDWGRHVLWPHDQLI,UHFHLYHPRUHWKDQRQHVHWRISUR[\PDWHULDOVPRUH WKDQRQH1RWLFHRUDFRPELQDWLRQWKHUHRI"</w:t>
      </w:r>
    </w:p>
    <w:p>
      <w:pPr>
        <w:jc w:val="right"/>
        <w:ind w:left="20" w:right="140"/>
        <w:spacing w:after="0" w:line="220" w:lineRule="auto"/>
        <w:rPr>
          <w:sz w:val="20"/>
          <w:szCs w:val="20"/>
          <w:color w:val="auto"/>
        </w:rPr>
      </w:pPr>
      <w:r>
        <w:rPr>
          <w:rFonts w:ascii="PMingLiU" w:cs="PMingLiU" w:eastAsia="PMingLiU" w:hAnsi="PMingLiU"/>
          <w:sz w:val="23"/>
          <w:szCs w:val="23"/>
          <w:color w:val="2D2C36"/>
        </w:rPr>
        <w:t xml:space="preserve">$  </w:t>
      </w:r>
      <w:r>
        <w:rPr>
          <w:rFonts w:ascii="PMingLiU" w:cs="PMingLiU" w:eastAsia="PMingLiU" w:hAnsi="PMingLiU"/>
          <w:sz w:val="15"/>
          <w:szCs w:val="15"/>
          <w:color w:val="000000"/>
        </w:rPr>
        <w:t>,I\RXUHFHLYHPRUHWKDQRQHVHWRISUR[\PDWHULDOVPRUHWKDQRQH1RWLFHRUDFRPELQDWLRQWKHUHRI\RXUVKDUHVPD\</w:t>
      </w:r>
      <w:r>
        <w:rPr>
          <w:rFonts w:ascii="PMingLiU" w:cs="PMingLiU" w:eastAsia="PMingLiU" w:hAnsi="PMingLiU"/>
          <w:sz w:val="23"/>
          <w:szCs w:val="23"/>
          <w:color w:val="2D2C36"/>
        </w:rPr>
        <w:t xml:space="preserve"> </w:t>
      </w:r>
      <w:r>
        <w:rPr>
          <w:rFonts w:ascii="PMingLiU" w:cs="PMingLiU" w:eastAsia="PMingLiU" w:hAnsi="PMingLiU"/>
          <w:sz w:val="15"/>
          <w:szCs w:val="15"/>
          <w:color w:val="000000"/>
        </w:rPr>
        <w:t>EHUHJLVWHUHGLQPRUHWKDQRQHQDPHRUDUHUHJLVWHUHGLQGLIIHUHQWDFFRXQWV3OHDVHIROORZWKHYRWLQJLQVWUXFWLRQVRQ</w:t>
      </w:r>
    </w:p>
    <w:p>
      <w:pPr>
        <w:spacing w:after="0" w:line="1" w:lineRule="exact"/>
        <w:rPr>
          <w:sz w:val="20"/>
          <w:szCs w:val="20"/>
          <w:color w:val="auto"/>
        </w:rPr>
      </w:pPr>
    </w:p>
    <w:p>
      <w:pPr>
        <w:ind w:left="540"/>
        <w:spacing w:after="0"/>
        <w:rPr>
          <w:sz w:val="20"/>
          <w:szCs w:val="20"/>
          <w:color w:val="auto"/>
        </w:rPr>
      </w:pPr>
      <w:r>
        <w:rPr>
          <w:rFonts w:ascii="PMingLiU" w:cs="PMingLiU" w:eastAsia="PMingLiU" w:hAnsi="PMingLiU"/>
          <w:sz w:val="18"/>
          <w:szCs w:val="18"/>
          <w:color w:val="auto"/>
        </w:rPr>
        <w:t>HDFKVHWRISUR[\PDWHULDOVRU1RWLFHVWRHQVXUHWKDWDOORI\RXUVKDUHVDUHYRWHG</w:t>
      </w:r>
    </w:p>
    <w:p>
      <w:pPr>
        <w:spacing w:after="0" w:line="25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6"/>
          <w:szCs w:val="26"/>
          <w:color w:val="5C004D"/>
        </w:rPr>
        <w:t>&amp;DQ,FKDQJHP\YRWHDIWHUVXEPLWWLQJP\SUR[\"</w:t>
      </w:r>
    </w:p>
    <w:p>
      <w:pPr>
        <w:spacing w:after="0" w:line="84" w:lineRule="exact"/>
        <w:rPr>
          <w:sz w:val="20"/>
          <w:szCs w:val="20"/>
          <w:color w:val="auto"/>
        </w:rPr>
      </w:pPr>
    </w:p>
    <w:p>
      <w:pPr>
        <w:ind w:left="540" w:right="100" w:hanging="521"/>
        <w:spacing w:after="0" w:line="291"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8"/>
          <w:szCs w:val="18"/>
          <w:color w:val="auto"/>
        </w:rPr>
        <w:t>&lt;HV&lt;RXFDQUHYRNH\RXUSUR[\DWDQ\WLPHEHIRUHWKHFRPPHQFHPHQWRIRXU$*0,I\RXDUHWKHUHFRUGKROGHU RI\RXUVKDUHV\RXPD\UHYRNH\RXUSUR[\LQDQ\RQHRIWKHIROORZLQJZD\V</w:t>
      </w:r>
    </w:p>
    <w:p>
      <w:pPr>
        <w:spacing w:after="0" w:line="163" w:lineRule="exact"/>
        <w:rPr>
          <w:sz w:val="20"/>
          <w:szCs w:val="20"/>
          <w:color w:val="auto"/>
        </w:rPr>
      </w:pPr>
    </w:p>
    <w:p>
      <w:pPr>
        <w:ind w:left="640" w:right="3380"/>
        <w:spacing w:after="0" w:line="479" w:lineRule="auto"/>
        <w:rPr>
          <w:sz w:val="20"/>
          <w:szCs w:val="20"/>
          <w:color w:val="auto"/>
        </w:rPr>
      </w:pPr>
      <w:r>
        <w:rPr>
          <w:rFonts w:ascii="PMingLiU" w:cs="PMingLiU" w:eastAsia="PMingLiU" w:hAnsi="PMingLiU"/>
          <w:sz w:val="15"/>
          <w:szCs w:val="15"/>
          <w:b w:val="1"/>
          <w:bCs w:val="1"/>
          <w:color w:val="000046"/>
        </w:rPr>
        <w:t xml:space="preserve"> </w:t>
      </w:r>
      <w:r>
        <w:rPr>
          <w:rFonts w:ascii="PMingLiU" w:cs="PMingLiU" w:eastAsia="PMingLiU" w:hAnsi="PMingLiU"/>
          <w:sz w:val="15"/>
          <w:szCs w:val="15"/>
          <w:color w:val="000000"/>
        </w:rPr>
        <w:t>&lt;RXPD\VXEPLWDQRWKHUSURSHUO\FRPSOHWHGSUR[\FDUGZLWKDODWHUGDWH</w:t>
      </w:r>
      <w:r>
        <w:rPr>
          <w:rFonts w:ascii="PMingLiU" w:cs="PMingLiU" w:eastAsia="PMingLiU" w:hAnsi="PMingLiU"/>
          <w:sz w:val="15"/>
          <w:szCs w:val="15"/>
          <w:b w:val="1"/>
          <w:bCs w:val="1"/>
          <w:color w:val="000046"/>
        </w:rPr>
        <w:t xml:space="preserve">  </w:t>
      </w:r>
      <w:r>
        <w:rPr>
          <w:rFonts w:ascii="PMingLiU" w:cs="PMingLiU" w:eastAsia="PMingLiU" w:hAnsi="PMingLiU"/>
          <w:sz w:val="15"/>
          <w:szCs w:val="15"/>
          <w:color w:val="000000"/>
        </w:rPr>
        <w:t>&lt;RXPD\JUDQWDVXEVHTXHQWSUR[\E\WHOHSKRQHRUYLDWKHLQWHUQHW</w:t>
      </w:r>
    </w:p>
    <w:p>
      <w:pPr>
        <w:spacing w:after="0" w:line="1" w:lineRule="exact"/>
        <w:rPr>
          <w:sz w:val="20"/>
          <w:szCs w:val="20"/>
          <w:color w:val="auto"/>
        </w:rPr>
      </w:pPr>
    </w:p>
    <w:p>
      <w:pPr>
        <w:ind w:left="900" w:right="360" w:hanging="259"/>
        <w:spacing w:after="0"/>
        <w:tabs>
          <w:tab w:leader="none" w:pos="880" w:val="left"/>
        </w:tabs>
        <w:rPr>
          <w:sz w:val="20"/>
          <w:szCs w:val="20"/>
          <w:color w:val="auto"/>
        </w:rPr>
      </w:pPr>
      <w:r>
        <w:rPr>
          <w:rFonts w:ascii="PMingLiU" w:cs="PMingLiU" w:eastAsia="PMingLiU" w:hAnsi="PMingLiU"/>
          <w:sz w:val="10"/>
          <w:szCs w:val="10"/>
          <w:b w:val="1"/>
          <w:bCs w:val="1"/>
          <w:color w:val="000046"/>
        </w:rPr>
        <w:t></w:t>
      </w:r>
      <w:r>
        <w:rPr>
          <w:sz w:val="20"/>
          <w:szCs w:val="20"/>
          <w:color w:val="auto"/>
        </w:rPr>
        <w:tab/>
      </w:r>
      <w:r>
        <w:rPr>
          <w:rFonts w:ascii="PMingLiU" w:cs="PMingLiU" w:eastAsia="PMingLiU" w:hAnsi="PMingLiU"/>
          <w:sz w:val="10"/>
          <w:szCs w:val="10"/>
          <w:color w:val="auto"/>
        </w:rPr>
        <w:t>&lt;RXPD\VHQGDWLPHO\ZULWWHQQRWLFHWKDW\RXDUHUHYRNLQJ\RXUSUR[\WRRXU&amp;RPSDQ\6HFUHWDU\DW)LIWK)ORRU :DWHUORR([FKDQJH:DWHUORR5RDG'XEOLQ,UHODQG</w:t>
      </w:r>
    </w:p>
    <w:p>
      <w:pPr>
        <w:spacing w:after="0" w:line="200" w:lineRule="exact"/>
        <w:rPr>
          <w:sz w:val="20"/>
          <w:szCs w:val="20"/>
          <w:color w:val="auto"/>
        </w:rPr>
      </w:pPr>
    </w:p>
    <w:p>
      <w:pPr>
        <w:spacing w:after="0" w:line="279" w:lineRule="exact"/>
        <w:rPr>
          <w:sz w:val="20"/>
          <w:szCs w:val="20"/>
          <w:color w:val="auto"/>
        </w:rPr>
      </w:pPr>
    </w:p>
    <w:p>
      <w:pPr>
        <w:ind w:left="900" w:right="120" w:hanging="259"/>
        <w:spacing w:after="0" w:line="291" w:lineRule="auto"/>
        <w:tabs>
          <w:tab w:leader="none" w:pos="880" w:val="left"/>
        </w:tabs>
        <w:rPr>
          <w:sz w:val="20"/>
          <w:szCs w:val="20"/>
          <w:color w:val="auto"/>
        </w:rPr>
      </w:pPr>
      <w:r>
        <w:rPr>
          <w:rFonts w:ascii="PMingLiU" w:cs="PMingLiU" w:eastAsia="PMingLiU" w:hAnsi="PMingLiU"/>
          <w:sz w:val="18"/>
          <w:szCs w:val="18"/>
          <w:b w:val="1"/>
          <w:bCs w:val="1"/>
          <w:color w:val="000046"/>
        </w:rPr>
        <w:t></w:t>
      </w:r>
      <w:r>
        <w:rPr>
          <w:sz w:val="20"/>
          <w:szCs w:val="20"/>
          <w:color w:val="auto"/>
        </w:rPr>
        <w:tab/>
      </w:r>
      <w:r>
        <w:rPr>
          <w:rFonts w:ascii="PMingLiU" w:cs="PMingLiU" w:eastAsia="PMingLiU" w:hAnsi="PMingLiU"/>
          <w:sz w:val="18"/>
          <w:szCs w:val="18"/>
          <w:color w:val="auto"/>
        </w:rPr>
        <w:t>&lt;RXPD\DWWHQGRXU$*0DQGYRWHLQSHUVRQ6LPSO\DWWHQGLQJRXU$*0ZLOOQRWE\LWVHOIUHYRNH\RXU SUR[\</w:t>
      </w:r>
    </w:p>
    <w:p>
      <w:pPr>
        <w:spacing w:after="0" w:line="135" w:lineRule="exact"/>
        <w:rPr>
          <w:sz w:val="20"/>
          <w:szCs w:val="20"/>
          <w:color w:val="auto"/>
        </w:rPr>
      </w:pPr>
    </w:p>
    <w:p>
      <w:pPr>
        <w:ind w:left="540" w:right="100"/>
        <w:spacing w:after="0" w:line="358" w:lineRule="auto"/>
        <w:rPr>
          <w:sz w:val="20"/>
          <w:szCs w:val="20"/>
          <w:color w:val="auto"/>
        </w:rPr>
      </w:pPr>
      <w:r>
        <w:rPr>
          <w:rFonts w:ascii="PMingLiU" w:cs="PMingLiU" w:eastAsia="PMingLiU" w:hAnsi="PMingLiU"/>
          <w:sz w:val="15"/>
          <w:szCs w:val="15"/>
          <w:color w:val="auto"/>
        </w:rPr>
        <w:t>&lt;RXUPRVWUHFHQWSUR[\FDUGRUWHOHSKRQHRULQWHUQHWSUR[\LVWKHRQHWKDWLVFRXQWHG,I\RXUVKDUHVDUHKHOGE\\RXU EURNHUEDQNRURWKHUDJHQWDVDQRPLQHHRUDJHQW\RXVKRXOGIROORZWKHLQVWUXFWLRQVSURYLGHGE\\RXUEURNHUEDQNRU RWKHUDJHQW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600075</wp:posOffset>
            </wp:positionV>
            <wp:extent cx="1389380" cy="2343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414">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377" w:right="919" w:bottom="0" w:gutter="0" w:footer="0" w:header="0"/>
        </w:sectPr>
      </w:pPr>
    </w:p>
    <w:bookmarkStart w:id="121" w:name="page122"/>
    <w:bookmarkEnd w:id="121"/>
    <w:p>
      <w:pPr>
        <w:ind w:left="10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569595</wp:posOffset>
                </wp:positionH>
                <wp:positionV relativeFrom="page">
                  <wp:posOffset>1270</wp:posOffset>
                </wp:positionV>
                <wp:extent cx="1552575" cy="41910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603" o:spid="_x0000_s1628" style="position:absolute;margin-left:44.85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48(67,216$1'$16:(56</w:t>
      </w:r>
    </w:p>
    <w:p>
      <w:pPr>
        <w:spacing w:after="0" w:line="200" w:lineRule="exact"/>
        <w:rPr>
          <w:sz w:val="20"/>
          <w:szCs w:val="20"/>
          <w:color w:val="auto"/>
        </w:rPr>
      </w:pPr>
    </w:p>
    <w:p>
      <w:pPr>
        <w:spacing w:after="0" w:line="288"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tab/>
        <w:t>'R,QHHGDWLFNHWWRDWWHQGWKH$*0"</w:t>
      </w:r>
    </w:p>
    <w:p>
      <w:pPr>
        <w:spacing w:after="0" w:line="84" w:lineRule="exact"/>
        <w:rPr>
          <w:sz w:val="20"/>
          <w:szCs w:val="20"/>
          <w:color w:val="auto"/>
        </w:rPr>
      </w:pPr>
    </w:p>
    <w:p>
      <w:pPr>
        <w:ind w:left="540" w:right="20" w:hanging="521"/>
        <w:spacing w:after="0" w:line="352"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4"/>
          <w:szCs w:val="14"/>
          <w:color w:val="auto"/>
        </w:rPr>
        <w:t>&lt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w:t>
      </w:r>
    </w:p>
    <w:p>
      <w:pPr>
        <w:spacing w:after="0" w:line="186"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4"/>
          <w:szCs w:val="24"/>
          <w:color w:val="5C004D"/>
        </w:rPr>
        <w:t>+RZDUHYRWHVFRXQWHG"</w:t>
      </w:r>
    </w:p>
    <w:p>
      <w:pPr>
        <w:spacing w:after="0" w:line="84" w:lineRule="exact"/>
        <w:rPr>
          <w:sz w:val="20"/>
          <w:szCs w:val="20"/>
          <w:color w:val="auto"/>
        </w:rPr>
      </w:pPr>
    </w:p>
    <w:p>
      <w:pPr>
        <w:ind w:left="540" w:right="20" w:hanging="521"/>
        <w:spacing w:after="0" w:line="331"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9RWHVZLOOEHFRXQWHGE\WKHLQVSHFWRURIHOHFWLRQVDSSRLQWHGIRURXU$*07KHLQVSHFWRURIHOHFWLRQVZLOO VHSDUDWHO\FRXQWZLWKUHVSHFWWRWKHSURSRVDOWRHOHFWGLUHFWRUV3URSRVDOYRWHV³)25´³$*$,167´DEVWHQWLRQVDQG EURNHUQRQYRWHVDQGZLWKUHVSHFWWRHDFKRIWKHRWKHUSURSRVDOVYRWHV³)25´³$*$,167´DEVWHQWLRQVDQGDV</w:t>
      </w:r>
    </w:p>
    <w:p>
      <w:pPr>
        <w:spacing w:after="0" w:line="2" w:lineRule="exact"/>
        <w:rPr>
          <w:sz w:val="20"/>
          <w:szCs w:val="20"/>
          <w:color w:val="auto"/>
        </w:rPr>
      </w:pPr>
    </w:p>
    <w:p>
      <w:pPr>
        <w:ind w:left="540"/>
        <w:spacing w:after="0"/>
        <w:rPr>
          <w:sz w:val="20"/>
          <w:szCs w:val="20"/>
          <w:color w:val="auto"/>
        </w:rPr>
      </w:pPr>
      <w:r>
        <w:rPr>
          <w:rFonts w:ascii="PMingLiU" w:cs="PMingLiU" w:eastAsia="PMingLiU" w:hAnsi="PMingLiU"/>
          <w:sz w:val="18"/>
          <w:szCs w:val="18"/>
          <w:color w:val="auto"/>
        </w:rPr>
        <w:t>DSSOLFDEOHEURNHUQRQYRWHV</w:t>
      </w:r>
    </w:p>
    <w:p>
      <w:pPr>
        <w:spacing w:after="0" w:line="25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4"/>
          <w:szCs w:val="24"/>
          <w:color w:val="5C004D"/>
        </w:rPr>
        <w:t>:KDWDUH³EURNHUQRQYRWHV´"</w:t>
      </w:r>
    </w:p>
    <w:p>
      <w:pPr>
        <w:spacing w:after="0" w:line="84" w:lineRule="exact"/>
        <w:rPr>
          <w:sz w:val="20"/>
          <w:szCs w:val="20"/>
          <w:color w:val="auto"/>
        </w:rPr>
      </w:pPr>
    </w:p>
    <w:p>
      <w:pPr>
        <w:ind w:left="540" w:right="60" w:hanging="521"/>
        <w:spacing w:after="0" w:line="350"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4"/>
          <w:szCs w:val="14"/>
          <w:color w:val="auto"/>
        </w:rPr>
        <w:t>$VGLVFXVVHGDERYHZKHQDEHQHILFLDORZQHURIVKDUHVKHOGLQVWUHHWQDPHGRHVQRWJLYHYRWLQJLQVWUXFWLRQVWRKLVRU KHUEURNHUEDQNRURWKHUDJHQWKROGLQJKLVRUKHUVKDUHVDVWRKRZWRYRWHRQPDWWHUVGHHPHGWREH³QRQURXWLQH´ XQGHU1&lt;6(UXOHVWKHEURNHUEDQNRURWKHUVXFKDJHQWFDQQRWYRWHWKHVKDUHV:KHQWKHUHLVDWOHDVWRQH³URXWLQH´ PDWWHUWKDWWKHEURNHUEDQNRURWKHUDJHQWYRWHVRQWKHVKDUHVWKDWDUHXQYRWHGRQ³QRQURXWLQH´PDWWHUVDUHFRXQWHG DV³EURNHUQRQYRWHV´3URSRVDOVDQGDUHFRQVLGHUHGWREH³QRQURXWLQH´XQGHU1&lt;6(UXOHVDQGZHWKHUHIRUH</w:t>
      </w:r>
    </w:p>
    <w:p>
      <w:pPr>
        <w:ind w:left="540"/>
        <w:spacing w:after="0"/>
        <w:rPr>
          <w:sz w:val="20"/>
          <w:szCs w:val="20"/>
          <w:color w:val="auto"/>
        </w:rPr>
      </w:pPr>
      <w:r>
        <w:rPr>
          <w:rFonts w:ascii="PMingLiU" w:cs="PMingLiU" w:eastAsia="PMingLiU" w:hAnsi="PMingLiU"/>
          <w:sz w:val="18"/>
          <w:szCs w:val="18"/>
          <w:color w:val="auto"/>
        </w:rPr>
        <w:t>H[SHFWEURNHUQRQYRWHVLQFRQQHFWLRQZLWKWKRVHSURSRVDOV</w:t>
      </w:r>
    </w:p>
    <w:p>
      <w:pPr>
        <w:spacing w:after="0" w:line="224" w:lineRule="exact"/>
        <w:rPr>
          <w:sz w:val="20"/>
          <w:szCs w:val="20"/>
          <w:color w:val="auto"/>
        </w:rPr>
      </w:pPr>
    </w:p>
    <w:p>
      <w:pPr>
        <w:ind w:left="540"/>
        <w:spacing w:after="0" w:line="296" w:lineRule="auto"/>
        <w:rPr>
          <w:sz w:val="20"/>
          <w:szCs w:val="20"/>
          <w:color w:val="auto"/>
        </w:rPr>
      </w:pPr>
      <w:r>
        <w:rPr>
          <w:rFonts w:ascii="PMingLiU" w:cs="PMingLiU" w:eastAsia="PMingLiU" w:hAnsi="PMingLiU"/>
          <w:sz w:val="18"/>
          <w:szCs w:val="18"/>
          <w:b w:val="1"/>
          <w:bCs w:val="1"/>
          <w:i w:val="1"/>
          <w:iCs w:val="1"/>
          <w:color w:val="000046"/>
        </w:rPr>
        <w:t>                                     </w:t>
      </w:r>
    </w:p>
    <w:p>
      <w:pPr>
        <w:spacing w:after="0" w:line="200" w:lineRule="exact"/>
        <w:rPr>
          <w:sz w:val="20"/>
          <w:szCs w:val="20"/>
          <w:color w:val="auto"/>
        </w:rPr>
      </w:pPr>
    </w:p>
    <w:p>
      <w:pPr>
        <w:spacing w:after="0" w:line="213"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5"/>
          <w:szCs w:val="25"/>
          <w:color w:val="5C004D"/>
        </w:rPr>
        <w:t>+RZPDQ\YRWHVDUHQHHGHGWRDSSURYHHDFKSURSRVDO"</w:t>
      </w:r>
    </w:p>
    <w:p>
      <w:pPr>
        <w:spacing w:after="0" w:line="84" w:lineRule="exact"/>
        <w:rPr>
          <w:sz w:val="20"/>
          <w:szCs w:val="20"/>
          <w:color w:val="auto"/>
        </w:rPr>
      </w:pPr>
    </w:p>
    <w:p>
      <w:pPr>
        <w:ind w:left="20"/>
        <w:spacing w:after="0"/>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6"/>
          <w:szCs w:val="16"/>
          <w:color w:val="auto"/>
        </w:rPr>
        <w:t>$VVXPLQJWKDWDTXRUXPLVSUHVHQWDWRXU$*0WKHIROORZLQJYRWHVZLOOEHUHTXLUHGIRUDSSURYDO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31115</wp:posOffset>
                </wp:positionV>
                <wp:extent cx="6086475" cy="257175"/>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257175"/>
                        </a:xfrm>
                        <a:prstGeom prst="rect">
                          <a:avLst/>
                        </a:prstGeom>
                        <a:solidFill>
                          <a:srgbClr val="000046"/>
                        </a:solidFill>
                      </wps:spPr>
                      <wps:bodyPr/>
                    </wps:wsp>
                  </a:graphicData>
                </a:graphic>
              </wp:anchor>
            </w:drawing>
          </mc:Choice>
          <mc:Fallback>
            <w:pict>
              <v:rect id="Shape 604" o:spid="_x0000_s1629" style="position:absolute;margin-left:24.6pt;margin-top:2.45pt;width:479.25pt;height:2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46" stroked="f"/>
            </w:pict>
          </mc:Fallback>
        </mc:AlternateContent>
      </w:r>
    </w:p>
    <w:p>
      <w:pPr>
        <w:spacing w:after="0" w:line="150"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b w:val="1"/>
          <w:bCs w:val="1"/>
          <w:color w:val="FFFFFF"/>
        </w:rPr>
        <w:t>3URSRVDO</w:t>
      </w:r>
      <w:r>
        <w:rPr>
          <w:sz w:val="20"/>
          <w:szCs w:val="20"/>
          <w:color w:val="auto"/>
        </w:rPr>
        <w:tab/>
      </w:r>
      <w:r>
        <w:rPr>
          <w:rFonts w:ascii="PMingLiU" w:cs="PMingLiU" w:eastAsia="PMingLiU" w:hAnsi="PMingLiU"/>
          <w:sz w:val="16"/>
          <w:szCs w:val="16"/>
          <w:b w:val="1"/>
          <w:bCs w:val="1"/>
          <w:color w:val="FFFFFF"/>
        </w:rPr>
        <w:t>9RWH5HTXLUHGIRU$SSURYDO</w:t>
      </w:r>
    </w:p>
    <w:p>
      <w:pPr>
        <w:spacing w:after="0" w:line="88" w:lineRule="exact"/>
        <w:rPr>
          <w:sz w:val="20"/>
          <w:szCs w:val="20"/>
          <w:color w:val="auto"/>
        </w:rPr>
      </w:pPr>
    </w:p>
    <w:p>
      <w:pPr>
        <w:ind w:left="1680" w:right="240" w:hanging="1079"/>
        <w:spacing w:after="0" w:line="255" w:lineRule="auto"/>
        <w:tabs>
          <w:tab w:leader="none" w:pos="1660" w:val="left"/>
        </w:tabs>
        <w:rPr>
          <w:sz w:val="20"/>
          <w:szCs w:val="20"/>
          <w:color w:val="auto"/>
        </w:rPr>
      </w:pPr>
      <w:r>
        <w:rPr>
          <w:rFonts w:ascii="PMingLiU" w:cs="PMingLiU" w:eastAsia="PMingLiU" w:hAnsi="PMingLiU"/>
          <w:sz w:val="21"/>
          <w:szCs w:val="21"/>
          <w:color w:val="auto"/>
          <w:vertAlign w:val="subscript"/>
        </w:rPr>
        <w:t>3URSRVDO</w:t>
      </w:r>
      <w:r>
        <w:rPr>
          <w:sz w:val="20"/>
          <w:szCs w:val="20"/>
          <w:color w:val="auto"/>
        </w:rPr>
        <w:tab/>
      </w:r>
      <w:r>
        <w:rPr>
          <w:rFonts w:ascii="PMingLiU" w:cs="PMingLiU" w:eastAsia="PMingLiU" w:hAnsi="PMingLiU"/>
          <w:sz w:val="12"/>
          <w:szCs w:val="12"/>
          <w:color w:val="auto"/>
        </w:rPr>
        <w:t>(DFKGLUHFWRUQRPLQHHPXVWUHFHLYHWKHDIILUPDWLYHYRWHRIDPDMRULW\RIWKHYRWHVFDVWRQKLVRUKHUHOHFWLRQWRKROG RIILFHXQWLOWKH$*0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50165</wp:posOffset>
                </wp:positionV>
                <wp:extent cx="608647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3.95pt" to="503.85pt,3.95pt" o:allowincell="f" strokecolor="#4454A7" strokeweight="0.25pt"/>
            </w:pict>
          </mc:Fallback>
        </mc:AlternateContent>
      </w:r>
    </w:p>
    <w:p>
      <w:pPr>
        <w:spacing w:after="0" w:line="124"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color w:val="auto"/>
        </w:rPr>
        <w:t>3URSRVDO</w:t>
      </w:r>
      <w:r>
        <w:rPr>
          <w:sz w:val="20"/>
          <w:szCs w:val="20"/>
          <w:color w:val="auto"/>
        </w:rPr>
        <w:tab/>
      </w:r>
      <w:r>
        <w:rPr>
          <w:rFonts w:ascii="PMingLiU" w:cs="PMingLiU" w:eastAsia="PMingLiU" w:hAnsi="PMingLiU"/>
          <w:sz w:val="16"/>
          <w:szCs w:val="16"/>
          <w:color w:val="auto"/>
        </w:rPr>
        <w:t>$IILUPDWLYHYRWHRIDPDMRULW\RIWKHYRWHVFDVW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55880</wp:posOffset>
                </wp:positionV>
                <wp:extent cx="6086475"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4.4pt" to="503.85pt,4.4pt" o:allowincell="f" strokecolor="#4454A7" strokeweight="0.25pt"/>
            </w:pict>
          </mc:Fallback>
        </mc:AlternateContent>
      </w:r>
    </w:p>
    <w:p>
      <w:pPr>
        <w:spacing w:after="0" w:line="133"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color w:val="auto"/>
        </w:rPr>
        <w:t>3URSRVDO</w:t>
      </w:r>
      <w:r>
        <w:rPr>
          <w:sz w:val="20"/>
          <w:szCs w:val="20"/>
          <w:color w:val="auto"/>
        </w:rPr>
        <w:tab/>
      </w:r>
      <w:r>
        <w:rPr>
          <w:rFonts w:ascii="PMingLiU" w:cs="PMingLiU" w:eastAsia="PMingLiU" w:hAnsi="PMingLiU"/>
          <w:sz w:val="16"/>
          <w:szCs w:val="16"/>
          <w:color w:val="auto"/>
        </w:rPr>
        <w:t>$IILUPDWLYHYRWHRIDPDMRULW\RIWKHYRWHVFDVW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55880</wp:posOffset>
                </wp:positionV>
                <wp:extent cx="6086475" cy="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4.4pt" to="503.85pt,4.4pt" o:allowincell="f" strokecolor="#4454A7" strokeweight="0.25pt"/>
            </w:pict>
          </mc:Fallback>
        </mc:AlternateContent>
      </w:r>
    </w:p>
    <w:p>
      <w:pPr>
        <w:spacing w:after="0" w:line="133"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color w:val="auto"/>
        </w:rPr>
        <w:t>3URSRVDO</w:t>
      </w:r>
      <w:r>
        <w:rPr>
          <w:sz w:val="20"/>
          <w:szCs w:val="20"/>
          <w:color w:val="auto"/>
        </w:rPr>
        <w:tab/>
      </w:r>
      <w:r>
        <w:rPr>
          <w:rFonts w:ascii="PMingLiU" w:cs="PMingLiU" w:eastAsia="PMingLiU" w:hAnsi="PMingLiU"/>
          <w:sz w:val="16"/>
          <w:szCs w:val="16"/>
          <w:color w:val="auto"/>
        </w:rPr>
        <w:t>$IILUPDWLYHYRWHRIDPDMRULW\RIWKHYRWHVFDVW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55880</wp:posOffset>
                </wp:positionV>
                <wp:extent cx="6086475"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4.4pt" to="503.85pt,4.4pt" o:allowincell="f" strokecolor="#4454A7" strokeweight="0.25pt"/>
            </w:pict>
          </mc:Fallback>
        </mc:AlternateContent>
      </w:r>
    </w:p>
    <w:p>
      <w:pPr>
        <w:spacing w:after="0" w:line="133"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color w:val="auto"/>
        </w:rPr>
        <w:t>3URSRVDO</w:t>
      </w:r>
      <w:r>
        <w:rPr>
          <w:sz w:val="20"/>
          <w:szCs w:val="20"/>
          <w:color w:val="auto"/>
        </w:rPr>
        <w:tab/>
      </w:r>
      <w:r>
        <w:rPr>
          <w:rFonts w:ascii="PMingLiU" w:cs="PMingLiU" w:eastAsia="PMingLiU" w:hAnsi="PMingLiU"/>
          <w:sz w:val="16"/>
          <w:szCs w:val="16"/>
          <w:color w:val="auto"/>
        </w:rPr>
        <w:t>$IILUPDWLYHYRWHRIRIWKHYRWHVFDVW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55880</wp:posOffset>
                </wp:positionV>
                <wp:extent cx="6086475"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3175">
                          <a:solidFill>
                            <a:srgbClr val="4454A7"/>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4.4pt" to="503.85pt,4.4pt" o:allowincell="f" strokecolor="#4454A7" strokeweight="0.25pt"/>
            </w:pict>
          </mc:Fallback>
        </mc:AlternateContent>
      </w:r>
    </w:p>
    <w:p>
      <w:pPr>
        <w:spacing w:after="0" w:line="133" w:lineRule="exact"/>
        <w:rPr>
          <w:sz w:val="20"/>
          <w:szCs w:val="20"/>
          <w:color w:val="auto"/>
        </w:rPr>
      </w:pPr>
    </w:p>
    <w:p>
      <w:pPr>
        <w:ind w:left="600"/>
        <w:spacing w:after="0"/>
        <w:tabs>
          <w:tab w:leader="none" w:pos="1660" w:val="left"/>
        </w:tabs>
        <w:rPr>
          <w:sz w:val="20"/>
          <w:szCs w:val="20"/>
          <w:color w:val="auto"/>
        </w:rPr>
      </w:pPr>
      <w:r>
        <w:rPr>
          <w:rFonts w:ascii="PMingLiU" w:cs="PMingLiU" w:eastAsia="PMingLiU" w:hAnsi="PMingLiU"/>
          <w:sz w:val="16"/>
          <w:szCs w:val="16"/>
          <w:color w:val="auto"/>
        </w:rPr>
        <w:t>3URSRVDO</w:t>
      </w:r>
      <w:r>
        <w:rPr>
          <w:sz w:val="20"/>
          <w:szCs w:val="20"/>
          <w:color w:val="auto"/>
        </w:rPr>
        <w:tab/>
      </w:r>
      <w:r>
        <w:rPr>
          <w:rFonts w:ascii="PMingLiU" w:cs="PMingLiU" w:eastAsia="PMingLiU" w:hAnsi="PMingLiU"/>
          <w:sz w:val="16"/>
          <w:szCs w:val="16"/>
          <w:color w:val="auto"/>
        </w:rPr>
        <w:t>$IILUPDWLYHYRWHRIDPDMRULW\RIWKHYRWHVFDVW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312420</wp:posOffset>
                </wp:positionH>
                <wp:positionV relativeFrom="paragraph">
                  <wp:posOffset>55880</wp:posOffset>
                </wp:positionV>
                <wp:extent cx="6086475"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6475" cy="4763"/>
                        </a:xfrm>
                        <a:prstGeom prst="line">
                          <a:avLst/>
                        </a:prstGeom>
                        <a:solidFill>
                          <a:srgbClr val="FFFFFF"/>
                        </a:solidFill>
                        <a:ln w="12700">
                          <a:solidFill>
                            <a:srgbClr val="5C004D"/>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pt,4.4pt" to="503.85pt,4.4pt" o:allowincell="f" strokecolor="#5C004D" strokeweight="1pt"/>
            </w:pict>
          </mc:Fallback>
        </mc:AlternateContent>
      </w:r>
    </w:p>
    <w:p>
      <w:pPr>
        <w:spacing w:after="0" w:line="324"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2"/>
          <w:szCs w:val="22"/>
          <w:color w:val="5C004D"/>
        </w:rPr>
        <w:t>:KDWDUHWKHWUHDWPHQWDQGHIIHFWRIDEVWHQWLRQVDQGEURNHUQRQYRWHV"</w:t>
      </w:r>
    </w:p>
    <w:p>
      <w:pPr>
        <w:spacing w:after="0" w:line="84" w:lineRule="exact"/>
        <w:rPr>
          <w:sz w:val="20"/>
          <w:szCs w:val="20"/>
          <w:color w:val="auto"/>
        </w:rPr>
      </w:pPr>
    </w:p>
    <w:p>
      <w:pPr>
        <w:ind w:left="540" w:right="220" w:hanging="521"/>
        <w:spacing w:after="0" w:line="32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$EVWHQWLRQVDQGEURNHUQRQYRWHVZLOOEHWUHDWHGDVVKDUHVSUHVHQWIRUSXUSRVHVRIGHWHUPLQLQJWKHSUHVHQFHRID TXRUXPIRUWKHWUDQVDFWLRQRIEXVLQHVVDWRXU$*0$EVWHQWLRQVDQGEURNHUQRQYRWHVZLOOQRWKRZHYHUEH FRQVLGHUHGYRWHVFDVWDWRXU$*0%HFDXVHWKHDSSURYDORIDOORIWKHSURSRVDOVLVEDVHGRQWKHYRWHVFDVWDW RXU$*0DEVWHQWLRQVDQGDVDSSOLFDEOHEURNHUQRQYRWHVZLOOQRWKDYHDQ\HIIHFWRQWKHRXWFRPHRIYRWLQJRQ</w:t>
      </w:r>
    </w:p>
    <w:p>
      <w:pPr>
        <w:spacing w:after="0" w:line="2" w:lineRule="exact"/>
        <w:rPr>
          <w:sz w:val="20"/>
          <w:szCs w:val="20"/>
          <w:color w:val="auto"/>
        </w:rPr>
      </w:pPr>
    </w:p>
    <w:p>
      <w:pPr>
        <w:ind w:left="540"/>
        <w:spacing w:after="0"/>
        <w:rPr>
          <w:sz w:val="20"/>
          <w:szCs w:val="20"/>
          <w:color w:val="auto"/>
        </w:rPr>
      </w:pPr>
      <w:r>
        <w:rPr>
          <w:rFonts w:ascii="PMingLiU" w:cs="PMingLiU" w:eastAsia="PMingLiU" w:hAnsi="PMingLiU"/>
          <w:sz w:val="18"/>
          <w:szCs w:val="18"/>
          <w:color w:val="auto"/>
        </w:rPr>
        <w:t>WKHSURSRVDOV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280670</wp:posOffset>
            </wp:positionV>
            <wp:extent cx="1389380" cy="2343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415">
                      <a:extLst>
                        <a:ext uri="{28A0092B-C50C-407E-A947-70E740481C1C}"/>
                      </a:extLst>
                    </a:blip>
                    <a:srcRect/>
                    <a:stretch>
                      <a:fillRect/>
                    </a:stretch>
                  </pic:blipFill>
                  <pic:spPr bwMode="auto">
                    <a:xfrm>
                      <a:off x="0" y="0"/>
                      <a:ext cx="1389380" cy="2343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580" w:val="left"/>
        </w:tabs>
        <w:rPr>
          <w:sz w:val="20"/>
          <w:szCs w:val="20"/>
          <w:color w:val="auto"/>
        </w:rPr>
      </w:pPr>
      <w:r>
        <w:rPr>
          <w:rFonts w:ascii="PMingLiU" w:cs="PMingLiU" w:eastAsia="PMingLiU" w:hAnsi="PMingLiU"/>
          <w:sz w:val="20"/>
          <w:szCs w:val="20"/>
          <w:b w:val="1"/>
          <w:bCs w:val="1"/>
          <w:color w:val="5C004D"/>
        </w:rPr>
        <w:t/>
      </w:r>
      <w:r>
        <w:rPr>
          <w:sz w:val="20"/>
          <w:szCs w:val="20"/>
          <w:color w:val="auto"/>
        </w:rPr>
        <w:tab/>
      </w:r>
      <w:r>
        <w:rPr>
          <w:rFonts w:ascii="PMingLiU" w:cs="PMingLiU" w:eastAsia="PMingLiU" w:hAnsi="PMingLiU"/>
          <w:sz w:val="16"/>
          <w:szCs w:val="16"/>
          <w:color w:val="2D2C36"/>
        </w:rPr>
        <w:t>352;&lt;67$7(0(17</w:t>
      </w:r>
    </w:p>
    <w:p>
      <w:pPr>
        <w:sectPr>
          <w:pgSz w:w="11880" w:h="15479" w:orient="portrait"/>
          <w:cols w:equalWidth="0" w:num="1">
            <w:col w:w="10080"/>
          </w:cols>
          <w:pgMar w:left="900" w:top="377" w:right="899" w:bottom="0" w:gutter="0" w:footer="0" w:header="0"/>
        </w:sectPr>
      </w:pPr>
    </w:p>
    <w:bookmarkStart w:id="122" w:name="page123"/>
    <w:bookmarkEnd w:id="122"/>
    <w:p>
      <w:pPr>
        <w:ind w:left="7780"/>
        <w:spacing w:after="0"/>
        <w:rPr>
          <w:sz w:val="20"/>
          <w:szCs w:val="20"/>
          <w:color w:val="auto"/>
        </w:rPr>
      </w:pPr>
      <w:r>
        <w:rPr>
          <w:rFonts w:ascii="PMingLiU" w:cs="PMingLiU" w:eastAsia="PMingLiU" w:hAnsi="PMingLiU"/>
          <w:sz w:val="16"/>
          <w:szCs w:val="16"/>
          <w:b w:val="1"/>
          <w:bCs w:val="1"/>
          <w:color w:val="FFFFFF"/>
        </w:rPr>
        <mc:AlternateContent>
          <mc:Choice Requires="wps">
            <w:drawing>
              <wp:anchor simplePos="0" relativeHeight="251657728" behindDoc="1" locked="0" layoutInCell="0" allowOverlap="1">
                <wp:simplePos x="0" y="0"/>
                <wp:positionH relativeFrom="page">
                  <wp:posOffset>5417820</wp:posOffset>
                </wp:positionH>
                <wp:positionV relativeFrom="page">
                  <wp:posOffset>1270</wp:posOffset>
                </wp:positionV>
                <wp:extent cx="1552575" cy="41910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19100"/>
                        </a:xfrm>
                        <a:prstGeom prst="rect">
                          <a:avLst/>
                        </a:prstGeom>
                        <a:solidFill>
                          <a:srgbClr val="5C004D"/>
                        </a:solidFill>
                      </wps:spPr>
                      <wps:bodyPr/>
                    </wps:wsp>
                  </a:graphicData>
                </a:graphic>
              </wp:anchor>
            </w:drawing>
          </mc:Choice>
          <mc:Fallback>
            <w:pict>
              <v:rect id="Shape 612" o:spid="_x0000_s1637" style="position:absolute;margin-left:426.6pt;margin-top:0.1pt;width:122.25pt;height:3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004D" stroked="f">
                <w10:wrap anchorx="page" anchory="page"/>
              </v:rect>
            </w:pict>
          </mc:Fallback>
        </mc:AlternateContent>
        <w:t>48(67,216$1'$16:(56</w:t>
      </w:r>
    </w:p>
    <w:p>
      <w:pPr>
        <w:spacing w:after="0" w:line="200" w:lineRule="exact"/>
        <w:rPr>
          <w:sz w:val="20"/>
          <w:szCs w:val="20"/>
          <w:color w:val="auto"/>
        </w:rPr>
      </w:pPr>
    </w:p>
    <w:p>
      <w:pPr>
        <w:spacing w:after="0" w:line="288"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3"/>
          <w:szCs w:val="23"/>
          <w:color w:val="5C004D"/>
        </w:rPr>
        <w:t>:KDWLVWKHTXRUXPUHTXLUHPHQW"</w:t>
      </w:r>
    </w:p>
    <w:p>
      <w:pPr>
        <w:spacing w:after="0" w:line="84" w:lineRule="exact"/>
        <w:rPr>
          <w:sz w:val="20"/>
          <w:szCs w:val="20"/>
          <w:color w:val="auto"/>
        </w:rPr>
      </w:pPr>
    </w:p>
    <w:p>
      <w:pPr>
        <w:ind w:left="540" w:right="120" w:hanging="521"/>
        <w:spacing w:after="0" w:line="330"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$TXRUXPRIVKDUHKROGHUVLVQHFHVVDU\WRKROGDYDOLG$*0$TXRUXPZLOOEHSUHVHQWLIVKDUHKROGHUVKROGLQJD PDMRULW\RIWKHLVVXHGDQGRXWVWDQGLQJRUGLQDU\VKDUHVHQWLWOHGWRYRWHDVRIWKHUHFRUGGDWHDUHSUHVHQWDWRXU $*0RUUHSUHVHQWHGE\SUR[\2QWKHUHFRUGGDWHWKHUHZHUHRUGLQDU\VKDUHVRXWVWDQGLQJDQGHQWLWOHGWR YRWH&lt;RXUVKDUHVZLOOEHFRXQWHGWRZDUGVWKHTXRUXPRQO\LI\RXVXEPLWDYDOLGSUR[\RULIRQHLVVXEPLWWHGRQ\RXU EHKDOIE\\RXUEURNHUEDQNRURWKHUDJHQWRUSURYLGHGWKDW\RXDUHDVKDUHKROGHURIUHFRUGLI\RXYRWHLQSHUVRQDW RXU$*0$EVWHQWLRQVDQGEURNHUQRQYRWHVZLOOEHFRXQWHGWRZDUGVWKHTXRUXPUHTXLUHPHQW,IWKHUHLVQR TXRUXPZLWKLQRQHKRXURIWKHWLPHVFKHGXOHGIRURXU$*0RXU$*0ZLOOVWDQGDGMRXUQHGWR$XJXVW DWDPORFDOWLPHDWWKHVDPHORFDWLRQRUVXFKRWKHUWLPHRUSODFHDVRXU%RDUGPD\GHWHUPLQH</w:t>
      </w:r>
    </w:p>
    <w:p>
      <w:pPr>
        <w:spacing w:after="0" w:line="196"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6"/>
          <w:szCs w:val="26"/>
          <w:color w:val="5C004D"/>
        </w:rPr>
        <w:t>+RZFDQ,ILQGRXWWKHUHVXOWVRIWKHYRWLQJDWWKH$*0"</w:t>
      </w:r>
    </w:p>
    <w:p>
      <w:pPr>
        <w:spacing w:after="0" w:line="84" w:lineRule="exact"/>
        <w:rPr>
          <w:sz w:val="20"/>
          <w:szCs w:val="20"/>
          <w:color w:val="auto"/>
        </w:rPr>
      </w:pPr>
    </w:p>
    <w:p>
      <w:pPr>
        <w:ind w:left="540" w:right="40" w:hanging="521"/>
        <w:spacing w:after="0" w:line="1227"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8"/>
          <w:szCs w:val="8"/>
          <w:color w:val="auto"/>
        </w:rPr>
        <w:t>3UHOLPLQDU\YRWLQJUHVXOWVZLOOEHDQQRXQFHGDWRXU$*0,QDGGLWLRQILQDOYRWLQJUHVXOWVZLOOEHSXEOLVKHGLQD 4XDUWHUO\5HSRUWRQ)RUP4RUD&amp;XUUHQW5HSRUWRQ)RUP.WKDWZHH[SHFWWRILOHZLWKWKH6(&amp;ZLWKLQIRXU EXVLQHVVGD\VDIWHURXU$*0,IILQDOYRWLQJUHVXOWVDUHQRWDYDLODEOHWRXVLQWLPHWRILOHD4XDUWHUO\5HSRUWRQ )RUP4RUD&amp;XUUHQW5HSRUWRQ)RUP.ZLWKLQIRXUEXVLQHVVGD\VDIWHURXU$*0ZHLQWHQGWRILOHD&amp;XUUHQW 5HSRUWRQ)RUP.WRSXEOLVKSUHOLPLQDU\UHVXOWVDQGZLWKLQIRXUEXVLQHVVGD\VDIWHUWKHILQDOUHVXOWVDUHNQRZQWRXV ILOHDQDGGLWLRQDO&amp;XUUHQW5HSRUWRQ)RUP.WRSXEOLVKWKHILQDOUHVXOWV</w:t>
      </w:r>
    </w:p>
    <w:p>
      <w:pPr>
        <w:spacing w:after="0" w:line="224" w:lineRule="exact"/>
        <w:rPr>
          <w:sz w:val="20"/>
          <w:szCs w:val="20"/>
          <w:color w:val="auto"/>
        </w:rPr>
      </w:pPr>
    </w:p>
    <w:p>
      <w:pPr>
        <w:ind w:left="540" w:right="500" w:hanging="539"/>
        <w:spacing w:after="0" w:line="347" w:lineRule="auto"/>
        <w:tabs>
          <w:tab w:leader="none" w:pos="520" w:val="left"/>
        </w:tabs>
        <w:rPr>
          <w:sz w:val="20"/>
          <w:szCs w:val="20"/>
          <w:color w:val="auto"/>
        </w:rPr>
      </w:pPr>
      <w:r>
        <w:rPr>
          <w:rFonts w:ascii="PMingLiU" w:cs="PMingLiU" w:eastAsia="PMingLiU" w:hAnsi="PMingLiU"/>
          <w:sz w:val="22"/>
          <w:szCs w:val="22"/>
          <w:color w:val="5C004D"/>
        </w:rPr>
        <w:t>4</w:t>
        <w:tab/>
        <w:t>:KDWDUHWKH,ULVKVWDWXWRU\ILQDQFLDOVWDWHPHQWVDQGZKHUHFDQ,DFFHVV WKHP"</w:t>
      </w:r>
    </w:p>
    <w:p>
      <w:pPr>
        <w:spacing w:after="0" w:line="2" w:lineRule="exact"/>
        <w:rPr>
          <w:sz w:val="20"/>
          <w:szCs w:val="20"/>
          <w:color w:val="auto"/>
        </w:rPr>
      </w:pPr>
    </w:p>
    <w:p>
      <w:pPr>
        <w:jc w:val="right"/>
        <w:ind w:left="20" w:right="100"/>
        <w:spacing w:after="0" w:line="241" w:lineRule="auto"/>
        <w:rPr>
          <w:sz w:val="20"/>
          <w:szCs w:val="20"/>
          <w:color w:val="auto"/>
        </w:rPr>
      </w:pPr>
      <w:r>
        <w:rPr>
          <w:rFonts w:ascii="PMingLiU" w:cs="PMingLiU" w:eastAsia="PMingLiU" w:hAnsi="PMingLiU"/>
          <w:sz w:val="21"/>
          <w:szCs w:val="21"/>
          <w:color w:val="2D2C36"/>
        </w:rPr>
        <w:t xml:space="preserve">$  </w:t>
      </w:r>
      <w:r>
        <w:rPr>
          <w:rFonts w:ascii="PMingLiU" w:cs="PMingLiU" w:eastAsia="PMingLiU" w:hAnsi="PMingLiU"/>
          <w:sz w:val="14"/>
          <w:szCs w:val="14"/>
          <w:color w:val="000000"/>
        </w:rPr>
        <w:t>:HDUHSUHVHQWLQJIRUFRQVLGHUDWLRQRXU,ULVKVWDWXWRU\ILQDQFLDOVWDWHPHQWVDQGWKHUHVSHFWLYHUHSRUWVRIRXUGLUHFWRUV</w:t>
      </w:r>
      <w:r>
        <w:rPr>
          <w:rFonts w:ascii="PMingLiU" w:cs="PMingLiU" w:eastAsia="PMingLiU" w:hAnsi="PMingLiU"/>
          <w:sz w:val="21"/>
          <w:szCs w:val="21"/>
          <w:color w:val="2D2C36"/>
        </w:rPr>
        <w:t xml:space="preserve"> </w:t>
      </w:r>
      <w:r>
        <w:rPr>
          <w:rFonts w:ascii="PMingLiU" w:cs="PMingLiU" w:eastAsia="PMingLiU" w:hAnsi="PMingLiU"/>
          <w:sz w:val="14"/>
          <w:szCs w:val="14"/>
          <w:color w:val="000000"/>
        </w:rPr>
        <w:t>DQGRXUDXGLWRUVWKHUHRQDWRXU$*06LQFHZHDUHDQ,ULVKFRPSDQ\ZHDUHUHTXLUHGWRSUHSDUH,ULVKVWDWXWRU\</w:t>
      </w:r>
    </w:p>
    <w:p>
      <w:pPr>
        <w:spacing w:after="0" w:line="1" w:lineRule="exact"/>
        <w:rPr>
          <w:sz w:val="20"/>
          <w:szCs w:val="20"/>
          <w:color w:val="auto"/>
        </w:rPr>
      </w:pPr>
    </w:p>
    <w:p>
      <w:pPr>
        <w:ind w:left="540"/>
        <w:spacing w:after="0" w:line="2443" w:lineRule="auto"/>
        <w:rPr>
          <w:sz w:val="20"/>
          <w:szCs w:val="20"/>
          <w:color w:val="auto"/>
        </w:rPr>
      </w:pPr>
      <w:r>
        <w:rPr>
          <w:rFonts w:ascii="PMingLiU" w:cs="PMingLiU" w:eastAsia="PMingLiU" w:hAnsi="PMingLiU"/>
          <w:sz w:val="5"/>
          <w:szCs w:val="5"/>
          <w:color w:val="auto"/>
        </w:rPr>
        <w:t>ILQDQFLDOVWDWHPHQWVXQGHUDSSOLFDEOH,ULVKFRPSDQ\ODZDQGWRGHOLYHUWKRVHILQDQFLDOVWDWHPHQWVWRJHWKHUZLWKWKH UHVSHFWLYHUHSRUWVRIWKHGLUHFWRUVDQGWKHDXGLWRUVWKHUHRQWRVKDUHKROGHUVRIUHFRUGLQFRQQHFWLRQZLWKRXU$*0 7KH,ULVKVWDWXWRU\ILQDQFLDOVWDWHPHQWVFRYHUWKHUHVXOWVRIRSHUDWLRQVDQGILQDQFLDOSRVLWLRQRIRXU&amp;RPSDQ\IRUWKH \HDUHQGHG'HFHPEHU7KH,ULVKVWDWXWRU\ILQDQFLDOVWDWHPHQWVZHUHSUHSDUHGLQDFFRUGDQFHZLWKWKH ,QWHUQDWLRQDO)LQDQFLDO5HSRUWLQJ6WDQGDUGVDVDGRSWHGE\WKH(XURSHDQ8QLRQDQGDVDSSOLHGLQDFFRUGDQFHZLWKWKH $FW7KHUHLVQRUHTXLUHPHQWXQGHU,ULVKODZWKDWWKH,ULVKVWDWXWRU\ILQDQFLDOVWDWHPHQWVEHDSSURYHGE\WKH VKDUHKROGHUVDQGQRVXFKDSSURYDOZLOOEHVRXJKWDWRXU$*0</w:t>
      </w:r>
    </w:p>
    <w:p>
      <w:pPr>
        <w:ind w:left="540"/>
        <w:spacing w:after="0"/>
        <w:rPr>
          <w:sz w:val="20"/>
          <w:szCs w:val="20"/>
          <w:color w:val="auto"/>
        </w:rPr>
      </w:pPr>
      <w:r>
        <w:rPr>
          <w:rFonts w:ascii="PMingLiU" w:cs="PMingLiU" w:eastAsia="PMingLiU" w:hAnsi="PMingLiU"/>
          <w:sz w:val="14"/>
          <w:szCs w:val="14"/>
          <w:color w:val="auto"/>
        </w:rPr>
        <w:t>2XU,ULVKVWDWXWRU\ILQDQFLDOVWDWHPHQWVDQGWKHUHVSHFWLYHUHSRUWVRIWKHGLUHFWRUVDQGWKHDXGLWRUVWKHUHRQZLOOEH</w:t>
      </w:r>
    </w:p>
    <w:p>
      <w:pPr>
        <w:spacing w:after="0" w:line="72" w:lineRule="exact"/>
        <w:rPr>
          <w:sz w:val="20"/>
          <w:szCs w:val="20"/>
          <w:color w:val="auto"/>
        </w:rPr>
      </w:pPr>
    </w:p>
    <w:p>
      <w:pPr>
        <w:ind w:left="540" w:right="60"/>
        <w:spacing w:after="0" w:line="376" w:lineRule="auto"/>
        <w:rPr>
          <w:sz w:val="20"/>
          <w:szCs w:val="20"/>
          <w:color w:val="auto"/>
        </w:rPr>
      </w:pPr>
      <w:r>
        <w:rPr>
          <w:rFonts w:ascii="PMingLiU" w:cs="PMingLiU" w:eastAsia="PMingLiU" w:hAnsi="PMingLiU"/>
          <w:sz w:val="14"/>
          <w:szCs w:val="14"/>
          <w:color w:val="auto"/>
        </w:rPr>
        <w:t>GHOLYHUHGWRVKDUHKROGHUVRIUHFRUGLQDFFRUGDQFHZLWKRXUREOLJDWLRQVXQGHU,ULVKODZ:HZLOOPDLOZLWKRXWFKDUJH XSRQZULWWHQUHTXHVWDFRS\RIWKH,ULVKVWDWXWRU\ILQDQFLDOVWDWHPHQWVWRJHWKHUZLWKWKHUHVSHFWLYHUHSRUWVRIRXU GLUHFWRUVDQGRXUDXGLWRUVWKHUHRQWREHQHILFLDO³VWUHHWQDPH´RZQHUVRIRXUVKDUHV5HTXHVWVVKRXOGEHVHQWWR-D]] 3KDUPDFHXWLFDOVSOF$WWHQWLRQ&amp;RPSDQ\6HFUHWDU\)LIWK)ORRU:DWHUORR([FKDQJH:DWHUORR5RDG'XEOLQ,UHODQG</w:t>
      </w:r>
    </w:p>
    <w:p>
      <w:pPr>
        <w:spacing w:after="0" w:line="196"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2"/>
          <w:szCs w:val="22"/>
          <w:color w:val="5C004D"/>
        </w:rPr>
        <w:t>:KDWSUR[\PDWHULDOVDUHDYDLODEOHRQWKHLQWHUQHW"</w:t>
      </w:r>
    </w:p>
    <w:p>
      <w:pPr>
        <w:spacing w:after="0" w:line="84" w:lineRule="exact"/>
        <w:rPr>
          <w:sz w:val="20"/>
          <w:szCs w:val="20"/>
          <w:color w:val="auto"/>
        </w:rPr>
      </w:pPr>
    </w:p>
    <w:p>
      <w:pPr>
        <w:jc w:val="right"/>
        <w:ind w:left="20" w:right="240"/>
        <w:spacing w:after="0" w:line="223" w:lineRule="auto"/>
        <w:rPr>
          <w:sz w:val="20"/>
          <w:szCs w:val="20"/>
          <w:color w:val="auto"/>
        </w:rPr>
      </w:pPr>
      <w:r>
        <w:rPr>
          <w:rFonts w:ascii="PMingLiU" w:cs="PMingLiU" w:eastAsia="PMingLiU" w:hAnsi="PMingLiU"/>
          <w:sz w:val="23"/>
          <w:szCs w:val="23"/>
          <w:color w:val="2D2C36"/>
        </w:rPr>
        <w:t xml:space="preserve">$  </w:t>
      </w:r>
      <w:r>
        <w:rPr>
          <w:rFonts w:ascii="PMingLiU" w:cs="PMingLiU" w:eastAsia="PMingLiU" w:hAnsi="PMingLiU"/>
          <w:sz w:val="15"/>
          <w:szCs w:val="15"/>
          <w:color w:val="000000"/>
        </w:rPr>
        <w:t>2XUSUR[\VWDWHPHQWRXUOHWWHUWRVKDUHKROGHUVDQGWKH$QQXDO5HSRUWDQGRXU,ULVKILQDQFLDOVWDWHPHQWVIRUWKH</w:t>
      </w:r>
      <w:r>
        <w:rPr>
          <w:rFonts w:ascii="PMingLiU" w:cs="PMingLiU" w:eastAsia="PMingLiU" w:hAnsi="PMingLiU"/>
          <w:sz w:val="23"/>
          <w:szCs w:val="23"/>
          <w:color w:val="2D2C36"/>
        </w:rPr>
        <w:t xml:space="preserve"> </w:t>
      </w:r>
      <w:r>
        <w:rPr>
          <w:rFonts w:ascii="PMingLiU" w:cs="PMingLiU" w:eastAsia="PMingLiU" w:hAnsi="PMingLiU"/>
          <w:sz w:val="15"/>
          <w:szCs w:val="15"/>
          <w:color w:val="000000"/>
        </w:rPr>
        <w:t>ILVFDO\HDUHQGHG'HFHPEHUDUHDYDLODEOHDWKWWSVPDWHULDOVSUR[\YRWHFRP*</w:t>
      </w:r>
      <w:r>
        <w:rPr>
          <w:rFonts w:ascii="PMingLiU" w:cs="PMingLiU" w:eastAsia="PMingLiU" w:hAnsi="PMingLiU"/>
          <w:sz w:val="15"/>
          <w:szCs w:val="15"/>
          <w:b w:val="1"/>
          <w:bCs w:val="1"/>
          <w:color w:val="000046"/>
        </w:rPr>
        <w:t>,QDGGLWLRQZHZLOO</w:t>
      </w:r>
    </w:p>
    <w:p>
      <w:pPr>
        <w:spacing w:after="0" w:line="1" w:lineRule="exact"/>
        <w:rPr>
          <w:sz w:val="20"/>
          <w:szCs w:val="20"/>
          <w:color w:val="auto"/>
        </w:rPr>
      </w:pPr>
    </w:p>
    <w:p>
      <w:pPr>
        <w:ind w:left="540" w:right="500"/>
        <w:spacing w:after="0" w:line="345" w:lineRule="auto"/>
        <w:rPr>
          <w:sz w:val="20"/>
          <w:szCs w:val="20"/>
          <w:color w:val="auto"/>
        </w:rPr>
      </w:pPr>
      <w:r>
        <w:rPr>
          <w:rFonts w:ascii="PMingLiU" w:cs="PMingLiU" w:eastAsia="PMingLiU" w:hAnsi="PMingLiU"/>
          <w:sz w:val="15"/>
          <w:szCs w:val="15"/>
          <w:b w:val="1"/>
          <w:bCs w:val="1"/>
          <w:color w:val="000046"/>
        </w:rPr>
        <w:t>PDLOZLWKRXWFKDUJHXSRQZULWWHQUHTXHVWDFRS\RIRXU$QQXDO5HSRUWRQ)RUP.LQFOXGLQJWKH FRQVROLGDWHGILQDQFLDOVWDWHPHQWVVFKHGXOHVDQGOLVWRIH[KLELWVDQGDQ\SDUWLFXODUH[KLELWVSHFLILFDOO\ UHTXHVWHG5HTXHVWVVKRXOGEHVHQWWR-D]]3KDUPDFHXWLFDOVSOF$WWHQWLRQ$LVOLQQ'RRG\&amp;RPSDQ\ 6HFUHWDU\)LIWK)ORRU:DWHUORR([FKDQJH:DWHUORR5RDG'XEOLQ,UHODQG</w:t>
      </w:r>
    </w:p>
    <w:p>
      <w:pPr>
        <w:spacing w:after="0" w:line="147" w:lineRule="exact"/>
        <w:rPr>
          <w:sz w:val="20"/>
          <w:szCs w:val="20"/>
          <w:color w:val="auto"/>
        </w:rPr>
      </w:pPr>
    </w:p>
    <w:p>
      <w:pPr>
        <w:spacing w:after="0"/>
        <w:tabs>
          <w:tab w:leader="none" w:pos="520" w:val="left"/>
        </w:tabs>
        <w:rPr>
          <w:sz w:val="20"/>
          <w:szCs w:val="20"/>
          <w:color w:val="auto"/>
        </w:rPr>
      </w:pPr>
      <w:r>
        <w:rPr>
          <w:rFonts w:ascii="PMingLiU" w:cs="PMingLiU" w:eastAsia="PMingLiU" w:hAnsi="PMingLiU"/>
          <w:sz w:val="28"/>
          <w:szCs w:val="28"/>
          <w:color w:val="5C004D"/>
        </w:rPr>
        <w:t>4</w:t>
      </w:r>
      <w:r>
        <w:rPr>
          <w:sz w:val="20"/>
          <w:szCs w:val="20"/>
          <w:color w:val="auto"/>
        </w:rPr>
        <w:tab/>
      </w:r>
      <w:r>
        <w:rPr>
          <w:rFonts w:ascii="PMingLiU" w:cs="PMingLiU" w:eastAsia="PMingLiU" w:hAnsi="PMingLiU"/>
          <w:sz w:val="25"/>
          <w:szCs w:val="25"/>
          <w:color w:val="5C004D"/>
        </w:rPr>
        <w:t>:KRVKRXOG,FDOOLI,KDYHDQ\TXHVWLRQV"</w:t>
      </w:r>
    </w:p>
    <w:p>
      <w:pPr>
        <w:spacing w:after="0" w:line="84" w:lineRule="exact"/>
        <w:rPr>
          <w:sz w:val="20"/>
          <w:szCs w:val="20"/>
          <w:color w:val="auto"/>
        </w:rPr>
      </w:pPr>
    </w:p>
    <w:p>
      <w:pPr>
        <w:ind w:left="540" w:right="280" w:hanging="521"/>
        <w:spacing w:after="0" w:line="398" w:lineRule="auto"/>
        <w:tabs>
          <w:tab w:leader="none" w:pos="520" w:val="left"/>
        </w:tabs>
        <w:rPr>
          <w:sz w:val="20"/>
          <w:szCs w:val="20"/>
          <w:color w:val="auto"/>
        </w:rPr>
      </w:pPr>
      <w:r>
        <w:rPr>
          <w:rFonts w:ascii="PMingLiU" w:cs="PMingLiU" w:eastAsia="PMingLiU" w:hAnsi="PMingLiU"/>
          <w:sz w:val="28"/>
          <w:szCs w:val="28"/>
          <w:color w:val="2D2C36"/>
        </w:rPr>
        <w:t>$</w:t>
      </w:r>
      <w:r>
        <w:rPr>
          <w:sz w:val="20"/>
          <w:szCs w:val="20"/>
          <w:color w:val="auto"/>
        </w:rPr>
        <w:tab/>
      </w:r>
      <w:r>
        <w:rPr>
          <w:rFonts w:ascii="PMingLiU" w:cs="PMingLiU" w:eastAsia="PMingLiU" w:hAnsi="PMingLiU"/>
          <w:sz w:val="15"/>
          <w:szCs w:val="15"/>
          <w:color w:val="auto"/>
        </w:rPr>
        <w:t>,I\RXUHTXLUHDQ\DVVLVWDQFHZLWKYRWLQJ\RXUVKDUHVRUKDYHDQ\TXHVWLRQVRUKDYHDQ\RWKHUTXHVWLRQVSOHDVH FRQWDFW$OOLDQFH$GYLVRUVRXUSUR[\VROLFLWRUWROOIUHHDWRXWVLGHRIWKH86DWRU -$==#DOOLDQFHDGYLVRUVFRP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823595</wp:posOffset>
            </wp:positionV>
            <wp:extent cx="1386840" cy="2336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416">
                      <a:extLst>
                        <a:ext uri="{28A0092B-C50C-407E-A947-70E740481C1C}"/>
                      </a:extLst>
                    </a:blip>
                    <a:srcRect/>
                    <a:stretch>
                      <a:fillRect/>
                    </a:stretch>
                  </pic:blipFill>
                  <pic:spPr bwMode="auto">
                    <a:xfrm>
                      <a:off x="0" y="0"/>
                      <a:ext cx="1386840"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520"/>
        <w:spacing w:after="0"/>
        <w:tabs>
          <w:tab w:leader="none" w:pos="9680" w:val="left"/>
        </w:tabs>
        <w:rPr>
          <w:sz w:val="20"/>
          <w:szCs w:val="20"/>
          <w:color w:val="auto"/>
        </w:rPr>
      </w:pPr>
      <w:r>
        <w:rPr>
          <w:rFonts w:ascii="PMingLiU" w:cs="PMingLiU" w:eastAsia="PMingLiU" w:hAnsi="PMingLiU"/>
          <w:sz w:val="16"/>
          <w:szCs w:val="16"/>
          <w:color w:val="2D2C36"/>
        </w:rPr>
        <w:t>352;&lt;67$7(0(17</w:t>
      </w:r>
      <w:r>
        <w:rPr>
          <w:sz w:val="20"/>
          <w:szCs w:val="20"/>
          <w:color w:val="auto"/>
        </w:rPr>
        <w:tab/>
      </w:r>
      <w:r>
        <w:rPr>
          <w:rFonts w:ascii="PMingLiU" w:cs="PMingLiU" w:eastAsia="PMingLiU" w:hAnsi="PMingLiU"/>
          <w:sz w:val="20"/>
          <w:szCs w:val="20"/>
          <w:b w:val="1"/>
          <w:bCs w:val="1"/>
          <w:color w:val="5C004D"/>
        </w:rPr>
        <w:t/>
      </w:r>
    </w:p>
    <w:p>
      <w:pPr>
        <w:sectPr>
          <w:pgSz w:w="11880" w:h="15479" w:orient="portrait"/>
          <w:cols w:equalWidth="0" w:num="1">
            <w:col w:w="10060"/>
          </w:cols>
          <w:pgMar w:left="900" w:top="377" w:right="919" w:bottom="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PMingLiU" w:cs="PMingLiU" w:eastAsia="PMingLiU" w:hAnsi="PMingLiU"/>
          <w:sz w:val="14"/>
          <w:szCs w:val="14"/>
          <w:color w:val="auto"/>
        </w:rPr>
        <w:t>&gt;7KLVSDJHLQWHQWLRQDOO\OHIWEODQN@</w:t>
      </w:r>
    </w:p>
    <w:p>
      <w:pPr>
        <w:sectPr>
          <w:pgSz w:w="11880" w:h="15479" w:orient="portrait"/>
          <w:cols w:equalWidth="0" w:num="1">
            <w:col w:w="8999"/>
          </w:cols>
          <w:pgMar w:left="1440" w:top="1440" w:right="1440"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152" w:lineRule="exact"/>
        <w:rPr>
          <w:sz w:val="20"/>
          <w:szCs w:val="20"/>
          <w:color w:val="auto"/>
        </w:rPr>
      </w:pPr>
    </w:p>
    <w:p>
      <w:pPr>
        <w:ind w:left="580" w:right="420" w:hanging="578"/>
        <w:spacing w:after="0" w:line="200" w:lineRule="auto"/>
        <w:tabs>
          <w:tab w:leader="none" w:pos="580" w:val="left"/>
        </w:tabs>
        <w:numPr>
          <w:ilvl w:val="0"/>
          <w:numId w:val="2"/>
        </w:numPr>
        <w:rPr>
          <w:rFonts w:ascii="Segoe UI" w:cs="Segoe UI" w:eastAsia="Segoe UI" w:hAnsi="Segoe UI"/>
          <w:sz w:val="23"/>
          <w:szCs w:val="23"/>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2025</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54" w:lineRule="exact"/>
        <w:rPr>
          <w:sz w:val="20"/>
          <w:szCs w:val="20"/>
          <w:color w:val="auto"/>
        </w:rPr>
      </w:pPr>
    </w:p>
    <w:p>
      <w:pPr>
        <w:ind w:left="580" w:right="320" w:hanging="578"/>
        <w:spacing w:after="0" w:line="199" w:lineRule="auto"/>
        <w:tabs>
          <w:tab w:leader="none" w:pos="580" w:val="left"/>
        </w:tabs>
        <w:numPr>
          <w:ilvl w:val="0"/>
          <w:numId w:val="3"/>
        </w:numPr>
        <w:rPr>
          <w:rFonts w:ascii="Segoe UI" w:cs="Segoe UI" w:eastAsia="Segoe UI" w:hAnsi="Segoe UI"/>
          <w:sz w:val="23"/>
          <w:szCs w:val="23"/>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ind w:left="3060"/>
        <w:spacing w:after="0"/>
        <w:tabs>
          <w:tab w:leader="none" w:pos="614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Commission File Number: 001-33500</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4"/>
          <w:szCs w:val="34"/>
          <w:b w:val="1"/>
          <w:bCs w:val="1"/>
          <w:color w:val="auto"/>
        </w:rPr>
        <w:t>JAZZ PHARMACEUTICALS PUBLIC LIMITED COMPANY</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ectPr>
          <w:pgSz w:w="11880" w:h="15479" w:orient="portrait"/>
          <w:cols w:equalWidth="0" w:num="1">
            <w:col w:w="10000"/>
          </w:cols>
          <w:pgMar w:left="960" w:top="860" w:right="919" w:bottom="0" w:gutter="0" w:footer="0" w:header="0"/>
        </w:sectPr>
      </w:pPr>
    </w:p>
    <w:p>
      <w:pPr>
        <w:spacing w:after="0" w:line="200" w:lineRule="exact"/>
        <w:rPr>
          <w:sz w:val="20"/>
          <w:szCs w:val="20"/>
          <w:color w:val="auto"/>
        </w:rPr>
      </w:pP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98-1032470</w:t>
      </w:r>
    </w:p>
    <w:p>
      <w:pPr>
        <w:spacing w:after="0" w:line="47" w:lineRule="exact"/>
        <w:rPr>
          <w:sz w:val="20"/>
          <w:szCs w:val="20"/>
          <w:color w:val="auto"/>
        </w:rPr>
      </w:pPr>
    </w:p>
    <w:p>
      <w:pPr>
        <w:sectPr>
          <w:pgSz w:w="11880" w:h="15479" w:orient="portrait"/>
          <w:cols w:equalWidth="0" w:num="2">
            <w:col w:w="6400" w:space="720"/>
            <w:col w:w="2880"/>
          </w:cols>
          <w:pgMar w:left="960" w:top="860" w:right="919" w:bottom="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79" w:lineRule="exact"/>
        <w:rPr>
          <w:sz w:val="20"/>
          <w:szCs w:val="20"/>
          <w:color w:val="auto"/>
        </w:rPr>
      </w:pPr>
    </w:p>
    <w:p>
      <w:pPr>
        <w:sectPr>
          <w:pgSz w:w="11880" w:h="15479" w:orient="portrait"/>
          <w:cols w:equalWidth="0" w:num="2">
            <w:col w:w="5680" w:space="720"/>
            <w:col w:w="3600"/>
          </w:cols>
          <w:pgMar w:left="960" w:top="860" w:right="919" w:bottom="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Fifth Floor, Waterloo Exchange</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Waterloo Road, Dublin 4, Ireland D04 E5W7</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011-353-1-634-7800</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12(b) of the Act:</w:t>
      </w:r>
    </w:p>
    <w:p>
      <w:pPr>
        <w:sectPr>
          <w:pgSz w:w="11880" w:h="15479" w:orient="portrait"/>
          <w:cols w:equalWidth="0" w:num="1">
            <w:col w:w="10000"/>
          </w:cols>
          <w:pgMar w:left="960" w:top="860" w:right="919" w:bottom="0" w:gutter="0" w:footer="0" w:header="0"/>
          <w:type w:val="continuous"/>
        </w:sectPr>
      </w:pPr>
    </w:p>
    <w:p>
      <w:pPr>
        <w:spacing w:after="0" w:line="16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52" w:lineRule="exact"/>
        <w:rPr>
          <w:sz w:val="20"/>
          <w:szCs w:val="20"/>
          <w:color w:val="auto"/>
        </w:rPr>
      </w:pPr>
    </w:p>
    <w:p>
      <w:pPr>
        <w:sectPr>
          <w:pgSz w:w="11880" w:h="15479" w:orient="portrait"/>
          <w:cols w:equalWidth="0" w:num="3">
            <w:col w:w="3400" w:space="720"/>
            <w:col w:w="1400" w:space="720"/>
            <w:col w:w="3760"/>
          </w:cols>
          <w:pgMar w:left="960" w:top="860" w:right="91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9"/>
          <w:szCs w:val="19"/>
          <w:b w:val="1"/>
          <w:bCs w:val="1"/>
          <w:color w:val="auto"/>
        </w:rPr>
        <w:t>Ordinary shares, nominal value $0.0001 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JAZZ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The Nasdaq Stock Market LLC</w:t>
      </w:r>
    </w:p>
    <w:p>
      <w:pPr>
        <w:spacing w:after="0" w:line="1" w:lineRule="exact"/>
        <w:rPr>
          <w:sz w:val="20"/>
          <w:szCs w:val="20"/>
          <w:color w:val="auto"/>
        </w:rPr>
      </w:pPr>
    </w:p>
    <w:p>
      <w:pPr>
        <w:sectPr>
          <w:pgSz w:w="11880" w:h="15479" w:orient="portrait"/>
          <w:cols w:equalWidth="0" w:num="3">
            <w:col w:w="3780" w:space="720"/>
            <w:col w:w="1160" w:space="720"/>
            <w:col w:w="3620"/>
          </w:cols>
          <w:pgMar w:left="960" w:top="860" w:right="919" w:bottom="0" w:gutter="0" w:footer="0" w:header="0"/>
          <w:type w:val="continuous"/>
        </w:sectPr>
      </w:pPr>
    </w:p>
    <w:p>
      <w:pPr>
        <w:ind w:left="1720"/>
        <w:spacing w:after="0" w:line="232" w:lineRule="auto"/>
        <w:rPr>
          <w:sz w:val="20"/>
          <w:szCs w:val="20"/>
          <w:color w:val="auto"/>
        </w:rPr>
      </w:pPr>
      <w:r>
        <w:rPr>
          <w:rFonts w:ascii="Times New Roman" w:cs="Times New Roman" w:eastAsia="Times New Roman" w:hAnsi="Times New Roman"/>
          <w:sz w:val="19"/>
          <w:szCs w:val="19"/>
          <w:b w:val="1"/>
          <w:bCs w:val="1"/>
          <w:color w:val="auto"/>
        </w:rPr>
        <w:t>share</w:t>
      </w: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12(g) of the Act: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None</w:t>
      </w:r>
    </w:p>
    <w:p>
      <w:pPr>
        <w:sectPr>
          <w:pgSz w:w="11880" w:h="15479" w:orient="portrait"/>
          <w:cols w:equalWidth="0" w:num="1">
            <w:col w:w="10000"/>
          </w:cols>
          <w:pgMar w:left="960" w:top="860" w:right="919" w:bottom="0" w:gutter="0" w:footer="0" w:header="0"/>
          <w:type w:val="continuous"/>
        </w:sectPr>
      </w:pPr>
    </w:p>
    <w:p>
      <w:pPr>
        <w:spacing w:after="0" w:line="3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Segoe UI" w:cs="Segoe UI" w:eastAsia="Segoe UI" w:hAnsi="Segoe UI"/>
          <w:sz w:val="19"/>
          <w:szCs w:val="19"/>
          <w:color w:val="auto"/>
        </w:rPr>
        <w:t>ց</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Segoe UI" w:cs="Segoe UI" w:eastAsia="Segoe UI" w:hAnsi="Segoe UI"/>
          <w:sz w:val="19"/>
          <w:szCs w:val="19"/>
          <w:color w:val="auto"/>
        </w:rPr>
        <w:t>տ</w:t>
      </w:r>
    </w:p>
    <w:p>
      <w:pPr>
        <w:spacing w:after="0" w:line="187" w:lineRule="exact"/>
        <w:rPr>
          <w:sz w:val="20"/>
          <w:szCs w:val="20"/>
          <w:color w:val="auto"/>
        </w:rPr>
      </w:pPr>
    </w:p>
    <w:p>
      <w:pPr>
        <w:sectPr>
          <w:pgSz w:w="11880" w:h="15479" w:orient="portrait"/>
          <w:cols w:equalWidth="0" w:num="5">
            <w:col w:w="7620" w:space="160"/>
            <w:col w:w="220" w:space="80"/>
            <w:col w:w="160" w:space="160"/>
            <w:col w:w="200" w:space="80"/>
            <w:col w:w="1320"/>
          </w:cols>
          <w:pgMar w:left="960" w:top="860" w:right="919" w:bottom="0" w:gutter="0" w:footer="0" w:header="0"/>
          <w:type w:val="continuous"/>
        </w:sectPr>
      </w:pP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w:cs="Segoe UI" w:eastAsia="Segoe UI" w:hAnsi="Segoe UI"/>
          <w:sz w:val="19"/>
          <w:szCs w:val="19"/>
          <w:color w:val="auto"/>
        </w:rPr>
        <w:t>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w:cs="Segoe UI" w:eastAsia="Segoe UI" w:hAnsi="Segoe UI"/>
          <w:sz w:val="19"/>
          <w:szCs w:val="19"/>
          <w:color w:val="auto"/>
        </w:rPr>
        <w:t>ց</w:t>
      </w:r>
    </w:p>
    <w:p>
      <w:pPr>
        <w:spacing w:after="0" w:line="78" w:lineRule="exact"/>
        <w:rPr>
          <w:sz w:val="20"/>
          <w:szCs w:val="20"/>
          <w:color w:val="auto"/>
        </w:rPr>
      </w:pPr>
    </w:p>
    <w:p>
      <w:pPr>
        <w:sectPr>
          <w:pgSz w:w="11880" w:h="15479" w:orient="portrait"/>
          <w:cols w:equalWidth="0" w:num="5">
            <w:col w:w="7760" w:space="160"/>
            <w:col w:w="220" w:space="80"/>
            <w:col w:w="160" w:space="160"/>
            <w:col w:w="200" w:space="80"/>
            <w:col w:w="1180"/>
          </w:cols>
          <w:pgMar w:left="960" w:top="860" w:right="919" w:bottom="0" w:gutter="0" w:footer="0" w:header="0"/>
          <w:type w:val="continuous"/>
        </w:sectPr>
      </w:pPr>
    </w:p>
    <w:p>
      <w:pPr>
        <w:ind w:left="36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tabs>
          <w:tab w:leader="none" w:pos="2240" w:val="left"/>
          <w:tab w:leader="none" w:pos="2860" w:val="left"/>
        </w:tabs>
        <w:rPr>
          <w:sz w:val="20"/>
          <w:szCs w:val="20"/>
          <w:color w:val="auto"/>
        </w:rPr>
      </w:pPr>
      <w:r>
        <w:rPr>
          <w:rFonts w:ascii="Times New Roman" w:cs="Times New Roman" w:eastAsia="Times New Roman" w:hAnsi="Times New Roman"/>
          <w:sz w:val="16"/>
          <w:szCs w:val="16"/>
          <w:color w:val="auto"/>
        </w:rPr>
        <w:t>requirements for the past 90 days.</w:t>
        <w:tab/>
        <w:t xml:space="preserve">Yes </w:t>
      </w:r>
      <w:r>
        <w:rPr>
          <w:rFonts w:ascii="Segoe UI" w:cs="Segoe UI" w:eastAsia="Segoe UI" w:hAnsi="Segoe UI"/>
          <w:sz w:val="19"/>
          <w:szCs w:val="19"/>
          <w:color w:val="auto"/>
        </w:rPr>
        <w:t>ց</w:t>
      </w:r>
      <w:r>
        <w:rPr>
          <w:rFonts w:ascii="Times New Roman" w:cs="Times New Roman" w:eastAsia="Times New Roman" w:hAnsi="Times New Roman"/>
          <w:sz w:val="16"/>
          <w:szCs w:val="16"/>
          <w:color w:val="auto"/>
        </w:rPr>
        <w:tab/>
        <w:t xml:space="preserve">No </w:t>
      </w:r>
      <w:r>
        <w:rPr>
          <w:rFonts w:ascii="Segoe UI" w:cs="Segoe UI" w:eastAsia="Segoe UI" w:hAnsi="Segoe UI"/>
          <w:sz w:val="19"/>
          <w:szCs w:val="19"/>
          <w:color w:val="auto"/>
        </w:rPr>
        <w:t>տ</w:t>
      </w:r>
    </w:p>
    <w:p>
      <w:pPr>
        <w:spacing w:after="0" w:line="40" w:lineRule="exact"/>
        <w:rPr>
          <w:sz w:val="20"/>
          <w:szCs w:val="20"/>
          <w:color w:val="auto"/>
        </w:rPr>
      </w:pPr>
    </w:p>
    <w:p>
      <w:pPr>
        <w:ind w:right="260" w:firstLine="349"/>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9"/>
          <w:szCs w:val="19"/>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9"/>
          <w:szCs w:val="19"/>
          <w:color w:val="auto"/>
        </w:rPr>
        <w:t>տ</w:t>
      </w:r>
    </w:p>
    <w:p>
      <w:pPr>
        <w:spacing w:after="0" w:line="1" w:lineRule="exact"/>
        <w:rPr>
          <w:sz w:val="20"/>
          <w:szCs w:val="20"/>
          <w:color w:val="auto"/>
        </w:rPr>
      </w:pPr>
    </w:p>
    <w:p>
      <w:pPr>
        <w:ind w:right="160" w:firstLine="34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 w:lineRule="exact"/>
        <w:rPr>
          <w:sz w:val="20"/>
          <w:szCs w:val="20"/>
          <w:color w:val="auto"/>
        </w:rPr>
      </w:pPr>
    </w:p>
    <w:p>
      <w:pPr>
        <w:spacing w:after="0"/>
        <w:tabs>
          <w:tab w:leader="none" w:pos="1800" w:val="left"/>
          <w:tab w:leader="none" w:pos="36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Segoe UI" w:cs="Segoe UI" w:eastAsia="Segoe UI" w:hAnsi="Segoe UI"/>
          <w:sz w:val="19"/>
          <w:szCs w:val="19"/>
          <w:color w:val="auto"/>
        </w:rPr>
        <w:t xml:space="preserve">ց </w:t>
      </w:r>
      <w:r>
        <w:rPr>
          <w:rFonts w:ascii="Times New Roman" w:cs="Times New Roman" w:eastAsia="Times New Roman" w:hAnsi="Times New Roman"/>
          <w:sz w:val="15"/>
          <w:szCs w:val="15"/>
          <w:color w:val="auto"/>
        </w:rPr>
        <w:t>Accelerated filer</w:t>
      </w:r>
      <w:r>
        <w:rPr>
          <w:rFonts w:ascii="Segoe UI" w:cs="Segoe UI" w:eastAsia="Segoe UI" w:hAnsi="Segoe UI"/>
          <w:sz w:val="19"/>
          <w:szCs w:val="19"/>
          <w:color w:val="auto"/>
        </w:rPr>
        <w:tab/>
        <w:t xml:space="preserve">տ </w:t>
      </w:r>
      <w:r>
        <w:rPr>
          <w:rFonts w:ascii="Times New Roman" w:cs="Times New Roman" w:eastAsia="Times New Roman" w:hAnsi="Times New Roman"/>
          <w:sz w:val="15"/>
          <w:szCs w:val="15"/>
          <w:color w:val="auto"/>
        </w:rPr>
        <w:t>Non-accelerated filer</w:t>
      </w:r>
      <w:r>
        <w:rPr>
          <w:rFonts w:ascii="Segoe UI" w:cs="Segoe UI" w:eastAsia="Segoe UI" w:hAnsi="Segoe UI"/>
          <w:sz w:val="19"/>
          <w:szCs w:val="19"/>
          <w:color w:val="auto"/>
        </w:rPr>
        <w:t xml:space="preserve">   տ </w:t>
      </w:r>
      <w:r>
        <w:rPr>
          <w:rFonts w:ascii="Times New Roman" w:cs="Times New Roman" w:eastAsia="Times New Roman" w:hAnsi="Times New Roman"/>
          <w:sz w:val="15"/>
          <w:szCs w:val="15"/>
          <w:color w:val="auto"/>
        </w:rPr>
        <w:t>Smaller reporting company</w:t>
      </w:r>
      <w:r>
        <w:rPr>
          <w:rFonts w:ascii="Segoe UI" w:cs="Segoe UI" w:eastAsia="Segoe UI" w:hAnsi="Segoe UI"/>
          <w:sz w:val="19"/>
          <w:szCs w:val="19"/>
          <w:color w:val="auto"/>
        </w:rPr>
        <w:t xml:space="preserve">  տ </w:t>
      </w:r>
      <w:r>
        <w:rPr>
          <w:rFonts w:ascii="Times New Roman" w:cs="Times New Roman" w:eastAsia="Times New Roman" w:hAnsi="Times New Roman"/>
          <w:sz w:val="15"/>
          <w:szCs w:val="15"/>
          <w:color w:val="auto"/>
        </w:rPr>
        <w:t>Emerging growth company</w:t>
      </w:r>
      <w:r>
        <w:rPr>
          <w:rFonts w:ascii="Segoe UI" w:cs="Segoe UI" w:eastAsia="Segoe UI" w:hAnsi="Segoe UI"/>
          <w:sz w:val="19"/>
          <w:szCs w:val="19"/>
          <w:color w:val="auto"/>
        </w:rPr>
        <w:t xml:space="preserve">  տ</w:t>
      </w:r>
    </w:p>
    <w:p>
      <w:pPr>
        <w:spacing w:after="0" w:line="296" w:lineRule="exact"/>
        <w:rPr>
          <w:sz w:val="20"/>
          <w:szCs w:val="20"/>
          <w:color w:val="auto"/>
        </w:rPr>
      </w:pPr>
    </w:p>
    <w:p>
      <w:pPr>
        <w:ind w:right="100" w:firstLine="349"/>
        <w:spacing w:after="0" w:line="29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9"/>
          <w:szCs w:val="19"/>
          <w:color w:val="auto"/>
        </w:rPr>
        <w:t>տ</w:t>
      </w:r>
    </w:p>
    <w:p>
      <w:pPr>
        <w:ind w:right="200" w:firstLine="349"/>
        <w:spacing w:after="0" w:line="28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9"/>
          <w:szCs w:val="19"/>
          <w:color w:val="auto"/>
        </w:rPr>
        <w:t>ց</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218440</wp:posOffset>
            </wp:positionV>
            <wp:extent cx="259080" cy="2546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41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62" w:lineRule="exact"/>
        <w:rPr>
          <w:sz w:val="20"/>
          <w:szCs w:val="20"/>
          <w:color w:val="auto"/>
        </w:rPr>
      </w:pPr>
    </w:p>
    <w:tbl>
      <w:tblPr>
        <w:tblLayout w:type="fixed"/>
        <w:tblInd w:w="7620" w:type="dxa"/>
        <w:tblCellMar>
          <w:top w:w="0" w:type="dxa"/>
          <w:left w:w="0" w:type="dxa"/>
          <w:bottom w:w="0" w:type="dxa"/>
          <w:right w:w="0" w:type="dxa"/>
        </w:tblCellMar>
      </w:tblPr>
      <w:tr>
        <w:trPr>
          <w:trHeight w:val="285"/>
        </w:trPr>
        <w:tc>
          <w:tcPr>
            <w:tcW w:w="2020" w:type="dxa"/>
            <w:vAlign w:val="bottom"/>
          </w:tcPr>
          <w:p>
            <w:pPr>
              <w:spacing w:after="0"/>
              <w:rPr>
                <w:sz w:val="20"/>
                <w:szCs w:val="20"/>
                <w:color w:val="auto"/>
              </w:rPr>
            </w:pPr>
            <w:r>
              <w:rPr>
                <w:rFonts w:ascii="Arial" w:cs="Arial" w:eastAsia="Arial" w:hAnsi="Arial"/>
                <w:sz w:val="16"/>
                <w:szCs w:val="16"/>
                <w:color w:val="auto"/>
              </w:rPr>
              <w:t>2025 ANNUAL REPORT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5C004B"/>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-144145</wp:posOffset>
            </wp:positionV>
            <wp:extent cx="1134745" cy="1168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41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60" w:right="919" w:bottom="0" w:gutter="0" w:footer="0" w:header="0"/>
          <w:type w:val="continuous"/>
        </w:sectPr>
      </w:pPr>
    </w:p>
    <w:bookmarkStart w:id="125" w:name="page126"/>
    <w:bookmarkEnd w:id="125"/>
    <w:p>
      <w:pPr>
        <w:ind w:left="60" w:right="180" w:firstLine="349"/>
        <w:spacing w:after="0" w:line="29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0"/>
          <w:szCs w:val="20"/>
          <w:color w:val="auto"/>
        </w:rPr>
      </w:pPr>
    </w:p>
    <w:p>
      <w:pPr>
        <w:ind w:left="60" w:firstLine="349"/>
        <w:spacing w:after="0" w:line="28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0"/>
          <w:szCs w:val="20"/>
          <w:color w:val="auto"/>
        </w:rPr>
      </w:pPr>
    </w:p>
    <w:p>
      <w:pPr>
        <w:ind w:left="420"/>
        <w:spacing w:after="0"/>
        <w:tabs>
          <w:tab w:leader="none" w:pos="6940" w:val="left"/>
          <w:tab w:leader="none" w:pos="7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Segoe UI" w:cs="Segoe UI" w:eastAsia="Segoe UI" w:hAnsi="Segoe UI"/>
          <w:sz w:val="19"/>
          <w:szCs w:val="19"/>
          <w:color w:val="auto"/>
        </w:rPr>
        <w:t>տ</w:t>
      </w:r>
      <w:r>
        <w:rPr>
          <w:rFonts w:ascii="Times New Roman" w:cs="Times New Roman" w:eastAsia="Times New Roman" w:hAnsi="Times New Roman"/>
          <w:sz w:val="16"/>
          <w:szCs w:val="16"/>
          <w:color w:val="auto"/>
        </w:rPr>
        <w:tab/>
        <w:t xml:space="preserve">No </w:t>
      </w:r>
      <w:r>
        <w:rPr>
          <w:rFonts w:ascii="Segoe UI" w:cs="Segoe UI" w:eastAsia="Segoe UI" w:hAnsi="Segoe UI"/>
          <w:sz w:val="19"/>
          <w:szCs w:val="19"/>
          <w:color w:val="auto"/>
        </w:rPr>
        <w:t>ց</w:t>
      </w:r>
    </w:p>
    <w:p>
      <w:pPr>
        <w:spacing w:after="0" w:line="110" w:lineRule="exact"/>
        <w:rPr>
          <w:sz w:val="20"/>
          <w:szCs w:val="20"/>
          <w:color w:val="auto"/>
        </w:rPr>
      </w:pPr>
    </w:p>
    <w:p>
      <w:pPr>
        <w:ind w:left="60" w:right="40" w:firstLine="349"/>
        <w:spacing w:after="0" w:line="28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the last business day of the registrant’s most recently completed second fiscal quarter, was approximately $6,250,820,994 based upon the last sale price reported for the registrant’s ordinary shares on such date on The Nasdaq Global Select Market. The calculation of the aggregate market value of voting and non-voting common equity excludes 1,735,946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February 17, 2026, a total of 61,560,350 ordinary shares, nominal value $0.0001 per share, of the registrant were outstanding.</w:t>
      </w:r>
    </w:p>
    <w:p>
      <w:pPr>
        <w:spacing w:after="0" w:line="9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jc w:val="both"/>
        <w:ind w:left="60" w:right="40" w:firstLine="349"/>
        <w:spacing w:after="0" w:line="288" w:lineRule="auto"/>
        <w:rPr>
          <w:sz w:val="20"/>
          <w:szCs w:val="20"/>
          <w:color w:val="auto"/>
        </w:rPr>
      </w:pPr>
      <w:r>
        <w:rPr>
          <w:rFonts w:ascii="Times New Roman" w:cs="Times New Roman" w:eastAsia="Times New Roman" w:hAnsi="Times New Roman"/>
          <w:sz w:val="14"/>
          <w:szCs w:val="14"/>
          <w:color w:val="auto"/>
        </w:rPr>
        <w:t xml:space="preserve">Certain information required by Part III, Items 10-14 of this Annual Report on Form </w:t>
      </w:r>
      <w:r>
        <w:rPr>
          <w:rFonts w:ascii="PMingLiU" w:cs="PMingLiU" w:eastAsia="PMingLiU" w:hAnsi="PMingLiU"/>
          <w:sz w:val="14"/>
          <w:szCs w:val="14"/>
          <w:color w:val="auto"/>
        </w:rPr>
        <w:t> .LVLQFRUSRUDWHGE\UHIHUHQFHWRWKHUHJLVWUDQW¶VGHILQLWLYH3UR[\</w:t>
      </w:r>
      <w:r>
        <w:rPr>
          <w:rFonts w:ascii="Times New Roman" w:cs="Times New Roman" w:eastAsia="Times New Roman" w:hAnsi="Times New Roman"/>
          <w:sz w:val="14"/>
          <w:szCs w:val="14"/>
          <w:color w:val="auto"/>
        </w:rPr>
        <w:t xml:space="preserve"> Statement for the 2026 Annual General Meeting of Shareholders to be filed with the Securities and Exchange Commission pursuant to Regulation 14A. If such Proxy Statement is not filed within 120 days after the end of the registrant’s fiscal year covered by this Annual Report on Form </w:t>
      </w:r>
      <w:r>
        <w:rPr>
          <w:rFonts w:ascii="PMingLiU" w:cs="PMingLiU" w:eastAsia="PMingLiU" w:hAnsi="PMingLiU"/>
          <w:sz w:val="14"/>
          <w:szCs w:val="14"/>
          <w:color w:val="auto"/>
        </w:rPr>
        <w:t> .VXFKLQIRUPDWLRQZLOOEH</w:t>
      </w:r>
      <w:r>
        <w:rPr>
          <w:rFonts w:ascii="Times New Roman" w:cs="Times New Roman" w:eastAsia="Times New Roman" w:hAnsi="Times New Roman"/>
          <w:sz w:val="14"/>
          <w:szCs w:val="14"/>
          <w:color w:val="auto"/>
        </w:rPr>
        <w:t xml:space="preserve"> included in an amendment to this Annual Report on Form </w:t>
      </w:r>
      <w:r>
        <w:rPr>
          <w:rFonts w:ascii="PMingLiU" w:cs="PMingLiU" w:eastAsia="PMingLiU" w:hAnsi="PMingLiU"/>
          <w:sz w:val="14"/>
          <w:szCs w:val="14"/>
          <w:color w:val="auto"/>
        </w:rPr>
        <w:t> .WREHILOHGZLWKLQVXFK</w:t>
      </w:r>
      <w:r>
        <w:rPr>
          <w:rFonts w:ascii="Times New Roman" w:cs="Times New Roman" w:eastAsia="Times New Roman" w:hAnsi="Times New Roman"/>
          <w:sz w:val="14"/>
          <w:szCs w:val="14"/>
          <w:color w:val="auto"/>
        </w:rPr>
        <w:t>-day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6301740</wp:posOffset>
            </wp:positionV>
            <wp:extent cx="259080" cy="2546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41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80" w:type="dxa"/>
            <w:vAlign w:val="bottom"/>
          </w:tcPr>
          <w:p>
            <w:pPr>
              <w:jc w:val="right"/>
              <w:ind w:right="160"/>
              <w:spacing w:after="0"/>
              <w:rPr>
                <w:sz w:val="20"/>
                <w:szCs w:val="20"/>
                <w:color w:val="auto"/>
              </w:rPr>
            </w:pPr>
            <w:r>
              <w:rPr>
                <w:rFonts w:ascii="Arial" w:cs="Arial" w:eastAsia="Arial" w:hAnsi="Arial"/>
                <w:sz w:val="20"/>
                <w:szCs w:val="20"/>
                <w:b w:val="1"/>
                <w:bCs w:val="1"/>
                <w:color w:val="5C004B"/>
                <w:w w:val="89"/>
              </w:rPr>
              <w:t>2</w:t>
            </w:r>
          </w:p>
        </w:tc>
        <w:tc>
          <w:tcPr>
            <w:tcW w:w="33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42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94" w:right="959" w:bottom="0" w:gutter="0" w:footer="0" w:header="0"/>
        </w:sectPr>
      </w:pPr>
    </w:p>
    <w:bookmarkStart w:id="126" w:name="page127"/>
    <w:bookmarkEnd w:id="126"/>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2025 ANNUAL REPORT ON FORM 10-K</w:t>
      </w:r>
    </w:p>
    <w:p>
      <w:pPr>
        <w:spacing w:after="0" w:line="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1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20"/>
        </w:trPr>
        <w:tc>
          <w:tcPr>
            <w:tcW w:w="960" w:type="dxa"/>
            <w:vAlign w:val="bottom"/>
          </w:tcPr>
          <w:p>
            <w:pPr>
              <w:spacing w:after="0"/>
              <w:rPr>
                <w:sz w:val="24"/>
                <w:szCs w:val="24"/>
                <w:color w:val="auto"/>
              </w:rPr>
            </w:pPr>
          </w:p>
        </w:tc>
        <w:tc>
          <w:tcPr>
            <w:tcW w:w="7820" w:type="dxa"/>
            <w:vAlign w:val="bottom"/>
          </w:tcPr>
          <w:p>
            <w:pPr>
              <w:jc w:val="center"/>
              <w:ind w:right="923"/>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Defined Terms and Products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1A.</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1B.</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1C.</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Cybersecurity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2.</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3.</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Legal Proceedings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4.</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570"/>
        </w:trPr>
        <w:tc>
          <w:tcPr>
            <w:tcW w:w="960" w:type="dxa"/>
            <w:vAlign w:val="bottom"/>
          </w:tcPr>
          <w:p>
            <w:pPr>
              <w:spacing w:after="0"/>
              <w:rPr>
                <w:sz w:val="24"/>
                <w:szCs w:val="24"/>
                <w:color w:val="auto"/>
              </w:rPr>
            </w:pPr>
          </w:p>
        </w:tc>
        <w:tc>
          <w:tcPr>
            <w:tcW w:w="7820" w:type="dxa"/>
            <w:vAlign w:val="bottom"/>
          </w:tcPr>
          <w:p>
            <w:pPr>
              <w:jc w:val="center"/>
              <w:ind w:right="943"/>
              <w:spacing w:after="0"/>
              <w:rPr>
                <w:sz w:val="20"/>
                <w:szCs w:val="20"/>
                <w:color w:val="auto"/>
              </w:rPr>
            </w:pPr>
            <w:r>
              <w:rPr>
                <w:rFonts w:ascii="Times New Roman" w:cs="Times New Roman" w:eastAsia="Times New Roman" w:hAnsi="Times New Roman"/>
                <w:sz w:val="19"/>
                <w:szCs w:val="19"/>
                <w:b w:val="1"/>
                <w:bCs w:val="1"/>
                <w:color w:val="auto"/>
                <w:w w:val="98"/>
              </w:rPr>
              <w:t>PART II</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5.</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Equity Securities</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6.</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7.</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7A.</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8.</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9.</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9A.</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9B.</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9C.</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570"/>
        </w:trPr>
        <w:tc>
          <w:tcPr>
            <w:tcW w:w="960" w:type="dxa"/>
            <w:vAlign w:val="bottom"/>
          </w:tcPr>
          <w:p>
            <w:pPr>
              <w:spacing w:after="0"/>
              <w:rPr>
                <w:sz w:val="24"/>
                <w:szCs w:val="24"/>
                <w:color w:val="auto"/>
              </w:rPr>
            </w:pPr>
          </w:p>
        </w:tc>
        <w:tc>
          <w:tcPr>
            <w:tcW w:w="7820" w:type="dxa"/>
            <w:vAlign w:val="bottom"/>
          </w:tcPr>
          <w:p>
            <w:pPr>
              <w:jc w:val="center"/>
              <w:ind w:right="943"/>
              <w:spacing w:after="0"/>
              <w:rPr>
                <w:sz w:val="20"/>
                <w:szCs w:val="20"/>
                <w:color w:val="auto"/>
              </w:rPr>
            </w:pPr>
            <w:r>
              <w:rPr>
                <w:rFonts w:ascii="Times New Roman" w:cs="Times New Roman" w:eastAsia="Times New Roman" w:hAnsi="Times New Roman"/>
                <w:sz w:val="19"/>
                <w:szCs w:val="19"/>
                <w:b w:val="1"/>
                <w:bCs w:val="1"/>
                <w:color w:val="auto"/>
                <w:w w:val="99"/>
              </w:rPr>
              <w:t>PART III</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10.</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11.</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12.</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Matters</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13.</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14.</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570"/>
        </w:trPr>
        <w:tc>
          <w:tcPr>
            <w:tcW w:w="960" w:type="dxa"/>
            <w:vAlign w:val="bottom"/>
          </w:tcPr>
          <w:p>
            <w:pPr>
              <w:spacing w:after="0"/>
              <w:rPr>
                <w:sz w:val="24"/>
                <w:szCs w:val="24"/>
                <w:color w:val="auto"/>
              </w:rPr>
            </w:pPr>
          </w:p>
        </w:tc>
        <w:tc>
          <w:tcPr>
            <w:tcW w:w="7820" w:type="dxa"/>
            <w:vAlign w:val="bottom"/>
          </w:tcPr>
          <w:p>
            <w:pPr>
              <w:jc w:val="center"/>
              <w:ind w:right="923"/>
              <w:spacing w:after="0"/>
              <w:rPr>
                <w:sz w:val="20"/>
                <w:szCs w:val="20"/>
                <w:color w:val="auto"/>
              </w:rPr>
            </w:pPr>
            <w:r>
              <w:rPr>
                <w:rFonts w:ascii="Times New Roman" w:cs="Times New Roman" w:eastAsia="Times New Roman" w:hAnsi="Times New Roman"/>
                <w:sz w:val="19"/>
                <w:szCs w:val="19"/>
                <w:b w:val="1"/>
                <w:bCs w:val="1"/>
                <w:color w:val="auto"/>
                <w:w w:val="97"/>
              </w:rPr>
              <w:t>PART IV</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15.</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Exhibits and Financial Statement Schedules</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Item 16.</w:t>
            </w:r>
          </w:p>
        </w:tc>
        <w:tc>
          <w:tcPr>
            <w:tcW w:w="7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Form 10-</w:t>
            </w:r>
            <w:r>
              <w:rPr>
                <w:rFonts w:ascii="PMingLiU" w:cs="PMingLiU" w:eastAsia="PMingLiU" w:hAnsi="PMingLiU"/>
                <w:sz w:val="19"/>
                <w:szCs w:val="19"/>
                <w:color w:val="auto"/>
              </w:rPr>
              <w:t>.6XPPDU\</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9"/>
                <w:szCs w:val="19"/>
                <w:color w:val="auto"/>
              </w:rPr>
              <w:t>Signatures</w:t>
            </w:r>
          </w:p>
        </w:tc>
        <w:tc>
          <w:tcPr>
            <w:tcW w:w="78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1677035</wp:posOffset>
            </wp:positionV>
            <wp:extent cx="259080" cy="2546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42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860" w:type="dxa"/>
        <w:tblCellMar>
          <w:top w:w="0" w:type="dxa"/>
          <w:left w:w="0" w:type="dxa"/>
          <w:bottom w:w="0" w:type="dxa"/>
          <w:right w:w="0" w:type="dxa"/>
        </w:tblCellMar>
      </w:tblPr>
      <w:tr>
        <w:trPr>
          <w:trHeight w:val="285"/>
        </w:trPr>
        <w:tc>
          <w:tcPr>
            <w:tcW w:w="1400" w:type="dxa"/>
            <w:vAlign w:val="bottom"/>
            <w:vMerge w:val="restart"/>
          </w:tcPr>
          <w:p>
            <w:pPr>
              <w:jc w:val="right"/>
              <w:ind w:right="1203"/>
              <w:spacing w:after="0"/>
              <w:rPr>
                <w:sz w:val="20"/>
                <w:szCs w:val="20"/>
                <w:color w:val="auto"/>
              </w:rPr>
            </w:pPr>
            <w:r>
              <w:rPr>
                <w:rFonts w:ascii="Times New Roman" w:cs="Times New Roman" w:eastAsia="Times New Roman" w:hAnsi="Times New Roman"/>
                <w:sz w:val="19"/>
                <w:szCs w:val="19"/>
                <w:color w:val="auto"/>
                <w:w w:val="83"/>
              </w:rPr>
              <w:t>3</w:t>
            </w:r>
          </w:p>
        </w:tc>
        <w:tc>
          <w:tcPr>
            <w:tcW w:w="3320" w:type="dxa"/>
            <w:vAlign w:val="bottom"/>
          </w:tcPr>
          <w:p>
            <w:pPr>
              <w:ind w:left="1300"/>
              <w:spacing w:after="0"/>
              <w:rPr>
                <w:sz w:val="20"/>
                <w:szCs w:val="20"/>
                <w:color w:val="auto"/>
              </w:rPr>
            </w:pPr>
            <w:r>
              <w:rPr>
                <w:rFonts w:ascii="Arial" w:cs="Arial" w:eastAsia="Arial" w:hAnsi="Arial"/>
                <w:sz w:val="16"/>
                <w:szCs w:val="16"/>
                <w:color w:val="auto"/>
              </w:rPr>
              <w:t>2025 ANNUAL REPORT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5C004B"/>
              </w:rPr>
              <w:t>3</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-208915</wp:posOffset>
            </wp:positionV>
            <wp:extent cx="1134745" cy="1168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42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40"/>
          </w:cols>
          <w:pgMar w:left="1020" w:top="707" w:right="919" w:bottom="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9"/>
          <w:szCs w:val="19"/>
          <w:b w:val="1"/>
          <w:bCs w:val="1"/>
          <w:color w:val="auto"/>
        </w:rPr>
        <w:t>Defined Terms and Products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Defined terms</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We use several terms in this Annual Report on Form 10-</w:t>
      </w:r>
      <w:r>
        <w:rPr>
          <w:rFonts w:ascii="PMingLiU" w:cs="PMingLiU" w:eastAsia="PMingLiU" w:hAnsi="PMingLiU"/>
          <w:sz w:val="16"/>
          <w:szCs w:val="16"/>
          <w:color w:val="auto"/>
        </w:rPr>
        <w:t>.LQFOXGLQJEXWQRWOLPLWHGWRWKRVHWKDWDUHILQDQFHUHJXODWLRQDQG</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disease-state related, as well as names of other companies, which are given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Term</w:t>
            </w:r>
          </w:p>
        </w:tc>
        <w:tc>
          <w:tcPr>
            <w:tcW w:w="136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2007 Directors Award</w:t>
            </w:r>
          </w:p>
        </w:tc>
        <w:tc>
          <w:tcPr>
            <w:tcW w:w="7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Amended and Restated 2007 Non-Employee Directors Stock Award Plan</w:t>
            </w:r>
          </w:p>
        </w:tc>
        <w:tc>
          <w:tcPr>
            <w:tcW w:w="0" w:type="dxa"/>
            <w:vAlign w:val="bottom"/>
          </w:tcPr>
          <w:p>
            <w:pPr>
              <w:spacing w:after="0"/>
              <w:rPr>
                <w:sz w:val="1"/>
                <w:szCs w:val="1"/>
                <w:color w:val="auto"/>
              </w:rPr>
            </w:pPr>
          </w:p>
        </w:tc>
      </w:tr>
      <w:tr>
        <w:trPr>
          <w:trHeight w:val="156"/>
        </w:trPr>
        <w:tc>
          <w:tcPr>
            <w:tcW w:w="640" w:type="dxa"/>
            <w:vAlign w:val="bottom"/>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Plan</w:t>
            </w:r>
          </w:p>
        </w:tc>
        <w:tc>
          <w:tcPr>
            <w:tcW w:w="136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2900" w:type="dxa"/>
            <w:vAlign w:val="bottom"/>
            <w:vMerge w:val="restart"/>
          </w:tcPr>
          <w:p>
            <w:pPr>
              <w:ind w:left="120"/>
              <w:spacing w:after="0"/>
              <w:rPr>
                <w:sz w:val="20"/>
                <w:szCs w:val="20"/>
                <w:color w:val="auto"/>
              </w:rPr>
            </w:pPr>
            <w:r>
              <w:rPr>
                <w:rFonts w:ascii="Times New Roman" w:cs="Times New Roman" w:eastAsia="Times New Roman" w:hAnsi="Times New Roman"/>
                <w:sz w:val="19"/>
                <w:szCs w:val="19"/>
                <w:color w:val="auto"/>
              </w:rPr>
              <w:t>2011 Equity Incentive Plan</w:t>
            </w:r>
          </w:p>
        </w:tc>
        <w:tc>
          <w:tcPr>
            <w:tcW w:w="4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2011 Plan</w:t>
            </w:r>
          </w:p>
        </w:tc>
        <w:tc>
          <w:tcPr>
            <w:tcW w:w="2900" w:type="dxa"/>
            <w:vAlign w:val="bottom"/>
            <w:vMerge w:val="continue"/>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2015 Credit Agreement</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Credit agreement dated as of June 18, 2015 (as amended) among Jazz Pharmaceuticals plc, and</w:t>
            </w:r>
          </w:p>
        </w:tc>
        <w:tc>
          <w:tcPr>
            <w:tcW w:w="0" w:type="dxa"/>
            <w:vAlign w:val="bottom"/>
          </w:tcPr>
          <w:p>
            <w:pPr>
              <w:spacing w:after="0"/>
              <w:rPr>
                <w:sz w:val="1"/>
                <w:szCs w:val="1"/>
                <w:color w:val="auto"/>
              </w:rPr>
            </w:pPr>
          </w:p>
        </w:tc>
      </w:tr>
      <w:tr>
        <w:trPr>
          <w:trHeight w:val="196"/>
        </w:trPr>
        <w:tc>
          <w:tcPr>
            <w:tcW w:w="2000" w:type="dxa"/>
            <w:vAlign w:val="bottom"/>
            <w:gridSpan w:val="2"/>
            <w:vMerge w:val="continue"/>
          </w:tcPr>
          <w:p>
            <w:pPr>
              <w:spacing w:after="0"/>
              <w:rPr>
                <w:sz w:val="17"/>
                <w:szCs w:val="17"/>
                <w:color w:val="auto"/>
              </w:rPr>
            </w:pP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certain of our other subsidiaries as borrowers, the lenders party thereto and Bank of America, N.A.,</w:t>
            </w:r>
          </w:p>
        </w:tc>
        <w:tc>
          <w:tcPr>
            <w:tcW w:w="0" w:type="dxa"/>
            <w:vAlign w:val="bottom"/>
          </w:tcPr>
          <w:p>
            <w:pPr>
              <w:spacing w:after="0"/>
              <w:rPr>
                <w:sz w:val="1"/>
                <w:szCs w:val="1"/>
                <w:color w:val="auto"/>
              </w:rPr>
            </w:pPr>
          </w:p>
        </w:tc>
      </w:tr>
      <w:tr>
        <w:trPr>
          <w:trHeight w:val="193"/>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2024 Notes</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as administrative agent and collateral agent</w:t>
            </w:r>
          </w:p>
        </w:tc>
        <w:tc>
          <w:tcPr>
            <w:tcW w:w="0" w:type="dxa"/>
            <w:vAlign w:val="bottom"/>
          </w:tcPr>
          <w:p>
            <w:pPr>
              <w:spacing w:after="0"/>
              <w:rPr>
                <w:sz w:val="1"/>
                <w:szCs w:val="1"/>
                <w:color w:val="auto"/>
              </w:rPr>
            </w:pPr>
          </w:p>
        </w:tc>
      </w:tr>
      <w:tr>
        <w:trPr>
          <w:trHeight w:val="193"/>
        </w:trPr>
        <w:tc>
          <w:tcPr>
            <w:tcW w:w="2000" w:type="dxa"/>
            <w:vAlign w:val="bottom"/>
            <w:gridSpan w:val="2"/>
            <w:vMerge w:val="continue"/>
          </w:tcPr>
          <w:p>
            <w:pPr>
              <w:spacing w:after="0"/>
              <w:rPr>
                <w:sz w:val="16"/>
                <w:szCs w:val="16"/>
                <w:color w:val="auto"/>
              </w:rPr>
            </w:pP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1.50% exchangeable senior notes due 2024</w:t>
            </w: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2026 Proxy Statement</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definitive proxy statement for our 2026 annual general meeting of shareholders</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2026 Notes</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2.00% exchangeable senior notes due 2026</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2030 Notes</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3.125% exchangeable senior notes due 2030</w:t>
            </w: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340B program</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U.S. Public Health Service’s 340B program</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ACA</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Affordable Care Act</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Adare</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Adare Pharma Solutions LLC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ADR</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administrative dispute resolution</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Aetna</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Aetna Inc.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AG</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authorized generic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AI</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artificial intelligence</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Alkermes</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Alkermes plc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ALL</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acute lymphoblastic leukemia</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Almaject</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Almaject Inc., Alvogen, Inc., and Alvogen PB Research and Development LLC</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Amended Credit</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Credit Agreement amended to include the Repricing Amendment No. 1, the Repricing Amendment</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Agreement</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No. 2 and Amendment No. 3</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Amended Revolving</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Revolving credit facility amended to increase the Initial Revolving Credit Facility to $885.0 million</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Credit Facility</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and extend the maturity date</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Amended Revolving</w:t>
            </w:r>
          </w:p>
        </w:tc>
        <w:tc>
          <w:tcPr>
            <w:tcW w:w="2900" w:type="dxa"/>
            <w:vAlign w:val="bottom"/>
            <w:vMerge w:val="restart"/>
          </w:tcPr>
          <w:p>
            <w:pPr>
              <w:ind w:left="120"/>
              <w:spacing w:after="0"/>
              <w:rPr>
                <w:sz w:val="20"/>
                <w:szCs w:val="20"/>
                <w:color w:val="auto"/>
              </w:rPr>
            </w:pPr>
            <w:r>
              <w:rPr>
                <w:rFonts w:ascii="Times New Roman" w:cs="Times New Roman" w:eastAsia="Times New Roman" w:hAnsi="Times New Roman"/>
                <w:sz w:val="19"/>
                <w:szCs w:val="19"/>
                <w:color w:val="auto"/>
              </w:rPr>
              <w:t>November 26, 2029</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0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Facility Maturity Date</w:t>
            </w:r>
          </w:p>
        </w:tc>
        <w:tc>
          <w:tcPr>
            <w:tcW w:w="2900" w:type="dxa"/>
            <w:vAlign w:val="bottom"/>
            <w:vMerge w:val="continue"/>
          </w:tcPr>
          <w:p>
            <w:pPr>
              <w:spacing w:after="0"/>
              <w:rPr>
                <w:sz w:val="13"/>
                <w:szCs w:val="13"/>
                <w:color w:val="auto"/>
              </w:rPr>
            </w:pPr>
          </w:p>
        </w:tc>
        <w:tc>
          <w:tcPr>
            <w:tcW w:w="4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00" w:type="dxa"/>
            <w:vAlign w:val="bottom"/>
            <w:gridSpan w:val="2"/>
            <w:vMerge w:val="continue"/>
          </w:tcPr>
          <w:p>
            <w:pPr>
              <w:spacing w:after="0"/>
              <w:rPr>
                <w:sz w:val="3"/>
                <w:szCs w:val="3"/>
                <w:color w:val="auto"/>
              </w:rPr>
            </w:pPr>
          </w:p>
        </w:tc>
        <w:tc>
          <w:tcPr>
            <w:tcW w:w="7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amendment to the Credit Agreement entered into by Jazz Lux in November 2024</w:t>
            </w:r>
          </w:p>
        </w:tc>
        <w:tc>
          <w:tcPr>
            <w:tcW w:w="0" w:type="dxa"/>
            <w:vAlign w:val="bottom"/>
          </w:tcPr>
          <w:p>
            <w:pPr>
              <w:spacing w:after="0" w:line="20" w:lineRule="exact"/>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Amendment No. 3</w:t>
            </w:r>
          </w:p>
        </w:tc>
        <w:tc>
          <w:tcPr>
            <w:tcW w:w="7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AML</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acute myeloid leukemia</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Amneal</w:t>
            </w: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Amneal Pharmaceuticals LLC</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ANDA</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abbreviated NDA</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API</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active pharmaceutical ingredient</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Ascent</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Ascent Pharmaceuticals, Inc.</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ASD</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ASD Specialty Healthcare LLC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ASP</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average sales price</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ASU</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Accounting Standards Update</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Audit Committee</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audit committee of our board of directors</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Autifony</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Autifony Therapeutics Limited</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Avadel</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Avadel Pharmaceuticals plc</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Avadel Litigation</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All claims relating to all disputes between the parties subject to the global settlement agreement</w:t>
            </w:r>
          </w:p>
        </w:tc>
        <w:tc>
          <w:tcPr>
            <w:tcW w:w="0" w:type="dxa"/>
            <w:vAlign w:val="bottom"/>
          </w:tcPr>
          <w:p>
            <w:pPr>
              <w:spacing w:after="0"/>
              <w:rPr>
                <w:sz w:val="1"/>
                <w:szCs w:val="1"/>
                <w:color w:val="auto"/>
              </w:rPr>
            </w:pPr>
          </w:p>
        </w:tc>
      </w:tr>
      <w:tr>
        <w:trPr>
          <w:trHeight w:val="193"/>
        </w:trPr>
        <w:tc>
          <w:tcPr>
            <w:tcW w:w="2000" w:type="dxa"/>
            <w:vAlign w:val="bottom"/>
            <w:gridSpan w:val="2"/>
            <w:vMerge w:val="continue"/>
          </w:tcPr>
          <w:p>
            <w:pPr>
              <w:spacing w:after="0"/>
              <w:rPr>
                <w:sz w:val="16"/>
                <w:szCs w:val="16"/>
                <w:color w:val="auto"/>
              </w:rPr>
            </w:pP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dated October 21, 2025, with Avadel CNS Pharmaceuticals LLC and Flamel Ireland Limited,</w:t>
            </w:r>
          </w:p>
        </w:tc>
        <w:tc>
          <w:tcPr>
            <w:tcW w:w="0" w:type="dxa"/>
            <w:vAlign w:val="bottom"/>
          </w:tcPr>
          <w:p>
            <w:pPr>
              <w:spacing w:after="0"/>
              <w:rPr>
                <w:sz w:val="1"/>
                <w:szCs w:val="1"/>
                <w:color w:val="auto"/>
              </w:rPr>
            </w:pPr>
          </w:p>
        </w:tc>
      </w:tr>
      <w:tr>
        <w:trPr>
          <w:trHeight w:val="196"/>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Axsome</w:t>
            </w: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subsidiaries of Avadel</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vMerge w:val="continue"/>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Axsome Therapeutics, Inc.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Azur Merger</w:t>
            </w: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the merger of Jazz Pharmaceuticals, Inc. and Azur Pharma in January 2012</w:t>
            </w: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Azur Pharma</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Azur Pharma Public Limited Company</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BLA</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Biologics License Application</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w w:val="99"/>
              </w:rPr>
              <w:t>BPCIA</w:t>
            </w:r>
          </w:p>
        </w:tc>
        <w:tc>
          <w:tcPr>
            <w:tcW w:w="1360" w:type="dxa"/>
            <w:vAlign w:val="bottom"/>
          </w:tcPr>
          <w:p>
            <w:pPr>
              <w:spacing w:after="0"/>
              <w:rPr>
                <w:sz w:val="16"/>
                <w:szCs w:val="16"/>
                <w:color w:val="auto"/>
              </w:rPr>
            </w:pP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Biologics Price Competition and Innovation Act</w:t>
            </w: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BTC</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biliary tract cancers</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BTD</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Breakthrough Therapy designation</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Cardinal</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Cardinal Health, Inc.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CAT</w:t>
            </w:r>
          </w:p>
        </w:tc>
        <w:tc>
          <w:tcPr>
            <w:tcW w:w="1360" w:type="dxa"/>
            <w:vAlign w:val="bottom"/>
          </w:tcPr>
          <w:p>
            <w:pPr>
              <w:spacing w:after="0"/>
              <w:rPr>
                <w:sz w:val="17"/>
                <w:szCs w:val="17"/>
                <w:color w:val="auto"/>
              </w:rPr>
            </w:pPr>
          </w:p>
        </w:tc>
        <w:tc>
          <w:tcPr>
            <w:tcW w:w="2900" w:type="dxa"/>
            <w:vAlign w:val="bottom"/>
          </w:tcPr>
          <w:p>
            <w:pPr>
              <w:ind w:left="120"/>
              <w:spacing w:after="0" w:line="195" w:lineRule="exact"/>
              <w:rPr>
                <w:sz w:val="20"/>
                <w:szCs w:val="20"/>
                <w:color w:val="auto"/>
              </w:rPr>
            </w:pPr>
            <w:r>
              <w:rPr>
                <w:rFonts w:ascii="Times New Roman" w:cs="Times New Roman" w:eastAsia="Times New Roman" w:hAnsi="Times New Roman"/>
                <w:sz w:val="19"/>
                <w:szCs w:val="19"/>
                <w:color w:val="auto"/>
              </w:rPr>
              <w:t>Irish capital acquisitions tax</w:t>
            </w:r>
          </w:p>
        </w:tc>
        <w:tc>
          <w:tcPr>
            <w:tcW w:w="4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CBD</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cannabidiol</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CDO</w:t>
            </w:r>
          </w:p>
        </w:tc>
        <w:tc>
          <w:tcPr>
            <w:tcW w:w="1360" w:type="dxa"/>
            <w:vAlign w:val="bottom"/>
          </w:tcPr>
          <w:p>
            <w:pPr>
              <w:spacing w:after="0"/>
              <w:rPr>
                <w:sz w:val="16"/>
                <w:szCs w:val="16"/>
                <w:color w:val="auto"/>
              </w:rPr>
            </w:pP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Chief Digital Officer</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Cencora</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Cencora, Inc. (formerly named AmerisourceBergen Corporation)</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cGMP</w:t>
            </w:r>
          </w:p>
        </w:tc>
        <w:tc>
          <w:tcPr>
            <w:tcW w:w="1360" w:type="dxa"/>
            <w:vAlign w:val="bottom"/>
          </w:tcPr>
          <w:p>
            <w:pPr>
              <w:spacing w:after="0"/>
              <w:rPr>
                <w:sz w:val="16"/>
                <w:szCs w:val="16"/>
                <w:color w:val="auto"/>
              </w:rPr>
            </w:pPr>
          </w:p>
        </w:tc>
        <w:tc>
          <w:tcPr>
            <w:tcW w:w="78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9"/>
                <w:szCs w:val="19"/>
                <w:color w:val="auto"/>
              </w:rPr>
              <w:t>current Good Manufacturing Practices</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Chimerix</w:t>
            </w:r>
          </w:p>
        </w:tc>
        <w:tc>
          <w:tcPr>
            <w:tcW w:w="2900" w:type="dxa"/>
            <w:vAlign w:val="bottom"/>
          </w:tcPr>
          <w:p>
            <w:pPr>
              <w:ind w:left="120"/>
              <w:spacing w:after="0" w:line="193" w:lineRule="exact"/>
              <w:rPr>
                <w:sz w:val="20"/>
                <w:szCs w:val="20"/>
                <w:color w:val="auto"/>
              </w:rPr>
            </w:pPr>
            <w:r>
              <w:rPr>
                <w:rFonts w:ascii="Times New Roman" w:cs="Times New Roman" w:eastAsia="Times New Roman" w:hAnsi="Times New Roman"/>
                <w:sz w:val="19"/>
                <w:szCs w:val="19"/>
                <w:color w:val="auto"/>
              </w:rPr>
              <w:t>Chimerix, Inc.</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Chimerix Acquisition</w:t>
            </w:r>
          </w:p>
        </w:tc>
        <w:tc>
          <w:tcPr>
            <w:tcW w:w="78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9"/>
                <w:szCs w:val="19"/>
                <w:color w:val="auto"/>
              </w:rPr>
              <w:t>our acquisition of Chimerix on April 21, 2025</w:t>
            </w:r>
          </w:p>
        </w:tc>
        <w:tc>
          <w:tcPr>
            <w:tcW w:w="0" w:type="dxa"/>
            <w:vAlign w:val="bottom"/>
          </w:tcPr>
          <w:p>
            <w:pPr>
              <w:spacing w:after="0"/>
              <w:rPr>
                <w:sz w:val="1"/>
                <w:szCs w:val="1"/>
                <w:color w:val="auto"/>
              </w:rPr>
            </w:pPr>
          </w:p>
        </w:tc>
      </w:tr>
      <w:tr>
        <w:trPr>
          <w:trHeight w:val="193"/>
        </w:trPr>
        <w:tc>
          <w:tcPr>
            <w:tcW w:w="20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Chimerix Common</w:t>
            </w:r>
          </w:p>
        </w:tc>
        <w:tc>
          <w:tcPr>
            <w:tcW w:w="7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the common stock, par value $0.001 per share, of Chimerix</w:t>
            </w:r>
          </w:p>
        </w:tc>
        <w:tc>
          <w:tcPr>
            <w:tcW w:w="0" w:type="dxa"/>
            <w:vAlign w:val="bottom"/>
          </w:tcPr>
          <w:p>
            <w:pPr>
              <w:spacing w:after="0"/>
              <w:rPr>
                <w:sz w:val="1"/>
                <w:szCs w:val="1"/>
                <w:color w:val="auto"/>
              </w:rPr>
            </w:pPr>
          </w:p>
        </w:tc>
      </w:tr>
      <w:tr>
        <w:trPr>
          <w:trHeight w:val="156"/>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Stock</w:t>
            </w:r>
          </w:p>
        </w:tc>
        <w:tc>
          <w:tcPr>
            <w:tcW w:w="1360" w:type="dxa"/>
            <w:vAlign w:val="bottom"/>
          </w:tcPr>
          <w:p>
            <w:pPr>
              <w:spacing w:after="0"/>
              <w:rPr>
                <w:sz w:val="13"/>
                <w:szCs w:val="13"/>
                <w:color w:val="auto"/>
              </w:rPr>
            </w:pPr>
          </w:p>
        </w:tc>
        <w:tc>
          <w:tcPr>
            <w:tcW w:w="7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4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7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two lawsuits filed in the Supreme Court of the State of New York, County of New York, by</w:t>
            </w:r>
          </w:p>
        </w:tc>
        <w:tc>
          <w:tcPr>
            <w:tcW w:w="0" w:type="dxa"/>
            <w:vAlign w:val="bottom"/>
          </w:tcPr>
          <w:p>
            <w:pPr>
              <w:spacing w:after="0"/>
              <w:rPr>
                <w:sz w:val="1"/>
                <w:szCs w:val="1"/>
                <w:color w:val="auto"/>
              </w:rPr>
            </w:pPr>
          </w:p>
        </w:tc>
      </w:tr>
      <w:tr>
        <w:trPr>
          <w:trHeight w:val="131"/>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Chimerix Shareholder</w:t>
            </w:r>
          </w:p>
        </w:tc>
        <w:tc>
          <w:tcPr>
            <w:tcW w:w="7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00" w:type="dxa"/>
            <w:vAlign w:val="bottom"/>
            <w:gridSpan w:val="2"/>
            <w:vMerge w:val="continue"/>
          </w:tcPr>
          <w:p>
            <w:pPr>
              <w:spacing w:after="0"/>
              <w:rPr>
                <w:sz w:val="8"/>
                <w:szCs w:val="8"/>
                <w:color w:val="auto"/>
              </w:rPr>
            </w:pPr>
          </w:p>
        </w:tc>
        <w:tc>
          <w:tcPr>
            <w:tcW w:w="7860" w:type="dxa"/>
            <w:vAlign w:val="bottom"/>
            <w:gridSpan w:val="2"/>
            <w:vMerge w:val="restart"/>
          </w:tcPr>
          <w:p>
            <w:pPr>
              <w:ind w:left="120"/>
              <w:spacing w:after="0" w:line="193" w:lineRule="exact"/>
              <w:rPr>
                <w:sz w:val="20"/>
                <w:szCs w:val="20"/>
                <w:color w:val="auto"/>
              </w:rPr>
            </w:pPr>
            <w:r>
              <w:rPr>
                <w:rFonts w:ascii="Times New Roman" w:cs="Times New Roman" w:eastAsia="Times New Roman" w:hAnsi="Times New Roman"/>
                <w:sz w:val="19"/>
                <w:szCs w:val="19"/>
                <w:color w:val="auto"/>
              </w:rPr>
              <w:t>purported Chimerix shareholders against Chimerix and its Board of Directors, but which do not</w:t>
            </w:r>
          </w:p>
        </w:tc>
        <w:tc>
          <w:tcPr>
            <w:tcW w:w="0" w:type="dxa"/>
            <w:vAlign w:val="bottom"/>
          </w:tcPr>
          <w:p>
            <w:pPr>
              <w:spacing w:after="0"/>
              <w:rPr>
                <w:sz w:val="1"/>
                <w:szCs w:val="1"/>
                <w:color w:val="auto"/>
              </w:rPr>
            </w:pPr>
          </w:p>
        </w:tc>
      </w:tr>
      <w:tr>
        <w:trPr>
          <w:trHeight w:val="98"/>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Litigation</w:t>
            </w:r>
          </w:p>
        </w:tc>
        <w:tc>
          <w:tcPr>
            <w:tcW w:w="7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00" w:type="dxa"/>
            <w:vAlign w:val="bottom"/>
            <w:gridSpan w:val="2"/>
            <w:vMerge w:val="continue"/>
          </w:tcPr>
          <w:p>
            <w:pPr>
              <w:spacing w:after="0"/>
              <w:rPr>
                <w:sz w:val="13"/>
                <w:szCs w:val="13"/>
                <w:color w:val="auto"/>
              </w:rPr>
            </w:pPr>
          </w:p>
        </w:tc>
        <w:tc>
          <w:tcPr>
            <w:tcW w:w="7860" w:type="dxa"/>
            <w:vAlign w:val="bottom"/>
            <w:gridSpan w:val="2"/>
            <w:vMerge w:val="restart"/>
          </w:tcPr>
          <w:p>
            <w:pPr>
              <w:ind w:left="120"/>
              <w:spacing w:after="0" w:line="193" w:lineRule="exact"/>
              <w:rPr>
                <w:sz w:val="20"/>
                <w:szCs w:val="20"/>
                <w:color w:val="auto"/>
              </w:rPr>
            </w:pPr>
            <w:r>
              <w:rPr>
                <w:rFonts w:ascii="Times New Roman" w:cs="Times New Roman" w:eastAsia="Times New Roman" w:hAnsi="Times New Roman"/>
                <w:sz w:val="19"/>
                <w:szCs w:val="19"/>
                <w:color w:val="auto"/>
              </w:rPr>
              <w:t>name any other persons or entities affiliated with Jazz</w:t>
            </w:r>
          </w:p>
        </w:tc>
        <w:tc>
          <w:tcPr>
            <w:tcW w:w="0" w:type="dxa"/>
            <w:vAlign w:val="bottom"/>
          </w:tcPr>
          <w:p>
            <w:pPr>
              <w:spacing w:after="0"/>
              <w:rPr>
                <w:sz w:val="1"/>
                <w:szCs w:val="1"/>
                <w:color w:val="auto"/>
              </w:rPr>
            </w:pPr>
          </w:p>
        </w:tc>
      </w:tr>
      <w:tr>
        <w:trPr>
          <w:trHeight w:val="33"/>
        </w:trPr>
        <w:tc>
          <w:tcPr>
            <w:tcW w:w="2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Chimerix Transaction</w:t>
            </w:r>
          </w:p>
        </w:tc>
        <w:tc>
          <w:tcPr>
            <w:tcW w:w="7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00" w:type="dxa"/>
            <w:vAlign w:val="bottom"/>
            <w:gridSpan w:val="2"/>
            <w:vMerge w:val="continue"/>
          </w:tcPr>
          <w:p>
            <w:pPr>
              <w:spacing w:after="0"/>
              <w:rPr>
                <w:sz w:val="22"/>
                <w:szCs w:val="22"/>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the Rosenthal Lawsuit as well as the Chimerix Shareholder Litigation</w:t>
            </w:r>
          </w:p>
        </w:tc>
        <w:tc>
          <w:tcPr>
            <w:tcW w:w="0" w:type="dxa"/>
            <w:vAlign w:val="bottom"/>
          </w:tcPr>
          <w:p>
            <w:pPr>
              <w:spacing w:after="0"/>
              <w:rPr>
                <w:sz w:val="1"/>
                <w:szCs w:val="1"/>
                <w:color w:val="auto"/>
              </w:rPr>
            </w:pPr>
          </w:p>
        </w:tc>
      </w:tr>
      <w:tr>
        <w:trPr>
          <w:trHeight w:val="641"/>
        </w:trPr>
        <w:tc>
          <w:tcPr>
            <w:tcW w:w="640" w:type="dxa"/>
            <w:vAlign w:val="bottom"/>
          </w:tcPr>
          <w:p>
            <w:pPr>
              <w:spacing w:after="0"/>
              <w:rPr>
                <w:sz w:val="20"/>
                <w:szCs w:val="20"/>
                <w:color w:val="auto"/>
              </w:rPr>
            </w:pPr>
            <w:r>
              <w:rPr>
                <w:rFonts w:ascii="Arial" w:cs="Arial" w:eastAsia="Arial" w:hAnsi="Arial"/>
                <w:sz w:val="20"/>
                <w:szCs w:val="20"/>
                <w:b w:val="1"/>
                <w:bCs w:val="1"/>
                <w:color w:val="5C004B"/>
              </w:rPr>
              <w:t>4</w:t>
            </w:r>
          </w:p>
        </w:tc>
        <w:tc>
          <w:tcPr>
            <w:tcW w:w="4260" w:type="dxa"/>
            <w:vAlign w:val="bottom"/>
            <w:gridSpan w:val="2"/>
          </w:tcPr>
          <w:p>
            <w:pPr>
              <w:spacing w:after="0"/>
              <w:rPr>
                <w:sz w:val="20"/>
                <w:szCs w:val="20"/>
                <w:color w:val="auto"/>
              </w:rPr>
            </w:pPr>
            <w:r>
              <w:rPr>
                <w:rFonts w:ascii="Arial" w:cs="Arial" w:eastAsia="Arial" w:hAnsi="Arial"/>
                <w:sz w:val="16"/>
                <w:szCs w:val="16"/>
                <w:color w:val="auto"/>
              </w:rPr>
              <w:t>2025 ANNUAL REPORT</w:t>
            </w:r>
          </w:p>
        </w:tc>
        <w:tc>
          <w:tcPr>
            <w:tcW w:w="4960" w:type="dxa"/>
            <w:vAlign w:val="bottom"/>
            <w:vMerge w:val="restart"/>
          </w:tcPr>
          <w:p>
            <w:pPr>
              <w:jc w:val="right"/>
              <w:ind w:right="4683"/>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102"/>
        </w:trPr>
        <w:tc>
          <w:tcPr>
            <w:tcW w:w="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-269240</wp:posOffset>
            </wp:positionV>
            <wp:extent cx="1416050" cy="2546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423">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9860"/>
          </w:cols>
          <w:pgMar w:left="900" w:top="707" w:right="1119" w:bottom="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Term</w:t>
            </w:r>
          </w:p>
        </w:tc>
        <w:tc>
          <w:tcPr>
            <w:tcW w:w="53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Litigation</w:t>
            </w:r>
          </w:p>
        </w:tc>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Committee for Medicinal Products for Human Use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CHMP</w:t>
            </w:r>
          </w:p>
        </w:tc>
        <w:tc>
          <w:tcPr>
            <w:tcW w:w="536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CISO</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Chief Information Security Officer</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Clinigen</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Clinigen Group plc</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ClpP</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mitochondrial caseinolytic protease P</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CMS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U.S. Centers for Medicare &amp; Medicaid Services</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CNX Therapeutics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CNX Therapeutics Limited</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Code</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U.S. Internal Revenue Code</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CODM</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chief operating decision maker</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COG</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Children’s Oncology Group</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ConcERTos</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Employee Resource Teams</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COSO framework</w:t>
            </w: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Committee of Sponsoring Organizations of the Treadway Commission Internal Control - Integrated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20" w:type="dxa"/>
            <w:vAlign w:val="bottom"/>
            <w:vMerge w:val="continue"/>
          </w:tcPr>
          <w:p>
            <w:pPr>
              <w:spacing w:after="0"/>
              <w:rPr>
                <w:sz w:val="13"/>
                <w:szCs w:val="13"/>
                <w:color w:val="auto"/>
              </w:rPr>
            </w:pPr>
          </w:p>
        </w:tc>
        <w:tc>
          <w:tcPr>
            <w:tcW w:w="5360" w:type="dxa"/>
            <w:vAlign w:val="bottom"/>
            <w:vMerge w:val="restart"/>
          </w:tcPr>
          <w:p>
            <w:pPr>
              <w:ind w:left="40"/>
              <w:spacing w:after="0" w:line="193" w:lineRule="exact"/>
              <w:rPr>
                <w:sz w:val="20"/>
                <w:szCs w:val="20"/>
                <w:color w:val="auto"/>
              </w:rPr>
            </w:pPr>
            <w:r>
              <w:rPr>
                <w:rFonts w:ascii="Times New Roman" w:cs="Times New Roman" w:eastAsia="Times New Roman" w:hAnsi="Times New Roman"/>
                <w:sz w:val="19"/>
                <w:szCs w:val="19"/>
                <w:color w:val="auto"/>
              </w:rPr>
              <w:t>Framework (2013)</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CREATES</w:t>
            </w:r>
          </w:p>
        </w:tc>
        <w:tc>
          <w:tcPr>
            <w:tcW w:w="5360" w:type="dxa"/>
            <w:vAlign w:val="bottom"/>
            <w:vMerge w:val="continue"/>
          </w:tcPr>
          <w:p>
            <w:pPr>
              <w:spacing w:after="0"/>
              <w:rPr>
                <w:sz w:val="3"/>
                <w:szCs w:val="3"/>
                <w:color w:val="auto"/>
              </w:rPr>
            </w:pPr>
          </w:p>
        </w:tc>
        <w:tc>
          <w:tcPr>
            <w:tcW w:w="2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784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9"/>
                <w:szCs w:val="19"/>
                <w:color w:val="auto"/>
              </w:rPr>
              <w:t>Creating and Restoring Equal Access To Equivalent Samples Act of 2019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rPr>
                <w:sz w:val="16"/>
                <w:szCs w:val="16"/>
                <w:color w:val="auto"/>
              </w:rPr>
            </w:pP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Credit Agreement entered into on May 5, 2021, by and among us, Jazz Lux, and certain of our other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Credit Agreement</w:t>
            </w: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subsidiaries, as borrowers, the lenders and issuing banks from time to time party thereto, Bank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20" w:type="dxa"/>
            <w:vAlign w:val="bottom"/>
            <w:vMerge w:val="continue"/>
          </w:tcPr>
          <w:p>
            <w:pPr>
              <w:spacing w:after="0"/>
              <w:rPr>
                <w:sz w:val="13"/>
                <w:szCs w:val="13"/>
                <w:color w:val="auto"/>
              </w:rPr>
            </w:pPr>
          </w:p>
        </w:tc>
        <w:tc>
          <w:tcPr>
            <w:tcW w:w="7840" w:type="dxa"/>
            <w:vAlign w:val="bottom"/>
            <w:gridSpan w:val="2"/>
            <w:vMerge w:val="restart"/>
          </w:tcPr>
          <w:p>
            <w:pPr>
              <w:ind w:left="40"/>
              <w:spacing w:after="0" w:line="195" w:lineRule="exact"/>
              <w:rPr>
                <w:sz w:val="20"/>
                <w:szCs w:val="20"/>
                <w:color w:val="auto"/>
              </w:rPr>
            </w:pPr>
            <w:r>
              <w:rPr>
                <w:rFonts w:ascii="Times New Roman" w:cs="Times New Roman" w:eastAsia="Times New Roman" w:hAnsi="Times New Roman"/>
                <w:sz w:val="19"/>
                <w:szCs w:val="19"/>
                <w:color w:val="auto"/>
              </w:rPr>
              <w:t>America, N.A., as administrative agent and U.S. Bank Trust Company, National Association, as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tcPr>
          <w:p>
            <w:pPr>
              <w:spacing w:after="0"/>
              <w:rPr>
                <w:sz w:val="3"/>
                <w:szCs w:val="3"/>
                <w:color w:val="auto"/>
              </w:rPr>
            </w:pPr>
          </w:p>
        </w:tc>
        <w:tc>
          <w:tcPr>
            <w:tcW w:w="7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CSA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collateral trustee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vMerge w:val="continue"/>
          </w:tcPr>
          <w:p>
            <w:pPr>
              <w:spacing w:after="0"/>
              <w:rPr>
                <w:sz w:val="16"/>
                <w:szCs w:val="16"/>
                <w:color w:val="auto"/>
              </w:rPr>
            </w:pP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Federal Controlled Substances Act</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DDI</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drug-drug interaction</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DEA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U.S. Drug Enforcement Administration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DOJ</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U.S. Department of Justice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Dollar Term Loan</w:t>
            </w:r>
          </w:p>
        </w:tc>
        <w:tc>
          <w:tcPr>
            <w:tcW w:w="784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9"/>
                <w:szCs w:val="19"/>
                <w:color w:val="auto"/>
              </w:rPr>
              <w:t>our former seven-year $3.1 billion term loan B facility under the Credit Agreement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DRD2</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dopamine D2 receptor</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DS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Dravet syndrome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DTC</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Depository Trust Company</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EC</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European Commission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EDS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excessive daytime sleepiness</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EEA</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European Economic Area</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EMA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European Medicines Agency</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rPr>
                <w:sz w:val="16"/>
                <w:szCs w:val="16"/>
                <w:color w:val="auto"/>
              </w:rPr>
            </w:pP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Teva Pharmaceuticals, Inc.; Padagis US LLC; Apotex Inc.; API Pharma Tech LLC and InvaGen;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Epidiolex ANDA Filers</w:t>
            </w:r>
          </w:p>
        </w:tc>
        <w:tc>
          <w:tcPr>
            <w:tcW w:w="784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9"/>
                <w:szCs w:val="19"/>
                <w:color w:val="auto"/>
              </w:rPr>
              <w:t>Lupin Limited; Taro Pharmaceutical Industries Ltd.; Zenara Pharma Private Limited and Biophore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vMerge w:val="continue"/>
          </w:tcPr>
          <w:p>
            <w:pPr>
              <w:spacing w:after="0"/>
              <w:rPr>
                <w:sz w:val="13"/>
                <w:szCs w:val="13"/>
                <w:color w:val="auto"/>
              </w:rPr>
            </w:pPr>
          </w:p>
        </w:tc>
        <w:tc>
          <w:tcPr>
            <w:tcW w:w="7840" w:type="dxa"/>
            <w:vAlign w:val="bottom"/>
            <w:gridSpan w:val="2"/>
            <w:vMerge w:val="restart"/>
          </w:tcPr>
          <w:p>
            <w:pPr>
              <w:ind w:left="40"/>
              <w:spacing w:after="0" w:line="193" w:lineRule="exact"/>
              <w:rPr>
                <w:sz w:val="20"/>
                <w:szCs w:val="20"/>
                <w:color w:val="auto"/>
              </w:rPr>
            </w:pPr>
            <w:r>
              <w:rPr>
                <w:rFonts w:ascii="Times New Roman" w:cs="Times New Roman" w:eastAsia="Times New Roman" w:hAnsi="Times New Roman"/>
                <w:sz w:val="19"/>
                <w:szCs w:val="19"/>
                <w:color w:val="auto"/>
              </w:rPr>
              <w:t>Pharma, Inc.; MSN Laboratories Pvt. Ltd. and MSN Pharmaceuticals, Inc.; Alkem Laboratories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tcPr>
          <w:p>
            <w:pPr>
              <w:spacing w:after="0"/>
              <w:rPr>
                <w:sz w:val="3"/>
                <w:szCs w:val="3"/>
                <w:color w:val="auto"/>
              </w:rPr>
            </w:pPr>
          </w:p>
        </w:tc>
        <w:tc>
          <w:tcPr>
            <w:tcW w:w="7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ESPP</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Ltd.; and Ascent</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Amended and Restated 2007 Employee Stock Purchase Plan</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ESSDS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Express Scripts Specialty Distribution Services, Inc.</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ETASU</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elements to assure safe use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EU</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European Union</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EURIBOR</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Euro Inter-Bank Offered Rate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Euro Term Loan</w:t>
            </w: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our now repaid seven-year €625.0 million term loan B facility under the Credit Agreement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Exchange Act</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Securities Exchange Act of 1934, as amended</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Exchangeable Senior</w:t>
            </w:r>
          </w:p>
        </w:tc>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our 2026 Notes and 2030 Notes</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20" w:type="dxa"/>
            <w:vAlign w:val="bottom"/>
            <w:vMerge w:val="restart"/>
          </w:tcPr>
          <w:p>
            <w:pPr>
              <w:spacing w:after="0" w:line="193" w:lineRule="exact"/>
              <w:rPr>
                <w:sz w:val="20"/>
                <w:szCs w:val="20"/>
                <w:color w:val="auto"/>
              </w:rPr>
            </w:pPr>
            <w:r>
              <w:rPr>
                <w:rFonts w:ascii="Times New Roman" w:cs="Times New Roman" w:eastAsia="Times New Roman" w:hAnsi="Times New Roman"/>
                <w:sz w:val="19"/>
                <w:szCs w:val="19"/>
                <w:color w:val="auto"/>
              </w:rPr>
              <w:t>Notes</w:t>
            </w:r>
          </w:p>
        </w:tc>
        <w:tc>
          <w:tcPr>
            <w:tcW w:w="536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20" w:type="dxa"/>
            <w:vAlign w:val="bottom"/>
            <w:vMerge w:val="continue"/>
          </w:tcPr>
          <w:p>
            <w:pPr>
              <w:spacing w:after="0"/>
              <w:rPr>
                <w:sz w:val="3"/>
                <w:szCs w:val="3"/>
                <w:color w:val="auto"/>
              </w:rPr>
            </w:pPr>
          </w:p>
        </w:tc>
        <w:tc>
          <w:tcPr>
            <w:tcW w:w="53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Fair value step-up</w:t>
            </w:r>
          </w:p>
        </w:tc>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the acquisition accounting inventory fair value step-up expense</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vMerge w:val="restart"/>
          </w:tcPr>
          <w:p>
            <w:pPr>
              <w:spacing w:after="0" w:line="193" w:lineRule="exact"/>
              <w:rPr>
                <w:sz w:val="20"/>
                <w:szCs w:val="20"/>
                <w:color w:val="auto"/>
              </w:rPr>
            </w:pPr>
            <w:r>
              <w:rPr>
                <w:rFonts w:ascii="Times New Roman" w:cs="Times New Roman" w:eastAsia="Times New Roman" w:hAnsi="Times New Roman"/>
                <w:sz w:val="19"/>
                <w:szCs w:val="19"/>
                <w:color w:val="auto"/>
              </w:rPr>
              <w:t>expense</w:t>
            </w:r>
          </w:p>
        </w:tc>
        <w:tc>
          <w:tcPr>
            <w:tcW w:w="536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vMerge w:val="continue"/>
          </w:tcPr>
          <w:p>
            <w:pPr>
              <w:spacing w:after="0"/>
              <w:rPr>
                <w:sz w:val="3"/>
                <w:szCs w:val="3"/>
                <w:color w:val="auto"/>
              </w:rPr>
            </w:pPr>
          </w:p>
        </w:tc>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Financial Accounting Standards Board</w:t>
            </w:r>
          </w:p>
        </w:tc>
        <w:tc>
          <w:tcPr>
            <w:tcW w:w="2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FASB</w:t>
            </w:r>
          </w:p>
        </w:tc>
        <w:tc>
          <w:tcPr>
            <w:tcW w:w="536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FCP</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Federal Ceiling Price</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FCPA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U.S. Foreign Corrupt Practices Act</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FDA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U.S. Food and Drug Administration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FDCA</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Federal Food, Drug, and Cosmetic Act</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Federal Opt-Out</w:t>
            </w: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Humana Inc., Health Care Services Corporation, Molina Healthcare Inc., Blue Cross and Blue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Plaintiffs</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Shield of Florida and Health Options, Inc., collectively</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FSS</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Federal Supply Schedule pricing program</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FTC</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Federal Trade Commission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GDPR</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EU’s General Data Protection Regulation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GEA</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gastroesophageal adenocarcinoma</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GHB</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gamma-hydroxybutyric acid</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GMP</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Good Manufacturing Practice</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Granules</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Granules India Limited</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GW</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GW Pharmaceuticals plc</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GW Acquisition</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our acquisition of GW in May 2021</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GW Incentive Plans</w:t>
            </w:r>
          </w:p>
        </w:tc>
        <w:tc>
          <w:tcPr>
            <w:tcW w:w="7840" w:type="dxa"/>
            <w:vAlign w:val="bottom"/>
            <w:gridSpan w:val="2"/>
          </w:tcPr>
          <w:p>
            <w:pPr>
              <w:ind w:left="40"/>
              <w:spacing w:after="0" w:line="195" w:lineRule="exact"/>
              <w:rPr>
                <w:sz w:val="20"/>
                <w:szCs w:val="20"/>
                <w:color w:val="auto"/>
              </w:rPr>
            </w:pPr>
            <w:r>
              <w:rPr>
                <w:rFonts w:ascii="Times New Roman" w:cs="Times New Roman" w:eastAsia="Times New Roman" w:hAnsi="Times New Roman"/>
                <w:sz w:val="19"/>
                <w:szCs w:val="19"/>
                <w:color w:val="auto"/>
              </w:rPr>
              <w:t>GW 2008 Long-Term Incentive Plan, GW 2017 Long-Term Incentive Plan and GW 2020 Long-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vMerge w:val="continue"/>
          </w:tcPr>
          <w:p>
            <w:pPr>
              <w:spacing w:after="0"/>
              <w:rPr>
                <w:sz w:val="13"/>
                <w:szCs w:val="13"/>
                <w:color w:val="auto"/>
              </w:rPr>
            </w:pPr>
          </w:p>
        </w:tc>
        <w:tc>
          <w:tcPr>
            <w:tcW w:w="5360" w:type="dxa"/>
            <w:vAlign w:val="bottom"/>
            <w:vMerge w:val="restart"/>
          </w:tcPr>
          <w:p>
            <w:pPr>
              <w:ind w:left="40"/>
              <w:spacing w:after="0" w:line="193" w:lineRule="exact"/>
              <w:rPr>
                <w:sz w:val="20"/>
                <w:szCs w:val="20"/>
                <w:color w:val="auto"/>
              </w:rPr>
            </w:pPr>
            <w:r>
              <w:rPr>
                <w:rFonts w:ascii="Times New Roman" w:cs="Times New Roman" w:eastAsia="Times New Roman" w:hAnsi="Times New Roman"/>
                <w:sz w:val="19"/>
                <w:szCs w:val="19"/>
                <w:color w:val="auto"/>
              </w:rPr>
              <w:t>Term Incentive Plan, each as amended from time to time</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Hatch-Waxman Act</w:t>
            </w:r>
          </w:p>
        </w:tc>
        <w:tc>
          <w:tcPr>
            <w:tcW w:w="5360" w:type="dxa"/>
            <w:vAlign w:val="bottom"/>
            <w:vMerge w:val="continue"/>
          </w:tcPr>
          <w:p>
            <w:pPr>
              <w:spacing w:after="0"/>
              <w:rPr>
                <w:sz w:val="3"/>
                <w:szCs w:val="3"/>
                <w:color w:val="auto"/>
              </w:rPr>
            </w:pPr>
          </w:p>
        </w:tc>
        <w:tc>
          <w:tcPr>
            <w:tcW w:w="2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20" w:type="dxa"/>
            <w:vAlign w:val="bottom"/>
            <w:vMerge w:val="continue"/>
          </w:tcPr>
          <w:p>
            <w:pPr>
              <w:spacing w:after="0"/>
              <w:rPr>
                <w:sz w:val="16"/>
                <w:szCs w:val="16"/>
                <w:color w:val="auto"/>
              </w:rPr>
            </w:pP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Drug Price Competition and Patent Term Restoration Act of 1984</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HHS</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U.S. Department of Health and Human Services</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Hikma</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Hikma Pharmaceuticals PLC</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HIPAA</w:t>
            </w:r>
          </w:p>
        </w:tc>
        <w:tc>
          <w:tcPr>
            <w:tcW w:w="784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Health Insurance Portability and Accountability Act of 1996 and its implementing regulations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HRSA</w:t>
            </w:r>
          </w:p>
        </w:tc>
        <w:tc>
          <w:tcPr>
            <w:tcW w:w="53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Health Resources and Services Administration</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HSCT</w:t>
            </w:r>
          </w:p>
        </w:tc>
        <w:tc>
          <w:tcPr>
            <w:tcW w:w="536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post-hematopoietic stem-cell transplantation</w:t>
            </w:r>
          </w:p>
        </w:tc>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20" w:type="dxa"/>
            <w:vAlign w:val="bottom"/>
          </w:tcPr>
          <w:p>
            <w:pPr>
              <w:spacing w:after="0"/>
              <w:rPr>
                <w:sz w:val="20"/>
                <w:szCs w:val="20"/>
                <w:color w:val="auto"/>
              </w:rPr>
            </w:pPr>
            <w:r>
              <w:rPr>
                <w:rFonts w:ascii="Times New Roman" w:cs="Times New Roman" w:eastAsia="Times New Roman" w:hAnsi="Times New Roman"/>
                <w:sz w:val="19"/>
                <w:szCs w:val="19"/>
                <w:color w:val="auto"/>
              </w:rPr>
              <w:t>HTA</w:t>
            </w:r>
          </w:p>
        </w:tc>
        <w:tc>
          <w:tcPr>
            <w:tcW w:w="5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health technology assessment</w:t>
            </w:r>
          </w:p>
        </w:tc>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20" w:type="dxa"/>
            <w:vAlign w:val="bottom"/>
          </w:tcPr>
          <w:p>
            <w:pPr>
              <w:spacing w:after="0"/>
              <w:rPr>
                <w:sz w:val="24"/>
                <w:szCs w:val="24"/>
                <w:color w:val="auto"/>
              </w:rPr>
            </w:pPr>
          </w:p>
        </w:tc>
        <w:tc>
          <w:tcPr>
            <w:tcW w:w="5360" w:type="dxa"/>
            <w:vAlign w:val="bottom"/>
            <w:vMerge w:val="restart"/>
          </w:tcPr>
          <w:p>
            <w:pPr>
              <w:ind w:left="2900"/>
              <w:spacing w:after="0"/>
              <w:rPr>
                <w:sz w:val="20"/>
                <w:szCs w:val="20"/>
                <w:color w:val="auto"/>
              </w:rPr>
            </w:pPr>
            <w:r>
              <w:rPr>
                <w:rFonts w:ascii="Times New Roman" w:cs="Times New Roman" w:eastAsia="Times New Roman" w:hAnsi="Times New Roman"/>
                <w:sz w:val="19"/>
                <w:szCs w:val="19"/>
                <w:color w:val="auto"/>
              </w:rPr>
              <w:t>5</w:t>
            </w:r>
          </w:p>
        </w:tc>
        <w:tc>
          <w:tcPr>
            <w:tcW w:w="2480" w:type="dxa"/>
            <w:vAlign w:val="bottom"/>
            <w:vMerge w:val="restart"/>
          </w:tcPr>
          <w:p>
            <w:pPr>
              <w:ind w:left="240"/>
              <w:spacing w:after="0"/>
              <w:rPr>
                <w:sz w:val="20"/>
                <w:szCs w:val="20"/>
                <w:color w:val="auto"/>
              </w:rPr>
            </w:pPr>
            <w:r>
              <w:rPr>
                <w:rFonts w:ascii="Arial" w:cs="Arial" w:eastAsia="Arial" w:hAnsi="Arial"/>
                <w:sz w:val="16"/>
                <w:szCs w:val="16"/>
                <w:color w:val="auto"/>
              </w:rPr>
              <w:t>2025 ANNUAL REPORT</w:t>
            </w:r>
          </w:p>
        </w:tc>
        <w:tc>
          <w:tcPr>
            <w:tcW w:w="140" w:type="dxa"/>
            <w:vAlign w:val="bottom"/>
            <w:vMerge w:val="restart"/>
          </w:tcPr>
          <w:p>
            <w:pPr>
              <w:jc w:val="right"/>
              <w:spacing w:after="0"/>
              <w:rPr>
                <w:sz w:val="20"/>
                <w:szCs w:val="20"/>
                <w:color w:val="auto"/>
              </w:rPr>
            </w:pPr>
            <w:r>
              <w:rPr>
                <w:rFonts w:ascii="Arial" w:cs="Arial" w:eastAsia="Arial" w:hAnsi="Arial"/>
                <w:sz w:val="20"/>
                <w:szCs w:val="20"/>
                <w:b w:val="1"/>
                <w:bCs w:val="1"/>
                <w:color w:val="5C004B"/>
              </w:rPr>
              <w:t>5</w:t>
            </w:r>
          </w:p>
        </w:tc>
        <w:tc>
          <w:tcPr>
            <w:tcW w:w="0" w:type="dxa"/>
            <w:vAlign w:val="bottom"/>
          </w:tcPr>
          <w:p>
            <w:pPr>
              <w:spacing w:after="0"/>
              <w:rPr>
                <w:sz w:val="1"/>
                <w:szCs w:val="1"/>
                <w:color w:val="auto"/>
              </w:rPr>
            </w:pPr>
          </w:p>
        </w:tc>
      </w:tr>
      <w:tr>
        <w:trPr>
          <w:trHeight w:val="141"/>
        </w:trPr>
        <w:tc>
          <w:tcPr>
            <w:tcW w:w="2020" w:type="dxa"/>
            <w:vAlign w:val="bottom"/>
            <w:tcBorders>
              <w:right w:val="single" w:sz="8" w:color="5C004B"/>
            </w:tcBorders>
          </w:tcPr>
          <w:p>
            <w:pPr>
              <w:spacing w:after="0"/>
              <w:rPr>
                <w:sz w:val="12"/>
                <w:szCs w:val="12"/>
                <w:color w:val="auto"/>
              </w:rPr>
            </w:pPr>
          </w:p>
        </w:tc>
        <w:tc>
          <w:tcPr>
            <w:tcW w:w="5360" w:type="dxa"/>
            <w:vAlign w:val="bottom"/>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5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-269240</wp:posOffset>
            </wp:positionV>
            <wp:extent cx="1416050" cy="2546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424">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60" w:top="690" w:right="919" w:bottom="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8"/>
        </w:trPr>
        <w:tc>
          <w:tcPr>
            <w:tcW w:w="6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Term</w:t>
            </w:r>
          </w:p>
        </w:tc>
        <w:tc>
          <w:tcPr>
            <w:tcW w:w="138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PMingLiU" w:cs="PMingLiU" w:eastAsia="PMingLiU" w:hAnsi="PMingLiU"/>
                <w:sz w:val="19"/>
                <w:szCs w:val="19"/>
                <w:color w:val="auto"/>
              </w:rPr>
              <w:t xml:space="preserve">,)1 </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interferon alpha</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IH</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idiopathic hypersomnia</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IM</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intramuscular</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IND</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investigational NDA</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Initial Revolving Credit</w:t>
            </w:r>
          </w:p>
        </w:tc>
        <w:tc>
          <w:tcPr>
            <w:tcW w:w="75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9"/>
                <w:szCs w:val="19"/>
                <w:color w:val="auto"/>
              </w:rPr>
              <w:t>our five-year $500.0 million revolving credit facility under the Credit Agreement entered into in</w:t>
            </w: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Facility</w:t>
            </w: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May 2021</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Internal Revenue Code</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Section 4985 of the Internal Revenue Code of 1986, as amended</w:t>
            </w: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InvaGen</w:t>
            </w: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InvaGen Pharmaceuticals, Inc.</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IPR</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inter partes review</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IPR&amp;D</w:t>
            </w: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in-process research and development</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IRA</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Inflation Reduction Act of 2022</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IRS</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U.S. Internal Revenue Service</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Jazz</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Jazz Pharmaceuticals plc</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Jazz Investments</w:t>
            </w: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Jazz Investments I Limited</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Jazz Ireland</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Jazz Pharmaceuticals Ireland Limited</w:t>
            </w:r>
          </w:p>
        </w:tc>
        <w:tc>
          <w:tcPr>
            <w:tcW w:w="0" w:type="dxa"/>
            <w:vAlign w:val="bottom"/>
          </w:tcPr>
          <w:p>
            <w:pPr>
              <w:spacing w:after="0"/>
              <w:rPr>
                <w:sz w:val="1"/>
                <w:szCs w:val="1"/>
                <w:color w:val="auto"/>
              </w:rPr>
            </w:pPr>
          </w:p>
        </w:tc>
      </w:tr>
      <w:tr>
        <w:trPr>
          <w:trHeight w:val="198"/>
        </w:trPr>
        <w:tc>
          <w:tcPr>
            <w:tcW w:w="20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9"/>
                <w:szCs w:val="19"/>
                <w:color w:val="auto"/>
              </w:rPr>
              <w:t>Jazz Lux</w:t>
            </w:r>
          </w:p>
        </w:tc>
        <w:tc>
          <w:tcPr>
            <w:tcW w:w="2960" w:type="dxa"/>
            <w:vAlign w:val="bottom"/>
          </w:tcPr>
          <w:p>
            <w:pPr>
              <w:ind w:left="100"/>
              <w:spacing w:after="0" w:line="198" w:lineRule="exact"/>
              <w:rPr>
                <w:sz w:val="20"/>
                <w:szCs w:val="20"/>
                <w:color w:val="auto"/>
              </w:rPr>
            </w:pPr>
            <w:r>
              <w:rPr>
                <w:rFonts w:ascii="Times New Roman" w:cs="Times New Roman" w:eastAsia="Times New Roman" w:hAnsi="Times New Roman"/>
                <w:sz w:val="19"/>
                <w:szCs w:val="19"/>
                <w:color w:val="auto"/>
              </w:rPr>
              <w:t>Jazz Financing Lux S.à.r.l.</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9"/>
                <w:szCs w:val="19"/>
                <w:color w:val="auto"/>
              </w:rPr>
              <w:t>Jazz Securities</w:t>
            </w:r>
          </w:p>
        </w:tc>
        <w:tc>
          <w:tcPr>
            <w:tcW w:w="75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9"/>
                <w:szCs w:val="19"/>
                <w:color w:val="auto"/>
              </w:rPr>
              <w:t>Jazz Securities Designated Activity Company</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PMingLiU" w:cs="PMingLiU" w:eastAsia="PMingLiU" w:hAnsi="PMingLiU"/>
                <w:sz w:val="19"/>
                <w:szCs w:val="19"/>
                <w:color w:val="auto"/>
              </w:rPr>
              <w:t>.5$6</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PMingLiU" w:cs="PMingLiU" w:eastAsia="PMingLiU" w:hAnsi="PMingLiU"/>
                <w:sz w:val="19"/>
                <w:szCs w:val="19"/>
                <w:color w:val="auto"/>
              </w:rPr>
              <w:t>.LUVWHQUDWVDUFRPDYLUXV</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LBL</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lymphoblastic lymphoma</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LGS</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Lennox-Gastaut syndrome</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Ligand</w:t>
            </w:r>
          </w:p>
        </w:tc>
        <w:tc>
          <w:tcPr>
            <w:tcW w:w="1380" w:type="dxa"/>
            <w:vAlign w:val="bottom"/>
          </w:tcPr>
          <w:p>
            <w:pPr>
              <w:spacing w:after="0"/>
              <w:rPr>
                <w:sz w:val="16"/>
                <w:szCs w:val="16"/>
                <w:color w:val="auto"/>
              </w:rPr>
            </w:pP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Ligand Pharmaceuticals Incorporated</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Lupin</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Lupin Inc.</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MAA</w:t>
            </w:r>
          </w:p>
        </w:tc>
        <w:tc>
          <w:tcPr>
            <w:tcW w:w="1380" w:type="dxa"/>
            <w:vAlign w:val="bottom"/>
          </w:tcPr>
          <w:p>
            <w:pPr>
              <w:spacing w:after="0"/>
              <w:rPr>
                <w:sz w:val="17"/>
                <w:szCs w:val="17"/>
                <w:color w:val="auto"/>
              </w:rPr>
            </w:pPr>
          </w:p>
        </w:tc>
        <w:tc>
          <w:tcPr>
            <w:tcW w:w="75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9"/>
                <w:szCs w:val="19"/>
                <w:color w:val="auto"/>
              </w:rPr>
              <w:t>Marketing Authorization Application</w:t>
            </w: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MAHA</w:t>
            </w: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Make America Healthy Again</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PMingLiU" w:cs="PMingLiU" w:eastAsia="PMingLiU" w:hAnsi="PMingLiU"/>
                <w:sz w:val="19"/>
                <w:szCs w:val="19"/>
                <w:color w:val="auto"/>
              </w:rPr>
              <w:t>0$3.</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mitogen-activated protein kinase</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PMingLiU" w:cs="PMingLiU" w:eastAsia="PMingLiU" w:hAnsi="PMingLiU"/>
                <w:sz w:val="19"/>
                <w:szCs w:val="19"/>
                <w:color w:val="auto"/>
              </w:rPr>
              <w:t>0F.HVVRQ</w:t>
            </w:r>
          </w:p>
        </w:tc>
        <w:tc>
          <w:tcPr>
            <w:tcW w:w="2960" w:type="dxa"/>
            <w:vAlign w:val="bottom"/>
          </w:tcPr>
          <w:p>
            <w:pPr>
              <w:ind w:left="100"/>
              <w:spacing w:after="0" w:line="195" w:lineRule="exact"/>
              <w:rPr>
                <w:sz w:val="20"/>
                <w:szCs w:val="20"/>
                <w:color w:val="auto"/>
              </w:rPr>
            </w:pPr>
            <w:r>
              <w:rPr>
                <w:rFonts w:ascii="PMingLiU" w:cs="PMingLiU" w:eastAsia="PMingLiU" w:hAnsi="PMingLiU"/>
                <w:sz w:val="19"/>
                <w:szCs w:val="19"/>
                <w:color w:val="auto"/>
              </w:rPr>
              <w:t>0F.HVVRQ&amp;RUSRUDWLRQ</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MDS</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Myelodysplastic Syndrome</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MFN</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Most-Favored-Nation</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MWT</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Maintenance of Wakefulness Test</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Narcolepsy Indications</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Indications for Avadel's Lumryz product currently approved by FDA</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NDA</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New Drug Application</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New Repurchase</w:t>
            </w: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our share repurchase program announced on July 31, 2024</w:t>
            </w:r>
          </w:p>
        </w:tc>
        <w:tc>
          <w:tcPr>
            <w:tcW w:w="0" w:type="dxa"/>
            <w:vAlign w:val="bottom"/>
          </w:tcPr>
          <w:p>
            <w:pPr>
              <w:spacing w:after="0"/>
              <w:rPr>
                <w:sz w:val="1"/>
                <w:szCs w:val="1"/>
                <w:color w:val="auto"/>
              </w:rPr>
            </w:pPr>
          </w:p>
        </w:tc>
      </w:tr>
      <w:tr>
        <w:trPr>
          <w:trHeight w:val="153"/>
        </w:trPr>
        <w:tc>
          <w:tcPr>
            <w:tcW w:w="2020" w:type="dxa"/>
            <w:vAlign w:val="bottom"/>
            <w:gridSpan w:val="2"/>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Program</w:t>
            </w: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gridSpan w:val="2"/>
            <w:vMerge w:val="continue"/>
          </w:tcPr>
          <w:p>
            <w:pPr>
              <w:spacing w:after="0"/>
              <w:rPr>
                <w:sz w:val="3"/>
                <w:szCs w:val="3"/>
                <w:color w:val="auto"/>
              </w:rPr>
            </w:pPr>
          </w:p>
        </w:tc>
        <w:tc>
          <w:tcPr>
            <w:tcW w:w="2960" w:type="dxa"/>
            <w:vAlign w:val="bottom"/>
            <w:vMerge w:val="restart"/>
          </w:tcPr>
          <w:p>
            <w:pPr>
              <w:ind w:left="100"/>
              <w:spacing w:after="0"/>
              <w:rPr>
                <w:sz w:val="20"/>
                <w:szCs w:val="20"/>
                <w:color w:val="auto"/>
              </w:rPr>
            </w:pPr>
            <w:r>
              <w:rPr>
                <w:rFonts w:ascii="PMingLiU" w:cs="PMingLiU" w:eastAsia="PMingLiU" w:hAnsi="PMingLiU"/>
                <w:sz w:val="19"/>
                <w:szCs w:val="19"/>
                <w:color w:val="auto"/>
              </w:rPr>
              <w:t>8.1DWLRQDO+HDOWK6HUYLFH</w:t>
            </w: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NHS</w:t>
            </w:r>
          </w:p>
        </w:tc>
        <w:tc>
          <w:tcPr>
            <w:tcW w:w="138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NOL</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net operating loss</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Non-FAMP</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non-federal average manufacturer price</w:t>
            </w: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Non-Narcolepsy</w:t>
            </w: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Indications or uses for Avadel's Lumryz product not currently approved by FDA</w:t>
            </w:r>
          </w:p>
        </w:tc>
        <w:tc>
          <w:tcPr>
            <w:tcW w:w="0" w:type="dxa"/>
            <w:vAlign w:val="bottom"/>
          </w:tcPr>
          <w:p>
            <w:pPr>
              <w:spacing w:after="0"/>
              <w:rPr>
                <w:sz w:val="1"/>
                <w:szCs w:val="1"/>
                <w:color w:val="auto"/>
              </w:rPr>
            </w:pPr>
          </w:p>
        </w:tc>
      </w:tr>
      <w:tr>
        <w:trPr>
          <w:trHeight w:val="156"/>
        </w:trPr>
        <w:tc>
          <w:tcPr>
            <w:tcW w:w="202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Indications</w:t>
            </w: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gridSpan w:val="2"/>
            <w:vMerge w:val="continue"/>
          </w:tcPr>
          <w:p>
            <w:pPr>
              <w:spacing w:after="0"/>
              <w:rPr>
                <w:sz w:val="3"/>
                <w:szCs w:val="3"/>
                <w:color w:val="auto"/>
              </w:rPr>
            </w:pP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One Big Beautiful Bill Act, H.R.1, a budget bill signed into law on July 4, 2025</w:t>
            </w:r>
          </w:p>
        </w:tc>
        <w:tc>
          <w:tcPr>
            <w:tcW w:w="0" w:type="dxa"/>
            <w:vAlign w:val="bottom"/>
          </w:tcPr>
          <w:p>
            <w:pPr>
              <w:spacing w:after="0" w:line="20" w:lineRule="exact"/>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OBBBA</w:t>
            </w:r>
          </w:p>
        </w:tc>
        <w:tc>
          <w:tcPr>
            <w:tcW w:w="7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ODE</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Orphan Drug Exclusivity in the U.S.</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OECD</w:t>
            </w:r>
          </w:p>
        </w:tc>
        <w:tc>
          <w:tcPr>
            <w:tcW w:w="1380" w:type="dxa"/>
            <w:vAlign w:val="bottom"/>
          </w:tcPr>
          <w:p>
            <w:pPr>
              <w:spacing w:after="0"/>
              <w:rPr>
                <w:sz w:val="17"/>
                <w:szCs w:val="17"/>
                <w:color w:val="auto"/>
              </w:rPr>
            </w:pPr>
          </w:p>
        </w:tc>
        <w:tc>
          <w:tcPr>
            <w:tcW w:w="75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9"/>
                <w:szCs w:val="19"/>
                <w:color w:val="auto"/>
              </w:rPr>
              <w:t>Organization for Economic Co-operation and Development</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OIG</w:t>
            </w:r>
          </w:p>
        </w:tc>
        <w:tc>
          <w:tcPr>
            <w:tcW w:w="1380" w:type="dxa"/>
            <w:vAlign w:val="bottom"/>
          </w:tcPr>
          <w:p>
            <w:pPr>
              <w:spacing w:after="0"/>
              <w:rPr>
                <w:sz w:val="16"/>
                <w:szCs w:val="16"/>
                <w:color w:val="auto"/>
              </w:rPr>
            </w:pP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Office of Inspector General of the HHS</w:t>
            </w: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Old Repurchase</w:t>
            </w: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our share repurchase program authorized by our board of directors in November 2016</w:t>
            </w:r>
          </w:p>
        </w:tc>
        <w:tc>
          <w:tcPr>
            <w:tcW w:w="0" w:type="dxa"/>
            <w:vAlign w:val="bottom"/>
          </w:tcPr>
          <w:p>
            <w:pPr>
              <w:spacing w:after="0"/>
              <w:rPr>
                <w:sz w:val="1"/>
                <w:szCs w:val="1"/>
                <w:color w:val="auto"/>
              </w:rPr>
            </w:pPr>
          </w:p>
        </w:tc>
      </w:tr>
      <w:tr>
        <w:trPr>
          <w:trHeight w:val="156"/>
        </w:trPr>
        <w:tc>
          <w:tcPr>
            <w:tcW w:w="202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Program</w:t>
            </w: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gridSpan w:val="2"/>
            <w:vMerge w:val="continue"/>
          </w:tcPr>
          <w:p>
            <w:pPr>
              <w:spacing w:after="0"/>
              <w:rPr>
                <w:sz w:val="3"/>
                <w:szCs w:val="3"/>
                <w:color w:val="auto"/>
              </w:rPr>
            </w:pPr>
          </w:p>
        </w:tc>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rPr>
              <w:t>orphan market exclusivity in the EU</w:t>
            </w: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OME</w:t>
            </w:r>
          </w:p>
        </w:tc>
        <w:tc>
          <w:tcPr>
            <w:tcW w:w="138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Orange Book</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Par</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Par Pharmaceutical, Inc.</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Patheon</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Patheon Pharmaceuticals Inc., together with its affiliates</w:t>
            </w: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Patheon Agreement</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our Master Manufacturing Services Agreement with Patheon</w:t>
            </w: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PBL</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Porton Biopharma Limited</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PBMs</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pharmacy benefit managers</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PDUFA</w:t>
            </w: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Prescription Drug User Fee Act</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Pfenex</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Pfenex, Inc.</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PharmaMar</w:t>
            </w: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Pharma Mar, S.A.</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Pillar Two</w:t>
            </w: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the OECD framework proposal to implement a two-pillar plan on global tax reform, including a</w:t>
            </w:r>
          </w:p>
        </w:tc>
        <w:tc>
          <w:tcPr>
            <w:tcW w:w="0" w:type="dxa"/>
            <w:vAlign w:val="bottom"/>
          </w:tcPr>
          <w:p>
            <w:pPr>
              <w:spacing w:after="0"/>
              <w:rPr>
                <w:sz w:val="1"/>
                <w:szCs w:val="1"/>
                <w:color w:val="auto"/>
              </w:rPr>
            </w:pPr>
          </w:p>
        </w:tc>
      </w:tr>
      <w:tr>
        <w:trPr>
          <w:trHeight w:val="196"/>
        </w:trPr>
        <w:tc>
          <w:tcPr>
            <w:tcW w:w="2020" w:type="dxa"/>
            <w:vAlign w:val="bottom"/>
            <w:gridSpan w:val="2"/>
            <w:vMerge w:val="continue"/>
          </w:tcPr>
          <w:p>
            <w:pPr>
              <w:spacing w:after="0"/>
              <w:rPr>
                <w:sz w:val="17"/>
                <w:szCs w:val="17"/>
                <w:color w:val="auto"/>
              </w:rPr>
            </w:pPr>
          </w:p>
        </w:tc>
        <w:tc>
          <w:tcPr>
            <w:tcW w:w="75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9"/>
                <w:szCs w:val="19"/>
                <w:color w:val="auto"/>
              </w:rPr>
              <w:t>global minimum tax rate of 15% for large multinational corporations on a jurisdiction-by-</w:t>
            </w:r>
          </w:p>
        </w:tc>
        <w:tc>
          <w:tcPr>
            <w:tcW w:w="0" w:type="dxa"/>
            <w:vAlign w:val="bottom"/>
          </w:tcPr>
          <w:p>
            <w:pPr>
              <w:spacing w:after="0"/>
              <w:rPr>
                <w:sz w:val="1"/>
                <w:szCs w:val="1"/>
                <w:color w:val="auto"/>
              </w:rPr>
            </w:pPr>
          </w:p>
        </w:tc>
      </w:tr>
      <w:tr>
        <w:trPr>
          <w:trHeight w:val="19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PRC</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jurisdiction basis</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People's Republic of China</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PRSUs</w:t>
            </w:r>
          </w:p>
        </w:tc>
        <w:tc>
          <w:tcPr>
            <w:tcW w:w="1380" w:type="dxa"/>
            <w:vAlign w:val="bottom"/>
          </w:tcPr>
          <w:p>
            <w:pPr>
              <w:spacing w:after="0"/>
              <w:rPr>
                <w:sz w:val="17"/>
                <w:szCs w:val="17"/>
                <w:color w:val="auto"/>
              </w:rPr>
            </w:pPr>
          </w:p>
        </w:tc>
        <w:tc>
          <w:tcPr>
            <w:tcW w:w="756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9"/>
                <w:szCs w:val="19"/>
                <w:color w:val="auto"/>
              </w:rPr>
              <w:t>Performance-based restricted stock units</w:t>
            </w: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PRV</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priority review voucher</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PTAB</w:t>
            </w:r>
          </w:p>
        </w:tc>
        <w:tc>
          <w:tcPr>
            <w:tcW w:w="1380" w:type="dxa"/>
            <w:vAlign w:val="bottom"/>
          </w:tcPr>
          <w:p>
            <w:pPr>
              <w:spacing w:after="0"/>
              <w:rPr>
                <w:sz w:val="16"/>
                <w:szCs w:val="16"/>
                <w:color w:val="auto"/>
              </w:rPr>
            </w:pP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Patent Trial and Appeal Board of the USPTO</w:t>
            </w:r>
          </w:p>
        </w:tc>
        <w:tc>
          <w:tcPr>
            <w:tcW w:w="0" w:type="dxa"/>
            <w:vAlign w:val="bottom"/>
          </w:tcPr>
          <w:p>
            <w:pPr>
              <w:spacing w:after="0"/>
              <w:rPr>
                <w:sz w:val="1"/>
                <w:szCs w:val="1"/>
                <w:color w:val="auto"/>
              </w:rPr>
            </w:pPr>
          </w:p>
        </w:tc>
      </w:tr>
      <w:tr>
        <w:trPr>
          <w:trHeight w:val="196"/>
        </w:trPr>
        <w:tc>
          <w:tcPr>
            <w:tcW w:w="64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R&amp;D</w:t>
            </w:r>
          </w:p>
        </w:tc>
        <w:tc>
          <w:tcPr>
            <w:tcW w:w="1380" w:type="dxa"/>
            <w:vAlign w:val="bottom"/>
          </w:tcPr>
          <w:p>
            <w:pPr>
              <w:spacing w:after="0"/>
              <w:rPr>
                <w:sz w:val="17"/>
                <w:szCs w:val="17"/>
                <w:color w:val="auto"/>
              </w:rPr>
            </w:pPr>
          </w:p>
        </w:tc>
        <w:tc>
          <w:tcPr>
            <w:tcW w:w="2960" w:type="dxa"/>
            <w:vAlign w:val="bottom"/>
          </w:tcPr>
          <w:p>
            <w:pPr>
              <w:ind w:left="100"/>
              <w:spacing w:after="0" w:line="195" w:lineRule="exact"/>
              <w:rPr>
                <w:sz w:val="20"/>
                <w:szCs w:val="20"/>
                <w:color w:val="auto"/>
              </w:rPr>
            </w:pPr>
            <w:r>
              <w:rPr>
                <w:rFonts w:ascii="Times New Roman" w:cs="Times New Roman" w:eastAsia="Times New Roman" w:hAnsi="Times New Roman"/>
                <w:sz w:val="19"/>
                <w:szCs w:val="19"/>
                <w:color w:val="auto"/>
              </w:rPr>
              <w:t>research and development</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R/R</w:t>
            </w:r>
          </w:p>
        </w:tc>
        <w:tc>
          <w:tcPr>
            <w:tcW w:w="1380" w:type="dxa"/>
            <w:vAlign w:val="bottom"/>
          </w:tcPr>
          <w:p>
            <w:pPr>
              <w:spacing w:after="0"/>
              <w:rPr>
                <w:sz w:val="16"/>
                <w:szCs w:val="16"/>
                <w:color w:val="auto"/>
              </w:rPr>
            </w:pPr>
          </w:p>
        </w:tc>
        <w:tc>
          <w:tcPr>
            <w:tcW w:w="296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auto"/>
              </w:rPr>
              <w:t>relapsed/refractory</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2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9"/>
                <w:szCs w:val="19"/>
                <w:color w:val="auto"/>
              </w:rPr>
              <w:t>Recommendation</w:t>
            </w: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Chimerix's Schedule 14D-9 Solicitation/Recommendation Statement</w:t>
            </w:r>
          </w:p>
        </w:tc>
        <w:tc>
          <w:tcPr>
            <w:tcW w:w="0" w:type="dxa"/>
            <w:vAlign w:val="bottom"/>
          </w:tcPr>
          <w:p>
            <w:pPr>
              <w:spacing w:after="0"/>
              <w:rPr>
                <w:sz w:val="1"/>
                <w:szCs w:val="1"/>
                <w:color w:val="auto"/>
              </w:rPr>
            </w:pPr>
          </w:p>
        </w:tc>
      </w:tr>
      <w:tr>
        <w:trPr>
          <w:trHeight w:val="156"/>
        </w:trPr>
        <w:tc>
          <w:tcPr>
            <w:tcW w:w="202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Statement</w:t>
            </w: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20" w:type="dxa"/>
            <w:vAlign w:val="bottom"/>
            <w:gridSpan w:val="2"/>
            <w:vMerge w:val="continue"/>
          </w:tcPr>
          <w:p>
            <w:pPr>
              <w:spacing w:after="0"/>
              <w:rPr>
                <w:sz w:val="3"/>
                <w:szCs w:val="3"/>
                <w:color w:val="auto"/>
              </w:rPr>
            </w:pPr>
          </w:p>
        </w:tc>
        <w:tc>
          <w:tcPr>
            <w:tcW w:w="29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rPr>
              <w:t>Redx Pharma plc</w:t>
            </w:r>
          </w:p>
        </w:tc>
        <w:tc>
          <w:tcPr>
            <w:tcW w:w="4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Redx</w:t>
            </w:r>
          </w:p>
        </w:tc>
        <w:tc>
          <w:tcPr>
            <w:tcW w:w="138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REMS</w:t>
            </w:r>
          </w:p>
        </w:tc>
        <w:tc>
          <w:tcPr>
            <w:tcW w:w="1380" w:type="dxa"/>
            <w:vAlign w:val="bottom"/>
          </w:tcPr>
          <w:p>
            <w:pPr>
              <w:spacing w:after="0"/>
              <w:rPr>
                <w:sz w:val="16"/>
                <w:szCs w:val="16"/>
                <w:color w:val="auto"/>
              </w:rPr>
            </w:pPr>
          </w:p>
        </w:tc>
        <w:tc>
          <w:tcPr>
            <w:tcW w:w="756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9"/>
                <w:szCs w:val="19"/>
                <w:color w:val="auto"/>
              </w:rPr>
              <w:t>risk evaluation and mitigation strategy</w:t>
            </w:r>
          </w:p>
        </w:tc>
        <w:tc>
          <w:tcPr>
            <w:tcW w:w="0" w:type="dxa"/>
            <w:vAlign w:val="bottom"/>
          </w:tcPr>
          <w:p>
            <w:pPr>
              <w:spacing w:after="0"/>
              <w:rPr>
                <w:sz w:val="1"/>
                <w:szCs w:val="1"/>
                <w:color w:val="auto"/>
              </w:rPr>
            </w:pPr>
          </w:p>
        </w:tc>
      </w:tr>
      <w:tr>
        <w:trPr>
          <w:trHeight w:val="196"/>
        </w:trPr>
        <w:tc>
          <w:tcPr>
            <w:tcW w:w="20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Repricing Amendment</w:t>
            </w: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amendment to the Credit Agreement entered into by Jazz Lux in January 2024</w:t>
            </w:r>
          </w:p>
        </w:tc>
        <w:tc>
          <w:tcPr>
            <w:tcW w:w="0" w:type="dxa"/>
            <w:vAlign w:val="bottom"/>
          </w:tcPr>
          <w:p>
            <w:pPr>
              <w:spacing w:after="0"/>
              <w:rPr>
                <w:sz w:val="1"/>
                <w:szCs w:val="1"/>
                <w:color w:val="auto"/>
              </w:rPr>
            </w:pPr>
          </w:p>
        </w:tc>
      </w:tr>
      <w:tr>
        <w:trPr>
          <w:trHeight w:val="153"/>
        </w:trPr>
        <w:tc>
          <w:tcPr>
            <w:tcW w:w="640" w:type="dxa"/>
            <w:vAlign w:val="bottom"/>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No.1</w:t>
            </w:r>
          </w:p>
        </w:tc>
        <w:tc>
          <w:tcPr>
            <w:tcW w:w="1380" w:type="dxa"/>
            <w:vAlign w:val="bottom"/>
          </w:tcPr>
          <w:p>
            <w:pPr>
              <w:spacing w:after="0"/>
              <w:rPr>
                <w:sz w:val="13"/>
                <w:szCs w:val="13"/>
                <w:color w:val="auto"/>
              </w:rPr>
            </w:pP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7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color w:val="auto"/>
              </w:rPr>
              <w:t>amendment to the Credit Agreement entered into by Jazz Lux in July 2024</w:t>
            </w:r>
          </w:p>
        </w:tc>
        <w:tc>
          <w:tcPr>
            <w:tcW w:w="0" w:type="dxa"/>
            <w:vAlign w:val="bottom"/>
          </w:tcPr>
          <w:p>
            <w:pPr>
              <w:spacing w:after="0" w:line="20" w:lineRule="exact"/>
              <w:rPr>
                <w:sz w:val="1"/>
                <w:szCs w:val="1"/>
                <w:color w:val="auto"/>
              </w:rPr>
            </w:pPr>
          </w:p>
        </w:tc>
      </w:tr>
      <w:tr>
        <w:trPr>
          <w:trHeight w:val="258"/>
        </w:trPr>
        <w:tc>
          <w:tcPr>
            <w:tcW w:w="20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Repricing Amendment</w:t>
            </w:r>
          </w:p>
        </w:tc>
        <w:tc>
          <w:tcPr>
            <w:tcW w:w="75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5"/>
        </w:trPr>
        <w:tc>
          <w:tcPr>
            <w:tcW w:w="640" w:type="dxa"/>
            <w:vAlign w:val="bottom"/>
          </w:tcPr>
          <w:p>
            <w:pPr>
              <w:spacing w:after="0"/>
              <w:rPr>
                <w:sz w:val="20"/>
                <w:szCs w:val="20"/>
                <w:color w:val="auto"/>
              </w:rPr>
            </w:pPr>
            <w:r>
              <w:rPr>
                <w:rFonts w:ascii="Arial" w:cs="Arial" w:eastAsia="Arial" w:hAnsi="Arial"/>
                <w:sz w:val="20"/>
                <w:szCs w:val="20"/>
                <w:b w:val="1"/>
                <w:bCs w:val="1"/>
                <w:color w:val="5C004B"/>
              </w:rPr>
              <w:t>6</w:t>
            </w:r>
          </w:p>
        </w:tc>
        <w:tc>
          <w:tcPr>
            <w:tcW w:w="4340" w:type="dxa"/>
            <w:vAlign w:val="bottom"/>
            <w:gridSpan w:val="2"/>
          </w:tcPr>
          <w:p>
            <w:pPr>
              <w:spacing w:after="0"/>
              <w:rPr>
                <w:sz w:val="20"/>
                <w:szCs w:val="20"/>
                <w:color w:val="auto"/>
              </w:rPr>
            </w:pPr>
            <w:r>
              <w:rPr>
                <w:rFonts w:ascii="Arial" w:cs="Arial" w:eastAsia="Arial" w:hAnsi="Arial"/>
                <w:sz w:val="16"/>
                <w:szCs w:val="16"/>
                <w:color w:val="auto"/>
              </w:rPr>
              <w:t>2025 ANNUAL REPORT</w:t>
            </w:r>
          </w:p>
        </w:tc>
        <w:tc>
          <w:tcPr>
            <w:tcW w:w="4600" w:type="dxa"/>
            <w:vAlign w:val="bottom"/>
            <w:vMerge w:val="restart"/>
          </w:tcPr>
          <w:p>
            <w:pPr>
              <w:jc w:val="right"/>
              <w:ind w:right="4403"/>
              <w:spacing w:after="0"/>
              <w:rPr>
                <w:sz w:val="20"/>
                <w:szCs w:val="20"/>
                <w:color w:val="auto"/>
              </w:rPr>
            </w:pPr>
            <w:r>
              <w:rPr>
                <w:rFonts w:ascii="Times New Roman" w:cs="Times New Roman" w:eastAsia="Times New Roman" w:hAnsi="Times New Roman"/>
                <w:sz w:val="19"/>
                <w:szCs w:val="19"/>
                <w:color w:val="auto"/>
                <w:w w:val="83"/>
              </w:rPr>
              <w:t>6</w:t>
            </w:r>
          </w:p>
        </w:tc>
        <w:tc>
          <w:tcPr>
            <w:tcW w:w="0" w:type="dxa"/>
            <w:vAlign w:val="bottom"/>
          </w:tcPr>
          <w:p>
            <w:pPr>
              <w:spacing w:after="0"/>
              <w:rPr>
                <w:sz w:val="1"/>
                <w:szCs w:val="1"/>
                <w:color w:val="auto"/>
              </w:rPr>
            </w:pPr>
          </w:p>
        </w:tc>
      </w:tr>
      <w:tr>
        <w:trPr>
          <w:trHeight w:val="102"/>
        </w:trPr>
        <w:tc>
          <w:tcPr>
            <w:tcW w:w="6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-269240</wp:posOffset>
            </wp:positionV>
            <wp:extent cx="1416050" cy="2546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425">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9580"/>
          </w:cols>
          <w:pgMar w:left="900" w:top="690" w:right="1399" w:bottom="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8"/>
        </w:trPr>
        <w:tc>
          <w:tcPr>
            <w:tcW w:w="2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Term</w:t>
            </w:r>
          </w:p>
        </w:tc>
        <w:tc>
          <w:tcPr>
            <w:tcW w:w="76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No.2</w:t>
            </w:r>
          </w:p>
        </w:tc>
        <w:tc>
          <w:tcPr>
            <w:tcW w:w="766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Request for Comment</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RFC</w:t>
            </w:r>
          </w:p>
        </w:tc>
        <w:tc>
          <w:tcPr>
            <w:tcW w:w="7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PMingLiU" w:cs="PMingLiU" w:eastAsia="PMingLiU" w:hAnsi="PMingLiU"/>
                <w:sz w:val="19"/>
                <w:szCs w:val="19"/>
                <w:color w:val="auto"/>
              </w:rPr>
              <w:t>5.3KDUPD</w:t>
            </w:r>
          </w:p>
        </w:tc>
        <w:tc>
          <w:tcPr>
            <w:tcW w:w="7660" w:type="dxa"/>
            <w:vAlign w:val="bottom"/>
          </w:tcPr>
          <w:p>
            <w:pPr>
              <w:ind w:left="60"/>
              <w:spacing w:after="0" w:line="193" w:lineRule="exact"/>
              <w:rPr>
                <w:sz w:val="20"/>
                <w:szCs w:val="20"/>
                <w:color w:val="auto"/>
              </w:rPr>
            </w:pPr>
            <w:r>
              <w:rPr>
                <w:rFonts w:ascii="PMingLiU" w:cs="PMingLiU" w:eastAsia="PMingLiU" w:hAnsi="PMingLiU"/>
                <w:sz w:val="19"/>
                <w:szCs w:val="19"/>
                <w:color w:val="auto"/>
              </w:rPr>
              <w:t>5.3KDUPD,QF$SLFRUH86//&amp;$UFKLV3KDUPD//&amp;9J\DDQ3KDUPDFHXWLFDOV//&amp;</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RLD</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reference listed drug</w:t>
            </w:r>
          </w:p>
        </w:tc>
        <w:tc>
          <w:tcPr>
            <w:tcW w:w="0" w:type="dxa"/>
            <w:vAlign w:val="bottom"/>
          </w:tcPr>
          <w:p>
            <w:pPr>
              <w:spacing w:after="0"/>
              <w:rPr>
                <w:sz w:val="1"/>
                <w:szCs w:val="1"/>
                <w:color w:val="auto"/>
              </w:rPr>
            </w:pPr>
          </w:p>
        </w:tc>
      </w:tr>
      <w:tr>
        <w:trPr>
          <w:trHeight w:val="196"/>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Rosenthal Lawsuit</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a lawsuit filed in the Supreme Court of the State of New York, County of Chemung, by David</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7660" w:type="dxa"/>
            <w:vAlign w:val="bottom"/>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Rosenthal, purportedly on behalf of Chimerix Shareholders</w:t>
            </w:r>
          </w:p>
        </w:tc>
        <w:tc>
          <w:tcPr>
            <w:tcW w:w="0" w:type="dxa"/>
            <w:vAlign w:val="bottom"/>
          </w:tcPr>
          <w:p>
            <w:pPr>
              <w:spacing w:after="0"/>
              <w:rPr>
                <w:sz w:val="1"/>
                <w:szCs w:val="1"/>
                <w:color w:val="auto"/>
              </w:rPr>
            </w:pPr>
          </w:p>
        </w:tc>
      </w:tr>
      <w:tr>
        <w:trPr>
          <w:trHeight w:val="40"/>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RSUs</w:t>
            </w:r>
          </w:p>
        </w:tc>
        <w:tc>
          <w:tcPr>
            <w:tcW w:w="7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000" w:type="dxa"/>
            <w:vAlign w:val="bottom"/>
            <w:vMerge w:val="continue"/>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restricted stock units</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RTOR</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Real-Time Oncology Review</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Saniona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Saniona A/S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sBLA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supplemental BLA</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SCLC</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small cell lung cancer</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SEC</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U.S. Securities and Exchange Commission</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Secured Notes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Securities Act</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Securities Act of 1933, as amended</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On August 14, 2020, a class action lawsuit was filed in the United States District Court for the</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Southern District of New York by the Self-Insured Schools of California on behalf of itself and all</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others similarly situated, against the Company Defendants, as well as Hikma, Eurohealth (USA)</w:t>
            </w:r>
          </w:p>
        </w:tc>
        <w:tc>
          <w:tcPr>
            <w:tcW w:w="0" w:type="dxa"/>
            <w:vAlign w:val="bottom"/>
          </w:tcPr>
          <w:p>
            <w:pPr>
              <w:spacing w:after="0"/>
              <w:rPr>
                <w:sz w:val="1"/>
                <w:szCs w:val="1"/>
                <w:color w:val="auto"/>
              </w:rPr>
            </w:pPr>
          </w:p>
        </w:tc>
      </w:tr>
      <w:tr>
        <w:trPr>
          <w:trHeight w:val="193"/>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Self-Insured Schools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Inc., Hikma Pharmaceuticals USA, Inc., West-Ward Pharmaceuticals Corp., Roxane Laboratories,</w:t>
            </w:r>
          </w:p>
        </w:tc>
        <w:tc>
          <w:tcPr>
            <w:tcW w:w="0" w:type="dxa"/>
            <w:vAlign w:val="bottom"/>
          </w:tcPr>
          <w:p>
            <w:pPr>
              <w:spacing w:after="0"/>
              <w:rPr>
                <w:sz w:val="1"/>
                <w:szCs w:val="1"/>
                <w:color w:val="auto"/>
              </w:rPr>
            </w:pPr>
          </w:p>
        </w:tc>
      </w:tr>
      <w:tr>
        <w:trPr>
          <w:trHeight w:val="98"/>
        </w:trPr>
        <w:tc>
          <w:tcPr>
            <w:tcW w:w="2000" w:type="dxa"/>
            <w:vAlign w:val="bottom"/>
            <w:vMerge w:val="continue"/>
          </w:tcPr>
          <w:p>
            <w:pPr>
              <w:spacing w:after="0"/>
              <w:rPr>
                <w:sz w:val="8"/>
                <w:szCs w:val="8"/>
                <w:color w:val="auto"/>
              </w:rPr>
            </w:pPr>
          </w:p>
        </w:tc>
        <w:tc>
          <w:tcPr>
            <w:tcW w:w="7660" w:type="dxa"/>
            <w:vAlign w:val="bottom"/>
            <w:vMerge w:val="restart"/>
          </w:tcPr>
          <w:p>
            <w:pPr>
              <w:ind w:left="60"/>
              <w:spacing w:after="0" w:line="193" w:lineRule="exact"/>
              <w:rPr>
                <w:sz w:val="20"/>
                <w:szCs w:val="20"/>
                <w:color w:val="auto"/>
              </w:rPr>
            </w:pPr>
            <w:r>
              <w:rPr>
                <w:rFonts w:ascii="Times New Roman" w:cs="Times New Roman" w:eastAsia="Times New Roman" w:hAnsi="Times New Roman"/>
                <w:sz w:val="19"/>
                <w:szCs w:val="19"/>
                <w:color w:val="auto"/>
              </w:rPr>
              <w:t>Inc., Amneal, Endo International, plc, Endo Pharmaceuticals LLC, Par, Lupin Ltd., Lupin</w:t>
            </w:r>
          </w:p>
        </w:tc>
        <w:tc>
          <w:tcPr>
            <w:tcW w:w="0" w:type="dxa"/>
            <w:vAlign w:val="bottom"/>
          </w:tcPr>
          <w:p>
            <w:pPr>
              <w:spacing w:after="0"/>
              <w:rPr>
                <w:sz w:val="1"/>
                <w:szCs w:val="1"/>
                <w:color w:val="auto"/>
              </w:rPr>
            </w:pPr>
          </w:p>
        </w:tc>
      </w:tr>
      <w:tr>
        <w:trPr>
          <w:trHeight w:val="95"/>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Lawsuit</w:t>
            </w: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00" w:type="dxa"/>
            <w:vAlign w:val="bottom"/>
            <w:vMerge w:val="continue"/>
          </w:tcPr>
          <w:p>
            <w:pPr>
              <w:spacing w:after="0"/>
              <w:rPr>
                <w:sz w:val="14"/>
                <w:szCs w:val="14"/>
                <w:color w:val="auto"/>
              </w:rPr>
            </w:pPr>
          </w:p>
        </w:tc>
        <w:tc>
          <w:tcPr>
            <w:tcW w:w="7660" w:type="dxa"/>
            <w:vAlign w:val="bottom"/>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Pharmaceuticals Inc., Lupin, Sun Pharmaceutical Industries Ltd., Sun Pharmaceutical Holdings</w:t>
            </w:r>
          </w:p>
        </w:tc>
        <w:tc>
          <w:tcPr>
            <w:tcW w:w="0" w:type="dxa"/>
            <w:vAlign w:val="bottom"/>
          </w:tcPr>
          <w:p>
            <w:pPr>
              <w:spacing w:after="0"/>
              <w:rPr>
                <w:sz w:val="1"/>
                <w:szCs w:val="1"/>
                <w:color w:val="auto"/>
              </w:rPr>
            </w:pPr>
          </w:p>
        </w:tc>
      </w:tr>
      <w:tr>
        <w:trPr>
          <w:trHeight w:val="33"/>
        </w:trPr>
        <w:tc>
          <w:tcPr>
            <w:tcW w:w="2000" w:type="dxa"/>
            <w:vAlign w:val="bottom"/>
          </w:tcPr>
          <w:p>
            <w:pPr>
              <w:spacing w:after="0"/>
              <w:rPr>
                <w:sz w:val="2"/>
                <w:szCs w:val="2"/>
                <w:color w:val="auto"/>
              </w:rPr>
            </w:pPr>
          </w:p>
        </w:tc>
        <w:tc>
          <w:tcPr>
            <w:tcW w:w="7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00" w:type="dxa"/>
            <w:vAlign w:val="bottom"/>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USA, Inc., Sun Pharmaceutical Industries, Inc., Ranbaxy Laboratories Ltd., Teva Pharmaceutical</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Industries Ltd., Watson Laboratories, Inc., Wockhardt Ltd., Morton Grove Pharmaceuticals, Inc.,</w:t>
            </w:r>
          </w:p>
        </w:tc>
        <w:tc>
          <w:tcPr>
            <w:tcW w:w="0" w:type="dxa"/>
            <w:vAlign w:val="bottom"/>
          </w:tcPr>
          <w:p>
            <w:pPr>
              <w:spacing w:after="0"/>
              <w:rPr>
                <w:sz w:val="1"/>
                <w:szCs w:val="1"/>
                <w:color w:val="auto"/>
              </w:rPr>
            </w:pPr>
          </w:p>
        </w:tc>
      </w:tr>
      <w:tr>
        <w:trPr>
          <w:trHeight w:val="196"/>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Siegfried</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Wockhardt USA LLC, Mallinckrodt plc, and Mallinckrodt LLC</w:t>
            </w:r>
          </w:p>
        </w:tc>
        <w:tc>
          <w:tcPr>
            <w:tcW w:w="0" w:type="dxa"/>
            <w:vAlign w:val="bottom"/>
          </w:tcPr>
          <w:p>
            <w:pPr>
              <w:spacing w:after="0"/>
              <w:rPr>
                <w:sz w:val="1"/>
                <w:szCs w:val="1"/>
                <w:color w:val="auto"/>
              </w:rPr>
            </w:pPr>
          </w:p>
        </w:tc>
      </w:tr>
      <w:tr>
        <w:trPr>
          <w:trHeight w:val="193"/>
        </w:trPr>
        <w:tc>
          <w:tcPr>
            <w:tcW w:w="2000" w:type="dxa"/>
            <w:vAlign w:val="bottom"/>
            <w:vMerge w:val="continue"/>
          </w:tcPr>
          <w:p>
            <w:pPr>
              <w:spacing w:after="0"/>
              <w:rPr>
                <w:sz w:val="16"/>
                <w:szCs w:val="16"/>
                <w:color w:val="auto"/>
              </w:rPr>
            </w:pP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Siegfried USA, LLC and its European affiliates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Simtra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Simtra Biopharma Solutions</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SmPC</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Summary of Product Characteristics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sNDA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supplemental NDA</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Sumitomo</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Sumitomo Pharma Co., Ltd.</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Sunshine provisions</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Physician Payment Sunshine Act</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sVOD</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severe VOD</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Takeda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Takeda Pharmaceutical Company Limited</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T-DXd</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trastuzumab deruxtecan</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TCA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EU-</w:t>
            </w:r>
            <w:r>
              <w:rPr>
                <w:rFonts w:ascii="PMingLiU" w:cs="PMingLiU" w:eastAsia="PMingLiU" w:hAnsi="PMingLiU"/>
                <w:sz w:val="19"/>
                <w:szCs w:val="19"/>
                <w:color w:val="auto"/>
              </w:rPr>
              <w:t>8.7UDGHDQG&amp;RRSHUDWLRQ$JUHHPHQW</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Tender Offer Documents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our Tender Offer Statement together with the Recommendation Statement</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Term SOFR</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U.S. dollar Secured Overnight Financing Rate</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Teva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Teva Pharmaceuticals, Inc.</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Tranche B-1 Dollar</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upon entry into the Repricing Amendment No.1, the then outstanding Dollar Term Loan was</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Term Loans</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refinanced into a new tranche of U.S. dollar term loans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Tranche B-2 Dollar</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upon entry into the Repricing Amendment No.2, the then outstanding Tranche B-1 Dollar Term</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Term Loans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Loans were refinanced into a new tranche of U.S. dollar term loans</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Tricare program</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Tricare Retail Pharmacy program</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Tris Pharma</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Tris Pharma, Inc.</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TSC</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tuberous sclerosis complex</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TSR</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total shareholder return</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PMingLiU" w:cs="PMingLiU" w:eastAsia="PMingLiU" w:hAnsi="PMingLiU"/>
                <w:sz w:val="19"/>
                <w:szCs w:val="19"/>
                <w:color w:val="auto"/>
              </w:rPr>
              <w:t>8.</w:t>
            </w:r>
          </w:p>
        </w:tc>
        <w:tc>
          <w:tcPr>
            <w:tcW w:w="7660" w:type="dxa"/>
            <w:vAlign w:val="bottom"/>
          </w:tcPr>
          <w:p>
            <w:pPr>
              <w:ind w:left="60"/>
              <w:spacing w:after="0" w:line="193" w:lineRule="exact"/>
              <w:rPr>
                <w:sz w:val="20"/>
                <w:szCs w:val="20"/>
                <w:color w:val="auto"/>
              </w:rPr>
            </w:pPr>
            <w:r>
              <w:rPr>
                <w:rFonts w:ascii="PMingLiU" w:cs="PMingLiU" w:eastAsia="PMingLiU" w:hAnsi="PMingLiU"/>
                <w:sz w:val="19"/>
                <w:szCs w:val="19"/>
                <w:color w:val="auto"/>
              </w:rPr>
              <w:t>8QLWHG.LQJGRP</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PMingLiU" w:cs="PMingLiU" w:eastAsia="PMingLiU" w:hAnsi="PMingLiU"/>
                <w:sz w:val="19"/>
                <w:szCs w:val="19"/>
                <w:color w:val="auto"/>
              </w:rPr>
              <w:t>8.%ULEHU\$FW</w:t>
            </w:r>
          </w:p>
        </w:tc>
        <w:tc>
          <w:tcPr>
            <w:tcW w:w="7660" w:type="dxa"/>
            <w:vAlign w:val="bottom"/>
          </w:tcPr>
          <w:p>
            <w:pPr>
              <w:ind w:left="60"/>
              <w:spacing w:after="0" w:line="193" w:lineRule="exact"/>
              <w:rPr>
                <w:sz w:val="20"/>
                <w:szCs w:val="20"/>
                <w:color w:val="auto"/>
              </w:rPr>
            </w:pPr>
            <w:r>
              <w:rPr>
                <w:rFonts w:ascii="PMingLiU" w:cs="PMingLiU" w:eastAsia="PMingLiU" w:hAnsi="PMingLiU"/>
                <w:sz w:val="19"/>
                <w:szCs w:val="19"/>
                <w:color w:val="auto"/>
              </w:rPr>
              <w:t>8.%ULEHU\$FWRI</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U.S.</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United States of America</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U.S. GAAP</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U.S. generally accepted accounting principles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USPTO</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U.S. Patent and Trademark Office</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VA</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U.S. Department of Veterans Affairs</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VOD</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veno-occlusive disease</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WAC</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Wholesale Acquisition Cost</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WCLC</w:t>
            </w:r>
          </w:p>
        </w:tc>
        <w:tc>
          <w:tcPr>
            <w:tcW w:w="76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World Conference on Lung Cancer</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Werewolf</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Werewolf Therapeutics, Inc.</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WuXi</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WuXi Biologics Co., Ltd.</w:t>
            </w:r>
          </w:p>
        </w:tc>
        <w:tc>
          <w:tcPr>
            <w:tcW w:w="0" w:type="dxa"/>
            <w:vAlign w:val="bottom"/>
          </w:tcPr>
          <w:p>
            <w:pPr>
              <w:spacing w:after="0"/>
              <w:rPr>
                <w:sz w:val="1"/>
                <w:szCs w:val="1"/>
                <w:color w:val="auto"/>
              </w:rPr>
            </w:pPr>
          </w:p>
        </w:tc>
      </w:tr>
      <w:tr>
        <w:trPr>
          <w:trHeight w:val="196"/>
        </w:trPr>
        <w:tc>
          <w:tcPr>
            <w:tcW w:w="2000" w:type="dxa"/>
            <w:vAlign w:val="bottom"/>
          </w:tcPr>
          <w:p>
            <w:pPr>
              <w:spacing w:after="0" w:line="195" w:lineRule="exact"/>
              <w:rPr>
                <w:sz w:val="20"/>
                <w:szCs w:val="20"/>
                <w:color w:val="auto"/>
              </w:rPr>
            </w:pPr>
            <w:r>
              <w:rPr>
                <w:rFonts w:ascii="PMingLiU" w:cs="PMingLiU" w:eastAsia="PMingLiU" w:hAnsi="PMingLiU"/>
                <w:sz w:val="19"/>
                <w:szCs w:val="19"/>
                <w:color w:val="auto"/>
              </w:rPr>
              <w:t>:X;L+RQJ.RQJ</w:t>
            </w:r>
          </w:p>
        </w:tc>
        <w:tc>
          <w:tcPr>
            <w:tcW w:w="7660" w:type="dxa"/>
            <w:vAlign w:val="bottom"/>
          </w:tcPr>
          <w:p>
            <w:pPr>
              <w:ind w:left="60"/>
              <w:spacing w:after="0" w:line="195" w:lineRule="exact"/>
              <w:rPr>
                <w:sz w:val="20"/>
                <w:szCs w:val="20"/>
                <w:color w:val="auto"/>
              </w:rPr>
            </w:pPr>
            <w:r>
              <w:rPr>
                <w:rFonts w:ascii="PMingLiU" w:cs="PMingLiU" w:eastAsia="PMingLiU" w:hAnsi="PMingLiU"/>
                <w:sz w:val="19"/>
                <w:szCs w:val="19"/>
                <w:color w:val="auto"/>
              </w:rPr>
              <w:t>:X;L%LRORJLFV+RQJ.RQJ/LPLWHG</w:t>
            </w:r>
          </w:p>
        </w:tc>
        <w:tc>
          <w:tcPr>
            <w:tcW w:w="0" w:type="dxa"/>
            <w:vAlign w:val="bottom"/>
          </w:tcPr>
          <w:p>
            <w:pPr>
              <w:spacing w:after="0"/>
              <w:rPr>
                <w:sz w:val="1"/>
                <w:szCs w:val="1"/>
                <w:color w:val="auto"/>
              </w:rPr>
            </w:pPr>
          </w:p>
        </w:tc>
      </w:tr>
      <w:tr>
        <w:trPr>
          <w:trHeight w:val="193"/>
        </w:trPr>
        <w:tc>
          <w:tcPr>
            <w:tcW w:w="20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XLp</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XL-protein GmbH</w:t>
            </w:r>
          </w:p>
        </w:tc>
        <w:tc>
          <w:tcPr>
            <w:tcW w:w="0" w:type="dxa"/>
            <w:vAlign w:val="bottom"/>
          </w:tcPr>
          <w:p>
            <w:pPr>
              <w:spacing w:after="0"/>
              <w:rPr>
                <w:sz w:val="1"/>
                <w:szCs w:val="1"/>
                <w:color w:val="auto"/>
              </w:rPr>
            </w:pPr>
          </w:p>
        </w:tc>
      </w:tr>
      <w:tr>
        <w:trPr>
          <w:trHeight w:val="193"/>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Zepzelca ANDA Filers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Sandoz Inc., InvaGen, CIPLA USA, Inc., CIPLA (EU) Limited, CIPLA Limited, Zydus</w:t>
            </w: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7660" w:type="dxa"/>
            <w:vAlign w:val="bottom"/>
          </w:tcPr>
          <w:p>
            <w:pPr>
              <w:ind w:left="60"/>
              <w:spacing w:after="0" w:line="195" w:lineRule="exact"/>
              <w:rPr>
                <w:sz w:val="20"/>
                <w:szCs w:val="20"/>
                <w:color w:val="auto"/>
              </w:rPr>
            </w:pPr>
            <w:r>
              <w:rPr>
                <w:rFonts w:ascii="PMingLiU" w:cs="PMingLiU" w:eastAsia="PMingLiU" w:hAnsi="PMingLiU"/>
                <w:sz w:val="19"/>
                <w:szCs w:val="19"/>
                <w:color w:val="auto"/>
                <w:w w:val="96"/>
              </w:rPr>
              <w:t>/LIHVFLHQFHV*OREDO)=(=\GXV3KDUPDFHXWLFDOV86$,QF=\GXV/LIHVFLHQFHV/LPLWHG5.</w:t>
            </w:r>
          </w:p>
        </w:tc>
        <w:tc>
          <w:tcPr>
            <w:tcW w:w="0" w:type="dxa"/>
            <w:vAlign w:val="bottom"/>
          </w:tcPr>
          <w:p>
            <w:pPr>
              <w:spacing w:after="0"/>
              <w:rPr>
                <w:sz w:val="1"/>
                <w:szCs w:val="1"/>
                <w:color w:val="auto"/>
              </w:rPr>
            </w:pPr>
          </w:p>
        </w:tc>
      </w:tr>
      <w:tr>
        <w:trPr>
          <w:trHeight w:val="193"/>
        </w:trPr>
        <w:tc>
          <w:tcPr>
            <w:tcW w:w="20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Zymeworks</w:t>
            </w:r>
          </w:p>
        </w:tc>
        <w:tc>
          <w:tcPr>
            <w:tcW w:w="766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color w:val="auto"/>
              </w:rPr>
              <w:t>Pharma, MSN Pharmaceuticals Inc., and MSN Laboratories PVT. LTD.</w:t>
            </w:r>
          </w:p>
        </w:tc>
        <w:tc>
          <w:tcPr>
            <w:tcW w:w="0" w:type="dxa"/>
            <w:vAlign w:val="bottom"/>
          </w:tcPr>
          <w:p>
            <w:pPr>
              <w:spacing w:after="0"/>
              <w:rPr>
                <w:sz w:val="1"/>
                <w:szCs w:val="1"/>
                <w:color w:val="auto"/>
              </w:rPr>
            </w:pPr>
          </w:p>
        </w:tc>
      </w:tr>
      <w:tr>
        <w:trPr>
          <w:trHeight w:val="258"/>
        </w:trPr>
        <w:tc>
          <w:tcPr>
            <w:tcW w:w="2000" w:type="dxa"/>
            <w:vAlign w:val="bottom"/>
            <w:vMerge w:val="continue"/>
          </w:tcPr>
          <w:p>
            <w:pPr>
              <w:spacing w:after="0"/>
              <w:rPr>
                <w:sz w:val="22"/>
                <w:szCs w:val="22"/>
                <w:color w:val="auto"/>
              </w:rPr>
            </w:pPr>
          </w:p>
        </w:tc>
        <w:tc>
          <w:tcPr>
            <w:tcW w:w="7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Zymeworks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1210945</wp:posOffset>
            </wp:positionV>
            <wp:extent cx="259080" cy="2546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42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920" w:type="dxa"/>
        <w:tblCellMar>
          <w:top w:w="0" w:type="dxa"/>
          <w:left w:w="0" w:type="dxa"/>
          <w:bottom w:w="0" w:type="dxa"/>
          <w:right w:w="0" w:type="dxa"/>
        </w:tblCellMar>
      </w:tblPr>
      <w:tr>
        <w:trPr>
          <w:trHeight w:val="285"/>
        </w:trPr>
        <w:tc>
          <w:tcPr>
            <w:tcW w:w="1400" w:type="dxa"/>
            <w:vAlign w:val="bottom"/>
            <w:vMerge w:val="restart"/>
          </w:tcPr>
          <w:p>
            <w:pPr>
              <w:jc w:val="right"/>
              <w:ind w:right="1203"/>
              <w:spacing w:after="0"/>
              <w:rPr>
                <w:sz w:val="20"/>
                <w:szCs w:val="20"/>
                <w:color w:val="auto"/>
              </w:rPr>
            </w:pPr>
            <w:r>
              <w:rPr>
                <w:rFonts w:ascii="Times New Roman" w:cs="Times New Roman" w:eastAsia="Times New Roman" w:hAnsi="Times New Roman"/>
                <w:sz w:val="19"/>
                <w:szCs w:val="19"/>
                <w:color w:val="auto"/>
                <w:w w:val="83"/>
              </w:rPr>
              <w:t>7</w:t>
            </w:r>
          </w:p>
        </w:tc>
        <w:tc>
          <w:tcPr>
            <w:tcW w:w="3320" w:type="dxa"/>
            <w:vAlign w:val="bottom"/>
          </w:tcPr>
          <w:p>
            <w:pPr>
              <w:ind w:left="1300"/>
              <w:spacing w:after="0"/>
              <w:rPr>
                <w:sz w:val="20"/>
                <w:szCs w:val="20"/>
                <w:color w:val="auto"/>
              </w:rPr>
            </w:pPr>
            <w:r>
              <w:rPr>
                <w:rFonts w:ascii="Arial" w:cs="Arial" w:eastAsia="Arial" w:hAnsi="Arial"/>
                <w:sz w:val="16"/>
                <w:szCs w:val="16"/>
                <w:color w:val="auto"/>
              </w:rPr>
              <w:t>2025 ANNUAL REPORT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5C004B"/>
              </w:rPr>
              <w:t>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42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90" w:right="919" w:bottom="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9"/>
          <w:szCs w:val="19"/>
          <w:i w:val="1"/>
          <w:iCs w:val="1"/>
          <w:color w:val="auto"/>
        </w:rPr>
        <w:t>Products</w:t>
      </w:r>
    </w:p>
    <w:p>
      <w:pPr>
        <w:spacing w:after="0" w:line="127" w:lineRule="exact"/>
        <w:rPr>
          <w:sz w:val="20"/>
          <w:szCs w:val="20"/>
          <w:color w:val="auto"/>
        </w:rPr>
      </w:pPr>
    </w:p>
    <w:p>
      <w:pPr>
        <w:ind w:left="60"/>
        <w:spacing w:after="0" w:line="299" w:lineRule="auto"/>
        <w:rPr>
          <w:sz w:val="20"/>
          <w:szCs w:val="20"/>
          <w:color w:val="auto"/>
        </w:rPr>
      </w:pPr>
      <w:r>
        <w:rPr>
          <w:rFonts w:ascii="Times New Roman" w:cs="Times New Roman" w:eastAsia="Times New Roman" w:hAnsi="Times New Roman"/>
          <w:sz w:val="19"/>
          <w:szCs w:val="19"/>
          <w:color w:val="auto"/>
        </w:rPr>
        <w:t>The brand names of our products, our delivery devices and certain of our product candidates and their associated generic names are given below.</w:t>
      </w:r>
    </w:p>
    <w:p>
      <w:pPr>
        <w:sectPr>
          <w:pgSz w:w="11880" w:h="15479" w:orient="portrait"/>
          <w:cols w:equalWidth="0" w:num="1">
            <w:col w:w="9980"/>
          </w:cols>
          <w:pgMar w:left="900" w:top="713" w:right="999" w:bottom="0" w:gutter="0" w:footer="0" w:header="0"/>
        </w:sect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Term</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CombiPlex</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Defitelio</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Epidiolex</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Modeyso</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Rylaze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Description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CombiPlex® (delivery technology platform)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Defitelio® (defibrotide sodium), Defitelio® (defibrotide)</w:t>
      </w:r>
    </w:p>
    <w:p>
      <w:pPr>
        <w:spacing w:after="0" w:line="35"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9"/>
          <w:szCs w:val="19"/>
          <w:color w:val="auto"/>
        </w:rPr>
        <w:t>Epidiolex® (cannabidiol) oral solution, Epidyolex® (the trade name in Europe and other countries outside the U.S. for Epidiolex)</w:t>
      </w:r>
    </w:p>
    <w:p>
      <w:pPr>
        <w:spacing w:after="0" w:line="232" w:lineRule="auto"/>
        <w:rPr>
          <w:sz w:val="20"/>
          <w:szCs w:val="20"/>
          <w:color w:val="auto"/>
        </w:rPr>
      </w:pPr>
      <w:r>
        <w:rPr>
          <w:rFonts w:ascii="Times New Roman" w:cs="Times New Roman" w:eastAsia="Times New Roman" w:hAnsi="Times New Roman"/>
          <w:sz w:val="19"/>
          <w:szCs w:val="19"/>
          <w:color w:val="auto"/>
        </w:rPr>
        <w:t>Modeyso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(dordaviprone)</w:t>
      </w:r>
    </w:p>
    <w:p>
      <w:pPr>
        <w:spacing w:after="0" w:line="1"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9"/>
          <w:szCs w:val="19"/>
          <w:color w:val="auto"/>
        </w:rPr>
        <w:t>Rylaze® (asparaginase erwinia chrysanthemi (recombinant)-rywn), Enrylaze® (the trade name in Europe and other countries outside the U.S. and Canada for Rylaze)</w:t>
      </w:r>
    </w:p>
    <w:p>
      <w:pPr>
        <w:spacing w:after="0" w:line="2" w:lineRule="exact"/>
        <w:rPr>
          <w:sz w:val="20"/>
          <w:szCs w:val="20"/>
          <w:color w:val="auto"/>
        </w:rPr>
      </w:pPr>
    </w:p>
    <w:p>
      <w:pPr>
        <w:sectPr>
          <w:pgSz w:w="11880" w:h="15479" w:orient="portrait"/>
          <w:cols w:equalWidth="0" w:num="2">
            <w:col w:w="1400" w:space="720"/>
            <w:col w:w="7860"/>
          </w:cols>
          <w:pgMar w:left="900" w:top="713" w:right="999" w:bottom="0" w:gutter="0" w:footer="0" w:header="0"/>
          <w:type w:val="continuous"/>
        </w:sectPr>
      </w:pPr>
    </w:p>
    <w:tbl>
      <w:tblPr>
        <w:tblLayout w:type="fixed"/>
        <w:tblInd w:w="60" w:type="dxa"/>
        <w:tblCellMar>
          <w:top w:w="0" w:type="dxa"/>
          <w:left w:w="0" w:type="dxa"/>
          <w:bottom w:w="0" w:type="dxa"/>
          <w:right w:w="0" w:type="dxa"/>
        </w:tblCellMar>
      </w:tblPr>
      <w:tr>
        <w:trPr>
          <w:trHeight w:val="252"/>
        </w:trPr>
        <w:tc>
          <w:tcPr>
            <w:tcW w:w="1380" w:type="dxa"/>
            <w:vAlign w:val="bottom"/>
          </w:tcPr>
          <w:p>
            <w:pPr>
              <w:spacing w:after="0"/>
              <w:rPr>
                <w:sz w:val="20"/>
                <w:szCs w:val="20"/>
                <w:color w:val="auto"/>
              </w:rPr>
            </w:pPr>
            <w:r>
              <w:rPr>
                <w:rFonts w:ascii="Times New Roman" w:cs="Times New Roman" w:eastAsia="Times New Roman" w:hAnsi="Times New Roman"/>
                <w:sz w:val="19"/>
                <w:szCs w:val="19"/>
                <w:color w:val="auto"/>
              </w:rPr>
              <w:t>Sativex*</w:t>
            </w:r>
          </w:p>
        </w:tc>
        <w:tc>
          <w:tcPr>
            <w:tcW w:w="83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Sativex® (nabiximols) oral solution</w:t>
            </w:r>
          </w:p>
        </w:tc>
        <w:tc>
          <w:tcPr>
            <w:tcW w:w="0" w:type="dxa"/>
            <w:vAlign w:val="bottom"/>
          </w:tcPr>
          <w:p>
            <w:pPr>
              <w:spacing w:after="0"/>
              <w:rPr>
                <w:sz w:val="1"/>
                <w:szCs w:val="1"/>
                <w:color w:val="auto"/>
              </w:rPr>
            </w:pPr>
          </w:p>
        </w:tc>
      </w:tr>
      <w:tr>
        <w:trPr>
          <w:trHeight w:val="200"/>
        </w:trPr>
        <w:tc>
          <w:tcPr>
            <w:tcW w:w="13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Vyxeos</w:t>
            </w:r>
          </w:p>
        </w:tc>
        <w:tc>
          <w:tcPr>
            <w:tcW w:w="8340" w:type="dxa"/>
            <w:vAlign w:val="bottom"/>
          </w:tcPr>
          <w:p>
            <w:pPr>
              <w:ind w:left="680"/>
              <w:spacing w:after="0" w:line="200" w:lineRule="exact"/>
              <w:rPr>
                <w:sz w:val="20"/>
                <w:szCs w:val="20"/>
                <w:color w:val="auto"/>
              </w:rPr>
            </w:pPr>
            <w:r>
              <w:rPr>
                <w:rFonts w:ascii="Times New Roman" w:cs="Times New Roman" w:eastAsia="Times New Roman" w:hAnsi="Times New Roman"/>
                <w:sz w:val="19"/>
                <w:szCs w:val="19"/>
                <w:color w:val="auto"/>
              </w:rPr>
              <w:t>Vyxeos® (daunorubicin and cytarabine) liposome for injection, Vyxeos® liposomal 44 mg/100 mg</w:t>
            </w:r>
          </w:p>
        </w:tc>
        <w:tc>
          <w:tcPr>
            <w:tcW w:w="0" w:type="dxa"/>
            <w:vAlign w:val="bottom"/>
          </w:tcPr>
          <w:p>
            <w:pPr>
              <w:spacing w:after="0"/>
              <w:rPr>
                <w:sz w:val="1"/>
                <w:szCs w:val="1"/>
                <w:color w:val="auto"/>
              </w:rPr>
            </w:pPr>
          </w:p>
        </w:tc>
      </w:tr>
      <w:tr>
        <w:trPr>
          <w:trHeight w:val="144"/>
        </w:trPr>
        <w:tc>
          <w:tcPr>
            <w:tcW w:w="1380" w:type="dxa"/>
            <w:vAlign w:val="bottom"/>
            <w:vMerge w:val="continue"/>
          </w:tcPr>
          <w:p>
            <w:pPr>
              <w:spacing w:after="0"/>
              <w:rPr>
                <w:sz w:val="12"/>
                <w:szCs w:val="12"/>
                <w:color w:val="auto"/>
              </w:rPr>
            </w:pPr>
          </w:p>
        </w:tc>
        <w:tc>
          <w:tcPr>
            <w:tcW w:w="8340" w:type="dxa"/>
            <w:vAlign w:val="bottom"/>
            <w:vMerge w:val="restart"/>
          </w:tcPr>
          <w:p>
            <w:pPr>
              <w:ind w:left="680"/>
              <w:spacing w:after="0"/>
              <w:rPr>
                <w:sz w:val="20"/>
                <w:szCs w:val="20"/>
                <w:color w:val="auto"/>
              </w:rPr>
            </w:pPr>
            <w:r>
              <w:rPr>
                <w:rFonts w:ascii="Times New Roman" w:cs="Times New Roman" w:eastAsia="Times New Roman" w:hAnsi="Times New Roman"/>
                <w:sz w:val="19"/>
                <w:szCs w:val="19"/>
                <w:color w:val="auto"/>
              </w:rPr>
              <w:t>powder for concentrate for solution for infusion</w:t>
            </w: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8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380" w:type="dxa"/>
            <w:vAlign w:val="bottom"/>
          </w:tcPr>
          <w:p>
            <w:pPr>
              <w:spacing w:after="0"/>
              <w:rPr>
                <w:sz w:val="20"/>
                <w:szCs w:val="20"/>
                <w:color w:val="auto"/>
              </w:rPr>
            </w:pPr>
            <w:r>
              <w:rPr>
                <w:rFonts w:ascii="Times New Roman" w:cs="Times New Roman" w:eastAsia="Times New Roman" w:hAnsi="Times New Roman"/>
                <w:sz w:val="19"/>
                <w:szCs w:val="19"/>
                <w:color w:val="auto"/>
              </w:rPr>
              <w:t>Xyrem</w:t>
            </w:r>
          </w:p>
        </w:tc>
        <w:tc>
          <w:tcPr>
            <w:tcW w:w="83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Xyrem® (sodium oxybate) oral solution</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19"/>
                <w:szCs w:val="19"/>
                <w:color w:val="auto"/>
              </w:rPr>
              <w:t>Xywav</w:t>
            </w:r>
          </w:p>
        </w:tc>
        <w:tc>
          <w:tcPr>
            <w:tcW w:w="83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Xywav® (calcium, magnesium, potassium, and sodium oxybates) oral solution</w:t>
            </w:r>
          </w:p>
        </w:tc>
        <w:tc>
          <w:tcPr>
            <w:tcW w:w="0" w:type="dxa"/>
            <w:vAlign w:val="bottom"/>
          </w:tcPr>
          <w:p>
            <w:pPr>
              <w:spacing w:after="0"/>
              <w:rPr>
                <w:sz w:val="1"/>
                <w:szCs w:val="1"/>
                <w:color w:val="auto"/>
              </w:rPr>
            </w:pPr>
          </w:p>
        </w:tc>
      </w:tr>
      <w:tr>
        <w:trPr>
          <w:trHeight w:val="254"/>
        </w:trPr>
        <w:tc>
          <w:tcPr>
            <w:tcW w:w="1380" w:type="dxa"/>
            <w:vAlign w:val="bottom"/>
          </w:tcPr>
          <w:p>
            <w:pPr>
              <w:spacing w:after="0"/>
              <w:rPr>
                <w:sz w:val="20"/>
                <w:szCs w:val="20"/>
                <w:color w:val="auto"/>
              </w:rPr>
            </w:pPr>
            <w:r>
              <w:rPr>
                <w:rFonts w:ascii="Times New Roman" w:cs="Times New Roman" w:eastAsia="Times New Roman" w:hAnsi="Times New Roman"/>
                <w:sz w:val="19"/>
                <w:szCs w:val="19"/>
                <w:color w:val="auto"/>
              </w:rPr>
              <w:t>Zepzelca</w:t>
            </w:r>
          </w:p>
        </w:tc>
        <w:tc>
          <w:tcPr>
            <w:tcW w:w="83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Zepzelca® (lurbinectedin)</w:t>
            </w:r>
          </w:p>
        </w:tc>
        <w:tc>
          <w:tcPr>
            <w:tcW w:w="0" w:type="dxa"/>
            <w:vAlign w:val="bottom"/>
          </w:tcPr>
          <w:p>
            <w:pPr>
              <w:spacing w:after="0"/>
              <w:rPr>
                <w:sz w:val="1"/>
                <w:szCs w:val="1"/>
                <w:color w:val="auto"/>
              </w:rPr>
            </w:pPr>
          </w:p>
        </w:tc>
      </w:tr>
      <w:tr>
        <w:trPr>
          <w:trHeight w:val="240"/>
        </w:trPr>
        <w:tc>
          <w:tcPr>
            <w:tcW w:w="1380" w:type="dxa"/>
            <w:vAlign w:val="bottom"/>
          </w:tcPr>
          <w:p>
            <w:pPr>
              <w:spacing w:after="0"/>
              <w:rPr>
                <w:sz w:val="20"/>
                <w:szCs w:val="20"/>
                <w:color w:val="auto"/>
              </w:rPr>
            </w:pPr>
            <w:r>
              <w:rPr>
                <w:rFonts w:ascii="Times New Roman" w:cs="Times New Roman" w:eastAsia="Times New Roman" w:hAnsi="Times New Roman"/>
                <w:sz w:val="19"/>
                <w:szCs w:val="19"/>
                <w:color w:val="auto"/>
              </w:rPr>
              <w:t>Ziihera</w:t>
            </w:r>
          </w:p>
        </w:tc>
        <w:tc>
          <w:tcPr>
            <w:tcW w:w="834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Ziihera® (zanidatamab-hrii)</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9"/>
          <w:szCs w:val="19"/>
          <w:color w:val="auto"/>
        </w:rPr>
        <w:t>*On October 31, 2025, we completed the sale of Sativex to CNX Therapeutics.</w:t>
      </w:r>
    </w:p>
    <w:p>
      <w:pPr>
        <w:spacing w:after="0" w:line="219" w:lineRule="exact"/>
        <w:rPr>
          <w:sz w:val="20"/>
          <w:szCs w:val="20"/>
          <w:color w:val="auto"/>
        </w:rPr>
      </w:pPr>
    </w:p>
    <w:p>
      <w:pPr>
        <w:ind w:left="60" w:right="120"/>
        <w:spacing w:after="0" w:line="209" w:lineRule="auto"/>
        <w:rPr>
          <w:sz w:val="20"/>
          <w:szCs w:val="20"/>
          <w:color w:val="auto"/>
        </w:rPr>
      </w:pPr>
      <w:r>
        <w:rPr>
          <w:rFonts w:ascii="Times New Roman" w:cs="Times New Roman" w:eastAsia="Times New Roman" w:hAnsi="Times New Roman"/>
          <w:sz w:val="19"/>
          <w:szCs w:val="19"/>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Xywav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(calcium, magnesium, potassium, and sodium oxybates) oral solution, Xyrem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(sodium oxybate) oral solution, Epidiolex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(cannabidiol) oral solution, Epidyolex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(the trade name in Europe and other countries outside the U.S. for Epidiolex), Rylaze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(asparaginase erwinia chrysanthemi (recombinant)-rywn), Enrylaze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(the trade name in Europe and other countries outside the U.S. and Canada for Rylaze), Zepzelca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(lurbinectedin), Defitelio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(defibrotide sodium), Defitelio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(defibrotide), Vyxeos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(daunorubicin and cytarabine) liposome for injection, Vyxeos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liposomal 44 mg/100 mg powder for concentrate for solution for infusion, Modeyso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(dordaviprone), CombiPlex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and Ziihera® (zanidatamab-hrii).</w:t>
      </w:r>
    </w:p>
    <w:p>
      <w:pPr>
        <w:spacing w:after="0" w:line="213" w:lineRule="exact"/>
        <w:rPr>
          <w:sz w:val="20"/>
          <w:szCs w:val="20"/>
          <w:color w:val="auto"/>
        </w:rPr>
      </w:pPr>
    </w:p>
    <w:p>
      <w:pPr>
        <w:ind w:left="60" w:right="80"/>
        <w:spacing w:after="0" w:line="365" w:lineRule="auto"/>
        <w:rPr>
          <w:sz w:val="20"/>
          <w:szCs w:val="20"/>
          <w:color w:val="auto"/>
        </w:rPr>
      </w:pPr>
      <w:r>
        <w:rPr>
          <w:rFonts w:ascii="Times New Roman" w:cs="Times New Roman" w:eastAsia="Times New Roman" w:hAnsi="Times New Roman"/>
          <w:sz w:val="16"/>
          <w:szCs w:val="16"/>
          <w:color w:val="auto"/>
        </w:rPr>
        <w:t xml:space="preserve">This Annual Report on Form </w:t>
      </w:r>
      <w:r>
        <w:rPr>
          <w:rFonts w:ascii="PMingLiU" w:cs="PMingLiU" w:eastAsia="PMingLiU" w:hAnsi="PMingLiU"/>
          <w:sz w:val="16"/>
          <w:szCs w:val="16"/>
          <w:color w:val="auto"/>
        </w:rPr>
        <w:t> .DOVRLQFOXGHVWUDGHPDUNVVHUYLFHPDUNVDQGWUDGHQDPHVRIRWKHUFRPSDQLHV7UDGHPDUNV</w:t>
      </w:r>
      <w:r>
        <w:rPr>
          <w:rFonts w:ascii="Times New Roman" w:cs="Times New Roman" w:eastAsia="Times New Roman" w:hAnsi="Times New Roman"/>
          <w:sz w:val="16"/>
          <w:szCs w:val="16"/>
          <w:color w:val="auto"/>
        </w:rPr>
        <w:t xml:space="preserve"> service marks and trade names appearing in this Annual Report on Form </w:t>
      </w:r>
      <w:r>
        <w:rPr>
          <w:rFonts w:ascii="PMingLiU" w:cs="PMingLiU" w:eastAsia="PMingLiU" w:hAnsi="PMingLiU"/>
          <w:sz w:val="16"/>
          <w:szCs w:val="16"/>
          <w:color w:val="auto"/>
        </w:rPr>
        <w:t> .DUHWKHSURSHUW\RIWKHLUUHVSHFWLYHRZQHUV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3839210</wp:posOffset>
            </wp:positionV>
            <wp:extent cx="259080" cy="2546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42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80" w:type="dxa"/>
            <w:vAlign w:val="bottom"/>
          </w:tcPr>
          <w:p>
            <w:pPr>
              <w:jc w:val="right"/>
              <w:ind w:right="160"/>
              <w:spacing w:after="0"/>
              <w:rPr>
                <w:sz w:val="20"/>
                <w:szCs w:val="20"/>
                <w:color w:val="auto"/>
              </w:rPr>
            </w:pPr>
            <w:r>
              <w:rPr>
                <w:rFonts w:ascii="Arial" w:cs="Arial" w:eastAsia="Arial" w:hAnsi="Arial"/>
                <w:sz w:val="20"/>
                <w:szCs w:val="20"/>
                <w:b w:val="1"/>
                <w:bCs w:val="1"/>
                <w:color w:val="5C004B"/>
                <w:w w:val="89"/>
              </w:rPr>
              <w:t>8</w:t>
            </w:r>
          </w:p>
        </w:tc>
        <w:tc>
          <w:tcPr>
            <w:tcW w:w="33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42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713" w:right="999" w:bottom="0" w:gutter="0" w:footer="0" w:header="0"/>
          <w:type w:val="continuous"/>
        </w:sectPr>
      </w:pPr>
    </w:p>
    <w:bookmarkStart w:id="132" w:name="page133"/>
    <w:bookmarkEnd w:id="132"/>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37" w:lineRule="exact"/>
        <w:rPr>
          <w:sz w:val="20"/>
          <w:szCs w:val="20"/>
          <w:color w:val="auto"/>
        </w:rPr>
      </w:pPr>
    </w:p>
    <w:p>
      <w:pPr>
        <w:ind w:right="720" w:firstLine="480"/>
        <w:spacing w:after="0" w:line="320" w:lineRule="auto"/>
        <w:rPr>
          <w:sz w:val="20"/>
          <w:szCs w:val="20"/>
          <w:color w:val="auto"/>
        </w:rPr>
      </w:pPr>
      <w:r>
        <w:rPr>
          <w:rFonts w:ascii="Times New Roman" w:cs="Times New Roman" w:eastAsia="Times New Roman" w:hAnsi="Times New Roman"/>
          <w:sz w:val="15"/>
          <w:szCs w:val="15"/>
          <w:i w:val="1"/>
          <w:iCs w:val="1"/>
          <w:color w:val="auto"/>
        </w:rPr>
        <w:t xml:space="preserve">This Annual Report on Form </w:t>
      </w:r>
      <w:r>
        <w:rPr>
          <w:rFonts w:ascii="PMingLiU" w:cs="PMingLiU" w:eastAsia="PMingLiU" w:hAnsi="PMingLiU"/>
          <w:sz w:val="15"/>
          <w:szCs w:val="15"/>
          <w:i w:val="1"/>
          <w:iCs w:val="1"/>
          <w:color w:val="auto"/>
        </w:rPr>
        <w:t> .FRQWDLQVIRUZDUG</w:t>
      </w:r>
      <w:r>
        <w:rPr>
          <w:rFonts w:ascii="Times New Roman" w:cs="Times New Roman" w:eastAsia="Times New Roman" w:hAnsi="Times New Roman"/>
          <w:sz w:val="15"/>
          <w:szCs w:val="15"/>
          <w:i w:val="1"/>
          <w:iCs w:val="1"/>
          <w:color w:val="auto"/>
        </w:rPr>
        <w:t>-</w:t>
      </w:r>
      <w:r>
        <w:rPr>
          <w:rFonts w:ascii="PMingLiU" w:cs="PMingLiU" w:eastAsia="PMingLiU" w:hAnsi="PMingLiU"/>
          <w:sz w:val="15"/>
          <w:szCs w:val="15"/>
          <w:i w:val="1"/>
          <w:iCs w:val="1"/>
          <w:color w:val="auto"/>
        </w:rPr>
        <w:t>ORRNLQJVWDWHPHQWVZLWKLQWKHPHDQLQJRI6HFWLRQ</w:t>
      </w:r>
      <w:r>
        <w:rPr>
          <w:rFonts w:ascii="Times New Roman" w:cs="Times New Roman" w:eastAsia="Times New Roman" w:hAnsi="Times New Roman"/>
          <w:sz w:val="15"/>
          <w:szCs w:val="15"/>
          <w:i w:val="1"/>
          <w:iCs w:val="1"/>
          <w:color w:val="auto"/>
        </w:rPr>
        <w:t xml:space="preserve"> 27A of the </w:t>
      </w:r>
      <w:r>
        <w:rPr>
          <w:rFonts w:ascii="PMingLiU" w:cs="PMingLiU" w:eastAsia="PMingLiU" w:hAnsi="PMingLiU"/>
          <w:sz w:val="15"/>
          <w:szCs w:val="15"/>
          <w:i w:val="1"/>
          <w:iCs w:val="1"/>
          <w:color w:val="auto"/>
        </w:rPr>
        <w:t>6HFXULWLHV$FWDQG6HFWLRQ (RIWKH([FKDQJH$FWZKLFKDUHVXEMHFWWRWKH³VDIHKDUERU´FUHDWHGE\WKRVHVHFWLRQV</w:t>
      </w:r>
    </w:p>
    <w:p>
      <w:pPr>
        <w:ind w:right="60"/>
        <w:spacing w:after="0" w:line="330" w:lineRule="auto"/>
        <w:rPr>
          <w:sz w:val="20"/>
          <w:szCs w:val="20"/>
          <w:color w:val="auto"/>
        </w:rPr>
      </w:pPr>
      <w:r>
        <w:rPr>
          <w:rFonts w:ascii="PMingLiU" w:cs="PMingLiU" w:eastAsia="PMingLiU" w:hAnsi="PMingLiU"/>
          <w:sz w:val="14"/>
          <w:szCs w:val="14"/>
          <w:i w:val="1"/>
          <w:iCs w:val="1"/>
          <w:color w:val="auto"/>
        </w:rPr>
        <w:t>)RUZDUG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ORRNLQJVWDWHPHQWVDUHEDVHGRQRXUPDQDJHPHQW¶VEHOLHIVDQGDVVXPSWLRQVDQGRQLQIRUPDWLRQFXUUHQWO\DYDLODEOHWR RXUPDQDJHPHQW,QVRPHFDVHV\RXFDQLGHQWLI\IRUZDUG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ORRNLQJVWDWHPHQWVE\WHUPVVXFKDV³PD\´³ZLOO´³VKRXOG´ ³FRXOG´³ZRXOG´³H[SHFW´³SODQ´³DQWLFLSDWH´³EHOLHYH´³HVWLPDWH´³RSSRUWXQLW\´³SURMHFW´³SUHGLFW´³SURSRVH´ ³LQWHQG´³FRQWLQXH´³SRWHQWLDO´³SRVVLEOH´³VWULYH´³VHHN´³GHVLJQHG´³JRDO´³IRUHVHHDEOH´³OLNHO\´RUWKHQHJDWLYH</w:t>
      </w:r>
    </w:p>
    <w:p>
      <w:pPr>
        <w:spacing w:after="0" w:line="1" w:lineRule="exact"/>
        <w:rPr>
          <w:sz w:val="20"/>
          <w:szCs w:val="20"/>
          <w:color w:val="auto"/>
        </w:rPr>
      </w:pPr>
    </w:p>
    <w:p>
      <w:pPr>
        <w:ind w:right="100"/>
        <w:spacing w:after="0" w:line="420" w:lineRule="auto"/>
        <w:rPr>
          <w:sz w:val="20"/>
          <w:szCs w:val="20"/>
          <w:color w:val="auto"/>
        </w:rPr>
      </w:pPr>
      <w:r>
        <w:rPr>
          <w:rFonts w:ascii="PMingLiU" w:cs="PMingLiU" w:eastAsia="PMingLiU" w:hAnsi="PMingLiU"/>
          <w:sz w:val="11"/>
          <w:szCs w:val="11"/>
          <w:i w:val="1"/>
          <w:iCs w:val="1"/>
          <w:color w:val="auto"/>
        </w:rPr>
        <w:t>RIWKHVHZRUGVRURWKHUVLPLODUH[SUHVVLRQVLQWHQGHGWRLGHQWLI\IRUZDUG</w:t>
      </w:r>
      <w:r>
        <w:rPr>
          <w:rFonts w:ascii="Times New Roman" w:cs="Times New Roman" w:eastAsia="Times New Roman" w:hAnsi="Times New Roman"/>
          <w:sz w:val="11"/>
          <w:szCs w:val="11"/>
          <w:i w:val="1"/>
          <w:iCs w:val="1"/>
          <w:color w:val="auto"/>
        </w:rPr>
        <w:t>-</w:t>
      </w:r>
      <w:r>
        <w:rPr>
          <w:rFonts w:ascii="PMingLiU" w:cs="PMingLiU" w:eastAsia="PMingLiU" w:hAnsi="PMingLiU"/>
          <w:sz w:val="11"/>
          <w:szCs w:val="11"/>
          <w:i w:val="1"/>
          <w:iCs w:val="1"/>
          <w:color w:val="auto"/>
        </w:rPr>
        <w:t>ORRNLQJVWDWHPHQWV7KHVHVWDWHPHQWVLQYROYHNQRZQ DQGXQNQRZQULVNVXQFHUWDLQWLHVDQGRWKHUIDFWRUVZKLFKPD\FDXVHRXUDFWXDOUHVXOWVSHUIRUPDQFHWLPHIUDPHVRU DFKLHYHPHQWVWREHPDWHULDOO\GLIIHUHQWIURPDQ\IXWXUHUHVXOWVSHUIRUPDQFHWLPHIUDPHVRUDFKLHYHPHQWVH[SUHVVHGRULPSOLH</w:t>
      </w:r>
      <w:r>
        <w:rPr>
          <w:rFonts w:ascii="Times New Roman" w:cs="Times New Roman" w:eastAsia="Times New Roman" w:hAnsi="Times New Roman"/>
          <w:sz w:val="11"/>
          <w:szCs w:val="11"/>
          <w:i w:val="1"/>
          <w:iCs w:val="1"/>
          <w:color w:val="auto"/>
        </w:rPr>
        <w:t>d</w:t>
      </w:r>
      <w:r>
        <w:rPr>
          <w:rFonts w:ascii="PMingLiU" w:cs="PMingLiU" w:eastAsia="PMingLiU" w:hAnsi="PMingLiU"/>
          <w:sz w:val="11"/>
          <w:szCs w:val="11"/>
          <w:i w:val="1"/>
          <w:iCs w:val="1"/>
          <w:color w:val="auto"/>
        </w:rPr>
        <w:t xml:space="preserve"> E\WKHIRUZDUG</w:t>
      </w:r>
      <w:r>
        <w:rPr>
          <w:rFonts w:ascii="Times New Roman" w:cs="Times New Roman" w:eastAsia="Times New Roman" w:hAnsi="Times New Roman"/>
          <w:sz w:val="11"/>
          <w:szCs w:val="11"/>
          <w:i w:val="1"/>
          <w:iCs w:val="1"/>
          <w:color w:val="auto"/>
        </w:rPr>
        <w:t>-</w:t>
      </w:r>
      <w:r>
        <w:rPr>
          <w:rFonts w:ascii="PMingLiU" w:cs="PMingLiU" w:eastAsia="PMingLiU" w:hAnsi="PMingLiU"/>
          <w:sz w:val="11"/>
          <w:szCs w:val="11"/>
          <w:i w:val="1"/>
          <w:iCs w:val="1"/>
          <w:color w:val="auto"/>
        </w:rPr>
        <w:t>ORRNLQJVWDWHPHQWV:HGLVFXVVPDQ\RIWKHVHULVNVXQFHUWDLQWLHVDQGRWKHUIDFWRUVLQJUHDWHUGHWDLOXQGHU5LVN )DFWRUVLQ3DUW,,WHP$RIWKLV$QQXDO5HSRUWRQ)RUP  .*LYHQWKHVHULVNVXQFHUWDLQWLHVDQGRWKHUIDFWRUV\RXVKRXOG</w:t>
      </w:r>
    </w:p>
    <w:p>
      <w:pPr>
        <w:ind w:right="120"/>
        <w:spacing w:after="0" w:line="329" w:lineRule="auto"/>
        <w:rPr>
          <w:sz w:val="20"/>
          <w:szCs w:val="20"/>
          <w:color w:val="auto"/>
        </w:rPr>
      </w:pPr>
      <w:r>
        <w:rPr>
          <w:rFonts w:ascii="PMingLiU" w:cs="PMingLiU" w:eastAsia="PMingLiU" w:hAnsi="PMingLiU"/>
          <w:sz w:val="14"/>
          <w:szCs w:val="14"/>
          <w:i w:val="1"/>
          <w:iCs w:val="1"/>
          <w:color w:val="auto"/>
        </w:rPr>
        <w:t>QRWSODFHXQGXHUHOLDQFHRQWKHVHIRUZDUG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ORRNLQJVWDWHPHQWV,QDGGLWLRQRXUJRDOVDQGREMHFWLYHVDUHDVSLUDWLRQDODQGDUH QRWJXDUDQWHHVRUSURPLVHVWKDWVXFKJRDOVDQGREMHFWLYHVZLOOEHPHW$OVRWKHVHIRUZDUG</w:t>
      </w:r>
      <w:r>
        <w:rPr>
          <w:rFonts w:ascii="Times New Roman" w:cs="Times New Roman" w:eastAsia="Times New Roman" w:hAnsi="Times New Roman"/>
          <w:sz w:val="14"/>
          <w:szCs w:val="14"/>
          <w:i w:val="1"/>
          <w:iCs w:val="1"/>
          <w:color w:val="auto"/>
        </w:rPr>
        <w:t>-looking statements represent our</w:t>
      </w:r>
      <w:r>
        <w:rPr>
          <w:rFonts w:ascii="PMingLiU" w:cs="PMingLiU" w:eastAsia="PMingLiU" w:hAnsi="PMingLiU"/>
          <w:sz w:val="14"/>
          <w:szCs w:val="14"/>
          <w:i w:val="1"/>
          <w:iCs w:val="1"/>
          <w:color w:val="auto"/>
        </w:rPr>
        <w:t xml:space="preserve"> HVWLPDWHVDQGDVVXPSWLRQVRQO\DVRIWKHGDWHRIWKLVILOLQJ&lt;RXVKRXOGUHDGWKLV$QQXDO5HSRUWRQ)RUP  .FRPSOHWHO\DQG WKHGRFXPHQWVWKDWZHILOHZLWKWKH6(&amp;ZLWKWKHXQGHUVWDQGLQJWKDWRXUDFWXDOIXWXUHUHVXOWVPD\EHPDWHULDOO\GLIIHUHQWIUR</w:t>
      </w:r>
      <w:r>
        <w:rPr>
          <w:rFonts w:ascii="Times New Roman" w:cs="Times New Roman" w:eastAsia="Times New Roman" w:hAnsi="Times New Roman"/>
          <w:sz w:val="14"/>
          <w:szCs w:val="14"/>
          <w:i w:val="1"/>
          <w:iCs w:val="1"/>
          <w:color w:val="auto"/>
        </w:rPr>
        <w:t>m</w:t>
      </w:r>
      <w:r>
        <w:rPr>
          <w:rFonts w:ascii="PMingLiU" w:cs="PMingLiU" w:eastAsia="PMingLiU" w:hAnsi="PMingLiU"/>
          <w:sz w:val="14"/>
          <w:szCs w:val="14"/>
          <w:i w:val="1"/>
          <w:iCs w:val="1"/>
          <w:color w:val="auto"/>
        </w:rPr>
        <w:t xml:space="preserve"> ZKDWZHH[SHFW:HKHUHE\TXDOLI\RXUIRUZDUG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ORRNLQJVWDWHPHQWVE\RXUFDXWLRQDU\VWDWHPHQWV([FHSWDVUHTXLUHGE\ODZ</w:t>
      </w:r>
    </w:p>
    <w:p>
      <w:pPr>
        <w:jc w:val="both"/>
        <w:ind w:right="160"/>
        <w:spacing w:after="0" w:line="374" w:lineRule="auto"/>
        <w:rPr>
          <w:sz w:val="20"/>
          <w:szCs w:val="20"/>
          <w:color w:val="auto"/>
        </w:rPr>
      </w:pPr>
      <w:r>
        <w:rPr>
          <w:rFonts w:ascii="PMingLiU" w:cs="PMingLiU" w:eastAsia="PMingLiU" w:hAnsi="PMingLiU"/>
          <w:sz w:val="14"/>
          <w:szCs w:val="14"/>
          <w:i w:val="1"/>
          <w:iCs w:val="1"/>
          <w:color w:val="auto"/>
        </w:rPr>
        <w:t>ZHDVVXPHQRREOLJDWLRQWRXSGDWHRXUIRUZDUG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ORRNLQJVWDWHPHQWVSXEOLFO\RUWRXSGDWHWKHUHDVRQVWKDWDFWXDOUHVXOWVFRXOG GLIIHUPDWHULDOO\IURPWKRVHDQWLFLSDWHGLQWKHVHIRUZDUG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ORRNLQJVWDWHPHQWVHYHQLIQHZLQIRUPDWLRQEHFRPHVDYDLODEOHLQWKH IXWXUH</w:t>
      </w:r>
    </w:p>
    <w:p>
      <w:pPr>
        <w:spacing w:after="0" w:line="5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SUMMARY RISK FACTORS</w:t>
      </w:r>
    </w:p>
    <w:p>
      <w:pPr>
        <w:spacing w:after="0" w:line="132"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9"/>
          <w:szCs w:val="19"/>
          <w:color w:val="auto"/>
        </w:rPr>
        <w:t xml:space="preserve">Below is a summary of principal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w:t>
      </w:r>
      <w:r>
        <w:rPr>
          <w:rFonts w:ascii="PMingLiU" w:cs="PMingLiU" w:eastAsia="PMingLiU" w:hAnsi="PMingLiU"/>
          <w:sz w:val="19"/>
          <w:szCs w:val="19"/>
          <w:color w:val="auto"/>
        </w:rPr>
        <w:t> .ZKLFK\RXVKRXOGFDUHIXOO\UHYLHZDQGFRQVLGHUDVSDUW</w:t>
      </w:r>
      <w:r>
        <w:rPr>
          <w:rFonts w:ascii="Times New Roman" w:cs="Times New Roman" w:eastAsia="Times New Roman" w:hAnsi="Times New Roman"/>
          <w:sz w:val="19"/>
          <w:szCs w:val="19"/>
          <w:color w:val="auto"/>
        </w:rPr>
        <w:t xml:space="preserve"> of your evaluation of an investment in our ordinary shares. The below risk factor summary is qualified in its entirety by that more complete discussion of such risks and uncertainties.</w:t>
      </w:r>
    </w:p>
    <w:p>
      <w:pPr>
        <w:spacing w:after="0" w:line="73" w:lineRule="exact"/>
        <w:rPr>
          <w:sz w:val="20"/>
          <w:szCs w:val="20"/>
          <w:color w:val="auto"/>
        </w:rPr>
      </w:pPr>
    </w:p>
    <w:p>
      <w:pPr>
        <w:ind w:left="780" w:right="3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inability to maintain revenues from our oxybate franchise would have a material adverse effect on our business, financial condition, results of operations and growth prospects.</w:t>
      </w:r>
    </w:p>
    <w:p>
      <w:pPr>
        <w:spacing w:after="0" w:line="46" w:lineRule="exact"/>
        <w:rPr>
          <w:sz w:val="20"/>
          <w:szCs w:val="20"/>
          <w:color w:val="auto"/>
        </w:rPr>
      </w:pPr>
    </w:p>
    <w:p>
      <w:pPr>
        <w:ind w:left="780" w:right="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introduction of new products in the U.S. market that compete with, or otherwise disrupt the market for, our oxybate products has adversely affected and may continue to adversely affect sales of our oxybate products.</w:t>
      </w:r>
    </w:p>
    <w:p>
      <w:pPr>
        <w:spacing w:after="0" w:line="46" w:lineRule="exact"/>
        <w:rPr>
          <w:sz w:val="20"/>
          <w:szCs w:val="20"/>
          <w:color w:val="auto"/>
        </w:rPr>
      </w:pPr>
    </w:p>
    <w:p>
      <w:pPr>
        <w:ind w:left="780" w:right="22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63" w:lineRule="exact"/>
        <w:rPr>
          <w:sz w:val="20"/>
          <w:szCs w:val="20"/>
          <w:color w:val="auto"/>
        </w:rPr>
      </w:pPr>
    </w:p>
    <w:p>
      <w:pPr>
        <w:ind w:left="780" w:right="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inability to maintain or increase sales of Epidiolex/Epidyolex would have a material adverse effect on our business, financial condition, results of operations and growth prospects.</w:t>
      </w:r>
    </w:p>
    <w:p>
      <w:pPr>
        <w:spacing w:after="0" w:line="46" w:lineRule="exact"/>
        <w:rPr>
          <w:sz w:val="20"/>
          <w:szCs w:val="20"/>
          <w:color w:val="auto"/>
        </w:rPr>
      </w:pPr>
    </w:p>
    <w:p>
      <w:pPr>
        <w:ind w:left="780" w:right="5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While we expect Xywav and Epidiolex/Epidyolex to remain our largest products, our success also depends on our ability to effectively commercialize our other existing products and potential future products.</w:t>
      </w:r>
    </w:p>
    <w:p>
      <w:pPr>
        <w:spacing w:after="0" w:line="46" w:lineRule="exact"/>
        <w:rPr>
          <w:sz w:val="20"/>
          <w:szCs w:val="20"/>
          <w:color w:val="auto"/>
        </w:rPr>
      </w:pPr>
    </w:p>
    <w:p>
      <w:pPr>
        <w:ind w:left="780" w:right="2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face substantial competition from other companies, including companies with larger sales organizations and more experience working with large and diverse product portfolios, and competition from generic drugs.</w:t>
      </w:r>
    </w:p>
    <w:p>
      <w:pPr>
        <w:spacing w:after="0" w:line="46" w:lineRule="exact"/>
        <w:rPr>
          <w:sz w:val="20"/>
          <w:szCs w:val="20"/>
          <w:color w:val="auto"/>
        </w:rPr>
      </w:pPr>
    </w:p>
    <w:p>
      <w:pPr>
        <w:ind w:left="780" w:right="8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69" w:lineRule="exact"/>
        <w:rPr>
          <w:sz w:val="20"/>
          <w:szCs w:val="20"/>
          <w:color w:val="auto"/>
        </w:rPr>
      </w:pPr>
    </w:p>
    <w:p>
      <w:pPr>
        <w:ind w:left="780" w:right="14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9" w:lineRule="exact"/>
        <w:rPr>
          <w:sz w:val="20"/>
          <w:szCs w:val="20"/>
          <w:color w:val="auto"/>
        </w:rPr>
      </w:pPr>
    </w:p>
    <w:p>
      <w:pPr>
        <w:ind w:left="780" w:right="1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 addition to access, coverage and reimbursement, the commercial success of our products depends upon their market acceptance by physicians, patients, third party payors and the medical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451485</wp:posOffset>
            </wp:positionV>
            <wp:extent cx="259080" cy="2546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43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920" w:type="dxa"/>
        <w:tblCellMar>
          <w:top w:w="0" w:type="dxa"/>
          <w:left w:w="0" w:type="dxa"/>
          <w:bottom w:w="0" w:type="dxa"/>
          <w:right w:w="0" w:type="dxa"/>
        </w:tblCellMar>
      </w:tblPr>
      <w:tr>
        <w:trPr>
          <w:trHeight w:val="285"/>
        </w:trPr>
        <w:tc>
          <w:tcPr>
            <w:tcW w:w="1400" w:type="dxa"/>
            <w:vAlign w:val="bottom"/>
            <w:vMerge w:val="restart"/>
          </w:tcPr>
          <w:p>
            <w:pPr>
              <w:jc w:val="right"/>
              <w:ind w:right="1203"/>
              <w:spacing w:after="0"/>
              <w:rPr>
                <w:sz w:val="20"/>
                <w:szCs w:val="20"/>
                <w:color w:val="auto"/>
              </w:rPr>
            </w:pPr>
            <w:r>
              <w:rPr>
                <w:rFonts w:ascii="Times New Roman" w:cs="Times New Roman" w:eastAsia="Times New Roman" w:hAnsi="Times New Roman"/>
                <w:sz w:val="19"/>
                <w:szCs w:val="19"/>
                <w:color w:val="auto"/>
                <w:w w:val="83"/>
              </w:rPr>
              <w:t>9</w:t>
            </w:r>
          </w:p>
        </w:tc>
        <w:tc>
          <w:tcPr>
            <w:tcW w:w="3320" w:type="dxa"/>
            <w:vAlign w:val="bottom"/>
          </w:tcPr>
          <w:p>
            <w:pPr>
              <w:ind w:left="1300"/>
              <w:spacing w:after="0"/>
              <w:rPr>
                <w:sz w:val="20"/>
                <w:szCs w:val="20"/>
                <w:color w:val="auto"/>
              </w:rPr>
            </w:pPr>
            <w:r>
              <w:rPr>
                <w:rFonts w:ascii="Arial" w:cs="Arial" w:eastAsia="Arial" w:hAnsi="Arial"/>
                <w:sz w:val="16"/>
                <w:szCs w:val="16"/>
                <w:color w:val="auto"/>
              </w:rPr>
              <w:t>2025 ANNUAL REPORT</w:t>
            </w:r>
          </w:p>
        </w:tc>
        <w:tc>
          <w:tcPr>
            <w:tcW w:w="360" w:type="dxa"/>
            <w:vAlign w:val="bottom"/>
          </w:tcPr>
          <w:p>
            <w:pPr>
              <w:jc w:val="right"/>
              <w:spacing w:after="0"/>
              <w:rPr>
                <w:sz w:val="20"/>
                <w:szCs w:val="20"/>
                <w:color w:val="auto"/>
              </w:rPr>
            </w:pPr>
            <w:r>
              <w:rPr>
                <w:rFonts w:ascii="Arial" w:cs="Arial" w:eastAsia="Arial" w:hAnsi="Arial"/>
                <w:sz w:val="20"/>
                <w:szCs w:val="20"/>
                <w:b w:val="1"/>
                <w:bCs w:val="1"/>
                <w:color w:val="5C004B"/>
              </w:rPr>
              <w:t>9</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43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133" w:name="page134"/>
    <w:bookmarkEnd w:id="133"/>
    <w:p>
      <w:pPr>
        <w:ind w:left="840" w:right="10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66" w:lineRule="exact"/>
        <w:rPr>
          <w:sz w:val="20"/>
          <w:szCs w:val="20"/>
          <w:color w:val="auto"/>
        </w:rPr>
      </w:pPr>
    </w:p>
    <w:p>
      <w:pPr>
        <w:ind w:left="840" w:right="220" w:hanging="339"/>
        <w:spacing w:after="0" w:line="261" w:lineRule="auto"/>
        <w:tabs>
          <w:tab w:leader="none" w:pos="82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Times New Roman" w:cs="Times New Roman" w:eastAsia="Times New Roman" w:hAnsi="Times New Roman"/>
          <w:sz w:val="19"/>
          <w:szCs w:val="19"/>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rFonts w:ascii="PMingLiU" w:cs="PMingLiU" w:eastAsia="PMingLiU" w:hAnsi="PMingLiU"/>
          <w:sz w:val="19"/>
          <w:szCs w:val="19"/>
          <w:color w:val="auto"/>
        </w:rPr>
        <w:t/>
      </w:r>
    </w:p>
    <w:p>
      <w:pPr>
        <w:spacing w:after="0" w:line="70"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We may not realize the anticipated benefits from our acquisition of Chimerix.</w:t>
      </w:r>
    </w:p>
    <w:p>
      <w:pPr>
        <w:spacing w:after="0" w:line="118" w:lineRule="exact"/>
        <w:rPr>
          <w:sz w:val="20"/>
          <w:szCs w:val="20"/>
          <w:color w:val="auto"/>
        </w:rPr>
      </w:pPr>
    </w:p>
    <w:p>
      <w:pPr>
        <w:ind w:left="840" w:right="30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future success depends on our ability to successfully obtain and maintain regulatory approvals for our late-stage product candidates and, if approved, to successfully launch and commercialize those product candidates.</w:t>
      </w:r>
    </w:p>
    <w:p>
      <w:pPr>
        <w:spacing w:after="0" w:line="46" w:lineRule="exact"/>
        <w:rPr>
          <w:sz w:val="20"/>
          <w:szCs w:val="20"/>
          <w:color w:val="auto"/>
        </w:rPr>
      </w:pPr>
    </w:p>
    <w:p>
      <w:pPr>
        <w:ind w:left="840" w:right="8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3" w:lineRule="exact"/>
        <w:rPr>
          <w:sz w:val="20"/>
          <w:szCs w:val="20"/>
          <w:color w:val="auto"/>
        </w:rPr>
      </w:pPr>
    </w:p>
    <w:p>
      <w:pPr>
        <w:ind w:left="840" w:right="6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It is difficult and costly to protect our proprietary rights, and we may not be able to ensure their protection.</w:t>
      </w:r>
    </w:p>
    <w:p>
      <w:pPr>
        <w:spacing w:after="0" w:line="118" w:lineRule="exact"/>
        <w:rPr>
          <w:sz w:val="20"/>
          <w:szCs w:val="20"/>
          <w:color w:val="auto"/>
        </w:rPr>
      </w:pPr>
    </w:p>
    <w:p>
      <w:pPr>
        <w:ind w:left="840" w:right="12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63" w:lineRule="exact"/>
        <w:rPr>
          <w:sz w:val="20"/>
          <w:szCs w:val="20"/>
          <w:color w:val="auto"/>
        </w:rPr>
      </w:pPr>
    </w:p>
    <w:p>
      <w:pPr>
        <w:ind w:left="500"/>
        <w:spacing w:after="0" w:line="32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Significant disruptions of information technology systems or data security incidents could adversely affect our business.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are subject to significant ongoing regulatory obligations and oversight, which may subject us to civil or criminal</w:t>
      </w:r>
    </w:p>
    <w:p>
      <w:pPr>
        <w:ind w:left="840" w:right="480"/>
        <w:spacing w:after="0" w:line="268" w:lineRule="auto"/>
        <w:rPr>
          <w:sz w:val="20"/>
          <w:szCs w:val="20"/>
          <w:color w:val="auto"/>
        </w:rPr>
      </w:pPr>
      <w:r>
        <w:rPr>
          <w:rFonts w:ascii="Times New Roman" w:cs="Times New Roman" w:eastAsia="Times New Roman" w:hAnsi="Times New Roman"/>
          <w:sz w:val="19"/>
          <w:szCs w:val="19"/>
          <w:color w:val="auto"/>
        </w:rPr>
        <w:t>proceedings, investigations, or penalties and may result in significant additional expense and limit our ability to commercialize our products.</w:t>
      </w:r>
    </w:p>
    <w:p>
      <w:pPr>
        <w:spacing w:after="0" w:line="65" w:lineRule="exact"/>
        <w:rPr>
          <w:sz w:val="20"/>
          <w:szCs w:val="20"/>
          <w:color w:val="auto"/>
        </w:rPr>
      </w:pPr>
    </w:p>
    <w:p>
      <w:pPr>
        <w:ind w:left="840" w:right="16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9" w:lineRule="exact"/>
        <w:rPr>
          <w:sz w:val="20"/>
          <w:szCs w:val="20"/>
          <w:color w:val="auto"/>
        </w:rPr>
      </w:pPr>
    </w:p>
    <w:p>
      <w:pPr>
        <w:jc w:val="right"/>
        <w:ind w:left="500" w:right="420"/>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have incurred substantial debt, which could impair our flexibility and access to capital and adversely affect our financial position, and our business would be adversely affected if we are unable to service our debt obligations.</w:t>
      </w:r>
    </w:p>
    <w:p>
      <w:pPr>
        <w:spacing w:after="0" w:line="46" w:lineRule="exact"/>
        <w:rPr>
          <w:sz w:val="20"/>
          <w:szCs w:val="20"/>
          <w:color w:val="auto"/>
        </w:rPr>
      </w:pPr>
    </w:p>
    <w:p>
      <w:pPr>
        <w:ind w:left="840" w:right="20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To continue to grow our business, we will need to commit substantial resources, which could result in future losses or otherwise limit our opportunities or affect our ability to operate and grow our business.</w:t>
      </w:r>
    </w:p>
    <w:p>
      <w:pPr>
        <w:spacing w:after="0" w:line="46" w:lineRule="exact"/>
        <w:rPr>
          <w:sz w:val="20"/>
          <w:szCs w:val="20"/>
          <w:color w:val="auto"/>
        </w:rPr>
      </w:pPr>
    </w:p>
    <w:p>
      <w:pPr>
        <w:ind w:left="840" w:right="760" w:hanging="348"/>
        <w:spacing w:after="0" w:line="299"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If we fail to attract, retain and motivate members of our executive management team and key personnel, our operations and our future growth may be adversely affected.</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 REGARDING COMPANY REFERENCE</w:t>
      </w:r>
    </w:p>
    <w:p>
      <w:pPr>
        <w:spacing w:after="0" w:line="137" w:lineRule="exact"/>
        <w:rPr>
          <w:sz w:val="20"/>
          <w:szCs w:val="20"/>
          <w:color w:val="auto"/>
        </w:rPr>
      </w:pPr>
    </w:p>
    <w:p>
      <w:pPr>
        <w:ind w:left="60" w:firstLine="480"/>
        <w:spacing w:after="0" w:line="357" w:lineRule="auto"/>
        <w:rPr>
          <w:sz w:val="20"/>
          <w:szCs w:val="20"/>
          <w:color w:val="auto"/>
        </w:rPr>
      </w:pPr>
      <w:r>
        <w:rPr>
          <w:rFonts w:ascii="PMingLiU" w:cs="PMingLiU" w:eastAsia="PMingLiU" w:hAnsi="PMingLiU"/>
          <w:sz w:val="15"/>
          <w:szCs w:val="15"/>
          <w:i w:val="1"/>
          <w:iCs w:val="1"/>
          <w:color w:val="auto"/>
        </w:rPr>
        <w:t>,QWKLV$QQXDO5HSRUWRQ)RUP</w:t>
      </w:r>
      <w:r>
        <w:rPr>
          <w:rFonts w:ascii="Times New Roman" w:cs="Times New Roman" w:eastAsia="Times New Roman" w:hAnsi="Times New Roman"/>
          <w:sz w:val="15"/>
          <w:szCs w:val="15"/>
          <w:i w:val="1"/>
          <w:iCs w:val="1"/>
          <w:color w:val="auto"/>
        </w:rPr>
        <w:t>-</w:t>
      </w:r>
      <w:r>
        <w:rPr>
          <w:rFonts w:ascii="PMingLiU" w:cs="PMingLiU" w:eastAsia="PMingLiU" w:hAnsi="PMingLiU"/>
          <w:sz w:val="15"/>
          <w:szCs w:val="15"/>
          <w:i w:val="1"/>
          <w:iCs w:val="1"/>
          <w:color w:val="auto"/>
        </w:rPr>
        <w:t>.XQOHVVRWKHUZLVHLQGLFDWHGRUWKHFRQWH[WRWKHUZLVHUHTXLUHVDOOUHIHUHQFHVWR³-D]] 3KDUPDFHXWLFDOV´³-D]]´³WKHUHJLVWUDQW´³ZH´³XV´DQG³RXU´UHIHUWR-D]]3KDUPDFHXWLFDOVSOFDQGLWVFRQVROLGDWHG VXEVLGLDULHV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1642745</wp:posOffset>
            </wp:positionV>
            <wp:extent cx="259080" cy="2546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43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43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8" w:right="979" w:bottom="0" w:gutter="0" w:footer="0" w:header="0"/>
        </w:sectPr>
      </w:pPr>
    </w:p>
    <w:bookmarkStart w:id="134" w:name="page135"/>
    <w:bookmarkEnd w:id="134"/>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3"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9"/>
          <w:szCs w:val="19"/>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lead marketed products, listed below, are approved in countries around the world to improve patient care.</w:t>
      </w:r>
    </w:p>
    <w:p>
      <w:pPr>
        <w:spacing w:after="0" w:line="129" w:lineRule="exact"/>
        <w:rPr>
          <w:sz w:val="20"/>
          <w:szCs w:val="20"/>
          <w:color w:val="auto"/>
        </w:rPr>
      </w:pPr>
    </w:p>
    <w:p>
      <w:pPr>
        <w:ind w:left="780" w:right="180" w:hanging="348"/>
        <w:spacing w:after="0" w:line="267"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b w:val="1"/>
          <w:bCs w:val="1"/>
          <w:color w:val="auto"/>
        </w:rPr>
        <w:t>Xywav® (calcium, magnesium, potassium, and sodium oxybates) oral solution</w:t>
      </w:r>
      <w:r>
        <w:rPr>
          <w:rFonts w:ascii="Times New Roman" w:cs="Times New Roman" w:eastAsia="Times New Roman" w:hAnsi="Times New Roman"/>
          <w:sz w:val="19"/>
          <w:szCs w:val="19"/>
          <w:color w:val="auto"/>
        </w:rPr>
        <w:t>, a product approved by FDA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2020, and launched in the 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5" w:lineRule="exact"/>
        <w:rPr>
          <w:sz w:val="20"/>
          <w:szCs w:val="20"/>
          <w:color w:val="auto"/>
        </w:rPr>
      </w:pPr>
    </w:p>
    <w:p>
      <w:pPr>
        <w:ind w:left="780" w:right="60" w:hanging="348"/>
        <w:spacing w:after="0" w:line="261"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Epidiolex® (cannabidiol) oral solution</w:t>
      </w:r>
      <w:r>
        <w:rPr>
          <w:rFonts w:ascii="Times New Roman" w:cs="Times New Roman" w:eastAsia="Times New Roman" w:hAnsi="Times New Roman"/>
          <w:sz w:val="19"/>
          <w:szCs w:val="19"/>
          <w:color w:val="auto"/>
        </w:rPr>
        <w:t>, a product approved by FDA and launched in the U.S. in 2018 by GW and currently indicated for the 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4" w:lineRule="exact"/>
        <w:rPr>
          <w:sz w:val="20"/>
          <w:szCs w:val="20"/>
          <w:color w:val="auto"/>
        </w:rPr>
      </w:pPr>
    </w:p>
    <w:p>
      <w:pPr>
        <w:ind w:left="780" w:right="140" w:hanging="348"/>
        <w:spacing w:after="0" w:line="26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Ziihera® (zanidatamab-hrii)</w:t>
      </w:r>
      <w:r>
        <w:rPr>
          <w:rFonts w:ascii="Times New Roman" w:cs="Times New Roman" w:eastAsia="Times New Roman" w:hAnsi="Times New Roman"/>
          <w:sz w:val="19"/>
          <w:szCs w:val="19"/>
          <w:color w:val="auto"/>
        </w:rPr>
        <w:t>, a product approved by FDA in November 2024 under FDA’s accelerated approval pathway and launched in the U.S. in December 2024 for the treatment of adults with previously treated, unresectable or metastatic HER2-positive (IHC3+)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76" w:lineRule="exact"/>
        <w:rPr>
          <w:sz w:val="20"/>
          <w:szCs w:val="20"/>
          <w:color w:val="auto"/>
        </w:rPr>
      </w:pPr>
    </w:p>
    <w:p>
      <w:pPr>
        <w:jc w:val="right"/>
        <w:ind w:left="440" w:right="200"/>
        <w:spacing w:after="0" w:line="263"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Modeyso™ (dordaviprone)</w:t>
      </w:r>
      <w:r>
        <w:rPr>
          <w:rFonts w:ascii="Times New Roman" w:cs="Times New Roman" w:eastAsia="Times New Roman" w:hAnsi="Times New Roman"/>
          <w:sz w:val="19"/>
          <w:szCs w:val="19"/>
          <w:color w:val="auto"/>
        </w:rPr>
        <w:t>, a product approved by FDA in August 2025 under FDA's accelerated approval pathway for the treatment of adult and pediatric patients 1 year of age and older with diffuse midline glioma harboring an H3</w:t>
      </w:r>
    </w:p>
    <w:p>
      <w:pPr>
        <w:ind w:left="780"/>
        <w:spacing w:after="0"/>
        <w:rPr>
          <w:sz w:val="20"/>
          <w:szCs w:val="20"/>
          <w:color w:val="auto"/>
        </w:rPr>
      </w:pPr>
      <w:r>
        <w:rPr>
          <w:rFonts w:ascii="PMingLiU" w:cs="PMingLiU" w:eastAsia="PMingLiU" w:hAnsi="PMingLiU"/>
          <w:sz w:val="19"/>
          <w:szCs w:val="19"/>
          <w:color w:val="auto"/>
        </w:rPr>
        <w:t>.0PXWDWLRQZLWKSURJUHVVLYHGLVHDVHIROORZLQJSULRUWKHUDS\</w:t>
      </w:r>
    </w:p>
    <w:p>
      <w:pPr>
        <w:spacing w:after="0" w:line="93" w:lineRule="exact"/>
        <w:rPr>
          <w:sz w:val="20"/>
          <w:szCs w:val="20"/>
          <w:color w:val="auto"/>
        </w:rPr>
      </w:pPr>
    </w:p>
    <w:p>
      <w:pPr>
        <w:ind w:left="780" w:right="180" w:hanging="348"/>
        <w:spacing w:after="0" w:line="263" w:lineRule="auto"/>
        <w:tabs>
          <w:tab w:leader="none" w:pos="760" w:val="left"/>
        </w:tabs>
        <w:rPr>
          <w:sz w:val="20"/>
          <w:szCs w:val="20"/>
          <w:color w:val="auto"/>
        </w:rPr>
      </w:pPr>
      <w:r>
        <w:rPr>
          <w:rFonts w:ascii="Times New Roman" w:cs="Times New Roman" w:eastAsia="Times New Roman" w:hAnsi="Times New Roman"/>
          <w:sz w:val="19"/>
          <w:szCs w:val="19"/>
          <w:b w:val="1"/>
          <w:bCs w:val="1"/>
          <w:color w:val="auto"/>
        </w:rPr>
        <w:t>•</w:t>
      </w:r>
      <w:r>
        <w:rPr>
          <w:rFonts w:ascii="PMingLiU" w:cs="PMingLiU" w:eastAsia="PMingLiU" w:hAnsi="PMingLiU"/>
          <w:sz w:val="19"/>
          <w:szCs w:val="19"/>
          <w:b w:val="1"/>
          <w:bCs w:val="1"/>
          <w:color w:val="auto"/>
        </w:rPr>
        <w:t/>
      </w:r>
      <w:r>
        <w:rPr>
          <w:rFonts w:ascii="Times New Roman" w:cs="Times New Roman" w:eastAsia="Times New Roman" w:hAnsi="Times New Roman"/>
          <w:sz w:val="19"/>
          <w:szCs w:val="19"/>
          <w:b w:val="1"/>
          <w:bCs w:val="1"/>
          <w:color w:val="auto"/>
        </w:rPr>
        <w:tab/>
        <w:t>Zepzelca® (lurbinectedin)</w:t>
      </w:r>
      <w:r>
        <w:rPr>
          <w:rFonts w:ascii="Times New Roman" w:cs="Times New Roman" w:eastAsia="Times New Roman" w:hAnsi="Times New Roman"/>
          <w:sz w:val="19"/>
          <w:szCs w:val="19"/>
          <w:color w:val="auto"/>
        </w:rPr>
        <w:t>, a product approved by FDA in June 2020 under FDA's accelerated approval pathway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launched in the U.S. in July 2020 for the treatment of adult patients with metastatic SCLC with disease progression on or after platinum-based chemotherapy; approved by FDA in October 2025 in combination with atezolizumab or atezolizumab and hyaluronidase-tqjs as a first-line maintenance treatment for adults with extensive-stage SCLC whose disease has not progressed after first-line induction therapy with atezolizumab, carboplatin and etoposide; and obtained conditional approval in Canada in September 2021 for the treatment of adults with Stage III or metastatic SCLC, who have progressed on or after platinum-containing therapy.</w:t>
      </w:r>
    </w:p>
    <w:p>
      <w:pPr>
        <w:spacing w:after="0" w:line="70" w:lineRule="exact"/>
        <w:rPr>
          <w:sz w:val="20"/>
          <w:szCs w:val="20"/>
          <w:color w:val="auto"/>
        </w:rPr>
      </w:pPr>
    </w:p>
    <w:p>
      <w:pPr>
        <w:ind w:left="780" w:right="40" w:hanging="348"/>
        <w:spacing w:after="0" w:line="262" w:lineRule="auto"/>
        <w:tabs>
          <w:tab w:leader="none" w:pos="760" w:val="left"/>
        </w:tabs>
        <w:rPr>
          <w:sz w:val="20"/>
          <w:szCs w:val="20"/>
          <w:color w:val="auto"/>
        </w:rPr>
      </w:pPr>
      <w:r>
        <w:rPr>
          <w:rFonts w:ascii="Times New Roman" w:cs="Times New Roman" w:eastAsia="Times New Roman" w:hAnsi="Times New Roman"/>
          <w:sz w:val="19"/>
          <w:szCs w:val="19"/>
          <w:b w:val="1"/>
          <w:bCs w:val="1"/>
          <w:color w:val="auto"/>
        </w:rPr>
        <w:t>•</w:t>
      </w:r>
      <w:r>
        <w:rPr>
          <w:rFonts w:ascii="PMingLiU" w:cs="PMingLiU" w:eastAsia="PMingLiU" w:hAnsi="PMingLiU"/>
          <w:sz w:val="19"/>
          <w:szCs w:val="19"/>
          <w:b w:val="1"/>
          <w:bCs w:val="1"/>
          <w:color w:val="auto"/>
        </w:rPr>
        <w:t/>
      </w:r>
      <w:r>
        <w:rPr>
          <w:rFonts w:ascii="Times New Roman" w:cs="Times New Roman" w:eastAsia="Times New Roman" w:hAnsi="Times New Roman"/>
          <w:sz w:val="19"/>
          <w:szCs w:val="19"/>
          <w:b w:val="1"/>
          <w:bCs w:val="1"/>
          <w:color w:val="auto"/>
        </w:rPr>
        <w:tab/>
        <w:t>Rylaze® (asparaginase erwinia chrysanthemi (recombinant)-rywn)</w:t>
      </w:r>
      <w:r>
        <w:rPr>
          <w:rFonts w:ascii="Times New Roman" w:cs="Times New Roman" w:eastAsia="Times New Roman" w:hAnsi="Times New Roman"/>
          <w:sz w:val="19"/>
          <w:szCs w:val="19"/>
          <w:color w:val="auto"/>
        </w:rPr>
        <w:t>, a product approved by FDA in June 2021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launched in the U.S. in July 2021 for use as a component of a multi-agent chemotherapeutic regimen for the treatment of ALL or LBL in adults and pediatric patients aged one month or older who have developed hypersensitivity to </w:t>
      </w:r>
      <w:r>
        <w:rPr>
          <w:rFonts w:ascii="PMingLiU" w:cs="PMingLiU" w:eastAsia="PMingLiU" w:hAnsi="PMingLiU"/>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coli</w:t>
      </w:r>
      <w:r>
        <w:rPr>
          <w:rFonts w:ascii="Times New Roman" w:cs="Times New Roman" w:eastAsia="Times New Roman" w:hAnsi="Times New Roman"/>
          <w:sz w:val="19"/>
          <w:szCs w:val="19"/>
          <w:color w:val="auto"/>
        </w:rPr>
        <w:t>-derived asparaginase. In September 2023, the EC granted marketing authorization under the trade name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Enrylaze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This therapy is also approved in markets including Great Britain, Canada, Switzerland and Australia.</w:t>
      </w:r>
    </w:p>
    <w:p>
      <w:pPr>
        <w:spacing w:after="0" w:line="1" w:lineRule="exact"/>
        <w:rPr>
          <w:sz w:val="20"/>
          <w:szCs w:val="20"/>
          <w:color w:val="auto"/>
        </w:rPr>
      </w:pPr>
    </w:p>
    <w:p>
      <w:pPr>
        <w:ind w:right="360" w:firstLine="479"/>
        <w:spacing w:after="0" w:line="299" w:lineRule="auto"/>
        <w:rPr>
          <w:sz w:val="20"/>
          <w:szCs w:val="20"/>
          <w:color w:val="auto"/>
        </w:rPr>
      </w:pPr>
      <w:r>
        <w:rPr>
          <w:rFonts w:ascii="Times New Roman" w:cs="Times New Roman" w:eastAsia="Times New Roman" w:hAnsi="Times New Roman"/>
          <w:sz w:val="19"/>
          <w:szCs w:val="19"/>
          <w:color w:val="auto"/>
        </w:rPr>
        <w:t>We continue to invest in pipeline programs that further our rare disease strategy. For a summary of our ongoing R&amp;D activities, see “Business—Research and Development Progress” in this Part I,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1406525</wp:posOffset>
            </wp:positionV>
            <wp:extent cx="259080" cy="2546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43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11</w:t>
            </w:r>
          </w:p>
        </w:tc>
        <w:tc>
          <w:tcPr>
            <w:tcW w:w="324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5C004B"/>
              </w:rPr>
              <w:t>11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43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9"/>
          <w:szCs w:val="19"/>
          <w:b w:val="1"/>
          <w:bCs w:val="1"/>
          <w:color w:val="auto"/>
        </w:rPr>
        <w:t>Our Strategy</w:t>
      </w:r>
      <w:r>
        <w:rPr>
          <w:rFonts w:ascii="PMingLiU" w:cs="PMingLiU" w:eastAsia="PMingLiU" w:hAnsi="PMingLiU"/>
          <w:sz w:val="19"/>
          <w:szCs w:val="19"/>
          <w:b w:val="1"/>
          <w:bCs w:val="1"/>
          <w:color w:val="auto"/>
        </w:rPr>
        <w:t/>
      </w:r>
    </w:p>
    <w:p>
      <w:pPr>
        <w:spacing w:after="0" w:line="120" w:lineRule="exact"/>
        <w:rPr>
          <w:sz w:val="20"/>
          <w:szCs w:val="20"/>
          <w:color w:val="auto"/>
        </w:rPr>
      </w:pP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diseases,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Our strategy to deliver sustainable growth and enhanced value continues to be focused on:</w:t>
      </w:r>
    </w:p>
    <w:p>
      <w:pPr>
        <w:spacing w:after="0" w:line="130" w:lineRule="exact"/>
        <w:rPr>
          <w:sz w:val="20"/>
          <w:szCs w:val="20"/>
          <w:color w:val="auto"/>
        </w:rPr>
      </w:pPr>
    </w:p>
    <w:p>
      <w:pPr>
        <w:ind w:left="760" w:right="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Strong commercial execution to drive diversified revenue growth and address unmet medical needs of our patients who often have limited or no therapeutic options;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Expanding and advancing our pipeline to achieve a valuable portfolio of durable, highly differentiated products;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Building an efficient and productive development engine to identify and progress early-, mid- and late-stage assets;</w:t>
      </w:r>
    </w:p>
    <w:p>
      <w:pPr>
        <w:spacing w:after="0" w:line="118" w:lineRule="exact"/>
        <w:rPr>
          <w:sz w:val="20"/>
          <w:szCs w:val="20"/>
          <w:color w:val="auto"/>
        </w:rPr>
      </w:pPr>
    </w:p>
    <w:p>
      <w:pPr>
        <w:ind w:left="760" w:right="3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Identifying and acquiring novel product candidates and approved therapies to complement our existing pipeline and commercial portfolio;</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Investing in an efficient, scalable operating model and differentiated capabilities to enable growth; and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Unlocking further value through indication expansion and entry into global markets.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Our Commercialized Products</w:t>
      </w:r>
    </w:p>
    <w:p>
      <w:pPr>
        <w:spacing w:after="0" w:line="133" w:lineRule="exact"/>
        <w:rPr>
          <w:sz w:val="20"/>
          <w:szCs w:val="20"/>
          <w:color w:val="auto"/>
        </w:rPr>
      </w:pPr>
    </w:p>
    <w:p>
      <w:pPr>
        <w:ind w:left="60" w:right="120" w:firstLine="48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Our Rare Sleep Products</w:t>
      </w:r>
      <w:r>
        <w:rPr>
          <w:rFonts w:ascii="Times New Roman" w:cs="Times New Roman" w:eastAsia="Times New Roman" w:hAnsi="Times New Roman"/>
          <w:sz w:val="19"/>
          <w:szCs w:val="19"/>
          <w:color w:val="auto"/>
        </w:rPr>
        <w:t>. We are the leader in the development and commercialization of oxybate therapy for patients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spacing w:after="0" w:line="64" w:lineRule="exact"/>
        <w:rPr>
          <w:sz w:val="20"/>
          <w:szCs w:val="20"/>
          <w:color w:val="auto"/>
        </w:rPr>
      </w:pPr>
    </w:p>
    <w:p>
      <w:pPr>
        <w:ind w:left="60" w:right="60" w:firstLine="48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Xywav</w:t>
      </w:r>
      <w:r>
        <w:rPr>
          <w:rFonts w:ascii="Times New Roman" w:cs="Times New Roman" w:eastAsia="Times New Roman" w:hAnsi="Times New Roman"/>
          <w:sz w:val="19"/>
          <w:szCs w:val="19"/>
          <w:color w:val="auto"/>
        </w:rPr>
        <w:t>. In July 2020, FDA approved Xywav for the treatment of cataplexy and EDS in patients seven years of age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older with narcolepsy. Narcolepsy is a chronic, debilitating neurological disorder characterized by EDS and the inability to regulate sleep-wake cycles normally. Since there is no cure for narcolepsy and long-term disease management is needed, we believe that Xywav represents an important therapeutic option for patients with this sleep disorder. Narcolepsy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 both adult and pediatric populations, including increased psychiatric comorbidity (including anxiety disorders and mood disorders), intentional self-injury, attempted suicide, suicide-related mortality, other sleep disorders (such as periodic limb movement disorder), cardiovascular disorders (such as hypertension, coronary atherosclerosis, acute myocardial infarction, and congestive heart failure), and metabolic disorders (such as obesity, metabolic syndrome and diabetes). </w:t>
      </w:r>
      <w:r>
        <w:rPr>
          <w:rFonts w:ascii="PMingLiU" w:cs="PMingLiU" w:eastAsia="PMingLiU" w:hAnsi="PMingLiU"/>
          <w:sz w:val="16"/>
          <w:szCs w:val="16"/>
          <w:color w:val="auto"/>
        </w:rPr>
        <w:t/>
      </w:r>
    </w:p>
    <w:p>
      <w:pPr>
        <w:spacing w:after="0" w:line="86" w:lineRule="exact"/>
        <w:rPr>
          <w:sz w:val="20"/>
          <w:szCs w:val="20"/>
          <w:color w:val="auto"/>
        </w:rPr>
      </w:pPr>
    </w:p>
    <w:p>
      <w:pPr>
        <w:ind w:left="60" w:right="80" w:firstLine="480"/>
        <w:spacing w:after="0" w:line="266" w:lineRule="auto"/>
        <w:rPr>
          <w:sz w:val="20"/>
          <w:szCs w:val="20"/>
          <w:color w:val="auto"/>
        </w:rPr>
      </w:pPr>
      <w:r>
        <w:rPr>
          <w:rFonts w:ascii="Times New Roman" w:cs="Times New Roman" w:eastAsia="Times New Roman" w:hAnsi="Times New Roman"/>
          <w:sz w:val="19"/>
          <w:szCs w:val="19"/>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70"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Narcolepsy patients, by virtue of their diagnosis, are at increased risk of cardiovascular events and disease, and the impact of sodium on cardiovascular health is well established. There is also extensive scientific evidence that reducing sodium consumption, which is a modifiable risk factor, is associated with clinically meaningful reductions in blood pressure and cardiovascular disease risk. Therefore, we believe that reducing sodium intake compared to currently-marketed high-sodium oxybate products by 92% each day is a significant advancement for these patients. The 92% reduction of sodium translates into a reduction of approximately 1,000 to 1,500 milligrams per day for a patient prescribed high-sodium oxybate, depending on the dose. Our commercial efforts are focused on educating patients and physicians about the lifelong impact of high sodium intake, and how the use of Xywav enables them to address what is a modifiable risk factor. When patients transition from Xyrem to Xywav, Xywav treatment is initiated at the same dose and regimen (gram for gram) and titrated as needed based on efficacy and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64135</wp:posOffset>
            </wp:positionV>
            <wp:extent cx="259080" cy="2546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43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43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953" w:right="959" w:bottom="0" w:gutter="0" w:footer="0" w:header="0"/>
        </w:sectPr>
      </w:pPr>
    </w:p>
    <w:bookmarkStart w:id="136" w:name="page137"/>
    <w:bookmarkEnd w:id="136"/>
    <w:p>
      <w:pPr>
        <w:ind w:right="60" w:firstLine="480"/>
        <w:spacing w:after="0" w:line="257" w:lineRule="auto"/>
        <w:rPr>
          <w:sz w:val="20"/>
          <w:szCs w:val="20"/>
          <w:color w:val="auto"/>
        </w:rPr>
      </w:pPr>
      <w:r>
        <w:rPr>
          <w:rFonts w:ascii="Times New Roman" w:cs="Times New Roman" w:eastAsia="Times New Roman" w:hAnsi="Times New Roman"/>
          <w:sz w:val="19"/>
          <w:szCs w:val="19"/>
          <w:color w:val="auto"/>
        </w:rPr>
        <w:t>We view the continued adoption of Xywav in narcolepsy as a positive indication that physicians and patients appreciate the benefits of a low-sodium oxybate option. In June 2021, FDA recognized seven years of ODE for Xywav in EDS and cataplexy in narcolepsy through July 21, 2027 (which was subsequently extended to January 21, 2028). Nevertheless, Lumryz, a fixed-dose, high-sodium oxybate, was approved by FDA on May 1, 2023 for the treatment of cataplexy or EDS in adults with narcolepsy and was launched in the U.S. market in June 2023.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Our first medicine in rare sleep disorders was Xyrem, which contains 1640mg of sodium per 9-gram dose per night. Xyrem is indicated for the treatment of cataplexy and EDS in patients seven years of age and older with narcolepsy. Xywav contains</w:t>
      </w:r>
    </w:p>
    <w:p>
      <w:pPr>
        <w:spacing w:after="0" w:line="1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9"/>
          <w:szCs w:val="19"/>
          <w:color w:val="auto"/>
        </w:rPr>
        <w:t>92% less sodium than Xyrem and is the only approved oxybate therapy that does not carry a warning and precaution related to high sodium intake.</w:t>
      </w:r>
    </w:p>
    <w:p>
      <w:pPr>
        <w:spacing w:after="0" w:line="63"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On August 12, 2021, FDA approved Xywav for the treatment of IH in adults. Xywav remains the first and only FDA-approved therapy to treat IH. We initiated the U.S. commercial launch of Xywav for the treatment of IH in adults on November 1, 2021. In January 2022, FDA recognized seven years of ODE for Xywav in IH through August 12,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w:t>
      </w:r>
    </w:p>
    <w:p>
      <w:pPr>
        <w:spacing w:after="0" w:line="78"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9"/>
          <w:szCs w:val="19"/>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58"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9"/>
          <w:szCs w:val="19"/>
          <w:color w:val="auto"/>
        </w:rPr>
        <w:t>We have seen strong adoption of Xywav in narcolepsy since its launch in November 2020 and increasing adoption in IH since its launch in November 2021. At the end of 2025, there were approximately 16,175 patients taking Xywav, including approximately 10,950 patients with narcolepsy and approximately 5,225 patients with IH.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 2025, net product sales of Xywav were $1,657.0 million, which represented 41% of our total net product sales for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05" w:lineRule="exact"/>
        <w:rPr>
          <w:sz w:val="20"/>
          <w:szCs w:val="20"/>
          <w:color w:val="auto"/>
        </w:rPr>
      </w:pPr>
    </w:p>
    <w:p>
      <w:pPr>
        <w:ind w:right="140" w:firstLine="48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Xyrem. </w:t>
      </w:r>
      <w:r>
        <w:rPr>
          <w:rFonts w:ascii="Times New Roman" w:cs="Times New Roman" w:eastAsia="Times New Roman" w:hAnsi="Times New Roman"/>
          <w:sz w:val="19"/>
          <w:szCs w:val="19"/>
          <w:color w:val="auto"/>
        </w:rPr>
        <w:t>Xyrem was approved in the U.S. for the treatment of cataplexy in patients with narcolepsy in 2002 and was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for treatment of EDS in patients with narcolepsy in 2005. In October 2018, Xyrem was also approved in the U.S. for the treatment of cataplexy or EDS in pediatric patients seven years of age and older with narcolepsy. As of January 2026, we are aware of two high-sodium oxybate generics of Xyrem that have been launched.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2025, net product sales of Xyrem were $146.0 million, which represented 4% of our total net product sales for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05"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Xywav and Xyrem REMS</w:t>
      </w:r>
      <w:r>
        <w:rPr>
          <w:rFonts w:ascii="Times New Roman" w:cs="Times New Roman" w:eastAsia="Times New Roman" w:hAnsi="Times New Roman"/>
          <w:sz w:val="19"/>
          <w:szCs w:val="19"/>
          <w:color w:val="auto"/>
        </w:rPr>
        <w:t>. Our marketing, sales and distribution of Xywav and Xyrem in the U.S. are subject to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REMS, which is required by FDA to mitigate the risks of serious adverse outcomes resulting from inappropriate prescribing, abuse, misuse and diversion of Xywav and Xyrem. The Xywav and Xyrem REMS has the same requirements for both products.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311"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Since 2002, we have had exclusive agreements with ESSDS, the central pharmacy for Xywav and Xyrem, to distribute Xywav and Xyrem in the U.S. and provide patient support services related to Xyrem. In December 2022, we entered into new agreements with ESSDS with a two-year term and our ability to extend the term for an additional year. Our current agreements with ESSDS were amended in November 2025 to extend the term of the central pharmacy agreement to December 31, 2026, and the patient support services agreement to September 1, 2026. The agreements may be terminated by either party at any time without cause on 180 days’ prior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208280</wp:posOffset>
            </wp:positionV>
            <wp:extent cx="259080" cy="2546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43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4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13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13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43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37" w:name="page138"/>
    <w:bookmarkEnd w:id="137"/>
    <w:p>
      <w:pPr>
        <w:ind w:left="540"/>
        <w:spacing w:after="0"/>
        <w:rPr>
          <w:sz w:val="20"/>
          <w:szCs w:val="20"/>
          <w:color w:val="auto"/>
        </w:rPr>
      </w:pPr>
      <w:r>
        <w:rPr>
          <w:rFonts w:ascii="Times New Roman" w:cs="Times New Roman" w:eastAsia="Times New Roman" w:hAnsi="Times New Roman"/>
          <w:sz w:val="19"/>
          <w:szCs w:val="19"/>
          <w:b w:val="1"/>
          <w:bCs w:val="1"/>
          <w:i w:val="1"/>
          <w:iCs w:val="1"/>
          <w:color w:val="auto"/>
        </w:rPr>
        <w:t>Our Rare Epilepsy Product</w:t>
      </w:r>
    </w:p>
    <w:p>
      <w:pPr>
        <w:spacing w:after="0" w:line="119" w:lineRule="exact"/>
        <w:rPr>
          <w:sz w:val="20"/>
          <w:szCs w:val="20"/>
          <w:color w:val="auto"/>
        </w:rPr>
      </w:pPr>
    </w:p>
    <w:p>
      <w:pPr>
        <w:ind w:left="60" w:right="20" w:firstLine="48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Epidiolex. </w:t>
      </w:r>
      <w:r>
        <w:rPr>
          <w:rFonts w:ascii="Times New Roman" w:cs="Times New Roman" w:eastAsia="Times New Roman" w:hAnsi="Times New Roman"/>
          <w:sz w:val="19"/>
          <w:szCs w:val="19"/>
          <w:color w:val="auto"/>
        </w:rPr>
        <w:t>We acquired Epidiolex (Epidyolex outside the U.S.) in May 2021 as part of our GW Acquisition, which added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durable and long-lived asset in rare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approved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Great Britain. Epidyolex was also approved for adjunctive therapy in seizures associated with TSC for patients 2 years of age and older in the EU in April 2021 and Great Britain in August 2021. Epidyolex is now launched and reimbursed in more than 40 countries. See “Research and Development Progress” below for a discussion of clinical development activities for Epidiolex.</w:t>
      </w:r>
    </w:p>
    <w:p>
      <w:pPr>
        <w:spacing w:after="0" w:line="310"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TSC, which expires in July 2027. 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73" w:lineRule="exact"/>
        <w:rPr>
          <w:sz w:val="20"/>
          <w:szCs w:val="20"/>
          <w:color w:val="auto"/>
        </w:rPr>
      </w:pPr>
    </w:p>
    <w:p>
      <w:pPr>
        <w:ind w:left="60" w:right="120" w:firstLine="480"/>
        <w:spacing w:after="0" w:line="267" w:lineRule="auto"/>
        <w:rPr>
          <w:sz w:val="20"/>
          <w:szCs w:val="20"/>
          <w:color w:val="auto"/>
        </w:rPr>
      </w:pPr>
      <w:r>
        <w:rPr>
          <w:rFonts w:ascii="Times New Roman" w:cs="Times New Roman" w:eastAsia="Times New Roman" w:hAnsi="Times New Roman"/>
          <w:sz w:val="19"/>
          <w:szCs w:val="19"/>
          <w:color w:val="auto"/>
        </w:rPr>
        <w:t>Net product sales of Epidiolex/Epidyolex in 2025 were $1,059.2 million, which represented 26% of our total net product sales for the year.</w:t>
      </w:r>
    </w:p>
    <w:p>
      <w:pPr>
        <w:ind w:left="540"/>
        <w:spacing w:after="0"/>
        <w:rPr>
          <w:sz w:val="20"/>
          <w:szCs w:val="20"/>
          <w:color w:val="auto"/>
        </w:rPr>
      </w:pPr>
      <w:r>
        <w:rPr>
          <w:rFonts w:ascii="PMingLiU" w:cs="PMingLiU" w:eastAsia="PMingLiU" w:hAnsi="PMingLiU"/>
          <w:sz w:val="23"/>
          <w:szCs w:val="23"/>
          <w:color w:val="auto"/>
        </w:rPr>
        <w:t/>
      </w:r>
    </w:p>
    <w:p>
      <w:pPr>
        <w:ind w:left="540"/>
        <w:spacing w:after="0"/>
        <w:rPr>
          <w:sz w:val="20"/>
          <w:szCs w:val="20"/>
          <w:color w:val="auto"/>
        </w:rPr>
      </w:pPr>
      <w:r>
        <w:rPr>
          <w:rFonts w:ascii="Times New Roman" w:cs="Times New Roman" w:eastAsia="Times New Roman" w:hAnsi="Times New Roman"/>
          <w:sz w:val="19"/>
          <w:szCs w:val="19"/>
          <w:b w:val="1"/>
          <w:bCs w:val="1"/>
          <w:i w:val="1"/>
          <w:iCs w:val="1"/>
          <w:color w:val="auto"/>
        </w:rPr>
        <w:t>Our Rare Oncology Products</w:t>
      </w:r>
    </w:p>
    <w:p>
      <w:pPr>
        <w:spacing w:after="0" w:line="93" w:lineRule="exact"/>
        <w:rPr>
          <w:sz w:val="20"/>
          <w:szCs w:val="20"/>
          <w:color w:val="auto"/>
        </w:rPr>
      </w:pPr>
    </w:p>
    <w:p>
      <w:pPr>
        <w:ind w:left="60" w:right="40" w:firstLine="48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Ziihera</w:t>
      </w:r>
      <w:r>
        <w:rPr>
          <w:rFonts w:ascii="Times New Roman" w:cs="Times New Roman" w:eastAsia="Times New Roman" w:hAnsi="Times New Roman"/>
          <w:sz w:val="19"/>
          <w:szCs w:val="19"/>
          <w:color w:val="auto"/>
        </w:rPr>
        <w:t>. We acquired our exclusive development and commercialization rights to Ziihera in 2022 through an exclusive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license agreement at will upon a specified notice period, and either party can terminate the license agreement for the other party’s uncured material breach or bankruptcy.</w:t>
      </w:r>
    </w:p>
    <w:p>
      <w:pPr>
        <w:spacing w:after="0" w:line="70" w:lineRule="exact"/>
        <w:rPr>
          <w:sz w:val="20"/>
          <w:szCs w:val="20"/>
          <w:color w:val="auto"/>
        </w:rPr>
      </w:pPr>
    </w:p>
    <w:p>
      <w:pPr>
        <w:ind w:left="60" w:right="140" w:firstLine="480"/>
        <w:spacing w:after="0" w:line="264" w:lineRule="auto"/>
        <w:rPr>
          <w:sz w:val="20"/>
          <w:szCs w:val="20"/>
          <w:color w:val="auto"/>
        </w:rPr>
      </w:pPr>
      <w:r>
        <w:rPr>
          <w:rFonts w:ascii="Times New Roman" w:cs="Times New Roman" w:eastAsia="Times New Roman" w:hAnsi="Times New Roman"/>
          <w:sz w:val="19"/>
          <w:szCs w:val="19"/>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BTC may be contingent upon verification and description of clinical benefit in the Phase 3 HERIZON-BTC-302 confirmatory trial.</w:t>
      </w:r>
    </w:p>
    <w:p>
      <w:pPr>
        <w:spacing w:after="0" w:line="71" w:lineRule="exact"/>
        <w:rPr>
          <w:sz w:val="20"/>
          <w:szCs w:val="20"/>
          <w:color w:val="auto"/>
        </w:rPr>
      </w:pPr>
    </w:p>
    <w:p>
      <w:pPr>
        <w:ind w:left="60" w:right="20" w:firstLine="480"/>
        <w:spacing w:after="0" w:line="270" w:lineRule="auto"/>
        <w:rPr>
          <w:sz w:val="20"/>
          <w:szCs w:val="20"/>
          <w:color w:val="auto"/>
        </w:rPr>
      </w:pPr>
      <w:r>
        <w:rPr>
          <w:rFonts w:ascii="Times New Roman" w:cs="Times New Roman" w:eastAsia="Times New Roman" w:hAnsi="Times New Roman"/>
          <w:sz w:val="19"/>
          <w:szCs w:val="19"/>
          <w:color w:val="auto"/>
        </w:rPr>
        <w:t>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64" w:lineRule="exact"/>
        <w:rPr>
          <w:sz w:val="20"/>
          <w:szCs w:val="20"/>
          <w:color w:val="auto"/>
        </w:rPr>
      </w:pPr>
    </w:p>
    <w:p>
      <w:pPr>
        <w:ind w:left="60" w:right="60" w:firstLine="479"/>
        <w:spacing w:after="0" w:line="299" w:lineRule="auto"/>
        <w:rPr>
          <w:sz w:val="20"/>
          <w:szCs w:val="20"/>
          <w:color w:val="auto"/>
        </w:rPr>
      </w:pPr>
      <w:r>
        <w:rPr>
          <w:rFonts w:ascii="Times New Roman" w:cs="Times New Roman" w:eastAsia="Times New Roman" w:hAnsi="Times New Roman"/>
          <w:sz w:val="19"/>
          <w:szCs w:val="19"/>
          <w:color w:val="auto"/>
        </w:rPr>
        <w:t>In 2025, net product sales of Ziihera were $24.8 million, which represented less than 1% of our total net product sales for the year.</w:t>
      </w:r>
    </w:p>
    <w:p>
      <w:pPr>
        <w:spacing w:after="0" w:line="38" w:lineRule="exact"/>
        <w:rPr>
          <w:sz w:val="20"/>
          <w:szCs w:val="20"/>
          <w:color w:val="auto"/>
        </w:rPr>
      </w:pPr>
    </w:p>
    <w:p>
      <w:pPr>
        <w:ind w:left="60" w:right="100" w:firstLine="479"/>
        <w:spacing w:after="0" w:line="3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Modeyso. </w:t>
      </w:r>
      <w:r>
        <w:rPr>
          <w:rFonts w:ascii="Times New Roman" w:cs="Times New Roman" w:eastAsia="Times New Roman" w:hAnsi="Times New Roman"/>
          <w:sz w:val="16"/>
          <w:szCs w:val="16"/>
          <w:color w:val="auto"/>
        </w:rPr>
        <w:t>We completed the Chimerix Acquisition in April 2025 for a total of cash consideration of $944.2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adding Modeyso (dordaviprone), a protease activator of the mitochondrial ClpP that also inhibits DRD2, to our rare oncology portfolio. In August 2025, Modeyso was granted accelerated approval by FDA for the treatment of adult and pediatric patients </w:t>
      </w:r>
      <w:r>
        <w:rPr>
          <w:rFonts w:ascii="PMingLiU" w:cs="PMingLiU" w:eastAsia="PMingLiU" w:hAnsi="PMingLiU"/>
          <w:sz w:val="16"/>
          <w:szCs w:val="16"/>
          <w:color w:val="auto"/>
        </w:rPr>
        <w:t xml:space="preserve">\HDURIDJHDQGROGHUZLWKGLIIXVHPLGOLQHJOLRPDKDUERULQJDQ+.0PXWDWLRQZLWKSURJUHVVLYHGLVHDVHIROORZLQJSULRU </w:t>
      </w:r>
      <w:r>
        <w:rPr>
          <w:rFonts w:ascii="Times New Roman" w:cs="Times New Roman" w:eastAsia="Times New Roman" w:hAnsi="Times New Roman"/>
          <w:sz w:val="16"/>
          <w:szCs w:val="16"/>
          <w:color w:val="auto"/>
        </w:rPr>
        <w:t>therapy. Modeyso is the first and only treatment option approved by FDA for this ultra-rare and aggressive brain tumor that mainly affects children and young adults. Continued approval for this indication may be contingent upon verification and description of clinical benefit in the Phase 3 ACTION confirmatory trial. In connection with the approval by FDA of Modeyso in August 2025, we received a rare pediatric disease PRV, which we sold in January 2026 for total cash consideration of $200.0 million of which 50% is attributable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132080</wp:posOffset>
            </wp:positionV>
            <wp:extent cx="259080" cy="2546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44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44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1109" w:right="959" w:bottom="0" w:gutter="0" w:footer="0" w:header="0"/>
        </w:sectPr>
      </w:pPr>
    </w:p>
    <w:bookmarkStart w:id="138" w:name="page139"/>
    <w:bookmarkEnd w:id="138"/>
    <w:p>
      <w:pPr>
        <w:ind w:left="480"/>
        <w:spacing w:after="0"/>
        <w:rPr>
          <w:sz w:val="20"/>
          <w:szCs w:val="20"/>
          <w:color w:val="auto"/>
        </w:rPr>
      </w:pPr>
      <w:r>
        <w:rPr>
          <w:rFonts w:ascii="Times New Roman" w:cs="Times New Roman" w:eastAsia="Times New Roman" w:hAnsi="Times New Roman"/>
          <w:sz w:val="19"/>
          <w:szCs w:val="19"/>
          <w:color w:val="auto"/>
        </w:rPr>
        <w:t>Net product sales of Modeyso in 2025 were $48.0 million, which represented 1% of our total net product sales for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0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Zepzelca. </w:t>
      </w:r>
      <w:r>
        <w:rPr>
          <w:rFonts w:ascii="Times New Roman" w:cs="Times New Roman" w:eastAsia="Times New Roman" w:hAnsi="Times New Roman"/>
          <w:sz w:val="19"/>
          <w:szCs w:val="19"/>
          <w:color w:val="auto"/>
        </w:rPr>
        <w:t>We acquired U.S. development and commercialization rights to Zepzelca in early 2020, and launched six</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months thereafter, with an indication for treatment of patients with metastatic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Our education and promotional efforts are focused on SCLC-treating physicians. We are continuing to market Zepzelca across academic and community cancer centers.</w:t>
      </w:r>
      <w:r>
        <w:rPr>
          <w:rFonts w:ascii="PMingLiU" w:cs="PMingLiU" w:eastAsia="PMingLiU" w:hAnsi="PMingLiU"/>
          <w:sz w:val="21"/>
          <w:szCs w:val="21"/>
          <w:b w:val="1"/>
          <w:bCs w:val="1"/>
          <w:i w:val="1"/>
          <w:iCs w:val="1"/>
          <w:color w:val="auto"/>
        </w:rPr>
        <w:t/>
      </w:r>
    </w:p>
    <w:p>
      <w:pPr>
        <w:spacing w:after="0" w:line="70"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9"/>
          <w:szCs w:val="19"/>
          <w:color w:val="auto"/>
        </w:rPr>
        <w:t>Our exclusive U.S. development and commercialization rights to Zepzelca were acquired through an exclusive license agreement we entered into with PharmaMar in December 2019.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w:t>
      </w:r>
    </w:p>
    <w:p>
      <w:pPr>
        <w:spacing w:after="0" w:line="311" w:lineRule="exact"/>
        <w:rPr>
          <w:sz w:val="20"/>
          <w:szCs w:val="20"/>
          <w:color w:val="auto"/>
        </w:rPr>
      </w:pPr>
    </w:p>
    <w:p>
      <w:pPr>
        <w:ind w:right="120" w:firstLine="480"/>
        <w:spacing w:after="0" w:line="259" w:lineRule="auto"/>
        <w:rPr>
          <w:sz w:val="20"/>
          <w:szCs w:val="20"/>
          <w:color w:val="auto"/>
        </w:rPr>
      </w:pPr>
      <w:r>
        <w:rPr>
          <w:rFonts w:ascii="Times New Roman" w:cs="Times New Roman" w:eastAsia="Times New Roman" w:hAnsi="Times New Roman"/>
          <w:sz w:val="19"/>
          <w:szCs w:val="19"/>
          <w:color w:val="auto"/>
        </w:rPr>
        <w:t>Zepzelca was granted orphan drug designation for adults with metastatic SCLC with disease progression on or after platinum-based chemotherapy by FDA in August 2018. In December 2019, PharmaMar submitted an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June 2025, the sNDA submission for the combination of Zepzelca with atezolizumab or atezolizumab and hyaluronidase-tqjs was granted priority review by FDA and subsequently approved in October 2025 as a first-line maintenance treatment for adults with extensive-stage SCLC whose disease has not progressed after first-line induction therapy with atezolizumab, or atezolizumab and hyaluronidase-tqjs carboplatin and etoposide. In addition, our licensor PharmaMar is conducting a confirmatory trial in second-line SCLC. This is a three-arm trial comparing Zepzelca as either monotherapy or in combination with irinotecan to investigator’s choice of irinotecan or topotecan.</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 2025, net product sales of Zepzelca were $307.3 million, which represented 8% of our total net product sales for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Rylaze. </w:t>
      </w:r>
      <w:r>
        <w:rPr>
          <w:rFonts w:ascii="Times New Roman" w:cs="Times New Roman" w:eastAsia="Times New Roman" w:hAnsi="Times New Roman"/>
          <w:sz w:val="19"/>
          <w:szCs w:val="19"/>
          <w:color w:val="auto"/>
        </w:rPr>
        <w:t>Rylaze was approved by FDA in June 2021 under the RTOR program, and was launched in the U.S. in</w:t>
      </w:r>
    </w:p>
    <w:p>
      <w:pPr>
        <w:spacing w:after="0" w:line="4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that maintains a clinically meaningful level of serum asparaginase activity throughout the entire intended course of treatment. We developed Rylaze to address the needs of patients and health care providers for an innovative, high-quality erwinia asparaginase with reliable supply.</w:t>
      </w:r>
    </w:p>
    <w:p>
      <w:pPr>
        <w:spacing w:after="0" w:line="76" w:lineRule="exact"/>
        <w:rPr>
          <w:sz w:val="20"/>
          <w:szCs w:val="20"/>
          <w:color w:val="auto"/>
        </w:rPr>
      </w:pPr>
    </w:p>
    <w:p>
      <w:pPr>
        <w:ind w:right="240" w:firstLine="479"/>
        <w:spacing w:after="0" w:line="210" w:lineRule="auto"/>
        <w:rPr>
          <w:sz w:val="20"/>
          <w:szCs w:val="20"/>
          <w:color w:val="auto"/>
        </w:rPr>
      </w:pPr>
      <w:r>
        <w:rPr>
          <w:rFonts w:ascii="Times New Roman" w:cs="Times New Roman" w:eastAsia="Times New Roman" w:hAnsi="Times New Roman"/>
          <w:sz w:val="19"/>
          <w:szCs w:val="19"/>
          <w:color w:val="auto"/>
        </w:rPr>
        <w:t>The initial approved recommended dosage of Rylaze was for an IM administration of 25 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every 48 hours. In November 2022, FDA approved an sBLA, for a Monday/Wednesday/Friday 25/25/50 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IM dosing schedule. In September 2023, the EC granted marketing authorization for JZP458 (Rylaze) under the trade name Enrylaze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Enrylaze was approved in Great Britain in January 2024, and is also approved in Canada, Switzerland and Australia.</w:t>
      </w:r>
      <w:r>
        <w:rPr>
          <w:rFonts w:ascii="PMingLiU" w:cs="PMingLiU" w:eastAsia="PMingLiU" w:hAnsi="PMingLiU"/>
          <w:sz w:val="19"/>
          <w:szCs w:val="19"/>
          <w:color w:val="auto"/>
        </w:rPr>
        <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 2025, net product sales of Rylaze were $402.9 million, which represented 10% of our total net product sales for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year.</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Revenue Diversification</w:t>
      </w:r>
    </w:p>
    <w:p>
      <w:pPr>
        <w:spacing w:after="0" w:line="129"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9"/>
          <w:szCs w:val="19"/>
          <w:color w:val="auto"/>
        </w:rPr>
        <w:t>As part of our objective to build a durable, growing commercial portfolio and reduce business risk by diversifying our revenue sources, we have been actively seeking to expand our commercial portfolio through a combination of launching internally developed therapies and commercial assets or investigational therapies acquired through corporate development. In 2020, 74% of total revenue was generated by one product, the high-sodium oxybate Xyrem. For the year ended December 31, 2025, 8% of total revenue was generated by Xyrem plus high-sodium oxybate AG royalty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576580</wp:posOffset>
            </wp:positionV>
            <wp:extent cx="259080" cy="2546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44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15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15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44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39" w:name="page140"/>
    <w:bookmarkEnd w:id="139"/>
    <w:p>
      <w:pPr>
        <w:ind w:left="540"/>
        <w:spacing w:after="0"/>
        <w:rPr>
          <w:sz w:val="20"/>
          <w:szCs w:val="20"/>
          <w:color w:val="auto"/>
        </w:rPr>
      </w:pPr>
      <w:r>
        <w:rPr>
          <w:rFonts w:ascii="Times New Roman" w:cs="Times New Roman" w:eastAsia="Times New Roman" w:hAnsi="Times New Roman"/>
          <w:sz w:val="19"/>
          <w:szCs w:val="19"/>
          <w:color w:val="auto"/>
        </w:rPr>
        <w:t>Our lead marketed products, listed below, are approved in countries around the world to improve patient care.</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Product</w:t>
            </w:r>
          </w:p>
        </w:tc>
        <w:tc>
          <w:tcPr>
            <w:tcW w:w="40" w:type="dxa"/>
            <w:vAlign w:val="bottom"/>
          </w:tcPr>
          <w:p>
            <w:pPr>
              <w:spacing w:after="0"/>
              <w:rPr>
                <w:sz w:val="19"/>
                <w:szCs w:val="19"/>
                <w:color w:val="auto"/>
              </w:rPr>
            </w:pP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auto"/>
              </w:rPr>
              <w:t>Indications</w:t>
            </w:r>
          </w:p>
        </w:tc>
        <w:tc>
          <w:tcPr>
            <w:tcW w:w="15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Initial Approval</w:t>
            </w: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Markets</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1320" w:type="dxa"/>
            <w:vAlign w:val="bottom"/>
            <w:tcBorders>
              <w:top w:val="single" w:sz="8" w:color="auto"/>
            </w:tcBorders>
            <w:gridSpan w:val="2"/>
          </w:tcPr>
          <w:p>
            <w:pPr>
              <w:spacing w:after="0" w:line="173" w:lineRule="exact"/>
              <w:rPr>
                <w:sz w:val="20"/>
                <w:szCs w:val="20"/>
                <w:color w:val="auto"/>
              </w:rPr>
            </w:pPr>
            <w:r>
              <w:rPr>
                <w:rFonts w:ascii="Times New Roman" w:cs="Times New Roman" w:eastAsia="Times New Roman" w:hAnsi="Times New Roman"/>
                <w:sz w:val="19"/>
                <w:szCs w:val="19"/>
                <w:b w:val="1"/>
                <w:bCs w:val="1"/>
                <w:color w:val="auto"/>
              </w:rPr>
              <w:t>Date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0" w:type="dxa"/>
            <w:vAlign w:val="bottom"/>
            <w:tcBorders>
              <w:bottom w:val="single" w:sz="8" w:color="B6B6B6"/>
            </w:tcBorders>
          </w:tcPr>
          <w:p>
            <w:pPr>
              <w:spacing w:after="0"/>
              <w:rPr>
                <w:sz w:val="2"/>
                <w:szCs w:val="2"/>
                <w:color w:val="auto"/>
              </w:rPr>
            </w:pPr>
          </w:p>
        </w:tc>
        <w:tc>
          <w:tcPr>
            <w:tcW w:w="660" w:type="dxa"/>
            <w:vAlign w:val="bottom"/>
            <w:tcBorders>
              <w:top w:val="single" w:sz="8" w:color="auto"/>
              <w:bottom w:val="single" w:sz="8" w:color="B6B6B6"/>
            </w:tcBorders>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940" w:type="dxa"/>
            <w:vAlign w:val="bottom"/>
            <w:tcBorders>
              <w:top w:val="single" w:sz="8" w:color="auto"/>
              <w:bottom w:val="single" w:sz="8" w:color="B6B6B6"/>
            </w:tcBorders>
          </w:tcPr>
          <w:p>
            <w:pPr>
              <w:spacing w:after="0"/>
              <w:rPr>
                <w:sz w:val="2"/>
                <w:szCs w:val="2"/>
                <w:color w:val="auto"/>
              </w:rPr>
            </w:pPr>
          </w:p>
        </w:tc>
        <w:tc>
          <w:tcPr>
            <w:tcW w:w="3560" w:type="dxa"/>
            <w:vAlign w:val="bottom"/>
            <w:tcBorders>
              <w:bottom w:val="single" w:sz="8" w:color="B6B6B6"/>
            </w:tcBorders>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380" w:type="dxa"/>
            <w:vAlign w:val="bottom"/>
            <w:tcBorders>
              <w:top w:val="single" w:sz="8" w:color="auto"/>
              <w:bottom w:val="single" w:sz="8" w:color="B6B6B6"/>
            </w:tcBorders>
          </w:tcPr>
          <w:p>
            <w:pPr>
              <w:spacing w:after="0"/>
              <w:rPr>
                <w:sz w:val="2"/>
                <w:szCs w:val="2"/>
                <w:color w:val="auto"/>
              </w:rPr>
            </w:pPr>
          </w:p>
        </w:tc>
        <w:tc>
          <w:tcPr>
            <w:tcW w:w="1160" w:type="dxa"/>
            <w:vAlign w:val="bottom"/>
            <w:tcBorders>
              <w:bottom w:val="single" w:sz="8" w:color="B6B6B6"/>
            </w:tcBorders>
            <w:gridSpan w:val="2"/>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700" w:type="dxa"/>
            <w:vAlign w:val="bottom"/>
            <w:tcBorders>
              <w:top w:val="single" w:sz="8" w:color="auto"/>
              <w:bottom w:val="single" w:sz="8" w:color="B6B6B6"/>
            </w:tcBorders>
          </w:tcPr>
          <w:p>
            <w:pPr>
              <w:spacing w:after="0"/>
              <w:rPr>
                <w:sz w:val="2"/>
                <w:szCs w:val="2"/>
                <w:color w:val="auto"/>
              </w:rPr>
            </w:pPr>
          </w:p>
        </w:tc>
        <w:tc>
          <w:tcPr>
            <w:tcW w:w="128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Xywav® (calcium,</w:t>
            </w: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Treatment of cataplexy or EDS in patients seven years of</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July 2020</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79"/>
        </w:trPr>
        <w:tc>
          <w:tcPr>
            <w:tcW w:w="60" w:type="dxa"/>
            <w:vAlign w:val="bottom"/>
            <w:tcBorders>
              <w:left w:val="single" w:sz="8" w:color="B6B6B6"/>
            </w:tcBorders>
          </w:tcPr>
          <w:p>
            <w:pPr>
              <w:spacing w:after="0"/>
              <w:rPr>
                <w:sz w:val="6"/>
                <w:szCs w:val="6"/>
                <w:color w:val="auto"/>
              </w:rPr>
            </w:pPr>
          </w:p>
        </w:tc>
        <w:tc>
          <w:tcPr>
            <w:tcW w:w="1760" w:type="dxa"/>
            <w:vAlign w:val="bottom"/>
            <w:tcBorders>
              <w:right w:val="single" w:sz="8" w:color="B6B6B6"/>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56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9"/>
                <w:szCs w:val="19"/>
                <w:color w:val="auto"/>
              </w:rPr>
              <w:t>age and older with narcolepsy.</w:t>
            </w: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Borders>
              <w:right w:val="single" w:sz="8" w:color="B6B6B6"/>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80" w:type="dxa"/>
            <w:vAlign w:val="bottom"/>
            <w:tcBorders>
              <w:right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9"/>
                <w:szCs w:val="19"/>
                <w:color w:val="auto"/>
              </w:rPr>
              <w:t>magnesium,</w:t>
            </w:r>
          </w:p>
        </w:tc>
        <w:tc>
          <w:tcPr>
            <w:tcW w:w="40" w:type="dxa"/>
            <w:vAlign w:val="bottom"/>
            <w:tcBorders>
              <w:bottom w:val="single" w:sz="8" w:color="B6B6B6"/>
            </w:tcBorders>
          </w:tcPr>
          <w:p>
            <w:pPr>
              <w:spacing w:after="0"/>
              <w:rPr>
                <w:sz w:val="15"/>
                <w:szCs w:val="15"/>
                <w:color w:val="auto"/>
              </w:rPr>
            </w:pPr>
          </w:p>
        </w:tc>
        <w:tc>
          <w:tcPr>
            <w:tcW w:w="4560" w:type="dxa"/>
            <w:vAlign w:val="bottom"/>
            <w:tcBorders>
              <w:bottom w:val="single" w:sz="8" w:color="B6B6B6"/>
              <w:right w:val="single" w:sz="8" w:color="B6B6B6"/>
            </w:tcBorders>
            <w:gridSpan w:val="3"/>
            <w:vMerge w:val="continue"/>
          </w:tcPr>
          <w:p>
            <w:pPr>
              <w:spacing w:after="0"/>
              <w:rPr>
                <w:sz w:val="15"/>
                <w:szCs w:val="15"/>
                <w:color w:val="auto"/>
              </w:rPr>
            </w:pPr>
          </w:p>
        </w:tc>
        <w:tc>
          <w:tcPr>
            <w:tcW w:w="380" w:type="dxa"/>
            <w:vAlign w:val="bottom"/>
            <w:tcBorders>
              <w:bottom w:val="single" w:sz="8" w:color="B6B6B6"/>
            </w:tcBorders>
          </w:tcPr>
          <w:p>
            <w:pPr>
              <w:spacing w:after="0"/>
              <w:rPr>
                <w:sz w:val="15"/>
                <w:szCs w:val="15"/>
                <w:color w:val="auto"/>
              </w:rPr>
            </w:pPr>
          </w:p>
        </w:tc>
        <w:tc>
          <w:tcPr>
            <w:tcW w:w="940" w:type="dxa"/>
            <w:vAlign w:val="bottom"/>
            <w:tcBorders>
              <w:bottom w:val="single" w:sz="8" w:color="B6B6B6"/>
            </w:tcBorders>
          </w:tcPr>
          <w:p>
            <w:pPr>
              <w:spacing w:after="0"/>
              <w:rPr>
                <w:sz w:val="15"/>
                <w:szCs w:val="15"/>
                <w:color w:val="auto"/>
              </w:rPr>
            </w:pPr>
          </w:p>
        </w:tc>
        <w:tc>
          <w:tcPr>
            <w:tcW w:w="220" w:type="dxa"/>
            <w:vAlign w:val="bottom"/>
            <w:tcBorders>
              <w:bottom w:val="single" w:sz="8" w:color="B6B6B6"/>
              <w:right w:val="single" w:sz="8" w:color="B6B6B6"/>
            </w:tcBorders>
          </w:tcPr>
          <w:p>
            <w:pPr>
              <w:spacing w:after="0"/>
              <w:rPr>
                <w:sz w:val="15"/>
                <w:szCs w:val="15"/>
                <w:color w:val="auto"/>
              </w:rPr>
            </w:pPr>
          </w:p>
        </w:tc>
        <w:tc>
          <w:tcPr>
            <w:tcW w:w="40" w:type="dxa"/>
            <w:vAlign w:val="bottom"/>
            <w:tcBorders>
              <w:bottom w:val="single" w:sz="8" w:color="B6B6B6"/>
            </w:tcBorders>
          </w:tcPr>
          <w:p>
            <w:pPr>
              <w:spacing w:after="0"/>
              <w:rPr>
                <w:sz w:val="15"/>
                <w:szCs w:val="15"/>
                <w:color w:val="auto"/>
              </w:rPr>
            </w:pPr>
          </w:p>
        </w:tc>
        <w:tc>
          <w:tcPr>
            <w:tcW w:w="700" w:type="dxa"/>
            <w:vAlign w:val="bottom"/>
            <w:tcBorders>
              <w:bottom w:val="single" w:sz="8" w:color="B6B6B6"/>
            </w:tcBorders>
          </w:tcPr>
          <w:p>
            <w:pPr>
              <w:spacing w:after="0"/>
              <w:rPr>
                <w:sz w:val="15"/>
                <w:szCs w:val="15"/>
                <w:color w:val="auto"/>
              </w:rPr>
            </w:pPr>
          </w:p>
        </w:tc>
        <w:tc>
          <w:tcPr>
            <w:tcW w:w="1280" w:type="dxa"/>
            <w:vAlign w:val="bottom"/>
            <w:tcBorders>
              <w:bottom w:val="single" w:sz="8" w:color="B6B6B6"/>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potassium, and</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Treatment of IH in adults.</w:t>
            </w:r>
          </w:p>
        </w:tc>
        <w:tc>
          <w:tcPr>
            <w:tcW w:w="154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August 2021</w:t>
            </w: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72"/>
        </w:trPr>
        <w:tc>
          <w:tcPr>
            <w:tcW w:w="60" w:type="dxa"/>
            <w:vAlign w:val="bottom"/>
            <w:tcBorders>
              <w:left w:val="single" w:sz="8" w:color="B6B6B6"/>
            </w:tcBorders>
          </w:tcPr>
          <w:p>
            <w:pPr>
              <w:spacing w:after="0"/>
              <w:rPr>
                <w:sz w:val="6"/>
                <w:szCs w:val="6"/>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sodium oxybates)</w:t>
            </w:r>
          </w:p>
        </w:tc>
        <w:tc>
          <w:tcPr>
            <w:tcW w:w="4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3560" w:type="dxa"/>
            <w:vAlign w:val="bottom"/>
            <w:tcBorders>
              <w:bottom w:val="single" w:sz="8" w:color="B6B6B6"/>
            </w:tcBorders>
          </w:tcPr>
          <w:p>
            <w:pPr>
              <w:spacing w:after="0"/>
              <w:rPr>
                <w:sz w:val="6"/>
                <w:szCs w:val="6"/>
                <w:color w:val="auto"/>
              </w:rPr>
            </w:pPr>
          </w:p>
        </w:tc>
        <w:tc>
          <w:tcPr>
            <w:tcW w:w="60" w:type="dxa"/>
            <w:vAlign w:val="bottom"/>
            <w:tcBorders>
              <w:bottom w:val="single" w:sz="8" w:color="B6B6B6"/>
              <w:right w:val="single" w:sz="8" w:color="B6B6B6"/>
            </w:tcBorders>
          </w:tcPr>
          <w:p>
            <w:pPr>
              <w:spacing w:after="0"/>
              <w:rPr>
                <w:sz w:val="6"/>
                <w:szCs w:val="6"/>
                <w:color w:val="auto"/>
              </w:rPr>
            </w:pPr>
          </w:p>
        </w:tc>
        <w:tc>
          <w:tcPr>
            <w:tcW w:w="38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220" w:type="dxa"/>
            <w:vAlign w:val="bottom"/>
            <w:tcBorders>
              <w:bottom w:val="single" w:sz="8" w:color="B6B6B6"/>
              <w:right w:val="single" w:sz="8" w:color="B6B6B6"/>
            </w:tcBorders>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700" w:type="dxa"/>
            <w:vAlign w:val="bottom"/>
            <w:tcBorders>
              <w:bottom w:val="single" w:sz="8" w:color="B6B6B6"/>
            </w:tcBorders>
          </w:tcPr>
          <w:p>
            <w:pPr>
              <w:spacing w:after="0"/>
              <w:rPr>
                <w:sz w:val="6"/>
                <w:szCs w:val="6"/>
                <w:color w:val="auto"/>
              </w:rPr>
            </w:pPr>
          </w:p>
        </w:tc>
        <w:tc>
          <w:tcPr>
            <w:tcW w:w="1280" w:type="dxa"/>
            <w:vAlign w:val="bottom"/>
            <w:tcBorders>
              <w:bottom w:val="single" w:sz="8" w:color="B6B6B6"/>
              <w:right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60" w:type="dxa"/>
            <w:vAlign w:val="bottom"/>
            <w:tcBorders>
              <w:left w:val="single" w:sz="8" w:color="B6B6B6"/>
            </w:tcBorders>
          </w:tcPr>
          <w:p>
            <w:pPr>
              <w:spacing w:after="0"/>
              <w:rPr>
                <w:sz w:val="14"/>
                <w:szCs w:val="14"/>
                <w:color w:val="auto"/>
              </w:rPr>
            </w:pPr>
          </w:p>
        </w:tc>
        <w:tc>
          <w:tcPr>
            <w:tcW w:w="1760" w:type="dxa"/>
            <w:vAlign w:val="bottom"/>
            <w:tcBorders>
              <w:right w:val="single" w:sz="8" w:color="B6B6B6"/>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56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9"/>
                <w:szCs w:val="19"/>
                <w:color w:val="auto"/>
              </w:rPr>
              <w:t>Treatment of cataplexy in patients with narcolepsy.</w:t>
            </w:r>
          </w:p>
        </w:tc>
        <w:tc>
          <w:tcPr>
            <w:tcW w:w="154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9"/>
                <w:szCs w:val="19"/>
                <w:color w:val="auto"/>
              </w:rPr>
              <w:t>May 2023</w:t>
            </w:r>
          </w:p>
        </w:tc>
        <w:tc>
          <w:tcPr>
            <w:tcW w:w="40" w:type="dxa"/>
            <w:vAlign w:val="bottom"/>
          </w:tcPr>
          <w:p>
            <w:pPr>
              <w:spacing w:after="0"/>
              <w:rPr>
                <w:sz w:val="14"/>
                <w:szCs w:val="14"/>
                <w:color w:val="auto"/>
              </w:rPr>
            </w:pPr>
          </w:p>
        </w:tc>
        <w:tc>
          <w:tcPr>
            <w:tcW w:w="19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91"/>
        </w:trPr>
        <w:tc>
          <w:tcPr>
            <w:tcW w:w="60" w:type="dxa"/>
            <w:vAlign w:val="bottom"/>
            <w:tcBorders>
              <w:left w:val="single" w:sz="8" w:color="B6B6B6"/>
              <w:bottom w:val="single" w:sz="8" w:color="B6B6B6"/>
            </w:tcBorders>
          </w:tcPr>
          <w:p>
            <w:pPr>
              <w:spacing w:after="0"/>
              <w:rPr>
                <w:sz w:val="7"/>
                <w:szCs w:val="7"/>
                <w:color w:val="auto"/>
              </w:rPr>
            </w:pPr>
          </w:p>
        </w:tc>
        <w:tc>
          <w:tcPr>
            <w:tcW w:w="660" w:type="dxa"/>
            <w:vAlign w:val="bottom"/>
            <w:tcBorders>
              <w:bottom w:val="single" w:sz="8" w:color="B6B6B6"/>
            </w:tcBorders>
          </w:tcPr>
          <w:p>
            <w:pPr>
              <w:spacing w:after="0"/>
              <w:rPr>
                <w:sz w:val="7"/>
                <w:szCs w:val="7"/>
                <w:color w:val="auto"/>
              </w:rPr>
            </w:pPr>
          </w:p>
        </w:tc>
        <w:tc>
          <w:tcPr>
            <w:tcW w:w="1100" w:type="dxa"/>
            <w:vAlign w:val="bottom"/>
            <w:tcBorders>
              <w:bottom w:val="single" w:sz="8" w:color="B6B6B6"/>
              <w:right w:val="single" w:sz="8" w:color="B6B6B6"/>
            </w:tcBorders>
          </w:tcPr>
          <w:p>
            <w:pPr>
              <w:spacing w:after="0"/>
              <w:rPr>
                <w:sz w:val="7"/>
                <w:szCs w:val="7"/>
                <w:color w:val="auto"/>
              </w:rPr>
            </w:pPr>
          </w:p>
        </w:tc>
        <w:tc>
          <w:tcPr>
            <w:tcW w:w="40" w:type="dxa"/>
            <w:vAlign w:val="bottom"/>
            <w:tcBorders>
              <w:bottom w:val="single" w:sz="8" w:color="B6B6B6"/>
            </w:tcBorders>
          </w:tcPr>
          <w:p>
            <w:pPr>
              <w:spacing w:after="0"/>
              <w:rPr>
                <w:sz w:val="7"/>
                <w:szCs w:val="7"/>
                <w:color w:val="auto"/>
              </w:rPr>
            </w:pPr>
          </w:p>
        </w:tc>
        <w:tc>
          <w:tcPr>
            <w:tcW w:w="4560" w:type="dxa"/>
            <w:vAlign w:val="bottom"/>
            <w:tcBorders>
              <w:bottom w:val="single" w:sz="8" w:color="B6B6B6"/>
              <w:right w:val="single" w:sz="8" w:color="B6B6B6"/>
            </w:tcBorders>
            <w:gridSpan w:val="3"/>
            <w:vMerge w:val="continue"/>
          </w:tcPr>
          <w:p>
            <w:pPr>
              <w:spacing w:after="0"/>
              <w:rPr>
                <w:sz w:val="7"/>
                <w:szCs w:val="7"/>
                <w:color w:val="auto"/>
              </w:rPr>
            </w:pPr>
          </w:p>
        </w:tc>
        <w:tc>
          <w:tcPr>
            <w:tcW w:w="1540" w:type="dxa"/>
            <w:vAlign w:val="bottom"/>
            <w:tcBorders>
              <w:bottom w:val="single" w:sz="8" w:color="B6B6B6"/>
              <w:right w:val="single" w:sz="8" w:color="B6B6B6"/>
            </w:tcBorders>
            <w:gridSpan w:val="3"/>
            <w:vMerge w:val="continue"/>
          </w:tcPr>
          <w:p>
            <w:pPr>
              <w:spacing w:after="0"/>
              <w:rPr>
                <w:sz w:val="7"/>
                <w:szCs w:val="7"/>
                <w:color w:val="auto"/>
              </w:rPr>
            </w:pPr>
          </w:p>
        </w:tc>
        <w:tc>
          <w:tcPr>
            <w:tcW w:w="40" w:type="dxa"/>
            <w:vAlign w:val="bottom"/>
            <w:tcBorders>
              <w:bottom w:val="single" w:sz="8" w:color="B6B6B6"/>
            </w:tcBorders>
          </w:tcPr>
          <w:p>
            <w:pPr>
              <w:spacing w:after="0"/>
              <w:rPr>
                <w:sz w:val="7"/>
                <w:szCs w:val="7"/>
                <w:color w:val="auto"/>
              </w:rPr>
            </w:pPr>
          </w:p>
        </w:tc>
        <w:tc>
          <w:tcPr>
            <w:tcW w:w="1980" w:type="dxa"/>
            <w:vAlign w:val="bottom"/>
            <w:tcBorders>
              <w:bottom w:val="single" w:sz="8" w:color="B6B6B6"/>
              <w:right w:val="single" w:sz="8" w:color="B6B6B6"/>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Treatment of seizures associated with LGS, DS, or TSC,</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June 2018 and</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tcBorders>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456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in patients 1 year of age and older.</w:t>
            </w:r>
          </w:p>
        </w:tc>
        <w:tc>
          <w:tcPr>
            <w:tcW w:w="154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July 2020</w:t>
            </w: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60" w:type="dxa"/>
            <w:vAlign w:val="bottom"/>
            <w:tcBorders>
              <w:left w:val="single" w:sz="8" w:color="B6B6B6"/>
            </w:tcBorders>
          </w:tcPr>
          <w:p>
            <w:pPr>
              <w:spacing w:after="0"/>
              <w:rPr>
                <w:sz w:val="5"/>
                <w:szCs w:val="5"/>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Epidiolex®</w:t>
            </w:r>
          </w:p>
        </w:tc>
        <w:tc>
          <w:tcPr>
            <w:tcW w:w="40" w:type="dxa"/>
            <w:vAlign w:val="bottom"/>
            <w:tcBorders>
              <w:bottom w:val="single" w:sz="8" w:color="B6B6B6"/>
            </w:tcBorders>
          </w:tcPr>
          <w:p>
            <w:pPr>
              <w:spacing w:after="0"/>
              <w:rPr>
                <w:sz w:val="5"/>
                <w:szCs w:val="5"/>
                <w:color w:val="auto"/>
              </w:rPr>
            </w:pPr>
          </w:p>
        </w:tc>
        <w:tc>
          <w:tcPr>
            <w:tcW w:w="4500" w:type="dxa"/>
            <w:vAlign w:val="bottom"/>
            <w:tcBorders>
              <w:bottom w:val="single" w:sz="8" w:color="B6B6B6"/>
            </w:tcBorders>
            <w:gridSpan w:val="2"/>
          </w:tcPr>
          <w:p>
            <w:pPr>
              <w:spacing w:after="0"/>
              <w:rPr>
                <w:sz w:val="5"/>
                <w:szCs w:val="5"/>
                <w:color w:val="auto"/>
              </w:rPr>
            </w:pPr>
          </w:p>
        </w:tc>
        <w:tc>
          <w:tcPr>
            <w:tcW w:w="60" w:type="dxa"/>
            <w:vAlign w:val="bottom"/>
            <w:tcBorders>
              <w:bottom w:val="single" w:sz="8" w:color="B6B6B6"/>
              <w:right w:val="single" w:sz="8" w:color="B6B6B6"/>
            </w:tcBorders>
          </w:tcPr>
          <w:p>
            <w:pPr>
              <w:spacing w:after="0"/>
              <w:rPr>
                <w:sz w:val="5"/>
                <w:szCs w:val="5"/>
                <w:color w:val="auto"/>
              </w:rPr>
            </w:pPr>
          </w:p>
        </w:tc>
        <w:tc>
          <w:tcPr>
            <w:tcW w:w="1540" w:type="dxa"/>
            <w:vAlign w:val="bottom"/>
            <w:tcBorders>
              <w:bottom w:val="single" w:sz="8" w:color="B6B6B6"/>
              <w:right w:val="single" w:sz="8" w:color="B6B6B6"/>
            </w:tcBorders>
            <w:gridSpan w:val="3"/>
          </w:tcPr>
          <w:p>
            <w:pPr>
              <w:spacing w:after="0"/>
              <w:rPr>
                <w:sz w:val="5"/>
                <w:szCs w:val="5"/>
                <w:color w:val="auto"/>
              </w:rPr>
            </w:pPr>
          </w:p>
        </w:tc>
        <w:tc>
          <w:tcPr>
            <w:tcW w:w="40" w:type="dxa"/>
            <w:vAlign w:val="bottom"/>
            <w:tcBorders>
              <w:bottom w:val="single" w:sz="8" w:color="B6B6B6"/>
            </w:tcBorders>
          </w:tcPr>
          <w:p>
            <w:pPr>
              <w:spacing w:after="0"/>
              <w:rPr>
                <w:sz w:val="5"/>
                <w:szCs w:val="5"/>
                <w:color w:val="auto"/>
              </w:rPr>
            </w:pPr>
          </w:p>
        </w:tc>
        <w:tc>
          <w:tcPr>
            <w:tcW w:w="1980" w:type="dxa"/>
            <w:vAlign w:val="bottom"/>
            <w:tcBorders>
              <w:bottom w:val="single" w:sz="8" w:color="B6B6B6"/>
              <w:right w:val="single" w:sz="8" w:color="B6B6B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Adjunctive therapy of seizures associated with LGS, DS,</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April and October</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Israel</w:t>
            </w:r>
          </w:p>
        </w:tc>
        <w:tc>
          <w:tcPr>
            <w:tcW w:w="0" w:type="dxa"/>
            <w:vAlign w:val="bottom"/>
          </w:tcPr>
          <w:p>
            <w:pPr>
              <w:spacing w:after="0"/>
              <w:rPr>
                <w:sz w:val="1"/>
                <w:szCs w:val="1"/>
                <w:color w:val="auto"/>
              </w:rPr>
            </w:pPr>
          </w:p>
        </w:tc>
      </w:tr>
      <w:tr>
        <w:trPr>
          <w:trHeight w:val="276"/>
        </w:trPr>
        <w:tc>
          <w:tcPr>
            <w:tcW w:w="60" w:type="dxa"/>
            <w:vAlign w:val="bottom"/>
            <w:tcBorders>
              <w:left w:val="single" w:sz="8" w:color="B6B6B6"/>
            </w:tcBorders>
          </w:tcPr>
          <w:p>
            <w:pPr>
              <w:spacing w:after="0"/>
              <w:rPr>
                <w:sz w:val="23"/>
                <w:szCs w:val="23"/>
                <w:color w:val="auto"/>
              </w:rPr>
            </w:pPr>
          </w:p>
        </w:tc>
        <w:tc>
          <w:tcPr>
            <w:tcW w:w="17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(cannabidiol)</w:t>
            </w:r>
          </w:p>
        </w:tc>
        <w:tc>
          <w:tcPr>
            <w:tcW w:w="40" w:type="dxa"/>
            <w:vAlign w:val="bottom"/>
            <w:tcBorders>
              <w:bottom w:val="single" w:sz="8" w:color="B6B6B6"/>
            </w:tcBorders>
          </w:tcPr>
          <w:p>
            <w:pPr>
              <w:spacing w:after="0"/>
              <w:rPr>
                <w:sz w:val="23"/>
                <w:szCs w:val="23"/>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or TSC in patients 1 year of age and older.</w:t>
            </w:r>
          </w:p>
        </w:tc>
        <w:tc>
          <w:tcPr>
            <w:tcW w:w="1320" w:type="dxa"/>
            <w:vAlign w:val="bottom"/>
            <w:tcBorders>
              <w:bottom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2021</w:t>
            </w:r>
          </w:p>
        </w:tc>
        <w:tc>
          <w:tcPr>
            <w:tcW w:w="22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700" w:type="dxa"/>
            <w:vAlign w:val="bottom"/>
            <w:tcBorders>
              <w:bottom w:val="single" w:sz="8" w:color="B6B6B6"/>
            </w:tcBorders>
          </w:tcPr>
          <w:p>
            <w:pPr>
              <w:spacing w:after="0"/>
              <w:rPr>
                <w:sz w:val="23"/>
                <w:szCs w:val="23"/>
                <w:color w:val="auto"/>
              </w:rPr>
            </w:pPr>
          </w:p>
        </w:tc>
        <w:tc>
          <w:tcPr>
            <w:tcW w:w="1280" w:type="dxa"/>
            <w:vAlign w:val="bottom"/>
            <w:tcBorders>
              <w:bottom w:val="single" w:sz="8" w:color="B6B6B6"/>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4" w:lineRule="exact"/>
              <w:rPr>
                <w:sz w:val="20"/>
                <w:szCs w:val="20"/>
                <w:color w:val="auto"/>
              </w:rPr>
            </w:pPr>
            <w:r>
              <w:rPr>
                <w:rFonts w:ascii="Times New Roman" w:cs="Times New Roman" w:eastAsia="Times New Roman" w:hAnsi="Times New Roman"/>
                <w:sz w:val="19"/>
                <w:szCs w:val="19"/>
                <w:color w:val="auto"/>
              </w:rPr>
              <w:t>For adjunctive therapy of seizures associated with LGS,</w:t>
            </w:r>
          </w:p>
        </w:tc>
        <w:tc>
          <w:tcPr>
            <w:tcW w:w="1540" w:type="dxa"/>
            <w:vAlign w:val="bottom"/>
            <w:tcBorders>
              <w:right w:val="single" w:sz="8" w:color="B6B6B6"/>
            </w:tcBorders>
            <w:gridSpan w:val="3"/>
          </w:tcPr>
          <w:p>
            <w:pPr>
              <w:spacing w:after="0" w:line="184" w:lineRule="exact"/>
              <w:rPr>
                <w:sz w:val="20"/>
                <w:szCs w:val="20"/>
                <w:color w:val="auto"/>
              </w:rPr>
            </w:pPr>
            <w:r>
              <w:rPr>
                <w:rFonts w:ascii="Times New Roman" w:cs="Times New Roman" w:eastAsia="Times New Roman" w:hAnsi="Times New Roman"/>
                <w:sz w:val="19"/>
                <w:szCs w:val="19"/>
                <w:color w:val="auto"/>
              </w:rPr>
              <w:t>November 2023</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276"/>
        </w:trPr>
        <w:tc>
          <w:tcPr>
            <w:tcW w:w="60" w:type="dxa"/>
            <w:vAlign w:val="bottom"/>
            <w:tcBorders>
              <w:left w:val="single" w:sz="8" w:color="B6B6B6"/>
              <w:bottom w:val="single" w:sz="8" w:color="B6B6B6"/>
            </w:tcBorders>
          </w:tcPr>
          <w:p>
            <w:pPr>
              <w:spacing w:after="0"/>
              <w:rPr>
                <w:sz w:val="23"/>
                <w:szCs w:val="23"/>
                <w:color w:val="auto"/>
              </w:rPr>
            </w:pPr>
          </w:p>
        </w:tc>
        <w:tc>
          <w:tcPr>
            <w:tcW w:w="660" w:type="dxa"/>
            <w:vAlign w:val="bottom"/>
            <w:tcBorders>
              <w:bottom w:val="single" w:sz="8" w:color="B6B6B6"/>
            </w:tcBorders>
          </w:tcPr>
          <w:p>
            <w:pPr>
              <w:spacing w:after="0"/>
              <w:rPr>
                <w:sz w:val="23"/>
                <w:szCs w:val="23"/>
                <w:color w:val="auto"/>
              </w:rPr>
            </w:pPr>
          </w:p>
        </w:tc>
        <w:tc>
          <w:tcPr>
            <w:tcW w:w="110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DS or TSC for patients 2 years of age and older.</w:t>
            </w:r>
          </w:p>
        </w:tc>
        <w:tc>
          <w:tcPr>
            <w:tcW w:w="380" w:type="dxa"/>
            <w:vAlign w:val="bottom"/>
            <w:tcBorders>
              <w:bottom w:val="single" w:sz="8" w:color="B6B6B6"/>
            </w:tcBorders>
          </w:tcPr>
          <w:p>
            <w:pPr>
              <w:spacing w:after="0"/>
              <w:rPr>
                <w:sz w:val="23"/>
                <w:szCs w:val="23"/>
                <w:color w:val="auto"/>
              </w:rPr>
            </w:pPr>
          </w:p>
        </w:tc>
        <w:tc>
          <w:tcPr>
            <w:tcW w:w="940" w:type="dxa"/>
            <w:vAlign w:val="bottom"/>
            <w:tcBorders>
              <w:bottom w:val="single" w:sz="8" w:color="B6B6B6"/>
            </w:tcBorders>
          </w:tcPr>
          <w:p>
            <w:pPr>
              <w:spacing w:after="0"/>
              <w:rPr>
                <w:sz w:val="23"/>
                <w:szCs w:val="23"/>
                <w:color w:val="auto"/>
              </w:rPr>
            </w:pPr>
          </w:p>
        </w:tc>
        <w:tc>
          <w:tcPr>
            <w:tcW w:w="22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700" w:type="dxa"/>
            <w:vAlign w:val="bottom"/>
            <w:tcBorders>
              <w:bottom w:val="single" w:sz="8" w:color="B6B6B6"/>
            </w:tcBorders>
          </w:tcPr>
          <w:p>
            <w:pPr>
              <w:spacing w:after="0"/>
              <w:rPr>
                <w:sz w:val="23"/>
                <w:szCs w:val="23"/>
                <w:color w:val="auto"/>
              </w:rPr>
            </w:pPr>
          </w:p>
        </w:tc>
        <w:tc>
          <w:tcPr>
            <w:tcW w:w="1280" w:type="dxa"/>
            <w:vAlign w:val="bottom"/>
            <w:tcBorders>
              <w:bottom w:val="single" w:sz="8" w:color="B6B6B6"/>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4" w:lineRule="exact"/>
              <w:rPr>
                <w:sz w:val="20"/>
                <w:szCs w:val="20"/>
                <w:color w:val="auto"/>
              </w:rPr>
            </w:pPr>
            <w:r>
              <w:rPr>
                <w:rFonts w:ascii="Times New Roman" w:cs="Times New Roman" w:eastAsia="Times New Roman" w:hAnsi="Times New Roman"/>
                <w:sz w:val="19"/>
                <w:szCs w:val="19"/>
                <w:color w:val="auto"/>
              </w:rPr>
              <w:t>For adjunctive therapy of seizures associated with LGS</w:t>
            </w:r>
          </w:p>
        </w:tc>
        <w:tc>
          <w:tcPr>
            <w:tcW w:w="1540" w:type="dxa"/>
            <w:vAlign w:val="bottom"/>
            <w:tcBorders>
              <w:right w:val="single" w:sz="8" w:color="B6B6B6"/>
            </w:tcBorders>
            <w:gridSpan w:val="3"/>
          </w:tcPr>
          <w:p>
            <w:pPr>
              <w:spacing w:after="0" w:line="184" w:lineRule="exact"/>
              <w:rPr>
                <w:sz w:val="20"/>
                <w:szCs w:val="20"/>
                <w:color w:val="auto"/>
              </w:rPr>
            </w:pPr>
            <w:r>
              <w:rPr>
                <w:rFonts w:ascii="Times New Roman" w:cs="Times New Roman" w:eastAsia="Times New Roman" w:hAnsi="Times New Roman"/>
                <w:sz w:val="19"/>
                <w:szCs w:val="19"/>
                <w:color w:val="auto"/>
              </w:rPr>
              <w:t>September 2019</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9"/>
                <w:szCs w:val="19"/>
                <w:color w:val="auto"/>
              </w:rPr>
              <w:t>EU, Great Britain, EEA,</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Epidyolex®</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or DS, in conjunction with clobazam, for patients 2 years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Switzerland, Australia,</w:t>
            </w:r>
          </w:p>
        </w:tc>
        <w:tc>
          <w:tcPr>
            <w:tcW w:w="0" w:type="dxa"/>
            <w:vAlign w:val="bottom"/>
          </w:tcPr>
          <w:p>
            <w:pPr>
              <w:spacing w:after="0"/>
              <w:rPr>
                <w:sz w:val="1"/>
                <w:szCs w:val="1"/>
                <w:color w:val="auto"/>
              </w:rPr>
            </w:pPr>
          </w:p>
        </w:tc>
      </w:tr>
      <w:tr>
        <w:trPr>
          <w:trHeight w:val="196"/>
        </w:trPr>
        <w:tc>
          <w:tcPr>
            <w:tcW w:w="60" w:type="dxa"/>
            <w:vAlign w:val="bottom"/>
            <w:tcBorders>
              <w:left w:val="single" w:sz="8" w:color="B6B6B6"/>
            </w:tcBorders>
          </w:tcPr>
          <w:p>
            <w:pPr>
              <w:spacing w:after="0"/>
              <w:rPr>
                <w:sz w:val="17"/>
                <w:szCs w:val="17"/>
                <w:color w:val="auto"/>
              </w:rPr>
            </w:pPr>
          </w:p>
        </w:tc>
        <w:tc>
          <w:tcPr>
            <w:tcW w:w="1760" w:type="dxa"/>
            <w:vAlign w:val="bottom"/>
            <w:tcBorders>
              <w:right w:val="single" w:sz="8" w:color="B6B6B6"/>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right w:val="single" w:sz="8" w:color="B6B6B6"/>
            </w:tcBorders>
            <w:gridSpan w:val="3"/>
          </w:tcPr>
          <w:p>
            <w:pPr>
              <w:spacing w:after="0" w:line="196" w:lineRule="exact"/>
              <w:rPr>
                <w:sz w:val="20"/>
                <w:szCs w:val="20"/>
                <w:color w:val="auto"/>
              </w:rPr>
            </w:pPr>
            <w:r>
              <w:rPr>
                <w:rFonts w:ascii="Times New Roman" w:cs="Times New Roman" w:eastAsia="Times New Roman" w:hAnsi="Times New Roman"/>
                <w:sz w:val="17"/>
                <w:szCs w:val="17"/>
                <w:color w:val="auto"/>
              </w:rPr>
              <w:t>of age and older.</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other markets</w:t>
            </w:r>
          </w:p>
        </w:tc>
        <w:tc>
          <w:tcPr>
            <w:tcW w:w="0" w:type="dxa"/>
            <w:vAlign w:val="bottom"/>
          </w:tcPr>
          <w:p>
            <w:pPr>
              <w:spacing w:after="0"/>
              <w:rPr>
                <w:sz w:val="1"/>
                <w:szCs w:val="1"/>
                <w:color w:val="auto"/>
              </w:rPr>
            </w:pPr>
          </w:p>
        </w:tc>
      </w:tr>
      <w:tr>
        <w:trPr>
          <w:trHeight w:val="35"/>
        </w:trPr>
        <w:tc>
          <w:tcPr>
            <w:tcW w:w="60" w:type="dxa"/>
            <w:vAlign w:val="bottom"/>
            <w:tcBorders>
              <w:left w:val="single" w:sz="8" w:color="B6B6B6"/>
            </w:tcBorders>
          </w:tcPr>
          <w:p>
            <w:pPr>
              <w:spacing w:after="0"/>
              <w:rPr>
                <w:sz w:val="3"/>
                <w:szCs w:val="3"/>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(cannabidiol)</w:t>
            </w:r>
          </w:p>
        </w:tc>
        <w:tc>
          <w:tcPr>
            <w:tcW w:w="40" w:type="dxa"/>
            <w:vAlign w:val="bottom"/>
            <w:tcBorders>
              <w:bottom w:val="single" w:sz="8" w:color="B6B6B6"/>
            </w:tcBorders>
          </w:tcPr>
          <w:p>
            <w:pPr>
              <w:spacing w:after="0"/>
              <w:rPr>
                <w:sz w:val="3"/>
                <w:szCs w:val="3"/>
                <w:color w:val="auto"/>
              </w:rPr>
            </w:pPr>
          </w:p>
        </w:tc>
        <w:tc>
          <w:tcPr>
            <w:tcW w:w="4500" w:type="dxa"/>
            <w:vAlign w:val="bottom"/>
            <w:tcBorders>
              <w:bottom w:val="single" w:sz="8" w:color="B6B6B6"/>
            </w:tcBorders>
            <w:gridSpan w:val="2"/>
          </w:tcPr>
          <w:p>
            <w:pPr>
              <w:spacing w:after="0"/>
              <w:rPr>
                <w:sz w:val="3"/>
                <w:szCs w:val="3"/>
                <w:color w:val="auto"/>
              </w:rPr>
            </w:pPr>
          </w:p>
        </w:tc>
        <w:tc>
          <w:tcPr>
            <w:tcW w:w="60" w:type="dxa"/>
            <w:vAlign w:val="bottom"/>
            <w:tcBorders>
              <w:bottom w:val="single" w:sz="8" w:color="B6B6B6"/>
              <w:right w:val="single" w:sz="8" w:color="B6B6B6"/>
            </w:tcBorders>
          </w:tcPr>
          <w:p>
            <w:pPr>
              <w:spacing w:after="0"/>
              <w:rPr>
                <w:sz w:val="3"/>
                <w:szCs w:val="3"/>
                <w:color w:val="auto"/>
              </w:rPr>
            </w:pPr>
          </w:p>
        </w:tc>
        <w:tc>
          <w:tcPr>
            <w:tcW w:w="1540" w:type="dxa"/>
            <w:vAlign w:val="bottom"/>
            <w:tcBorders>
              <w:bottom w:val="single" w:sz="8" w:color="B6B6B6"/>
              <w:right w:val="single" w:sz="8" w:color="B6B6B6"/>
            </w:tcBorders>
            <w:gridSpan w:val="3"/>
          </w:tcPr>
          <w:p>
            <w:pPr>
              <w:spacing w:after="0"/>
              <w:rPr>
                <w:sz w:val="3"/>
                <w:szCs w:val="3"/>
                <w:color w:val="auto"/>
              </w:rPr>
            </w:pPr>
          </w:p>
        </w:tc>
        <w:tc>
          <w:tcPr>
            <w:tcW w:w="40" w:type="dxa"/>
            <w:vAlign w:val="bottom"/>
            <w:tcBorders>
              <w:bottom w:val="single" w:sz="8" w:color="B6B6B6"/>
            </w:tcBorders>
          </w:tcPr>
          <w:p>
            <w:pPr>
              <w:spacing w:after="0"/>
              <w:rPr>
                <w:sz w:val="3"/>
                <w:szCs w:val="3"/>
                <w:color w:val="auto"/>
              </w:rPr>
            </w:pPr>
          </w:p>
        </w:tc>
        <w:tc>
          <w:tcPr>
            <w:tcW w:w="1980" w:type="dxa"/>
            <w:vAlign w:val="bottom"/>
            <w:tcBorders>
              <w:bottom w:val="single" w:sz="8" w:color="B6B6B6"/>
              <w:right w:val="single" w:sz="8" w:color="B6B6B6"/>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For adjunctive therapy of seizures associated with TSC</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April 2021</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EU, Great Britain, EEA</w:t>
            </w: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tcBorders>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456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for patients 2 years of age and older.</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198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and Switzerland</w:t>
            </w:r>
          </w:p>
        </w:tc>
        <w:tc>
          <w:tcPr>
            <w:tcW w:w="0" w:type="dxa"/>
            <w:vAlign w:val="bottom"/>
          </w:tcPr>
          <w:p>
            <w:pPr>
              <w:spacing w:after="0"/>
              <w:rPr>
                <w:sz w:val="1"/>
                <w:szCs w:val="1"/>
                <w:color w:val="auto"/>
              </w:rPr>
            </w:pPr>
          </w:p>
        </w:tc>
      </w:tr>
      <w:tr>
        <w:trPr>
          <w:trHeight w:val="77"/>
        </w:trPr>
        <w:tc>
          <w:tcPr>
            <w:tcW w:w="60" w:type="dxa"/>
            <w:vAlign w:val="bottom"/>
            <w:tcBorders>
              <w:left w:val="single" w:sz="8" w:color="B6B6B6"/>
              <w:bottom w:val="single" w:sz="8" w:color="B6B6B6"/>
            </w:tcBorders>
          </w:tcPr>
          <w:p>
            <w:pPr>
              <w:spacing w:after="0"/>
              <w:rPr>
                <w:sz w:val="6"/>
                <w:szCs w:val="6"/>
                <w:color w:val="auto"/>
              </w:rPr>
            </w:pPr>
          </w:p>
        </w:tc>
        <w:tc>
          <w:tcPr>
            <w:tcW w:w="660" w:type="dxa"/>
            <w:vAlign w:val="bottom"/>
            <w:tcBorders>
              <w:bottom w:val="single" w:sz="8" w:color="B6B6B6"/>
            </w:tcBorders>
          </w:tcPr>
          <w:p>
            <w:pPr>
              <w:spacing w:after="0"/>
              <w:rPr>
                <w:sz w:val="6"/>
                <w:szCs w:val="6"/>
                <w:color w:val="auto"/>
              </w:rPr>
            </w:pPr>
          </w:p>
        </w:tc>
        <w:tc>
          <w:tcPr>
            <w:tcW w:w="1100" w:type="dxa"/>
            <w:vAlign w:val="bottom"/>
            <w:tcBorders>
              <w:bottom w:val="single" w:sz="8" w:color="B6B6B6"/>
              <w:right w:val="single" w:sz="8" w:color="B6B6B6"/>
            </w:tcBorders>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4500" w:type="dxa"/>
            <w:vAlign w:val="bottom"/>
            <w:tcBorders>
              <w:bottom w:val="single" w:sz="8" w:color="B6B6B6"/>
            </w:tcBorders>
            <w:gridSpan w:val="2"/>
          </w:tcPr>
          <w:p>
            <w:pPr>
              <w:spacing w:after="0"/>
              <w:rPr>
                <w:sz w:val="6"/>
                <w:szCs w:val="6"/>
                <w:color w:val="auto"/>
              </w:rPr>
            </w:pPr>
          </w:p>
        </w:tc>
        <w:tc>
          <w:tcPr>
            <w:tcW w:w="60" w:type="dxa"/>
            <w:vAlign w:val="bottom"/>
            <w:tcBorders>
              <w:bottom w:val="single" w:sz="8" w:color="B6B6B6"/>
              <w:right w:val="single" w:sz="8" w:color="B6B6B6"/>
            </w:tcBorders>
          </w:tcPr>
          <w:p>
            <w:pPr>
              <w:spacing w:after="0"/>
              <w:rPr>
                <w:sz w:val="6"/>
                <w:szCs w:val="6"/>
                <w:color w:val="auto"/>
              </w:rPr>
            </w:pPr>
          </w:p>
        </w:tc>
        <w:tc>
          <w:tcPr>
            <w:tcW w:w="1540" w:type="dxa"/>
            <w:vAlign w:val="bottom"/>
            <w:tcBorders>
              <w:bottom w:val="single" w:sz="8" w:color="B6B6B6"/>
              <w:right w:val="single" w:sz="8" w:color="B6B6B6"/>
            </w:tcBorders>
            <w:gridSpan w:val="3"/>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1980" w:type="dxa"/>
            <w:vAlign w:val="bottom"/>
            <w:tcBorders>
              <w:bottom w:val="single" w:sz="8" w:color="B6B6B6"/>
              <w:right w:val="single" w:sz="8" w:color="B6B6B6"/>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adults with previously treated, unresectable</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November 2024</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or metastatic HER2-positive (IHC3+) BTC, as detected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tcBorders>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456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by an FDA-approved test.</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Ziihera®</w:t>
            </w:r>
          </w:p>
        </w:tc>
        <w:tc>
          <w:tcPr>
            <w:tcW w:w="40" w:type="dxa"/>
            <w:vAlign w:val="bottom"/>
            <w:tcBorders>
              <w:top w:val="single" w:sz="8" w:color="939393"/>
            </w:tcBorders>
          </w:tcPr>
          <w:p>
            <w:pPr>
              <w:spacing w:after="0"/>
              <w:rPr>
                <w:sz w:val="16"/>
                <w:szCs w:val="16"/>
                <w:color w:val="auto"/>
              </w:rPr>
            </w:pPr>
          </w:p>
        </w:tc>
        <w:tc>
          <w:tcPr>
            <w:tcW w:w="4500" w:type="dxa"/>
            <w:vAlign w:val="bottom"/>
            <w:tcBorders>
              <w:top w:val="single" w:sz="8" w:color="939393"/>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Treatment of adults with unresectable locally advanced</w:t>
            </w:r>
          </w:p>
        </w:tc>
        <w:tc>
          <w:tcPr>
            <w:tcW w:w="60" w:type="dxa"/>
            <w:vAlign w:val="bottom"/>
            <w:tcBorders>
              <w:right w:val="single" w:sz="8" w:color="B6B6B6"/>
            </w:tcBorders>
          </w:tcPr>
          <w:p>
            <w:pPr>
              <w:spacing w:after="0"/>
              <w:rPr>
                <w:sz w:val="16"/>
                <w:szCs w:val="16"/>
                <w:color w:val="auto"/>
              </w:rPr>
            </w:pPr>
          </w:p>
        </w:tc>
        <w:tc>
          <w:tcPr>
            <w:tcW w:w="1540" w:type="dxa"/>
            <w:vAlign w:val="bottom"/>
            <w:tcBorders>
              <w:top w:val="single" w:sz="8" w:color="B6B6B6"/>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June 2025</w:t>
            </w:r>
          </w:p>
        </w:tc>
        <w:tc>
          <w:tcPr>
            <w:tcW w:w="40" w:type="dxa"/>
            <w:vAlign w:val="bottom"/>
            <w:tcBorders>
              <w:top w:val="single" w:sz="8" w:color="B6B6B6"/>
            </w:tcBorders>
          </w:tcPr>
          <w:p>
            <w:pPr>
              <w:spacing w:after="0"/>
              <w:rPr>
                <w:sz w:val="16"/>
                <w:szCs w:val="16"/>
                <w:color w:val="auto"/>
              </w:rPr>
            </w:pPr>
          </w:p>
        </w:tc>
        <w:tc>
          <w:tcPr>
            <w:tcW w:w="1980" w:type="dxa"/>
            <w:vAlign w:val="bottom"/>
            <w:tcBorders>
              <w:top w:val="single" w:sz="8" w:color="B6B6B6"/>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EU (licensed from</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or metastatic HER2-positive (IHC3+) BTC previously</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(zanidatamab-hrii)</w:t>
            </w:r>
          </w:p>
        </w:tc>
        <w:tc>
          <w:tcPr>
            <w:tcW w:w="40" w:type="dxa"/>
            <w:vAlign w:val="bottom"/>
          </w:tcPr>
          <w:p>
            <w:pPr>
              <w:spacing w:after="0"/>
              <w:rPr>
                <w:sz w:val="16"/>
                <w:szCs w:val="16"/>
                <w:color w:val="auto"/>
              </w:rPr>
            </w:pPr>
          </w:p>
        </w:tc>
        <w:tc>
          <w:tcPr>
            <w:tcW w:w="456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9"/>
                <w:szCs w:val="19"/>
                <w:color w:val="auto"/>
              </w:rPr>
              <w:t>treated with at least one prior line of systemic therapy.</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Borders>
              <w:left w:val="single" w:sz="8" w:color="B6B6B6"/>
            </w:tcBorders>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Borders>
              <w:right w:val="single" w:sz="8" w:color="B6B6B6"/>
            </w:tcBorders>
          </w:tcPr>
          <w:p>
            <w:pPr>
              <w:spacing w:after="0"/>
              <w:rPr>
                <w:sz w:val="3"/>
                <w:szCs w:val="3"/>
                <w:color w:val="auto"/>
              </w:rPr>
            </w:pPr>
          </w:p>
        </w:tc>
        <w:tc>
          <w:tcPr>
            <w:tcW w:w="40" w:type="dxa"/>
            <w:vAlign w:val="bottom"/>
            <w:tcBorders>
              <w:bottom w:val="single" w:sz="8" w:color="B6B6B6"/>
            </w:tcBorders>
          </w:tcPr>
          <w:p>
            <w:pPr>
              <w:spacing w:after="0"/>
              <w:rPr>
                <w:sz w:val="3"/>
                <w:szCs w:val="3"/>
                <w:color w:val="auto"/>
              </w:rPr>
            </w:pPr>
          </w:p>
        </w:tc>
        <w:tc>
          <w:tcPr>
            <w:tcW w:w="4560" w:type="dxa"/>
            <w:vAlign w:val="bottom"/>
            <w:tcBorders>
              <w:bottom w:val="single" w:sz="8" w:color="B6B6B6"/>
              <w:right w:val="single" w:sz="8" w:color="B6B6B6"/>
            </w:tcBorders>
            <w:gridSpan w:val="3"/>
            <w:vMerge w:val="continue"/>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940" w:type="dxa"/>
            <w:vAlign w:val="bottom"/>
            <w:tcBorders>
              <w:bottom w:val="single" w:sz="8" w:color="B6B6B6"/>
            </w:tcBorders>
          </w:tcPr>
          <w:p>
            <w:pPr>
              <w:spacing w:after="0"/>
              <w:rPr>
                <w:sz w:val="3"/>
                <w:szCs w:val="3"/>
                <w:color w:val="auto"/>
              </w:rPr>
            </w:pPr>
          </w:p>
        </w:tc>
        <w:tc>
          <w:tcPr>
            <w:tcW w:w="220" w:type="dxa"/>
            <w:vAlign w:val="bottom"/>
            <w:tcBorders>
              <w:bottom w:val="single" w:sz="8" w:color="B6B6B6"/>
              <w:right w:val="single" w:sz="8" w:color="B6B6B6"/>
            </w:tcBorders>
          </w:tcPr>
          <w:p>
            <w:pPr>
              <w:spacing w:after="0"/>
              <w:rPr>
                <w:sz w:val="3"/>
                <w:szCs w:val="3"/>
                <w:color w:val="auto"/>
              </w:rPr>
            </w:pPr>
          </w:p>
        </w:tc>
        <w:tc>
          <w:tcPr>
            <w:tcW w:w="40" w:type="dxa"/>
            <w:vAlign w:val="bottom"/>
            <w:tcBorders>
              <w:bottom w:val="single" w:sz="8" w:color="B6B6B6"/>
            </w:tcBorders>
          </w:tcPr>
          <w:p>
            <w:pPr>
              <w:spacing w:after="0"/>
              <w:rPr>
                <w:sz w:val="3"/>
                <w:szCs w:val="3"/>
                <w:color w:val="auto"/>
              </w:rPr>
            </w:pPr>
          </w:p>
        </w:tc>
        <w:tc>
          <w:tcPr>
            <w:tcW w:w="700" w:type="dxa"/>
            <w:vAlign w:val="bottom"/>
            <w:tcBorders>
              <w:bottom w:val="single" w:sz="8" w:color="B6B6B6"/>
            </w:tcBorders>
          </w:tcPr>
          <w:p>
            <w:pPr>
              <w:spacing w:after="0"/>
              <w:rPr>
                <w:sz w:val="3"/>
                <w:szCs w:val="3"/>
                <w:color w:val="auto"/>
              </w:rPr>
            </w:pPr>
          </w:p>
        </w:tc>
        <w:tc>
          <w:tcPr>
            <w:tcW w:w="1280" w:type="dxa"/>
            <w:vAlign w:val="bottom"/>
            <w:tcBorders>
              <w:bottom w:val="single" w:sz="8" w:color="B6B6B6"/>
              <w:right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0" w:type="dxa"/>
            <w:vAlign w:val="bottom"/>
            <w:tcBorders>
              <w:left w:val="single" w:sz="8" w:color="B6B6B6"/>
            </w:tcBorders>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right w:val="single" w:sz="8" w:color="B6B6B6"/>
            </w:tcBorders>
            <w:gridSpan w:val="3"/>
          </w:tcPr>
          <w:p>
            <w:pPr>
              <w:spacing w:after="0" w:line="206" w:lineRule="exact"/>
              <w:rPr>
                <w:sz w:val="20"/>
                <w:szCs w:val="20"/>
                <w:color w:val="auto"/>
              </w:rPr>
            </w:pPr>
            <w:r>
              <w:rPr>
                <w:rFonts w:ascii="Times New Roman" w:cs="Times New Roman" w:eastAsia="Times New Roman" w:hAnsi="Times New Roman"/>
                <w:sz w:val="19"/>
                <w:szCs w:val="19"/>
                <w:color w:val="auto"/>
              </w:rPr>
              <w:t>Treatment of adults with previously treated, unresectable</w:t>
            </w:r>
          </w:p>
        </w:tc>
        <w:tc>
          <w:tcPr>
            <w:tcW w:w="1540" w:type="dxa"/>
            <w:vAlign w:val="bottom"/>
            <w:tcBorders>
              <w:right w:val="single" w:sz="8" w:color="B6B6B6"/>
            </w:tcBorders>
            <w:gridSpan w:val="3"/>
          </w:tcPr>
          <w:p>
            <w:pPr>
              <w:spacing w:after="0" w:line="206" w:lineRule="exact"/>
              <w:rPr>
                <w:sz w:val="20"/>
                <w:szCs w:val="20"/>
                <w:color w:val="auto"/>
              </w:rPr>
            </w:pPr>
            <w:r>
              <w:rPr>
                <w:rFonts w:ascii="Times New Roman" w:cs="Times New Roman" w:eastAsia="Times New Roman" w:hAnsi="Times New Roman"/>
                <w:sz w:val="19"/>
                <w:szCs w:val="19"/>
                <w:color w:val="auto"/>
              </w:rPr>
              <w:t>January 2026</w:t>
            </w:r>
          </w:p>
        </w:tc>
        <w:tc>
          <w:tcPr>
            <w:tcW w:w="40" w:type="dxa"/>
            <w:vAlign w:val="bottom"/>
          </w:tcPr>
          <w:p>
            <w:pPr>
              <w:spacing w:after="0"/>
              <w:rPr>
                <w:sz w:val="17"/>
                <w:szCs w:val="17"/>
                <w:color w:val="auto"/>
              </w:rPr>
            </w:pPr>
          </w:p>
        </w:tc>
        <w:tc>
          <w:tcPr>
            <w:tcW w:w="1980" w:type="dxa"/>
            <w:vAlign w:val="bottom"/>
            <w:tcBorders>
              <w:right w:val="single" w:sz="8" w:color="B6B6B6"/>
            </w:tcBorders>
            <w:gridSpan w:val="2"/>
          </w:tcPr>
          <w:p>
            <w:pPr>
              <w:spacing w:after="0" w:line="206" w:lineRule="exact"/>
              <w:rPr>
                <w:sz w:val="20"/>
                <w:szCs w:val="20"/>
                <w:color w:val="auto"/>
              </w:rPr>
            </w:pPr>
            <w:r>
              <w:rPr>
                <w:rFonts w:ascii="Times New Roman" w:cs="Times New Roman" w:eastAsia="Times New Roman" w:hAnsi="Times New Roman"/>
                <w:sz w:val="19"/>
                <w:szCs w:val="19"/>
                <w:color w:val="auto"/>
              </w:rPr>
              <w:t>Canada (licensed from</w:t>
            </w:r>
          </w:p>
        </w:tc>
        <w:tc>
          <w:tcPr>
            <w:tcW w:w="0" w:type="dxa"/>
            <w:vAlign w:val="bottom"/>
          </w:tcPr>
          <w:p>
            <w:pPr>
              <w:spacing w:after="0"/>
              <w:rPr>
                <w:sz w:val="1"/>
                <w:szCs w:val="1"/>
                <w:color w:val="auto"/>
              </w:rPr>
            </w:pPr>
          </w:p>
        </w:tc>
      </w:tr>
      <w:tr>
        <w:trPr>
          <w:trHeight w:val="196"/>
        </w:trPr>
        <w:tc>
          <w:tcPr>
            <w:tcW w:w="60" w:type="dxa"/>
            <w:vAlign w:val="bottom"/>
            <w:tcBorders>
              <w:left w:val="single" w:sz="8" w:color="B6B6B6"/>
            </w:tcBorders>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right w:val="single" w:sz="8" w:color="B6B6B6"/>
            </w:tcBorders>
            <w:gridSpan w:val="3"/>
          </w:tcPr>
          <w:p>
            <w:pPr>
              <w:spacing w:after="0" w:line="195" w:lineRule="exact"/>
              <w:rPr>
                <w:sz w:val="20"/>
                <w:szCs w:val="20"/>
                <w:color w:val="auto"/>
              </w:rPr>
            </w:pPr>
            <w:r>
              <w:rPr>
                <w:rFonts w:ascii="Times New Roman" w:cs="Times New Roman" w:eastAsia="Times New Roman" w:hAnsi="Times New Roman"/>
                <w:sz w:val="19"/>
                <w:szCs w:val="19"/>
                <w:color w:val="auto"/>
              </w:rPr>
              <w:t>locally advanced or metastatic HER2-positive (IHC3+)</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Borders>
              <w:right w:val="single" w:sz="8" w:color="B6B6B6"/>
            </w:tcBorders>
            <w:gridSpan w:val="2"/>
          </w:tcPr>
          <w:p>
            <w:pPr>
              <w:spacing w:after="0" w:line="196"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tcBorders>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456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BTC, as monotherapy.</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0" w:type="dxa"/>
            <w:vAlign w:val="bottom"/>
            <w:tcBorders>
              <w:left w:val="single" w:sz="8" w:color="B6B6B6"/>
            </w:tcBorders>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Borders>
              <w:right w:val="single" w:sz="8" w:color="B6B6B6"/>
            </w:tcBorders>
          </w:tcPr>
          <w:p>
            <w:pPr>
              <w:spacing w:after="0"/>
              <w:rPr>
                <w:sz w:val="2"/>
                <w:szCs w:val="2"/>
                <w:color w:val="auto"/>
              </w:rPr>
            </w:pPr>
          </w:p>
        </w:tc>
        <w:tc>
          <w:tcPr>
            <w:tcW w:w="40" w:type="dxa"/>
            <w:vAlign w:val="bottom"/>
          </w:tcPr>
          <w:p>
            <w:pPr>
              <w:spacing w:after="0"/>
              <w:rPr>
                <w:sz w:val="2"/>
                <w:szCs w:val="2"/>
                <w:color w:val="auto"/>
              </w:rPr>
            </w:pPr>
          </w:p>
        </w:tc>
        <w:tc>
          <w:tcPr>
            <w:tcW w:w="4560" w:type="dxa"/>
            <w:vAlign w:val="bottom"/>
            <w:tcBorders>
              <w:right w:val="single" w:sz="8" w:color="B6B6B6"/>
            </w:tcBorders>
            <w:gridSpan w:val="3"/>
          </w:tcPr>
          <w:p>
            <w:pPr>
              <w:spacing w:after="0"/>
              <w:rPr>
                <w:sz w:val="2"/>
                <w:szCs w:val="2"/>
                <w:color w:val="auto"/>
              </w:rPr>
            </w:pPr>
          </w:p>
        </w:tc>
        <w:tc>
          <w:tcPr>
            <w:tcW w:w="1540" w:type="dxa"/>
            <w:vAlign w:val="bottom"/>
            <w:tcBorders>
              <w:right w:val="single" w:sz="8" w:color="B6B6B6"/>
            </w:tcBorders>
            <w:gridSpan w:val="3"/>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right w:val="single" w:sz="8" w:color="B6B6B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0" w:type="dxa"/>
            <w:vAlign w:val="bottom"/>
            <w:tcBorders>
              <w:top w:val="single" w:sz="8" w:color="B6B6B6"/>
              <w:left w:val="single" w:sz="8" w:color="B6B6B6"/>
            </w:tcBorders>
          </w:tcPr>
          <w:p>
            <w:pPr>
              <w:spacing w:after="0"/>
              <w:rPr>
                <w:sz w:val="16"/>
                <w:szCs w:val="16"/>
                <w:color w:val="auto"/>
              </w:rPr>
            </w:pPr>
          </w:p>
        </w:tc>
        <w:tc>
          <w:tcPr>
            <w:tcW w:w="1760" w:type="dxa"/>
            <w:vAlign w:val="bottom"/>
            <w:tcBorders>
              <w:top w:val="single" w:sz="8" w:color="B6B6B6"/>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Modeyso™</w:t>
            </w:r>
          </w:p>
        </w:tc>
        <w:tc>
          <w:tcPr>
            <w:tcW w:w="40" w:type="dxa"/>
            <w:vAlign w:val="bottom"/>
            <w:tcBorders>
              <w:top w:val="single" w:sz="8" w:color="939393"/>
            </w:tcBorders>
          </w:tcPr>
          <w:p>
            <w:pPr>
              <w:spacing w:after="0"/>
              <w:rPr>
                <w:sz w:val="16"/>
                <w:szCs w:val="16"/>
                <w:color w:val="auto"/>
              </w:rPr>
            </w:pPr>
          </w:p>
        </w:tc>
        <w:tc>
          <w:tcPr>
            <w:tcW w:w="4500" w:type="dxa"/>
            <w:vAlign w:val="bottom"/>
            <w:tcBorders>
              <w:top w:val="single" w:sz="8" w:color="939393"/>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Treatment of adult and pediatric patients 1 year of age</w:t>
            </w:r>
          </w:p>
        </w:tc>
        <w:tc>
          <w:tcPr>
            <w:tcW w:w="60" w:type="dxa"/>
            <w:vAlign w:val="bottom"/>
            <w:tcBorders>
              <w:right w:val="single" w:sz="8" w:color="B6B6B6"/>
            </w:tcBorders>
          </w:tcPr>
          <w:p>
            <w:pPr>
              <w:spacing w:after="0"/>
              <w:rPr>
                <w:sz w:val="16"/>
                <w:szCs w:val="16"/>
                <w:color w:val="auto"/>
              </w:rPr>
            </w:pPr>
          </w:p>
        </w:tc>
        <w:tc>
          <w:tcPr>
            <w:tcW w:w="1540" w:type="dxa"/>
            <w:vAlign w:val="bottom"/>
            <w:tcBorders>
              <w:top w:val="single" w:sz="8" w:color="B6B6B6"/>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August 2025</w:t>
            </w:r>
          </w:p>
        </w:tc>
        <w:tc>
          <w:tcPr>
            <w:tcW w:w="40" w:type="dxa"/>
            <w:vAlign w:val="bottom"/>
            <w:tcBorders>
              <w:top w:val="single" w:sz="8" w:color="B6B6B6"/>
            </w:tcBorders>
          </w:tcPr>
          <w:p>
            <w:pPr>
              <w:spacing w:after="0"/>
              <w:rPr>
                <w:sz w:val="16"/>
                <w:szCs w:val="16"/>
                <w:color w:val="auto"/>
              </w:rPr>
            </w:pPr>
          </w:p>
        </w:tc>
        <w:tc>
          <w:tcPr>
            <w:tcW w:w="1980" w:type="dxa"/>
            <w:vAlign w:val="bottom"/>
            <w:tcBorders>
              <w:top w:val="single" w:sz="8" w:color="B6B6B6"/>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6"/>
                <w:szCs w:val="16"/>
                <w:color w:val="auto"/>
              </w:rPr>
              <w:t>U.S.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and older with diffuse midline glioma harboring an H3</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(dordaviprone)</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PMingLiU" w:cs="PMingLiU" w:eastAsia="PMingLiU" w:hAnsi="PMingLiU"/>
                <w:sz w:val="19"/>
                <w:szCs w:val="19"/>
                <w:color w:val="auto"/>
                <w:w w:val="83"/>
              </w:rPr>
              <w:t>.0PXWDWLRQZLWKSURJUHVVLYHGLVHDVHIROORZLQJSULRU</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0" w:type="dxa"/>
            <w:vAlign w:val="bottom"/>
            <w:tcBorders>
              <w:left w:val="single" w:sz="8" w:color="B6B6B6"/>
              <w:bottom w:val="single" w:sz="8" w:color="B6B6B6"/>
            </w:tcBorders>
          </w:tcPr>
          <w:p>
            <w:pPr>
              <w:spacing w:after="0"/>
              <w:rPr>
                <w:sz w:val="20"/>
                <w:szCs w:val="20"/>
                <w:color w:val="auto"/>
              </w:rPr>
            </w:pPr>
          </w:p>
        </w:tc>
        <w:tc>
          <w:tcPr>
            <w:tcW w:w="660" w:type="dxa"/>
            <w:vAlign w:val="bottom"/>
            <w:tcBorders>
              <w:bottom w:val="single" w:sz="8" w:color="B6B6B6"/>
            </w:tcBorders>
          </w:tcPr>
          <w:p>
            <w:pPr>
              <w:spacing w:after="0"/>
              <w:rPr>
                <w:sz w:val="20"/>
                <w:szCs w:val="20"/>
                <w:color w:val="auto"/>
              </w:rPr>
            </w:pPr>
          </w:p>
        </w:tc>
        <w:tc>
          <w:tcPr>
            <w:tcW w:w="1100" w:type="dxa"/>
            <w:vAlign w:val="bottom"/>
            <w:tcBorders>
              <w:bottom w:val="single" w:sz="8" w:color="B6B6B6"/>
              <w:right w:val="single" w:sz="8" w:color="B6B6B6"/>
            </w:tcBorders>
          </w:tcPr>
          <w:p>
            <w:pPr>
              <w:spacing w:after="0"/>
              <w:rPr>
                <w:sz w:val="20"/>
                <w:szCs w:val="20"/>
                <w:color w:val="auto"/>
              </w:rPr>
            </w:pPr>
          </w:p>
        </w:tc>
        <w:tc>
          <w:tcPr>
            <w:tcW w:w="40" w:type="dxa"/>
            <w:vAlign w:val="bottom"/>
            <w:tcBorders>
              <w:bottom w:val="single" w:sz="8" w:color="B6B6B6"/>
            </w:tcBorders>
          </w:tcPr>
          <w:p>
            <w:pPr>
              <w:spacing w:after="0"/>
              <w:rPr>
                <w:sz w:val="20"/>
                <w:szCs w:val="20"/>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therapy.</w:t>
            </w:r>
          </w:p>
        </w:tc>
        <w:tc>
          <w:tcPr>
            <w:tcW w:w="380" w:type="dxa"/>
            <w:vAlign w:val="bottom"/>
            <w:tcBorders>
              <w:bottom w:val="single" w:sz="8" w:color="B6B6B6"/>
            </w:tcBorders>
          </w:tcPr>
          <w:p>
            <w:pPr>
              <w:spacing w:after="0"/>
              <w:rPr>
                <w:sz w:val="20"/>
                <w:szCs w:val="20"/>
                <w:color w:val="auto"/>
              </w:rPr>
            </w:pPr>
          </w:p>
        </w:tc>
        <w:tc>
          <w:tcPr>
            <w:tcW w:w="940" w:type="dxa"/>
            <w:vAlign w:val="bottom"/>
            <w:tcBorders>
              <w:bottom w:val="single" w:sz="8" w:color="B6B6B6"/>
            </w:tcBorders>
          </w:tcPr>
          <w:p>
            <w:pPr>
              <w:spacing w:after="0"/>
              <w:rPr>
                <w:sz w:val="20"/>
                <w:szCs w:val="20"/>
                <w:color w:val="auto"/>
              </w:rPr>
            </w:pPr>
          </w:p>
        </w:tc>
        <w:tc>
          <w:tcPr>
            <w:tcW w:w="220" w:type="dxa"/>
            <w:vAlign w:val="bottom"/>
            <w:tcBorders>
              <w:bottom w:val="single" w:sz="8" w:color="B6B6B6"/>
              <w:right w:val="single" w:sz="8" w:color="B6B6B6"/>
            </w:tcBorders>
          </w:tcPr>
          <w:p>
            <w:pPr>
              <w:spacing w:after="0"/>
              <w:rPr>
                <w:sz w:val="20"/>
                <w:szCs w:val="20"/>
                <w:color w:val="auto"/>
              </w:rPr>
            </w:pPr>
          </w:p>
        </w:tc>
        <w:tc>
          <w:tcPr>
            <w:tcW w:w="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spacing w:after="0"/>
              <w:rPr>
                <w:sz w:val="20"/>
                <w:szCs w:val="20"/>
                <w:color w:val="auto"/>
              </w:rPr>
            </w:pPr>
          </w:p>
        </w:tc>
        <w:tc>
          <w:tcPr>
            <w:tcW w:w="128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 patients with metastatic SCLC with</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June 2020</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disease progression on or after platinum-based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44"/>
        </w:trPr>
        <w:tc>
          <w:tcPr>
            <w:tcW w:w="60" w:type="dxa"/>
            <w:vAlign w:val="bottom"/>
            <w:tcBorders>
              <w:left w:val="single" w:sz="8" w:color="B6B6B6"/>
            </w:tcBorders>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Borders>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chemotherapy.</w:t>
            </w:r>
          </w:p>
        </w:tc>
        <w:tc>
          <w:tcPr>
            <w:tcW w:w="380" w:type="dxa"/>
            <w:vAlign w:val="bottom"/>
            <w:tcBorders>
              <w:bottom w:val="single" w:sz="8" w:color="B6B6B6"/>
            </w:tcBorders>
          </w:tcPr>
          <w:p>
            <w:pPr>
              <w:spacing w:after="0"/>
              <w:rPr>
                <w:sz w:val="21"/>
                <w:szCs w:val="21"/>
                <w:color w:val="auto"/>
              </w:rPr>
            </w:pPr>
          </w:p>
        </w:tc>
        <w:tc>
          <w:tcPr>
            <w:tcW w:w="940" w:type="dxa"/>
            <w:vAlign w:val="bottom"/>
            <w:tcBorders>
              <w:bottom w:val="single" w:sz="8" w:color="B6B6B6"/>
            </w:tcBorders>
          </w:tcPr>
          <w:p>
            <w:pPr>
              <w:spacing w:after="0"/>
              <w:rPr>
                <w:sz w:val="21"/>
                <w:szCs w:val="21"/>
                <w:color w:val="auto"/>
              </w:rPr>
            </w:pPr>
          </w:p>
        </w:tc>
        <w:tc>
          <w:tcPr>
            <w:tcW w:w="22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700" w:type="dxa"/>
            <w:vAlign w:val="bottom"/>
            <w:tcBorders>
              <w:bottom w:val="single" w:sz="8" w:color="B6B6B6"/>
            </w:tcBorders>
          </w:tcPr>
          <w:p>
            <w:pPr>
              <w:spacing w:after="0"/>
              <w:rPr>
                <w:sz w:val="21"/>
                <w:szCs w:val="21"/>
                <w:color w:val="auto"/>
              </w:rPr>
            </w:pPr>
          </w:p>
        </w:tc>
        <w:tc>
          <w:tcPr>
            <w:tcW w:w="1280" w:type="dxa"/>
            <w:vAlign w:val="bottom"/>
            <w:tcBorders>
              <w:bottom w:val="single" w:sz="8" w:color="B6B6B6"/>
              <w:right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adults with Stage III or metastatic SCLC</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September 2021</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Canada (licensed from</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Zepzelca®</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who have progressed on or after platinum-containing</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therapy.</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60" w:type="dxa"/>
            <w:vAlign w:val="bottom"/>
            <w:tcBorders>
              <w:left w:val="single" w:sz="8" w:color="B6B6B6"/>
            </w:tcBorders>
          </w:tcPr>
          <w:p>
            <w:pPr>
              <w:spacing w:after="0"/>
              <w:rPr>
                <w:sz w:val="4"/>
                <w:szCs w:val="4"/>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(lurbinectedin)</w:t>
            </w:r>
          </w:p>
        </w:tc>
        <w:tc>
          <w:tcPr>
            <w:tcW w:w="40" w:type="dxa"/>
            <w:vAlign w:val="bottom"/>
            <w:tcBorders>
              <w:bottom w:val="single" w:sz="8" w:color="B6B6B6"/>
            </w:tcBorders>
          </w:tcPr>
          <w:p>
            <w:pPr>
              <w:spacing w:after="0"/>
              <w:rPr>
                <w:sz w:val="4"/>
                <w:szCs w:val="4"/>
                <w:color w:val="auto"/>
              </w:rPr>
            </w:pPr>
          </w:p>
        </w:tc>
        <w:tc>
          <w:tcPr>
            <w:tcW w:w="4560" w:type="dxa"/>
            <w:vAlign w:val="bottom"/>
            <w:tcBorders>
              <w:bottom w:val="single" w:sz="8" w:color="B6B6B6"/>
              <w:right w:val="single" w:sz="8" w:color="B6B6B6"/>
            </w:tcBorders>
            <w:gridSpan w:val="3"/>
          </w:tcPr>
          <w:p>
            <w:pPr>
              <w:spacing w:after="0"/>
              <w:rPr>
                <w:sz w:val="4"/>
                <w:szCs w:val="4"/>
                <w:color w:val="auto"/>
              </w:rPr>
            </w:pPr>
          </w:p>
        </w:tc>
        <w:tc>
          <w:tcPr>
            <w:tcW w:w="1540" w:type="dxa"/>
            <w:vAlign w:val="bottom"/>
            <w:tcBorders>
              <w:bottom w:val="single" w:sz="8" w:color="B6B6B6"/>
              <w:right w:val="single" w:sz="8" w:color="B6B6B6"/>
            </w:tcBorders>
            <w:gridSpan w:val="3"/>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1980" w:type="dxa"/>
            <w:vAlign w:val="bottom"/>
            <w:tcBorders>
              <w:bottom w:val="single" w:sz="8" w:color="B6B6B6"/>
              <w:right w:val="single" w:sz="8" w:color="B6B6B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In combination with atezolizumab or atezolizumab and</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October 2025</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hyaluronidase-tqjs for the first-line maintenance</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PharmaMar)</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treatment of adult patients with extensive-stage SCLC</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B6B6B6"/>
            </w:tcBorders>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Borders>
              <w:right w:val="single" w:sz="8" w:color="B6B6B6"/>
            </w:tcBorders>
          </w:tcPr>
          <w:p>
            <w:pPr>
              <w:spacing w:after="0"/>
              <w:rPr>
                <w:sz w:val="17"/>
                <w:szCs w:val="17"/>
                <w:color w:val="auto"/>
              </w:rPr>
            </w:pPr>
          </w:p>
        </w:tc>
        <w:tc>
          <w:tcPr>
            <w:tcW w:w="4600" w:type="dxa"/>
            <w:vAlign w:val="bottom"/>
            <w:tcBorders>
              <w:right w:val="single" w:sz="8" w:color="B6B6B6"/>
            </w:tcBorders>
            <w:gridSpan w:val="4"/>
          </w:tcPr>
          <w:p>
            <w:pPr>
              <w:ind w:left="40"/>
              <w:spacing w:after="0" w:line="195" w:lineRule="exact"/>
              <w:rPr>
                <w:sz w:val="20"/>
                <w:szCs w:val="20"/>
                <w:color w:val="auto"/>
              </w:rPr>
            </w:pPr>
            <w:r>
              <w:rPr>
                <w:rFonts w:ascii="Times New Roman" w:cs="Times New Roman" w:eastAsia="Times New Roman" w:hAnsi="Times New Roman"/>
                <w:sz w:val="19"/>
                <w:szCs w:val="19"/>
                <w:color w:val="auto"/>
              </w:rPr>
              <w:t>whose disease has not progressed after first-line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Borders>
              <w:right w:val="single" w:sz="8" w:color="B6B6B6"/>
            </w:tcBorders>
          </w:tcPr>
          <w:p>
            <w:pPr>
              <w:spacing w:after="0"/>
              <w:rPr>
                <w:sz w:val="16"/>
                <w:szCs w:val="16"/>
                <w:color w:val="auto"/>
              </w:rPr>
            </w:pPr>
          </w:p>
        </w:tc>
        <w:tc>
          <w:tcPr>
            <w:tcW w:w="4600" w:type="dxa"/>
            <w:vAlign w:val="bottom"/>
            <w:tcBorders>
              <w:right w:val="single" w:sz="8" w:color="B6B6B6"/>
            </w:tcBorders>
            <w:gridSpan w:val="4"/>
          </w:tcPr>
          <w:p>
            <w:pPr>
              <w:ind w:left="40"/>
              <w:spacing w:after="0" w:line="193" w:lineRule="exact"/>
              <w:rPr>
                <w:sz w:val="20"/>
                <w:szCs w:val="20"/>
                <w:color w:val="auto"/>
              </w:rPr>
            </w:pPr>
            <w:r>
              <w:rPr>
                <w:rFonts w:ascii="Times New Roman" w:cs="Times New Roman" w:eastAsia="Times New Roman" w:hAnsi="Times New Roman"/>
                <w:sz w:val="19"/>
                <w:szCs w:val="19"/>
                <w:color w:val="auto"/>
              </w:rPr>
              <w:t>induction therapy with atezolizumab or atezolizumab</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tcBorders>
              <w:left w:val="single" w:sz="8" w:color="B6B6B6"/>
              <w:bottom w:val="single" w:sz="8" w:color="B6B6B6"/>
            </w:tcBorders>
          </w:tcPr>
          <w:p>
            <w:pPr>
              <w:spacing w:after="0"/>
              <w:rPr>
                <w:sz w:val="19"/>
                <w:szCs w:val="19"/>
                <w:color w:val="auto"/>
              </w:rPr>
            </w:pPr>
          </w:p>
        </w:tc>
        <w:tc>
          <w:tcPr>
            <w:tcW w:w="660" w:type="dxa"/>
            <w:vAlign w:val="bottom"/>
            <w:tcBorders>
              <w:bottom w:val="single" w:sz="8" w:color="B6B6B6"/>
            </w:tcBorders>
          </w:tcPr>
          <w:p>
            <w:pPr>
              <w:spacing w:after="0"/>
              <w:rPr>
                <w:sz w:val="19"/>
                <w:szCs w:val="19"/>
                <w:color w:val="auto"/>
              </w:rPr>
            </w:pPr>
          </w:p>
        </w:tc>
        <w:tc>
          <w:tcPr>
            <w:tcW w:w="1100" w:type="dxa"/>
            <w:vAlign w:val="bottom"/>
            <w:tcBorders>
              <w:bottom w:val="single" w:sz="8" w:color="B6B6B6"/>
              <w:right w:val="single" w:sz="8" w:color="B6B6B6"/>
            </w:tcBorders>
          </w:tcPr>
          <w:p>
            <w:pPr>
              <w:spacing w:after="0"/>
              <w:rPr>
                <w:sz w:val="19"/>
                <w:szCs w:val="19"/>
                <w:color w:val="auto"/>
              </w:rPr>
            </w:pPr>
          </w:p>
        </w:tc>
        <w:tc>
          <w:tcPr>
            <w:tcW w:w="40" w:type="dxa"/>
            <w:vAlign w:val="bottom"/>
            <w:tcBorders>
              <w:bottom w:val="single" w:sz="8" w:color="B6B6B6"/>
            </w:tcBorders>
          </w:tcPr>
          <w:p>
            <w:pPr>
              <w:spacing w:after="0"/>
              <w:rPr>
                <w:sz w:val="19"/>
                <w:szCs w:val="19"/>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and hyaluronidase-tqjs, carboplatin and etoposide.</w:t>
            </w:r>
          </w:p>
        </w:tc>
        <w:tc>
          <w:tcPr>
            <w:tcW w:w="380" w:type="dxa"/>
            <w:vAlign w:val="bottom"/>
            <w:tcBorders>
              <w:bottom w:val="single" w:sz="8" w:color="B6B6B6"/>
            </w:tcBorders>
          </w:tcPr>
          <w:p>
            <w:pPr>
              <w:spacing w:after="0"/>
              <w:rPr>
                <w:sz w:val="19"/>
                <w:szCs w:val="19"/>
                <w:color w:val="auto"/>
              </w:rPr>
            </w:pPr>
          </w:p>
        </w:tc>
        <w:tc>
          <w:tcPr>
            <w:tcW w:w="940" w:type="dxa"/>
            <w:vAlign w:val="bottom"/>
            <w:tcBorders>
              <w:bottom w:val="single" w:sz="8" w:color="B6B6B6"/>
            </w:tcBorders>
          </w:tcPr>
          <w:p>
            <w:pPr>
              <w:spacing w:after="0"/>
              <w:rPr>
                <w:sz w:val="19"/>
                <w:szCs w:val="19"/>
                <w:color w:val="auto"/>
              </w:rPr>
            </w:pPr>
          </w:p>
        </w:tc>
        <w:tc>
          <w:tcPr>
            <w:tcW w:w="220" w:type="dxa"/>
            <w:vAlign w:val="bottom"/>
            <w:tcBorders>
              <w:bottom w:val="single" w:sz="8" w:color="B6B6B6"/>
              <w:right w:val="single" w:sz="8" w:color="B6B6B6"/>
            </w:tcBorders>
          </w:tcPr>
          <w:p>
            <w:pPr>
              <w:spacing w:after="0"/>
              <w:rPr>
                <w:sz w:val="19"/>
                <w:szCs w:val="19"/>
                <w:color w:val="auto"/>
              </w:rPr>
            </w:pPr>
          </w:p>
        </w:tc>
        <w:tc>
          <w:tcPr>
            <w:tcW w:w="40" w:type="dxa"/>
            <w:vAlign w:val="bottom"/>
            <w:tcBorders>
              <w:bottom w:val="single" w:sz="8" w:color="B6B6B6"/>
            </w:tcBorders>
          </w:tcPr>
          <w:p>
            <w:pPr>
              <w:spacing w:after="0"/>
              <w:rPr>
                <w:sz w:val="19"/>
                <w:szCs w:val="19"/>
                <w:color w:val="auto"/>
              </w:rPr>
            </w:pPr>
          </w:p>
        </w:tc>
        <w:tc>
          <w:tcPr>
            <w:tcW w:w="700" w:type="dxa"/>
            <w:vAlign w:val="bottom"/>
            <w:tcBorders>
              <w:bottom w:val="single" w:sz="8" w:color="B6B6B6"/>
            </w:tcBorders>
          </w:tcPr>
          <w:p>
            <w:pPr>
              <w:spacing w:after="0"/>
              <w:rPr>
                <w:sz w:val="19"/>
                <w:szCs w:val="19"/>
                <w:color w:val="auto"/>
              </w:rPr>
            </w:pPr>
          </w:p>
        </w:tc>
        <w:tc>
          <w:tcPr>
            <w:tcW w:w="128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Rylaze®</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A component of a multi-agent chemotherapeutic regimen</w:t>
            </w:r>
          </w:p>
        </w:tc>
        <w:tc>
          <w:tcPr>
            <w:tcW w:w="154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June 2021</w:t>
            </w: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(asparaginase erwinia</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for the treatment of ALL, and LBL, in adult and pediatric</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chrysanthemi</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patients 1 month or older who have developed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(recombinant)-</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hypersensitivity to E. coli-derived asparaginase.</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0" w:type="dxa"/>
            <w:vAlign w:val="bottom"/>
            <w:tcBorders>
              <w:left w:val="single" w:sz="8" w:color="B6B6B6"/>
              <w:bottom w:val="single" w:sz="8" w:color="B6B6B6"/>
            </w:tcBorders>
          </w:tcPr>
          <w:p>
            <w:pPr>
              <w:spacing w:after="0"/>
              <w:rPr>
                <w:sz w:val="22"/>
                <w:szCs w:val="22"/>
                <w:color w:val="auto"/>
              </w:rPr>
            </w:pPr>
          </w:p>
        </w:tc>
        <w:tc>
          <w:tcPr>
            <w:tcW w:w="176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rywn)</w:t>
            </w:r>
          </w:p>
        </w:tc>
        <w:tc>
          <w:tcPr>
            <w:tcW w:w="40" w:type="dxa"/>
            <w:vAlign w:val="bottom"/>
            <w:tcBorders>
              <w:bottom w:val="single" w:sz="8" w:color="B6B6B6"/>
            </w:tcBorders>
          </w:tcPr>
          <w:p>
            <w:pPr>
              <w:spacing w:after="0"/>
              <w:rPr>
                <w:sz w:val="22"/>
                <w:szCs w:val="22"/>
                <w:color w:val="auto"/>
              </w:rPr>
            </w:pPr>
          </w:p>
        </w:tc>
        <w:tc>
          <w:tcPr>
            <w:tcW w:w="940" w:type="dxa"/>
            <w:vAlign w:val="bottom"/>
            <w:tcBorders>
              <w:bottom w:val="single" w:sz="8" w:color="B6B6B6"/>
            </w:tcBorders>
          </w:tcPr>
          <w:p>
            <w:pPr>
              <w:spacing w:after="0"/>
              <w:rPr>
                <w:sz w:val="22"/>
                <w:szCs w:val="22"/>
                <w:color w:val="auto"/>
              </w:rPr>
            </w:pPr>
          </w:p>
        </w:tc>
        <w:tc>
          <w:tcPr>
            <w:tcW w:w="3560" w:type="dxa"/>
            <w:vAlign w:val="bottom"/>
            <w:tcBorders>
              <w:bottom w:val="single" w:sz="8" w:color="B6B6B6"/>
            </w:tcBorders>
          </w:tcPr>
          <w:p>
            <w:pPr>
              <w:spacing w:after="0"/>
              <w:rPr>
                <w:sz w:val="22"/>
                <w:szCs w:val="22"/>
                <w:color w:val="auto"/>
              </w:rPr>
            </w:pPr>
          </w:p>
        </w:tc>
        <w:tc>
          <w:tcPr>
            <w:tcW w:w="60" w:type="dxa"/>
            <w:vAlign w:val="bottom"/>
            <w:tcBorders>
              <w:bottom w:val="single" w:sz="8" w:color="B6B6B6"/>
              <w:right w:val="single" w:sz="8" w:color="B6B6B6"/>
            </w:tcBorders>
          </w:tcPr>
          <w:p>
            <w:pPr>
              <w:spacing w:after="0"/>
              <w:rPr>
                <w:sz w:val="22"/>
                <w:szCs w:val="22"/>
                <w:color w:val="auto"/>
              </w:rPr>
            </w:pPr>
          </w:p>
        </w:tc>
        <w:tc>
          <w:tcPr>
            <w:tcW w:w="380" w:type="dxa"/>
            <w:vAlign w:val="bottom"/>
            <w:tcBorders>
              <w:bottom w:val="single" w:sz="8" w:color="B6B6B6"/>
            </w:tcBorders>
          </w:tcPr>
          <w:p>
            <w:pPr>
              <w:spacing w:after="0"/>
              <w:rPr>
                <w:sz w:val="22"/>
                <w:szCs w:val="22"/>
                <w:color w:val="auto"/>
              </w:rPr>
            </w:pPr>
          </w:p>
        </w:tc>
        <w:tc>
          <w:tcPr>
            <w:tcW w:w="940" w:type="dxa"/>
            <w:vAlign w:val="bottom"/>
            <w:tcBorders>
              <w:bottom w:val="single" w:sz="8" w:color="B6B6B6"/>
            </w:tcBorders>
          </w:tcPr>
          <w:p>
            <w:pPr>
              <w:spacing w:after="0"/>
              <w:rPr>
                <w:sz w:val="22"/>
                <w:szCs w:val="22"/>
                <w:color w:val="auto"/>
              </w:rPr>
            </w:pPr>
          </w:p>
        </w:tc>
        <w:tc>
          <w:tcPr>
            <w:tcW w:w="22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8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Rylaze®</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86" w:lineRule="exact"/>
              <w:rPr>
                <w:sz w:val="20"/>
                <w:szCs w:val="20"/>
                <w:color w:val="auto"/>
              </w:rPr>
            </w:pPr>
            <w:r>
              <w:rPr>
                <w:rFonts w:ascii="Times New Roman" w:cs="Times New Roman" w:eastAsia="Times New Roman" w:hAnsi="Times New Roman"/>
                <w:sz w:val="19"/>
                <w:szCs w:val="19"/>
                <w:color w:val="auto"/>
              </w:rPr>
              <w:t>A component of a multi-agent chemotherapeutic regimen</w:t>
            </w:r>
          </w:p>
        </w:tc>
        <w:tc>
          <w:tcPr>
            <w:tcW w:w="1540" w:type="dxa"/>
            <w:vAlign w:val="bottom"/>
            <w:tcBorders>
              <w:right w:val="single" w:sz="8" w:color="B6B6B6"/>
            </w:tcBorders>
            <w:gridSpan w:val="3"/>
          </w:tcPr>
          <w:p>
            <w:pPr>
              <w:spacing w:after="0" w:line="186" w:lineRule="exact"/>
              <w:rPr>
                <w:sz w:val="20"/>
                <w:szCs w:val="20"/>
                <w:color w:val="auto"/>
              </w:rPr>
            </w:pPr>
            <w:r>
              <w:rPr>
                <w:rFonts w:ascii="Times New Roman" w:cs="Times New Roman" w:eastAsia="Times New Roman" w:hAnsi="Times New Roman"/>
                <w:sz w:val="19"/>
                <w:szCs w:val="19"/>
                <w:color w:val="auto"/>
              </w:rPr>
              <w:t>September 2022</w:t>
            </w: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86" w:lineRule="exact"/>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for the treatment of ALL and LBL, in adults and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(crisantaspase</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pediatric patients 1 year or older who have developed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tcBorders>
          </w:tcPr>
          <w:p>
            <w:pPr>
              <w:spacing w:after="0"/>
              <w:rPr>
                <w:sz w:val="22"/>
                <w:szCs w:val="22"/>
                <w:color w:val="auto"/>
              </w:rPr>
            </w:pPr>
          </w:p>
        </w:tc>
        <w:tc>
          <w:tcPr>
            <w:tcW w:w="17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recombinant)</w:t>
            </w:r>
          </w:p>
        </w:tc>
        <w:tc>
          <w:tcPr>
            <w:tcW w:w="40" w:type="dxa"/>
            <w:vAlign w:val="bottom"/>
          </w:tcPr>
          <w:p>
            <w:pPr>
              <w:spacing w:after="0"/>
              <w:rPr>
                <w:sz w:val="22"/>
                <w:szCs w:val="22"/>
                <w:color w:val="auto"/>
              </w:rPr>
            </w:pPr>
          </w:p>
        </w:tc>
        <w:tc>
          <w:tcPr>
            <w:tcW w:w="4560" w:type="dxa"/>
            <w:vAlign w:val="bottom"/>
            <w:tcBorders>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hypersensitivity to E. coli-derived asparaginase.</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60" w:type="dxa"/>
            <w:vAlign w:val="bottom"/>
            <w:tcBorders>
              <w:left w:val="single" w:sz="8" w:color="B6B6B6"/>
              <w:bottom w:val="single" w:sz="8" w:color="939393"/>
            </w:tcBorders>
          </w:tcPr>
          <w:p>
            <w:pPr>
              <w:spacing w:after="0"/>
              <w:rPr>
                <w:sz w:val="8"/>
                <w:szCs w:val="8"/>
                <w:color w:val="auto"/>
              </w:rPr>
            </w:pPr>
          </w:p>
        </w:tc>
        <w:tc>
          <w:tcPr>
            <w:tcW w:w="660" w:type="dxa"/>
            <w:vAlign w:val="bottom"/>
            <w:tcBorders>
              <w:bottom w:val="single" w:sz="8" w:color="939393"/>
            </w:tcBorders>
          </w:tcPr>
          <w:p>
            <w:pPr>
              <w:spacing w:after="0"/>
              <w:rPr>
                <w:sz w:val="8"/>
                <w:szCs w:val="8"/>
                <w:color w:val="auto"/>
              </w:rPr>
            </w:pPr>
          </w:p>
        </w:tc>
        <w:tc>
          <w:tcPr>
            <w:tcW w:w="1100" w:type="dxa"/>
            <w:vAlign w:val="bottom"/>
            <w:tcBorders>
              <w:bottom w:val="single" w:sz="8" w:color="939393"/>
              <w:right w:val="single" w:sz="8" w:color="B6B6B6"/>
            </w:tcBorders>
          </w:tcPr>
          <w:p>
            <w:pPr>
              <w:spacing w:after="0"/>
              <w:rPr>
                <w:sz w:val="8"/>
                <w:szCs w:val="8"/>
                <w:color w:val="auto"/>
              </w:rPr>
            </w:pPr>
          </w:p>
        </w:tc>
        <w:tc>
          <w:tcPr>
            <w:tcW w:w="40" w:type="dxa"/>
            <w:vAlign w:val="bottom"/>
            <w:tcBorders>
              <w:bottom w:val="single" w:sz="8" w:color="939393"/>
            </w:tcBorders>
          </w:tcPr>
          <w:p>
            <w:pPr>
              <w:spacing w:after="0"/>
              <w:rPr>
                <w:sz w:val="8"/>
                <w:szCs w:val="8"/>
                <w:color w:val="auto"/>
              </w:rPr>
            </w:pPr>
          </w:p>
        </w:tc>
        <w:tc>
          <w:tcPr>
            <w:tcW w:w="4560" w:type="dxa"/>
            <w:vAlign w:val="bottom"/>
            <w:tcBorders>
              <w:bottom w:val="single" w:sz="8" w:color="939393"/>
              <w:right w:val="single" w:sz="8" w:color="B6B6B6"/>
            </w:tcBorders>
            <w:gridSpan w:val="3"/>
          </w:tcPr>
          <w:p>
            <w:pPr>
              <w:spacing w:after="0"/>
              <w:rPr>
                <w:sz w:val="8"/>
                <w:szCs w:val="8"/>
                <w:color w:val="auto"/>
              </w:rPr>
            </w:pPr>
          </w:p>
        </w:tc>
        <w:tc>
          <w:tcPr>
            <w:tcW w:w="1540" w:type="dxa"/>
            <w:vAlign w:val="bottom"/>
            <w:tcBorders>
              <w:bottom w:val="single" w:sz="8" w:color="939393"/>
              <w:right w:val="single" w:sz="8" w:color="B6B6B6"/>
            </w:tcBorders>
            <w:gridSpan w:val="3"/>
          </w:tcPr>
          <w:p>
            <w:pPr>
              <w:spacing w:after="0"/>
              <w:rPr>
                <w:sz w:val="8"/>
                <w:szCs w:val="8"/>
                <w:color w:val="auto"/>
              </w:rPr>
            </w:pPr>
          </w:p>
        </w:tc>
        <w:tc>
          <w:tcPr>
            <w:tcW w:w="40" w:type="dxa"/>
            <w:vAlign w:val="bottom"/>
            <w:tcBorders>
              <w:bottom w:val="single" w:sz="8" w:color="939393"/>
            </w:tcBorders>
          </w:tcPr>
          <w:p>
            <w:pPr>
              <w:spacing w:after="0"/>
              <w:rPr>
                <w:sz w:val="8"/>
                <w:szCs w:val="8"/>
                <w:color w:val="auto"/>
              </w:rPr>
            </w:pPr>
          </w:p>
        </w:tc>
        <w:tc>
          <w:tcPr>
            <w:tcW w:w="1980" w:type="dxa"/>
            <w:vAlign w:val="bottom"/>
            <w:tcBorders>
              <w:bottom w:val="single" w:sz="8" w:color="939393"/>
              <w:right w:val="single" w:sz="8" w:color="B6B6B6"/>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1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Enrylaze®</w:t>
            </w:r>
          </w:p>
        </w:tc>
        <w:tc>
          <w:tcPr>
            <w:tcW w:w="40" w:type="dxa"/>
            <w:vAlign w:val="bottom"/>
          </w:tcPr>
          <w:p>
            <w:pPr>
              <w:spacing w:after="0"/>
              <w:rPr>
                <w:sz w:val="15"/>
                <w:szCs w:val="15"/>
                <w:color w:val="auto"/>
              </w:rPr>
            </w:pPr>
          </w:p>
        </w:tc>
        <w:tc>
          <w:tcPr>
            <w:tcW w:w="45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A component of a multi-agent chemotherapeutic regimen</w:t>
            </w:r>
          </w:p>
        </w:tc>
        <w:tc>
          <w:tcPr>
            <w:tcW w:w="154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September 2023</w:t>
            </w:r>
          </w:p>
        </w:tc>
        <w:tc>
          <w:tcPr>
            <w:tcW w:w="40" w:type="dxa"/>
            <w:vAlign w:val="bottom"/>
          </w:tcPr>
          <w:p>
            <w:pPr>
              <w:spacing w:after="0"/>
              <w:rPr>
                <w:sz w:val="15"/>
                <w:szCs w:val="15"/>
                <w:color w:val="auto"/>
              </w:rPr>
            </w:pPr>
          </w:p>
        </w:tc>
        <w:tc>
          <w:tcPr>
            <w:tcW w:w="198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EU, Great Britain,</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for the treatment of ALL and LBL in adult and pediatric</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Switzerland, other</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176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(recombinant</w:t>
            </w:r>
          </w:p>
        </w:tc>
        <w:tc>
          <w:tcPr>
            <w:tcW w:w="40" w:type="dxa"/>
            <w:vAlign w:val="bottom"/>
          </w:tcPr>
          <w:p>
            <w:pPr>
              <w:spacing w:after="0"/>
              <w:rPr>
                <w:sz w:val="16"/>
                <w:szCs w:val="16"/>
                <w:color w:val="auto"/>
              </w:rPr>
            </w:pPr>
          </w:p>
        </w:tc>
        <w:tc>
          <w:tcPr>
            <w:tcW w:w="45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patients (1 month and older) who have developed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markets</w:t>
            </w:r>
          </w:p>
        </w:tc>
        <w:tc>
          <w:tcPr>
            <w:tcW w:w="0" w:type="dxa"/>
            <w:vAlign w:val="bottom"/>
          </w:tcPr>
          <w:p>
            <w:pPr>
              <w:spacing w:after="0"/>
              <w:rPr>
                <w:sz w:val="1"/>
                <w:szCs w:val="1"/>
                <w:color w:val="auto"/>
              </w:rPr>
            </w:pPr>
          </w:p>
        </w:tc>
      </w:tr>
      <w:tr>
        <w:trPr>
          <w:trHeight w:val="196"/>
        </w:trPr>
        <w:tc>
          <w:tcPr>
            <w:tcW w:w="60" w:type="dxa"/>
            <w:vAlign w:val="bottom"/>
            <w:tcBorders>
              <w:left w:val="single" w:sz="8" w:color="B6B6B6"/>
            </w:tcBorders>
          </w:tcPr>
          <w:p>
            <w:pPr>
              <w:spacing w:after="0"/>
              <w:rPr>
                <w:sz w:val="17"/>
                <w:szCs w:val="17"/>
                <w:color w:val="auto"/>
              </w:rPr>
            </w:pPr>
          </w:p>
        </w:tc>
        <w:tc>
          <w:tcPr>
            <w:tcW w:w="176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crisantaspase)</w:t>
            </w:r>
          </w:p>
        </w:tc>
        <w:tc>
          <w:tcPr>
            <w:tcW w:w="40" w:type="dxa"/>
            <w:vAlign w:val="bottom"/>
          </w:tcPr>
          <w:p>
            <w:pPr>
              <w:spacing w:after="0"/>
              <w:rPr>
                <w:sz w:val="17"/>
                <w:szCs w:val="17"/>
                <w:color w:val="auto"/>
              </w:rPr>
            </w:pPr>
          </w:p>
        </w:tc>
        <w:tc>
          <w:tcPr>
            <w:tcW w:w="4560" w:type="dxa"/>
            <w:vAlign w:val="bottom"/>
            <w:tcBorders>
              <w:right w:val="single" w:sz="8" w:color="B6B6B6"/>
            </w:tcBorders>
            <w:gridSpan w:val="3"/>
          </w:tcPr>
          <w:p>
            <w:pPr>
              <w:spacing w:after="0" w:line="195" w:lineRule="exact"/>
              <w:rPr>
                <w:sz w:val="20"/>
                <w:szCs w:val="20"/>
                <w:color w:val="auto"/>
              </w:rPr>
            </w:pPr>
            <w:r>
              <w:rPr>
                <w:rFonts w:ascii="Times New Roman" w:cs="Times New Roman" w:eastAsia="Times New Roman" w:hAnsi="Times New Roman"/>
                <w:sz w:val="19"/>
                <w:szCs w:val="19"/>
                <w:color w:val="auto"/>
              </w:rPr>
              <w:t>hypersensitivity or silent inactivation to E. coli-derived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B6B6B6"/>
              <w:bottom w:val="single" w:sz="8" w:color="B6B6B6"/>
            </w:tcBorders>
          </w:tcPr>
          <w:p>
            <w:pPr>
              <w:spacing w:after="0"/>
              <w:rPr>
                <w:sz w:val="21"/>
                <w:szCs w:val="21"/>
                <w:color w:val="auto"/>
              </w:rPr>
            </w:pPr>
          </w:p>
        </w:tc>
        <w:tc>
          <w:tcPr>
            <w:tcW w:w="660" w:type="dxa"/>
            <w:vAlign w:val="bottom"/>
            <w:tcBorders>
              <w:bottom w:val="single" w:sz="8" w:color="B6B6B6"/>
            </w:tcBorders>
          </w:tcPr>
          <w:p>
            <w:pPr>
              <w:spacing w:after="0"/>
              <w:rPr>
                <w:sz w:val="21"/>
                <w:szCs w:val="21"/>
                <w:color w:val="auto"/>
              </w:rPr>
            </w:pPr>
          </w:p>
        </w:tc>
        <w:tc>
          <w:tcPr>
            <w:tcW w:w="110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4560" w:type="dxa"/>
            <w:vAlign w:val="bottom"/>
            <w:tcBorders>
              <w:bottom w:val="single" w:sz="8" w:color="B6B6B6"/>
              <w:right w:val="single" w:sz="8" w:color="B6B6B6"/>
            </w:tcBorders>
            <w:gridSpan w:val="3"/>
          </w:tcPr>
          <w:p>
            <w:pPr>
              <w:spacing w:after="0"/>
              <w:rPr>
                <w:sz w:val="20"/>
                <w:szCs w:val="20"/>
                <w:color w:val="auto"/>
              </w:rPr>
            </w:pPr>
            <w:r>
              <w:rPr>
                <w:rFonts w:ascii="Times New Roman" w:cs="Times New Roman" w:eastAsia="Times New Roman" w:hAnsi="Times New Roman"/>
                <w:sz w:val="19"/>
                <w:szCs w:val="19"/>
                <w:color w:val="auto"/>
              </w:rPr>
              <w:t>asparaginase.</w:t>
            </w:r>
          </w:p>
        </w:tc>
        <w:tc>
          <w:tcPr>
            <w:tcW w:w="380" w:type="dxa"/>
            <w:vAlign w:val="bottom"/>
            <w:tcBorders>
              <w:bottom w:val="single" w:sz="8" w:color="B6B6B6"/>
            </w:tcBorders>
          </w:tcPr>
          <w:p>
            <w:pPr>
              <w:spacing w:after="0"/>
              <w:rPr>
                <w:sz w:val="21"/>
                <w:szCs w:val="21"/>
                <w:color w:val="auto"/>
              </w:rPr>
            </w:pPr>
          </w:p>
        </w:tc>
        <w:tc>
          <w:tcPr>
            <w:tcW w:w="940" w:type="dxa"/>
            <w:vAlign w:val="bottom"/>
            <w:tcBorders>
              <w:bottom w:val="single" w:sz="8" w:color="B6B6B6"/>
            </w:tcBorders>
          </w:tcPr>
          <w:p>
            <w:pPr>
              <w:spacing w:after="0"/>
              <w:rPr>
                <w:sz w:val="21"/>
                <w:szCs w:val="21"/>
                <w:color w:val="auto"/>
              </w:rPr>
            </w:pPr>
          </w:p>
        </w:tc>
        <w:tc>
          <w:tcPr>
            <w:tcW w:w="22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700" w:type="dxa"/>
            <w:vAlign w:val="bottom"/>
            <w:tcBorders>
              <w:bottom w:val="single" w:sz="8" w:color="B6B6B6"/>
            </w:tcBorders>
          </w:tcPr>
          <w:p>
            <w:pPr>
              <w:spacing w:after="0"/>
              <w:rPr>
                <w:sz w:val="21"/>
                <w:szCs w:val="21"/>
                <w:color w:val="auto"/>
              </w:rPr>
            </w:pPr>
          </w:p>
        </w:tc>
        <w:tc>
          <w:tcPr>
            <w:tcW w:w="1280" w:type="dxa"/>
            <w:vAlign w:val="bottom"/>
            <w:tcBorders>
              <w:bottom w:val="single" w:sz="8" w:color="B6B6B6"/>
              <w:right w:val="single" w:sz="8" w:color="B6B6B6"/>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598805</wp:posOffset>
            </wp:positionV>
            <wp:extent cx="259080" cy="2546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444">
                      <a:extLst>
                        <a:ext uri="{28A0092B-C50C-407E-A947-70E740481C1C}"/>
                      </a:extLst>
                    </a:blip>
                    <a:srcRect/>
                    <a:stretch>
                      <a:fillRect/>
                    </a:stretch>
                  </pic:blipFill>
                  <pic:spPr bwMode="auto">
                    <a:xfrm>
                      <a:off x="0" y="0"/>
                      <a:ext cx="259080" cy="2546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-7339965</wp:posOffset>
                </wp:positionV>
                <wp:extent cx="13335" cy="13335"/>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B6B6B6"/>
                        </a:solidFill>
                      </wps:spPr>
                      <wps:bodyPr/>
                    </wps:wsp>
                  </a:graphicData>
                </a:graphic>
              </wp:anchor>
            </w:drawing>
          </mc:Choice>
          <mc:Fallback>
            <w:pict>
              <v:rect id="Shape 642" o:spid="_x0000_s1667" style="position:absolute;margin-left:0pt;margin-top:-577.9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6B6B6"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44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9" w:right="999" w:bottom="0" w:gutter="0" w:footer="0" w:header="0"/>
        </w:sectPr>
      </w:pPr>
    </w:p>
    <w:bookmarkStart w:id="140" w:name="page141"/>
    <w:bookmarkEnd w:id="140"/>
    <w:p>
      <w:pPr>
        <w:ind w:left="100" w:hanging="98"/>
        <w:spacing w:after="0"/>
        <w:tabs>
          <w:tab w:leader="none" w:pos="10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clobazam restriction limited to EU and Great Britain</w:t>
      </w:r>
    </w:p>
    <w:p>
      <w:pPr>
        <w:spacing w:after="0" w:line="21" w:lineRule="exact"/>
        <w:rPr>
          <w:rFonts w:ascii="Times New Roman" w:cs="Times New Roman" w:eastAsia="Times New Roman" w:hAnsi="Times New Roman"/>
          <w:sz w:val="25"/>
          <w:szCs w:val="25"/>
          <w:color w:val="auto"/>
          <w:vertAlign w:val="superscript"/>
        </w:rPr>
      </w:pPr>
    </w:p>
    <w:p>
      <w:pPr>
        <w:ind w:left="100" w:hanging="98"/>
        <w:spacing w:after="0" w:line="192" w:lineRule="auto"/>
        <w:tabs>
          <w:tab w:leader="none" w:pos="10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Accelerated approval received from FDA</w:t>
      </w:r>
    </w:p>
    <w:p>
      <w:pPr>
        <w:spacing w:after="0" w:line="229"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9"/>
          <w:szCs w:val="19"/>
          <w:color w:val="auto"/>
        </w:rPr>
        <w:t>Conditional marketing authorization granted by EC</w:t>
      </w:r>
    </w:p>
    <w:p>
      <w:pPr>
        <w:ind w:left="100" w:hanging="98"/>
        <w:spacing w:after="0" w:line="192" w:lineRule="auto"/>
        <w:tabs>
          <w:tab w:leader="none" w:pos="10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Conditional approval received from Health Canada</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 Progress</w:t>
      </w:r>
    </w:p>
    <w:p>
      <w:pPr>
        <w:spacing w:after="0" w:line="133"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spacing w:after="0" w:line="78"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9"/>
          <w:szCs w:val="19"/>
          <w:i w:val="1"/>
          <w:iCs w:val="1"/>
          <w:color w:val="auto"/>
        </w:rPr>
        <w:t>=DQLGDWDPDE</w:t>
      </w:r>
      <w:r>
        <w:rPr>
          <w:rFonts w:ascii="Times New Roman" w:cs="Times New Roman" w:eastAsia="Times New Roman" w:hAnsi="Times New Roman"/>
          <w:sz w:val="19"/>
          <w:szCs w:val="19"/>
          <w:color w:val="auto"/>
        </w:rPr>
        <w:t>. Zanidatamab is a HER2-targeted bispecific antibody that can simultaneously bind two non-overlapping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epitopes of HER2, known as biparatopic binding. 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accelerated approval for this BLA in November 2024. In April 2025, we announced that CHMP adopted a positive opinion recommending the conditional marketing authorization of zanidatamab in second-line BTC.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78"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color w:val="auto"/>
        </w:rPr>
        <w:t>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 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 versus the control arm. FDA granted BTD for zanidatamab's development for patients with HER2+ unresectable locally advanced or metastatic GEA.</w:t>
      </w:r>
    </w:p>
    <w:p>
      <w:pPr>
        <w:spacing w:after="0" w:line="78" w:lineRule="exact"/>
        <w:rPr>
          <w:sz w:val="20"/>
          <w:szCs w:val="20"/>
          <w:color w:val="auto"/>
        </w:rPr>
      </w:pPr>
    </w:p>
    <w:p>
      <w:pPr>
        <w:ind w:right="100" w:firstLine="481"/>
        <w:spacing w:after="0" w:line="264" w:lineRule="auto"/>
        <w:rPr>
          <w:sz w:val="20"/>
          <w:szCs w:val="20"/>
          <w:color w:val="auto"/>
        </w:rPr>
      </w:pPr>
      <w:r>
        <w:rPr>
          <w:rFonts w:ascii="Times New Roman" w:cs="Times New Roman" w:eastAsia="Times New Roman" w:hAnsi="Times New Roman"/>
          <w:sz w:val="19"/>
          <w:szCs w:val="19"/>
          <w:color w:val="auto"/>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EmpowHER-303 to evaluate zanidatamab plus chemotherapy or trastuzumab plus chemotherapy in patients with HER2-positive breast cancer whose disease has progressed on previous T-DXd treatment, and a Phase 3 confirmatory trial examining zanidatamab in first-line patients with HER2-positive BTC.</w:t>
      </w:r>
    </w:p>
    <w:p>
      <w:pPr>
        <w:spacing w:after="0" w:line="71"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9"/>
          <w:szCs w:val="19"/>
          <w:i w:val="1"/>
          <w:iCs w:val="1"/>
          <w:color w:val="auto"/>
        </w:rPr>
        <w:t>=HS]HOFD</w:t>
      </w:r>
      <w:r>
        <w:rPr>
          <w:rFonts w:ascii="Times New Roman" w:cs="Times New Roman" w:eastAsia="Times New Roman" w:hAnsi="Times New Roman"/>
          <w:sz w:val="19"/>
          <w:szCs w:val="19"/>
          <w:color w:val="auto"/>
        </w:rPr>
        <w:t>. Our development plan for Zepzelca continues to progress. In October 2024, we announced positive top-line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results from the Phase 3 IMforte trial showing a statistically significant and clinically meaningful benefit for Zepzelca and atezolizumab in combination in the first-line maintenance setting. In April 2025, we announced the submission of an sNDA to support this combination in the first-line maintenance setting. In June 2025, FDA granted priority review of the sNDA and we subsequently received FDA approval in October 2025 for the combination as a first-line maintenance treatment of adult patients with extensive-stage SCLC whose disease has not progressed after first-line induction therapy with atezolizumab or atezolizumab and hyaluronidase-tqjs, carboplatin and etoposide. In addition, our licensor PharmaMar is conducting a confirmatory trial in second-line SCLC. This ongoing three-arm trial is comparing Zepzelca as either monotherapy or in combination with irinotecan to investigator's choice of irinotecan or topotecan.</w:t>
      </w:r>
    </w:p>
    <w:p>
      <w:pPr>
        <w:spacing w:after="0" w:line="73"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19"/>
          <w:szCs w:val="19"/>
          <w:color w:val="auto"/>
        </w:rPr>
        <w:t>Updated results from the Phase 4 observational trial were presented at the 2025 WCLC that showed Zepzelca demonstrated clinically meaningful effectiveness across subgroups, including those with platinum-resistant disease and those with CNS metastases. The safety and tolerability profile observed in this Phase 4 study was consistent with prior findings, with no new safety signals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374650</wp:posOffset>
            </wp:positionV>
            <wp:extent cx="259080" cy="2546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44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17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17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44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10" w:right="919" w:bottom="0" w:gutter="0" w:footer="0" w:header="0"/>
        </w:sectPr>
      </w:pPr>
    </w:p>
    <w:bookmarkStart w:id="141" w:name="page142"/>
    <w:bookmarkEnd w:id="141"/>
    <w:p>
      <w:pPr>
        <w:ind w:left="60" w:firstLine="480"/>
        <w:spacing w:after="0" w:line="294" w:lineRule="auto"/>
        <w:rPr>
          <w:sz w:val="20"/>
          <w:szCs w:val="20"/>
          <w:color w:val="auto"/>
        </w:rPr>
      </w:pPr>
      <w:r>
        <w:rPr>
          <w:rFonts w:ascii="PMingLiU" w:cs="PMingLiU" w:eastAsia="PMingLiU" w:hAnsi="PMingLiU"/>
          <w:sz w:val="17"/>
          <w:szCs w:val="17"/>
          <w:i w:val="1"/>
          <w:iCs w:val="1"/>
          <w:color w:val="auto"/>
        </w:rPr>
        <w:t>-=3</w:t>
      </w:r>
      <w:r>
        <w:rPr>
          <w:rFonts w:ascii="Times New Roman" w:cs="Times New Roman" w:eastAsia="Times New Roman" w:hAnsi="Times New Roman"/>
          <w:sz w:val="17"/>
          <w:szCs w:val="17"/>
          <w:color w:val="auto"/>
        </w:rPr>
        <w:t>. JZP815 is a pan-</w:t>
      </w:r>
      <w:r>
        <w:rPr>
          <w:rFonts w:ascii="PMingLiU" w:cs="PMingLiU" w:eastAsia="PMingLiU" w:hAnsi="PMingLiU"/>
          <w:sz w:val="17"/>
          <w:szCs w:val="17"/>
          <w:color w:val="auto"/>
        </w:rPr>
        <w:t>5$)NLQDVHLQKLELWRUWKDWWDUJHWVVSHFLILFFRPSRQHQWVRIWKH0$3.SDWKZD\WKDWZKHQ</w:t>
      </w:r>
      <w:r>
        <w:rPr>
          <w:rFonts w:ascii="PMingLiU" w:cs="PMingLiU" w:eastAsia="PMingLiU" w:hAnsi="PMingLiU"/>
          <w:sz w:val="17"/>
          <w:szCs w:val="17"/>
          <w:i w:val="1"/>
          <w:iCs w:val="1"/>
          <w:color w:val="auto"/>
        </w:rPr>
        <w:t xml:space="preserve"> </w:t>
      </w:r>
      <w:r>
        <w:rPr>
          <w:rFonts w:ascii="Times New Roman" w:cs="Times New Roman" w:eastAsia="Times New Roman" w:hAnsi="Times New Roman"/>
          <w:sz w:val="17"/>
          <w:szCs w:val="17"/>
          <w:color w:val="auto"/>
        </w:rPr>
        <w:t xml:space="preserve">activated by oncogenic mutations, can be a frequent driver of human cancer. In October 2022, we enrolled our first patient in a Phase 1 study to investigate the safety, dosing, and initial antitumor activity of JZP815 in participants with advanced or </w:t>
      </w:r>
      <w:r>
        <w:rPr>
          <w:rFonts w:ascii="PMingLiU" w:cs="PMingLiU" w:eastAsia="PMingLiU" w:hAnsi="PMingLiU"/>
          <w:sz w:val="17"/>
          <w:szCs w:val="17"/>
          <w:color w:val="auto"/>
        </w:rPr>
        <w:t>PHWDVWDWLFVROLGWXPRUVKDUERULQJDOWHUDWLRQVLQWKH0$3.SDWKZD\</w:t>
      </w:r>
    </w:p>
    <w:p>
      <w:pPr>
        <w:spacing w:after="0" w:line="48" w:lineRule="exact"/>
        <w:rPr>
          <w:sz w:val="20"/>
          <w:szCs w:val="20"/>
          <w:color w:val="auto"/>
        </w:rPr>
      </w:pPr>
    </w:p>
    <w:p>
      <w:pPr>
        <w:ind w:left="60" w:right="160" w:firstLine="480"/>
        <w:spacing w:after="0" w:line="261" w:lineRule="auto"/>
        <w:rPr>
          <w:sz w:val="20"/>
          <w:szCs w:val="20"/>
          <w:color w:val="auto"/>
        </w:rPr>
      </w:pPr>
      <w:r>
        <w:rPr>
          <w:rFonts w:ascii="PMingLiU" w:cs="PMingLiU" w:eastAsia="PMingLiU" w:hAnsi="PMingLiU"/>
          <w:sz w:val="19"/>
          <w:szCs w:val="19"/>
          <w:i w:val="1"/>
          <w:iCs w:val="1"/>
          <w:color w:val="auto"/>
        </w:rPr>
        <w:t>-=3</w:t>
      </w:r>
      <w:r>
        <w:rPr>
          <w:rFonts w:ascii="Times New Roman" w:cs="Times New Roman" w:eastAsia="Times New Roman" w:hAnsi="Times New Roman"/>
          <w:sz w:val="19"/>
          <w:szCs w:val="19"/>
          <w:color w:val="auto"/>
        </w:rPr>
        <w:t>JZP898 is a differentiated, conditionally-activated IFN</w:t>
      </w:r>
      <w:r>
        <w:rPr>
          <w:rFonts w:ascii="PMingLiU" w:cs="PMingLiU" w:eastAsia="PMingLiU" w:hAnsi="PMingLiU"/>
          <w:sz w:val="19"/>
          <w:szCs w:val="19"/>
          <w:color w:val="auto"/>
        </w:rPr>
        <w:t xml:space="preserve"> ,1'8.,1(</w:t>
      </w:r>
      <w:r>
        <w:rPr>
          <w:rFonts w:ascii="Times New Roman" w:cs="Times New Roman" w:eastAsia="Times New Roman" w:hAnsi="Times New Roman"/>
          <w:sz w:val="19"/>
          <w:szCs w:val="19"/>
          <w:color w:val="auto"/>
        </w:rPr>
        <w:t>™ molecule. We acquired rights to</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JZP898 from Werewolf in 2022 under an exclusive, worldwide, royalty-bearing license to develop, manufacture and commercialize Werewolf's investigational WTX-613, now referred to as JZP898. In November 2023, we enrolled our first patient in a Phase 1 study to investigate the safety, tolerability, pharmacokinetics, immunogenicity and preliminary antitumor activity of JZP898 both as a monotherapy and in combination with pembrolizumab in adults with advanced/metastatic solid tumors.</w:t>
      </w:r>
    </w:p>
    <w:p>
      <w:pPr>
        <w:spacing w:after="0" w:line="312" w:lineRule="exact"/>
        <w:rPr>
          <w:sz w:val="20"/>
          <w:szCs w:val="20"/>
          <w:color w:val="auto"/>
        </w:rPr>
      </w:pPr>
    </w:p>
    <w:p>
      <w:pPr>
        <w:ind w:left="60" w:right="80" w:firstLine="480"/>
        <w:spacing w:after="0" w:line="263" w:lineRule="auto"/>
        <w:rPr>
          <w:sz w:val="20"/>
          <w:szCs w:val="20"/>
          <w:color w:val="auto"/>
        </w:rPr>
      </w:pPr>
      <w:r>
        <w:rPr>
          <w:rFonts w:ascii="PMingLiU" w:cs="PMingLiU" w:eastAsia="PMingLiU" w:hAnsi="PMingLiU"/>
          <w:sz w:val="19"/>
          <w:szCs w:val="19"/>
          <w:i w:val="1"/>
          <w:iCs w:val="1"/>
          <w:color w:val="auto"/>
        </w:rPr>
        <w:t xml:space="preserve">(SLGLROH[ </w:t>
      </w:r>
      <w:r>
        <w:rPr>
          <w:rFonts w:ascii="Times New Roman" w:cs="Times New Roman" w:eastAsia="Times New Roman" w:hAnsi="Times New Roman"/>
          <w:sz w:val="19"/>
          <w:szCs w:val="19"/>
          <w:color w:val="auto"/>
        </w:rPr>
        <w:t>We have an ongoing Phase 1b study of Epidiolex for the treatment of focal-onset seizures. The study will</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assess the efficacy of Epidiolex as an adjunctive treatment in reducing the frequency of focal seizures compared to baseline as well as the effect of Epidiolex on health outcome endpoints in early line and refractory participants with focal-onset seizures.</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i w:val="1"/>
          <w:iCs w:val="1"/>
          <w:color w:val="auto"/>
        </w:rPr>
        <w:t>Preclinical</w:t>
      </w:r>
    </w:p>
    <w:p>
      <w:pPr>
        <w:spacing w:after="0" w:line="129" w:lineRule="exact"/>
        <w:rPr>
          <w:sz w:val="20"/>
          <w:szCs w:val="20"/>
          <w:color w:val="auto"/>
        </w:rPr>
      </w:pPr>
    </w:p>
    <w:p>
      <w:pPr>
        <w:ind w:left="60" w:right="460" w:firstLine="480"/>
        <w:spacing w:after="0" w:line="299" w:lineRule="auto"/>
        <w:rPr>
          <w:sz w:val="20"/>
          <w:szCs w:val="20"/>
          <w:color w:val="auto"/>
        </w:rPr>
      </w:pPr>
      <w:r>
        <w:rPr>
          <w:rFonts w:ascii="Times New Roman" w:cs="Times New Roman" w:eastAsia="Times New Roman" w:hAnsi="Times New Roman"/>
          <w:sz w:val="19"/>
          <w:szCs w:val="19"/>
          <w:color w:val="auto"/>
        </w:rPr>
        <w:t>Through third parties, we are also pursuing preclinical and clinical R&amp;D activities under a number of licensing and collaboration agreements, including with:</w:t>
      </w:r>
    </w:p>
    <w:p>
      <w:pPr>
        <w:spacing w:after="0" w:line="37" w:lineRule="exact"/>
        <w:rPr>
          <w:sz w:val="20"/>
          <w:szCs w:val="20"/>
          <w:color w:val="auto"/>
        </w:rPr>
      </w:pPr>
    </w:p>
    <w:p>
      <w:pPr>
        <w:ind w:left="840" w:right="280" w:hanging="349"/>
        <w:spacing w:after="0" w:line="233"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XLp for rights to use XLp’s PASylation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technology to extend the plasma half-life of selected asparaginase product candidates;</w:t>
      </w:r>
    </w:p>
    <w:p>
      <w:pPr>
        <w:spacing w:after="0" w:line="91" w:lineRule="exact"/>
        <w:rPr>
          <w:sz w:val="20"/>
          <w:szCs w:val="20"/>
          <w:color w:val="auto"/>
        </w:rPr>
      </w:pPr>
    </w:p>
    <w:p>
      <w:pPr>
        <w:ind w:left="840" w:right="30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Redx for preclinical collaboration activities related to G12D selective and pan-</w:t>
      </w:r>
      <w:r>
        <w:rPr>
          <w:rFonts w:ascii="PMingLiU" w:cs="PMingLiU" w:eastAsia="PMingLiU" w:hAnsi="PMingLiU"/>
          <w:sz w:val="19"/>
          <w:szCs w:val="19"/>
          <w:color w:val="auto"/>
        </w:rPr>
        <w:t>.5$6PROHFXOHVWKDWZHSXUFKDVHG</w:t>
      </w:r>
      <w:r>
        <w:rPr>
          <w:rFonts w:ascii="Times New Roman" w:cs="Times New Roman" w:eastAsia="Times New Roman" w:hAnsi="Times New Roman"/>
          <w:sz w:val="19"/>
          <w:szCs w:val="19"/>
          <w:color w:val="auto"/>
        </w:rPr>
        <w:t xml:space="preserve"> from Redx;</w:t>
      </w:r>
    </w:p>
    <w:p>
      <w:pPr>
        <w:spacing w:after="0" w:line="62" w:lineRule="exact"/>
        <w:rPr>
          <w:sz w:val="20"/>
          <w:szCs w:val="20"/>
          <w:color w:val="auto"/>
        </w:rPr>
      </w:pPr>
    </w:p>
    <w:p>
      <w:pPr>
        <w:ind w:left="840" w:right="280" w:hanging="348"/>
        <w:spacing w:after="0" w:line="299"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Autifony to collaborate on discovering and developing drug candidates targeting two different ion channel targets associated with neurological disorders;</w:t>
      </w:r>
    </w:p>
    <w:p>
      <w:pPr>
        <w:spacing w:after="0" w:line="38" w:lineRule="exact"/>
        <w:rPr>
          <w:sz w:val="20"/>
          <w:szCs w:val="20"/>
          <w:color w:val="auto"/>
        </w:rPr>
      </w:pPr>
    </w:p>
    <w:p>
      <w:pPr>
        <w:ind w:left="840" w:right="340" w:hanging="348"/>
        <w:spacing w:after="0" w:line="393" w:lineRule="auto"/>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color w:val="auto"/>
        </w:rPr>
        <w:t>6DQLRQDWRGHYHORSDVPDOOPROHFXOHDFWLYDWRURI.Y.YSRWDVVLXPFKDQQHOVIRUHSLOHSV\DQGRWKHUSRWHQWLDO</w:t>
      </w:r>
      <w:r>
        <w:rPr>
          <w:rFonts w:ascii="Times New Roman" w:cs="Times New Roman" w:eastAsia="Times New Roman" w:hAnsi="Times New Roman"/>
          <w:sz w:val="15"/>
          <w:szCs w:val="15"/>
          <w:color w:val="auto"/>
        </w:rPr>
        <w:t xml:space="preserve"> indications; and</w:t>
      </w:r>
    </w:p>
    <w:p>
      <w:pPr>
        <w:spacing w:after="0" w:line="1" w:lineRule="exact"/>
        <w:rPr>
          <w:sz w:val="20"/>
          <w:szCs w:val="20"/>
          <w:color w:val="auto"/>
        </w:rPr>
      </w:pPr>
    </w:p>
    <w:p>
      <w:pPr>
        <w:ind w:left="8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are also evaluating the use of our CombiPlex platform in a number of therapeutic formulations and combinations in oncology as part of our internal oncology R&amp;D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4258310</wp:posOffset>
            </wp:positionV>
            <wp:extent cx="259080" cy="2546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44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44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40"/>
          </w:cols>
          <w:pgMar w:left="900" w:top="839" w:right="1039" w:bottom="0" w:gutter="0" w:footer="0" w:header="0"/>
        </w:sectPr>
      </w:pPr>
    </w:p>
    <w:bookmarkStart w:id="142" w:name="page143"/>
    <w:bookmarkEnd w:id="142"/>
    <w:p>
      <w:pPr>
        <w:ind w:left="100" w:right="60" w:firstLine="480"/>
        <w:spacing w:after="0" w:line="299" w:lineRule="auto"/>
        <w:rPr>
          <w:sz w:val="20"/>
          <w:szCs w:val="20"/>
          <w:color w:val="auto"/>
        </w:rPr>
      </w:pPr>
      <w:r>
        <w:rPr>
          <w:rFonts w:ascii="Times New Roman" w:cs="Times New Roman" w:eastAsia="Times New Roman" w:hAnsi="Times New Roman"/>
          <w:sz w:val="19"/>
          <w:szCs w:val="19"/>
          <w:color w:val="auto"/>
        </w:rPr>
        <w:t>Below is a summary of our key ongoing and planned development projects related to our products and pipeline and their corresponding current stages of development:</w:t>
      </w:r>
    </w:p>
    <w:p>
      <w:pPr>
        <w:sectPr>
          <w:pgSz w:w="11880" w:h="15479" w:orient="portrait"/>
          <w:cols w:equalWidth="0" w:num="1">
            <w:col w:w="10000"/>
          </w:cols>
          <w:pgMar w:left="960" w:top="839" w:right="919" w:bottom="0" w:gutter="0" w:footer="0" w:header="0"/>
        </w:sectPr>
      </w:pPr>
    </w:p>
    <w:p>
      <w:pPr>
        <w:spacing w:after="0" w:line="80" w:lineRule="exact"/>
        <w:rPr>
          <w:sz w:val="20"/>
          <w:szCs w:val="20"/>
          <w:color w:val="auto"/>
        </w:rPr>
      </w:pPr>
    </w:p>
    <w:p>
      <w:pPr>
        <w:ind w:right="420"/>
        <w:spacing w:after="0" w:line="331" w:lineRule="auto"/>
        <w:rPr>
          <w:sz w:val="20"/>
          <w:szCs w:val="20"/>
          <w:color w:val="auto"/>
        </w:rPr>
      </w:pPr>
      <w:r>
        <w:rPr>
          <w:rFonts w:ascii="Times New Roman" w:cs="Times New Roman" w:eastAsia="Times New Roman" w:hAnsi="Times New Roman"/>
          <w:sz w:val="19"/>
          <w:szCs w:val="19"/>
          <w:b w:val="1"/>
          <w:bCs w:val="1"/>
          <w:u w:val="single" w:color="auto"/>
          <w:color w:val="auto"/>
        </w:rPr>
        <w:t xml:space="preserve">Product Candidates </w:t>
      </w:r>
      <w:r>
        <w:rPr>
          <w:rFonts w:ascii="Times New Roman" w:cs="Times New Roman" w:eastAsia="Times New Roman" w:hAnsi="Times New Roman"/>
          <w:sz w:val="19"/>
          <w:szCs w:val="19"/>
          <w:b w:val="1"/>
          <w:bCs w:val="1"/>
          <w:color w:val="auto"/>
        </w:rPr>
        <w:t>Phase 3</w:t>
      </w: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Zanidatamab</w:t>
      </w:r>
    </w:p>
    <w:p>
      <w:pPr>
        <w:spacing w:after="0" w:line="3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Dordaviprone</w:t>
      </w:r>
    </w:p>
    <w:p>
      <w:pPr>
        <w:spacing w:after="0" w:line="3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Vyxeos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Phase 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Zanidatamab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Vyxeos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line="255" w:lineRule="auto"/>
        <w:rPr>
          <w:sz w:val="20"/>
          <w:szCs w:val="20"/>
          <w:color w:val="auto"/>
        </w:rPr>
      </w:pPr>
      <w:r>
        <w:rPr>
          <w:rFonts w:ascii="Times New Roman" w:cs="Times New Roman" w:eastAsia="Times New Roman" w:hAnsi="Times New Roman"/>
          <w:sz w:val="19"/>
          <w:szCs w:val="19"/>
          <w:color w:val="auto"/>
        </w:rPr>
        <w:t>Vyxeos + other approved therapies</w:t>
      </w:r>
    </w:p>
    <w:p>
      <w:pPr>
        <w:spacing w:after="0" w:line="2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JZP3507</w:t>
      </w:r>
      <w:r>
        <w:rPr>
          <w:rFonts w:ascii="Times New Roman" w:cs="Times New Roman" w:eastAsia="Times New Roman" w:hAnsi="Times New Roman"/>
          <w:sz w:val="25"/>
          <w:szCs w:val="25"/>
          <w:color w:val="auto"/>
          <w:vertAlign w:val="superscript"/>
        </w:rPr>
        <w:t>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Phase 1</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JZP815</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JZP898</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Vyxeos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JZP3507</w:t>
      </w:r>
      <w:r>
        <w:rPr>
          <w:rFonts w:ascii="Times New Roman" w:cs="Times New Roman" w:eastAsia="Times New Roman" w:hAnsi="Times New Roman"/>
          <w:sz w:val="25"/>
          <w:szCs w:val="25"/>
          <w:color w:val="auto"/>
          <w:vertAlign w:val="superscript"/>
        </w:rPr>
        <w:t>1</w:t>
      </w:r>
    </w:p>
    <w:p>
      <w:pPr>
        <w:spacing w:after="0" w:line="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JZP3507</w:t>
      </w:r>
      <w:r>
        <w:rPr>
          <w:rFonts w:ascii="Times New Roman" w:cs="Times New Roman" w:eastAsia="Times New Roman" w:hAnsi="Times New Roman"/>
          <w:sz w:val="25"/>
          <w:szCs w:val="25"/>
          <w:color w:val="auto"/>
          <w:vertAlign w:val="superscript"/>
        </w:rPr>
        <w:t>1</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Epidiolex</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JZP047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Preclinical</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JZP3508</w:t>
      </w:r>
      <w:r>
        <w:rPr>
          <w:rFonts w:ascii="Times New Roman" w:cs="Times New Roman" w:eastAsia="Times New Roman" w:hAnsi="Times New Roman"/>
          <w:sz w:val="25"/>
          <w:szCs w:val="25"/>
          <w:color w:val="auto"/>
          <w:vertAlign w:val="superscript"/>
        </w:rPr>
        <w:t>2</w:t>
      </w:r>
    </w:p>
    <w:p>
      <w:pPr>
        <w:ind w:left="140"/>
        <w:spacing w:after="0"/>
        <w:rPr>
          <w:sz w:val="20"/>
          <w:szCs w:val="20"/>
          <w:color w:val="auto"/>
        </w:rPr>
      </w:pPr>
      <w:r>
        <w:rPr>
          <w:rFonts w:ascii="PMingLiU" w:cs="PMingLiU" w:eastAsia="PMingLiU" w:hAnsi="PMingLiU"/>
          <w:sz w:val="15"/>
          <w:szCs w:val="15"/>
          <w:color w:val="auto"/>
        </w:rPr>
        <w:t>.5$6LQKLELWRUWDUJHWV</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Undisclosed targets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CombiPlex®</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JZP053</w:t>
      </w:r>
      <w:r>
        <w:rPr>
          <w:rFonts w:ascii="Times New Roman" w:cs="Times New Roman" w:eastAsia="Times New Roman" w:hAnsi="Times New Roman"/>
          <w:sz w:val="25"/>
          <w:szCs w:val="25"/>
          <w:color w:val="auto"/>
          <w:vertAlign w:val="superscript"/>
        </w:rPr>
        <w:t>3</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Undisclosed targets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Also known as ONC206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Also known as ONC212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9"/>
          <w:szCs w:val="19"/>
          <w:color w:val="auto"/>
        </w:rPr>
        <w:t>Also known as SAN2355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624840</wp:posOffset>
            </wp:positionV>
            <wp:extent cx="259080" cy="2546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45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Description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First-line HER2-positive GEA (HERIZON-GEA-01) (ongoing trial)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First-line HER2-positive BTC (HERIZON-BTC-302) (ongoing confirmatory trial)</w:t>
      </w:r>
    </w:p>
    <w:p>
      <w:pPr>
        <w:spacing w:after="0" w:line="38" w:lineRule="exact"/>
        <w:rPr>
          <w:sz w:val="20"/>
          <w:szCs w:val="20"/>
          <w:color w:val="auto"/>
        </w:rPr>
      </w:pPr>
    </w:p>
    <w:p>
      <w:pPr>
        <w:ind w:right="480"/>
        <w:spacing w:after="0" w:line="241" w:lineRule="auto"/>
        <w:rPr>
          <w:sz w:val="20"/>
          <w:szCs w:val="20"/>
          <w:color w:val="auto"/>
        </w:rPr>
      </w:pPr>
      <w:r>
        <w:rPr>
          <w:rFonts w:ascii="Times New Roman" w:cs="Times New Roman" w:eastAsia="Times New Roman" w:hAnsi="Times New Roman"/>
          <w:sz w:val="19"/>
          <w:szCs w:val="19"/>
          <w:color w:val="auto"/>
        </w:rPr>
        <w:t>Previously treated HER2-positive breast cancer in patients whose disease has progressed on previous T- DXd treatment (EmpowHER-BC-303) (ongoing trial)</w:t>
      </w:r>
      <w:r>
        <w:rPr>
          <w:rFonts w:ascii="PMingLiU" w:cs="PMingLiU" w:eastAsia="PMingLiU" w:hAnsi="PMingLiU"/>
          <w:sz w:val="19"/>
          <w:szCs w:val="19"/>
          <w:color w:val="auto"/>
        </w:rPr>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First-</w:t>
      </w:r>
      <w:r>
        <w:rPr>
          <w:rFonts w:ascii="PMingLiU" w:cs="PMingLiU" w:eastAsia="PMingLiU" w:hAnsi="PMingLiU"/>
          <w:sz w:val="19"/>
          <w:szCs w:val="19"/>
          <w:color w:val="auto"/>
        </w:rPr>
        <w:t>OLQH+.0</w:t>
      </w:r>
      <w:r>
        <w:rPr>
          <w:rFonts w:ascii="Times New Roman" w:cs="Times New Roman" w:eastAsia="Times New Roman" w:hAnsi="Times New Roman"/>
          <w:sz w:val="19"/>
          <w:szCs w:val="19"/>
          <w:color w:val="auto"/>
        </w:rPr>
        <w:t>-mutant diffuse glioma (ACTION trial) (ongoing confirmatory trial)</w:t>
      </w:r>
    </w:p>
    <w:p>
      <w:pPr>
        <w:spacing w:after="0" w:line="19"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9"/>
          <w:szCs w:val="19"/>
          <w:color w:val="auto"/>
        </w:rPr>
        <w:t>Newly diagnosed adults with standard- and high-risk AML (AMLSG 30-18) (cooperative group study) (ongoing trial)</w:t>
      </w:r>
    </w:p>
    <w:p>
      <w:pPr>
        <w:spacing w:after="0" w:line="215" w:lineRule="auto"/>
        <w:rPr>
          <w:sz w:val="20"/>
          <w:szCs w:val="20"/>
          <w:color w:val="auto"/>
        </w:rPr>
      </w:pPr>
      <w:r>
        <w:rPr>
          <w:rFonts w:ascii="Times New Roman" w:cs="Times New Roman" w:eastAsia="Times New Roman" w:hAnsi="Times New Roman"/>
          <w:sz w:val="19"/>
          <w:szCs w:val="19"/>
          <w:color w:val="auto"/>
        </w:rPr>
        <w:t>Newly diagnosed pediatric patients with AML (AAML 1831) (COG cooperative group study)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(ongoing trial)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Basket trial including HER2-positive solid tumors (DiscovHER-Pan-206) (ongoing trial)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Neoadjuvant and adjuvant breast cancer (EmpowHER-BC-208) (ongoing trial)</w:t>
      </w:r>
    </w:p>
    <w:p>
      <w:pPr>
        <w:spacing w:after="0" w:line="38"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19"/>
          <w:szCs w:val="19"/>
          <w:color w:val="auto"/>
        </w:rPr>
        <w:t>HER2+ advanced GEA in combination with paclitaxel and ramucirumab (Canadian Cancer Trials Group collaboration) (ongoing trial)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HER2+/PD-L1+ mGEA in combination with pembrolizumab and chemotherapy (ZANGEA)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(collaboration study) (trial enrolling)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Early stage HER2/neu positive (HER2+) breast cancer (collaboration study) (ongoing trial)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High-risk MDS (PALOMA) (cooperative group study) (ongoing trial)</w:t>
      </w:r>
    </w:p>
    <w:p>
      <w:pPr>
        <w:spacing w:after="0" w:line="212" w:lineRule="auto"/>
        <w:rPr>
          <w:sz w:val="20"/>
          <w:szCs w:val="20"/>
          <w:color w:val="auto"/>
        </w:rPr>
      </w:pPr>
      <w:r>
        <w:rPr>
          <w:rFonts w:ascii="Times New Roman" w:cs="Times New Roman" w:eastAsia="Times New Roman" w:hAnsi="Times New Roman"/>
          <w:sz w:val="19"/>
          <w:szCs w:val="19"/>
          <w:color w:val="auto"/>
        </w:rPr>
        <w:t>Newly diagnosed untreated patients with high-risk AML (MyeloMATCH Tier SWOG)</w:t>
      </w:r>
    </w:p>
    <w:p>
      <w:pPr>
        <w:spacing w:after="0" w:line="215" w:lineRule="auto"/>
        <w:rPr>
          <w:sz w:val="20"/>
          <w:szCs w:val="20"/>
          <w:color w:val="auto"/>
        </w:rPr>
      </w:pPr>
      <w:r>
        <w:rPr>
          <w:rFonts w:ascii="Times New Roman" w:cs="Times New Roman" w:eastAsia="Times New Roman" w:hAnsi="Times New Roman"/>
          <w:sz w:val="19"/>
          <w:szCs w:val="19"/>
          <w:color w:val="auto"/>
        </w:rPr>
        <w:t>(cooperative group study) (ongoing trial)</w:t>
      </w:r>
    </w:p>
    <w:p>
      <w:pPr>
        <w:ind w:right="300"/>
        <w:spacing w:after="0" w:line="233" w:lineRule="auto"/>
        <w:rPr>
          <w:sz w:val="20"/>
          <w:szCs w:val="20"/>
          <w:color w:val="auto"/>
        </w:rPr>
      </w:pPr>
      <w:r>
        <w:rPr>
          <w:rFonts w:ascii="Times New Roman" w:cs="Times New Roman" w:eastAsia="Times New Roman" w:hAnsi="Times New Roman"/>
          <w:sz w:val="19"/>
          <w:szCs w:val="19"/>
          <w:color w:val="auto"/>
        </w:rPr>
        <w:t>De novo intermediate or adverse risk AML stratified by genomics (ALFA2101) (collaboration study) (ongoing trial)</w:t>
      </w:r>
    </w:p>
    <w:p>
      <w:pPr>
        <w:spacing w:after="0" w:line="1" w:lineRule="exact"/>
        <w:rPr>
          <w:sz w:val="20"/>
          <w:szCs w:val="20"/>
          <w:color w:val="auto"/>
        </w:rPr>
      </w:pPr>
    </w:p>
    <w:p>
      <w:pPr>
        <w:ind w:right="340"/>
        <w:spacing w:after="0" w:line="225" w:lineRule="auto"/>
        <w:rPr>
          <w:sz w:val="20"/>
          <w:szCs w:val="20"/>
          <w:color w:val="auto"/>
        </w:rPr>
      </w:pPr>
      <w:r>
        <w:rPr>
          <w:rFonts w:ascii="Times New Roman" w:cs="Times New Roman" w:eastAsia="Times New Roman" w:hAnsi="Times New Roman"/>
          <w:sz w:val="19"/>
          <w:szCs w:val="19"/>
          <w:color w:val="auto"/>
        </w:rPr>
        <w:t>R/R AML or post-hypomethylating agent failure high-risk MDS (MD Anderson collaboration study) (ongoing trial)</w:t>
      </w:r>
    </w:p>
    <w:p>
      <w:pPr>
        <w:spacing w:after="0" w:line="215" w:lineRule="auto"/>
        <w:rPr>
          <w:sz w:val="20"/>
          <w:szCs w:val="20"/>
          <w:color w:val="auto"/>
        </w:rPr>
      </w:pPr>
      <w:r>
        <w:rPr>
          <w:rFonts w:ascii="Times New Roman" w:cs="Times New Roman" w:eastAsia="Times New Roman" w:hAnsi="Times New Roman"/>
          <w:sz w:val="19"/>
          <w:szCs w:val="19"/>
          <w:color w:val="auto"/>
        </w:rPr>
        <w:t>De novo or R/R AML (MD Anderson collaboration study) (ongoing trial)</w:t>
      </w:r>
    </w:p>
    <w:p>
      <w:pPr>
        <w:ind w:right="300"/>
        <w:spacing w:after="0" w:line="233" w:lineRule="auto"/>
        <w:rPr>
          <w:sz w:val="20"/>
          <w:szCs w:val="20"/>
          <w:color w:val="auto"/>
        </w:rPr>
      </w:pPr>
      <w:r>
        <w:rPr>
          <w:rFonts w:ascii="Times New Roman" w:cs="Times New Roman" w:eastAsia="Times New Roman" w:hAnsi="Times New Roman"/>
          <w:sz w:val="19"/>
          <w:szCs w:val="19"/>
          <w:color w:val="auto"/>
        </w:rPr>
        <w:t>AML or high-risk MDS that has IDH1 mutation (MD Anderson collaboration study) (ongoing trial)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Pheochromocytoma and paraganglioma (acquired from Chimerix) (ongoing trial)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Raf and Ras mutant tumors (acquired from Redx) (ongoing trial)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Conditionally-activated IFN</w:t>
      </w:r>
      <w:r>
        <w:rPr>
          <w:rFonts w:ascii="PMingLiU" w:cs="PMingLiU" w:eastAsia="PMingLiU" w:hAnsi="PMingLiU"/>
          <w:sz w:val="19"/>
          <w:szCs w:val="19"/>
          <w:color w:val="auto"/>
        </w:rPr>
        <w:t xml:space="preserve"> ,1'8.,1(</w:t>
      </w:r>
      <w:r>
        <w:rPr>
          <w:rFonts w:ascii="Times New Roman" w:cs="Times New Roman" w:eastAsia="Times New Roman" w:hAnsi="Times New Roman"/>
          <w:sz w:val="19"/>
          <w:szCs w:val="19"/>
          <w:color w:val="auto"/>
        </w:rPr>
        <w:t>™ molecule in solid tumors (ongoing trial)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Low intensity dosing for higher risk MDS (MD Anderson collaboration study) (ongoing trial)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Primary central nervous system tumors (acquired from Chimerix) (ongoing trial)</w:t>
      </w:r>
    </w:p>
    <w:p>
      <w:pPr>
        <w:spacing w:after="0" w:line="38"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9"/>
          <w:szCs w:val="19"/>
          <w:color w:val="auto"/>
        </w:rPr>
        <w:t>Newly diagnosed or recurrent diffuse midline gliomas and other recurrent primary malignant CNS tumors (UCSF collaboration) (acquired from Chimerix) (ongoing trial)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Focal-onset seizures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Absence epilepsy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Oncology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G12D selective and pan-</w:t>
      </w:r>
      <w:r>
        <w:rPr>
          <w:rFonts w:ascii="PMingLiU" w:cs="PMingLiU" w:eastAsia="PMingLiU" w:hAnsi="PMingLiU"/>
          <w:sz w:val="19"/>
          <w:szCs w:val="19"/>
          <w:color w:val="auto"/>
        </w:rPr>
        <w:t>.5$6PROHFXOHVDFTXLUHGIURP5HG[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Oncology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Hematology/oncology exploratory activities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Epilepsy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Sleep</w:t>
      </w:r>
    </w:p>
    <w:p>
      <w:pPr>
        <w:spacing w:after="0" w:line="214" w:lineRule="auto"/>
        <w:rPr>
          <w:sz w:val="20"/>
          <w:szCs w:val="20"/>
          <w:color w:val="auto"/>
        </w:rPr>
      </w:pPr>
      <w:r>
        <w:rPr>
          <w:rFonts w:ascii="Times New Roman" w:cs="Times New Roman" w:eastAsia="Times New Roman" w:hAnsi="Times New Roman"/>
          <w:sz w:val="19"/>
          <w:szCs w:val="19"/>
          <w:color w:val="auto"/>
        </w:rPr>
        <w:t>Epilepsy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Neuroscience</w:t>
      </w:r>
    </w:p>
    <w:p>
      <w:pPr>
        <w:spacing w:after="0" w:line="1267" w:lineRule="exact"/>
        <w:rPr>
          <w:sz w:val="20"/>
          <w:szCs w:val="20"/>
          <w:color w:val="auto"/>
        </w:rPr>
      </w:pPr>
    </w:p>
    <w:p>
      <w:pPr>
        <w:sectPr>
          <w:pgSz w:w="11880" w:h="15479" w:orient="portrait"/>
          <w:cols w:equalWidth="0" w:num="2">
            <w:col w:w="2080" w:space="300"/>
            <w:col w:w="7620"/>
          </w:cols>
          <w:pgMar w:left="960" w:top="839" w:right="9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19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19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45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9"/>
          <w:szCs w:val="19"/>
          <w:b w:val="1"/>
          <w:bCs w:val="1"/>
          <w:color w:val="auto"/>
        </w:rPr>
        <w:t>Commercialization Activities</w:t>
      </w:r>
    </w:p>
    <w:p>
      <w:pPr>
        <w:spacing w:after="0" w:line="133" w:lineRule="exact"/>
        <w:rPr>
          <w:sz w:val="20"/>
          <w:szCs w:val="20"/>
          <w:color w:val="auto"/>
        </w:rPr>
      </w:pPr>
    </w:p>
    <w:p>
      <w:pPr>
        <w:ind w:left="60" w:right="20" w:firstLine="480"/>
        <w:spacing w:after="0" w:line="263" w:lineRule="auto"/>
        <w:rPr>
          <w:sz w:val="20"/>
          <w:szCs w:val="20"/>
          <w:color w:val="auto"/>
        </w:rPr>
      </w:pPr>
      <w:r>
        <w:rPr>
          <w:rFonts w:ascii="Times New Roman" w:cs="Times New Roman" w:eastAsia="Times New Roman" w:hAnsi="Times New Roman"/>
          <w:sz w:val="19"/>
          <w:szCs w:val="19"/>
          <w:color w:val="auto"/>
        </w:rPr>
        <w:t>We have direct Jazz commercial operations in the U.S., Europe, Australia and Canada and a network of commercial distributors that represent our commercial interests in other key markets across the globe. In the U.S., our products are commercialized through a number of teams, including a team of experienced, trained sales professionals who provide education and promote Xywav, Epidiolex, Ziihera, Modeyso, Zepzelca, Rylaze, Vyxeos and Defitelio to healthcare providers in the appropriate specialties for each product. In addition, we have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70" w:lineRule="exact"/>
        <w:rPr>
          <w:sz w:val="20"/>
          <w:szCs w:val="20"/>
          <w:color w:val="auto"/>
        </w:rPr>
      </w:pPr>
    </w:p>
    <w:p>
      <w:pPr>
        <w:ind w:left="60" w:right="60" w:firstLine="480"/>
        <w:spacing w:after="0" w:line="264" w:lineRule="auto"/>
        <w:rPr>
          <w:sz w:val="20"/>
          <w:szCs w:val="20"/>
          <w:color w:val="auto"/>
        </w:rPr>
      </w:pPr>
      <w:r>
        <w:rPr>
          <w:rFonts w:ascii="Times New Roman" w:cs="Times New Roman" w:eastAsia="Times New Roman" w:hAnsi="Times New Roman"/>
          <w:sz w:val="19"/>
          <w:szCs w:val="19"/>
          <w:color w:val="auto"/>
        </w:rPr>
        <w:t>In Canada and in approved markets in Europe and Australia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Canada and Australia, we have a sales team and a team of medical science liaisons supporting our commercialization of Epidiolex/Epidyolex. In addition, we directly market Xywav, Zepzelca and Rylaze in Canada.</w:t>
      </w:r>
    </w:p>
    <w:p>
      <w:pPr>
        <w:spacing w:after="0" w:line="71" w:lineRule="exact"/>
        <w:rPr>
          <w:sz w:val="20"/>
          <w:szCs w:val="20"/>
          <w:color w:val="auto"/>
        </w:rPr>
      </w:pPr>
    </w:p>
    <w:p>
      <w:pPr>
        <w:ind w:left="60" w:right="100" w:firstLine="480"/>
        <w:spacing w:after="0" w:line="270" w:lineRule="auto"/>
        <w:rPr>
          <w:sz w:val="20"/>
          <w:szCs w:val="20"/>
          <w:color w:val="auto"/>
        </w:rPr>
      </w:pPr>
      <w:r>
        <w:rPr>
          <w:rFonts w:ascii="Times New Roman" w:cs="Times New Roman" w:eastAsia="Times New Roman" w:hAnsi="Times New Roman"/>
          <w:sz w:val="19"/>
          <w:szCs w:val="19"/>
          <w:color w:val="auto"/>
        </w:rPr>
        <w:t>Other commercial activities include marketing related services, pricing and access,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and patient assistance support for our U.S. markets.</w:t>
      </w:r>
    </w:p>
    <w:p>
      <w:pPr>
        <w:spacing w:after="0" w:line="65" w:lineRule="exact"/>
        <w:rPr>
          <w:sz w:val="20"/>
          <w:szCs w:val="20"/>
          <w:color w:val="auto"/>
        </w:rPr>
      </w:pPr>
    </w:p>
    <w:p>
      <w:pPr>
        <w:ind w:left="60" w:right="20" w:firstLine="480"/>
        <w:spacing w:after="0" w:line="253" w:lineRule="auto"/>
        <w:rPr>
          <w:sz w:val="20"/>
          <w:szCs w:val="20"/>
          <w:color w:val="auto"/>
        </w:rPr>
      </w:pPr>
      <w:r>
        <w:rPr>
          <w:rFonts w:ascii="Times New Roman" w:cs="Times New Roman" w:eastAsia="Times New Roman" w:hAnsi="Times New Roman"/>
          <w:sz w:val="19"/>
          <w:szCs w:val="19"/>
          <w:color w:val="auto"/>
        </w:rPr>
        <w:t>We intend to scale the size of our sales force as appropriate to effectively reach our target audience in the specialty markets in which we currently operate. We promote Ziihera, Modeyso, Zepzelca, Rylaze, Vyxeos and Defitelio to many hematology and oncology specialists who operate in the same hospitals and outpatient clinical sites, and we believe that we benefit from operational synergies from this overlap. Continued growth of our current marketed products and the launch of any future products may require a reevaluation of our field force and support organization in and outside the U.S.</w:t>
      </w:r>
      <w:r>
        <w:rPr>
          <w:rFonts w:ascii="PMingLiU" w:cs="PMingLiU" w:eastAsia="PMingLiU" w:hAnsi="PMingLiU"/>
          <w:sz w:val="23"/>
          <w:szCs w:val="23"/>
          <w:color w:val="auto"/>
        </w:rPr>
        <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High Performance Organization and Human Capital Management</w:t>
      </w:r>
    </w:p>
    <w:p>
      <w:pPr>
        <w:spacing w:after="0" w:line="133" w:lineRule="exact"/>
        <w:rPr>
          <w:sz w:val="20"/>
          <w:szCs w:val="20"/>
          <w:color w:val="auto"/>
        </w:rPr>
      </w:pPr>
    </w:p>
    <w:p>
      <w:pPr>
        <w:ind w:left="60" w:right="60" w:firstLine="480"/>
        <w:spacing w:after="0" w:line="270" w:lineRule="auto"/>
        <w:rPr>
          <w:sz w:val="20"/>
          <w:szCs w:val="20"/>
          <w:color w:val="auto"/>
        </w:rPr>
      </w:pPr>
      <w:r>
        <w:rPr>
          <w:rFonts w:ascii="Times New Roman" w:cs="Times New Roman" w:eastAsia="Times New Roman" w:hAnsi="Times New Roman"/>
          <w:sz w:val="19"/>
          <w:szCs w:val="19"/>
          <w:color w:val="auto"/>
        </w:rPr>
        <w:t>We are committed to creating a high performing organization grounded in purpose, defined by disciplined execution, and united by our mission to innovate to transform the lives of patients. Our goals are clear: (1) create a purpose-driven, people-centric, and exceptional place to work, and (2) live our core values of Integrity, Collaboration, Passion, Innovation, and Pursuit of Excellence in everything we do.</w:t>
      </w:r>
    </w:p>
    <w:p>
      <w:pPr>
        <w:spacing w:after="0" w:line="65" w:lineRule="exact"/>
        <w:rPr>
          <w:sz w:val="20"/>
          <w:szCs w:val="20"/>
          <w:color w:val="auto"/>
        </w:rPr>
      </w:pPr>
    </w:p>
    <w:p>
      <w:pPr>
        <w:ind w:left="60" w:right="380" w:firstLine="480"/>
        <w:spacing w:after="0" w:line="275" w:lineRule="auto"/>
        <w:rPr>
          <w:sz w:val="20"/>
          <w:szCs w:val="20"/>
          <w:color w:val="auto"/>
        </w:rPr>
      </w:pPr>
      <w:r>
        <w:rPr>
          <w:rFonts w:ascii="PMingLiU" w:cs="PMingLiU" w:eastAsia="PMingLiU" w:hAnsi="PMingLiU"/>
          <w:sz w:val="18"/>
          <w:szCs w:val="18"/>
          <w:i w:val="1"/>
          <w:iCs w:val="1"/>
          <w:color w:val="auto"/>
        </w:rPr>
        <w:t>(PSOR\HH'HPRJUDSKLFV</w:t>
      </w:r>
      <w:r>
        <w:rPr>
          <w:rFonts w:ascii="Times New Roman" w:cs="Times New Roman" w:eastAsia="Times New Roman" w:hAnsi="Times New Roman"/>
          <w:sz w:val="18"/>
          <w:szCs w:val="18"/>
          <w:color w:val="auto"/>
        </w:rPr>
        <w:t>. As of December 31, 2025, Jazz employed approximately 2,890 people worldwide, with</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 xml:space="preserve">DSSUR[LPDWHO\LQWKH86DQGDSSUR[LPDWHO\RXWVLGHWKH86SULPDULO\LQWKH8.,UHODQGDQGDFURVVWKH(8 </w:t>
      </w:r>
      <w:r>
        <w:rPr>
          <w:rFonts w:ascii="Times New Roman" w:cs="Times New Roman" w:eastAsia="Times New Roman" w:hAnsi="Times New Roman"/>
          <w:sz w:val="18"/>
          <w:szCs w:val="18"/>
          <w:color w:val="auto"/>
        </w:rPr>
        <w:t>More than 740 employees – approximately 26% of our workforce – support our R&amp;D activities, reflecting our continued investment in scientific excellence and innovation. We consider our employee relations to be good.</w:t>
      </w:r>
    </w:p>
    <w:p>
      <w:pPr>
        <w:spacing w:after="0" w:line="61" w:lineRule="exact"/>
        <w:rPr>
          <w:sz w:val="20"/>
          <w:szCs w:val="20"/>
          <w:color w:val="auto"/>
        </w:rPr>
      </w:pPr>
    </w:p>
    <w:p>
      <w:pPr>
        <w:ind w:left="60" w:right="280" w:firstLine="480"/>
        <w:spacing w:after="0" w:line="258" w:lineRule="auto"/>
        <w:rPr>
          <w:sz w:val="20"/>
          <w:szCs w:val="20"/>
          <w:color w:val="auto"/>
        </w:rPr>
      </w:pPr>
      <w:r>
        <w:rPr>
          <w:rFonts w:ascii="PMingLiU" w:cs="PMingLiU" w:eastAsia="PMingLiU" w:hAnsi="PMingLiU"/>
          <w:sz w:val="19"/>
          <w:szCs w:val="19"/>
          <w:i w:val="1"/>
          <w:iCs w:val="1"/>
          <w:color w:val="auto"/>
        </w:rPr>
        <w:t>&amp;RPSDQ\&amp;XOWXUH</w:t>
      </w:r>
      <w:r>
        <w:rPr>
          <w:rFonts w:ascii="Times New Roman" w:cs="Times New Roman" w:eastAsia="Times New Roman" w:hAnsi="Times New Roman"/>
          <w:sz w:val="19"/>
          <w:szCs w:val="19"/>
          <w:color w:val="auto"/>
        </w:rPr>
        <w:t>. Our culture is rooted in purpose to make an impact on patients’ lives, shaped by deep scientific</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expertise and defined by disciplined execution. We bring a rare-disease mindset to our work – moving with urgency, clarity, and accountability. By fostering a people-centric and performance driven environment, we aim to create a workplace where purpose fuels passion and accountability drives results. At Jazz, our people and culture are central to driving innovation, performance, and long-term growth – we aim to foster a workplace where employees feel supported, connected, and empowered to deliver their best work.</w:t>
      </w:r>
    </w:p>
    <w:p>
      <w:pPr>
        <w:spacing w:after="0" w:line="77" w:lineRule="exact"/>
        <w:rPr>
          <w:sz w:val="20"/>
          <w:szCs w:val="20"/>
          <w:color w:val="auto"/>
        </w:rPr>
      </w:pPr>
    </w:p>
    <w:p>
      <w:pPr>
        <w:ind w:left="60" w:firstLine="480"/>
        <w:spacing w:after="0" w:line="264" w:lineRule="auto"/>
        <w:rPr>
          <w:sz w:val="20"/>
          <w:szCs w:val="20"/>
          <w:color w:val="auto"/>
        </w:rPr>
      </w:pPr>
      <w:r>
        <w:rPr>
          <w:rFonts w:ascii="Times New Roman" w:cs="Times New Roman" w:eastAsia="Times New Roman" w:hAnsi="Times New Roman"/>
          <w:sz w:val="19"/>
          <w:szCs w:val="19"/>
          <w:color w:val="auto"/>
        </w:rPr>
        <w:t>We strive to create an environment where employees live our values, bring bold ideas forward, and operate with clarity and focus. We are committed to fostering an inclusive culture where all employees feel they belong – a culture that reflects the diverse perspectives of the patients and communities we serve and strengthens our ability to innovate and compete. Our belonging and inclusion strategy focuses on: (1) cultivating a workforce that reflects unique backgrounds, experiences, and talents (2) investing in and ensuring equal opportunities for our talent to develop; and (3) building a culture where inclusion and belonging are core to how we work.</w:t>
      </w:r>
    </w:p>
    <w:p>
      <w:pPr>
        <w:spacing w:after="0" w:line="71" w:lineRule="exact"/>
        <w:rPr>
          <w:sz w:val="20"/>
          <w:szCs w:val="20"/>
          <w:color w:val="auto"/>
        </w:rPr>
      </w:pPr>
    </w:p>
    <w:p>
      <w:pPr>
        <w:ind w:left="60" w:right="40" w:firstLine="480"/>
        <w:spacing w:after="0" w:line="270" w:lineRule="auto"/>
        <w:rPr>
          <w:sz w:val="20"/>
          <w:szCs w:val="20"/>
          <w:color w:val="auto"/>
        </w:rPr>
      </w:pPr>
      <w:r>
        <w:rPr>
          <w:rFonts w:ascii="Times New Roman" w:cs="Times New Roman" w:eastAsia="Times New Roman" w:hAnsi="Times New Roman"/>
          <w:sz w:val="19"/>
          <w:szCs w:val="19"/>
          <w:color w:val="auto"/>
        </w:rPr>
        <w:t>We believe in a workforce and culture that fosters belonging and inclusion, and strengthens innovation, engagement, and performance. Our employee resource groups are open to all employees and include three ConcERTos, and six Affinity Forums. They provide platform engagement, education and community involvement. As of the end of 2025, 38% of our global workforce participated in at least one of these groups.</w:t>
      </w:r>
    </w:p>
    <w:p>
      <w:pPr>
        <w:spacing w:after="0" w:line="64" w:lineRule="exact"/>
        <w:rPr>
          <w:sz w:val="20"/>
          <w:szCs w:val="20"/>
          <w:color w:val="auto"/>
        </w:rPr>
      </w:pPr>
    </w:p>
    <w:p>
      <w:pPr>
        <w:ind w:left="60" w:right="460" w:firstLine="479"/>
        <w:spacing w:after="0" w:line="299" w:lineRule="auto"/>
        <w:rPr>
          <w:sz w:val="20"/>
          <w:szCs w:val="20"/>
          <w:color w:val="auto"/>
        </w:rPr>
      </w:pPr>
      <w:r>
        <w:rPr>
          <w:rFonts w:ascii="Times New Roman" w:cs="Times New Roman" w:eastAsia="Times New Roman" w:hAnsi="Times New Roman"/>
          <w:sz w:val="19"/>
          <w:szCs w:val="19"/>
          <w:color w:val="auto"/>
        </w:rPr>
        <w:t>While we are proud of our progress, we remain committed to building an inclusive, high-performing workplace that supports employees of all backgrounds, including within our broader leadership.</w:t>
      </w:r>
    </w:p>
    <w:p>
      <w:pPr>
        <w:spacing w:after="0" w:line="38" w:lineRule="exact"/>
        <w:rPr>
          <w:sz w:val="20"/>
          <w:szCs w:val="20"/>
          <w:color w:val="auto"/>
        </w:rPr>
      </w:pPr>
    </w:p>
    <w:p>
      <w:pPr>
        <w:ind w:left="60" w:right="280" w:firstLine="480"/>
        <w:spacing w:after="0" w:line="269" w:lineRule="auto"/>
        <w:rPr>
          <w:sz w:val="20"/>
          <w:szCs w:val="20"/>
          <w:color w:val="auto"/>
        </w:rPr>
      </w:pPr>
      <w:r>
        <w:rPr>
          <w:rFonts w:ascii="PMingLiU" w:cs="PMingLiU" w:eastAsia="PMingLiU" w:hAnsi="PMingLiU"/>
          <w:sz w:val="19"/>
          <w:szCs w:val="19"/>
          <w:i w:val="1"/>
          <w:iCs w:val="1"/>
          <w:color w:val="auto"/>
        </w:rPr>
        <w:t>(PSOR\HH(QJDJHPHQW</w:t>
      </w:r>
      <w:r>
        <w:rPr>
          <w:rFonts w:ascii="Times New Roman" w:cs="Times New Roman" w:eastAsia="Times New Roman" w:hAnsi="Times New Roman"/>
          <w:sz w:val="19"/>
          <w:szCs w:val="19"/>
          <w:color w:val="auto"/>
        </w:rPr>
        <w:t>. We have a strong employee value proposition anchored in our shared commitment to our</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purpose to innovate to transform the lives of patients and their families. We believe employee engagement and the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129540</wp:posOffset>
            </wp:positionV>
            <wp:extent cx="259080" cy="2546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45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20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45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953" w:right="979" w:bottom="0" w:gutter="0" w:footer="0" w:header="0"/>
        </w:sectPr>
      </w:pPr>
    </w:p>
    <w:bookmarkStart w:id="144" w:name="page145"/>
    <w:bookmarkEnd w:id="144"/>
    <w:p>
      <w:pPr>
        <w:ind w:right="140"/>
        <w:spacing w:after="0" w:line="270" w:lineRule="auto"/>
        <w:rPr>
          <w:sz w:val="20"/>
          <w:szCs w:val="20"/>
          <w:color w:val="auto"/>
        </w:rPr>
      </w:pPr>
      <w:r>
        <w:rPr>
          <w:rFonts w:ascii="Times New Roman" w:cs="Times New Roman" w:eastAsia="Times New Roman" w:hAnsi="Times New Roman"/>
          <w:sz w:val="19"/>
          <w:szCs w:val="19"/>
          <w:color w:val="auto"/>
        </w:rPr>
        <w:t>employee voice is foundational to belonging and strong performance. Our teams are motivated by the opportunity to deliver meaningful impact for patients and are supported by a culture that values clarity, accountability, and scientific rigor. We maintain transparent and regular communication channels – including all-employee meetings, leadership messages, town halls, top leadership forums, pulse checks, and employee feedback surveys.</w:t>
      </w:r>
    </w:p>
    <w:p>
      <w:pPr>
        <w:spacing w:after="0" w:line="64" w:lineRule="exact"/>
        <w:rPr>
          <w:sz w:val="20"/>
          <w:szCs w:val="20"/>
          <w:color w:val="auto"/>
        </w:rPr>
      </w:pPr>
    </w:p>
    <w:p>
      <w:pPr>
        <w:ind w:right="120" w:firstLine="480"/>
        <w:spacing w:after="0" w:line="266" w:lineRule="auto"/>
        <w:rPr>
          <w:sz w:val="20"/>
          <w:szCs w:val="20"/>
          <w:color w:val="auto"/>
        </w:rPr>
      </w:pPr>
      <w:r>
        <w:rPr>
          <w:rFonts w:ascii="Times New Roman" w:cs="Times New Roman" w:eastAsia="Times New Roman" w:hAnsi="Times New Roman"/>
          <w:sz w:val="19"/>
          <w:szCs w:val="19"/>
          <w:color w:val="auto"/>
        </w:rPr>
        <w:t>Our surveys consistently achieve participation rates above 75% and reflect strong engagement, including connection to purpose, sense of belonging, and confidence in Jazz as a great place to work. We continue to strengthen high-performance practices such as decision-making discipline, planning and prioritizing work, constructive challenge, accountability, and a growth mindset. Survey insights inform programs and activities that support our strategic priorities and our goal of building an agile, scalable operating culture.</w:t>
      </w:r>
    </w:p>
    <w:p>
      <w:pPr>
        <w:spacing w:after="0" w:line="70" w:lineRule="exact"/>
        <w:rPr>
          <w:sz w:val="20"/>
          <w:szCs w:val="20"/>
          <w:color w:val="auto"/>
        </w:rPr>
      </w:pPr>
    </w:p>
    <w:p>
      <w:pPr>
        <w:jc w:val="both"/>
        <w:ind w:right="120" w:firstLine="528"/>
        <w:spacing w:after="0" w:line="277" w:lineRule="auto"/>
        <w:rPr>
          <w:sz w:val="20"/>
          <w:szCs w:val="20"/>
          <w:color w:val="auto"/>
        </w:rPr>
      </w:pPr>
      <w:r>
        <w:rPr>
          <w:rFonts w:ascii="Times New Roman" w:cs="Times New Roman" w:eastAsia="Times New Roman" w:hAnsi="Times New Roman"/>
          <w:sz w:val="19"/>
          <w:szCs w:val="19"/>
          <w:color w:val="auto"/>
        </w:rPr>
        <w:t>Community Beat ConcERTo plays a key role in strengthening culture and belonging through local engagement activities that connect employees to our strategy, support communities, and promote well-being. They help foster connection across our hybrid working model by engaging remote employees and maximizing meaningful time together at our sites and offices.</w:t>
      </w:r>
    </w:p>
    <w:p>
      <w:pPr>
        <w:spacing w:after="0" w:line="58" w:lineRule="exact"/>
        <w:rPr>
          <w:sz w:val="20"/>
          <w:szCs w:val="20"/>
          <w:color w:val="auto"/>
        </w:rPr>
      </w:pPr>
    </w:p>
    <w:p>
      <w:pPr>
        <w:ind w:right="60" w:firstLine="480"/>
        <w:spacing w:after="0" w:line="258" w:lineRule="auto"/>
        <w:rPr>
          <w:sz w:val="20"/>
          <w:szCs w:val="20"/>
          <w:color w:val="auto"/>
        </w:rPr>
      </w:pPr>
      <w:r>
        <w:rPr>
          <w:rFonts w:ascii="PMingLiU" w:cs="PMingLiU" w:eastAsia="PMingLiU" w:hAnsi="PMingLiU"/>
          <w:sz w:val="19"/>
          <w:szCs w:val="19"/>
          <w:i w:val="1"/>
          <w:iCs w:val="1"/>
          <w:color w:val="auto"/>
        </w:rPr>
        <w:t>&amp;DSDELOLWLHVDQG7DOHQW</w:t>
      </w:r>
      <w:r>
        <w:rPr>
          <w:rFonts w:ascii="Times New Roman" w:cs="Times New Roman" w:eastAsia="Times New Roman" w:hAnsi="Times New Roman"/>
          <w:sz w:val="19"/>
          <w:szCs w:val="19"/>
          <w:color w:val="auto"/>
        </w:rPr>
        <w:t>–</w:t>
      </w:r>
      <w:r>
        <w:rPr>
          <w:rFonts w:ascii="PMingLiU" w:cs="PMingLiU" w:eastAsia="PMingLiU" w:hAnsi="PMingLiU"/>
          <w:sz w:val="19"/>
          <w:szCs w:val="19"/>
          <w:i w:val="1"/>
          <w:iCs w:val="1"/>
          <w:color w:val="auto"/>
        </w:rPr>
        <w:t xml:space="preserve"> *URZWK'HYHORSPHQWDQG7RWDO5HZDUGV</w:t>
      </w:r>
      <w:r>
        <w:rPr>
          <w:rFonts w:ascii="Times New Roman" w:cs="Times New Roman" w:eastAsia="Times New Roman" w:hAnsi="Times New Roman"/>
          <w:sz w:val="19"/>
          <w:szCs w:val="19"/>
          <w:color w:val="auto"/>
        </w:rPr>
        <w:t>. As we enter our next chapter, we are strengthening</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the capabilities and culture that support our long-term growth ambition – expanding our rare-disease portfolio, executing with discipline, and building durable franchises that deliver meaningful value for patients and shareholders. We invest in the specialized scientific, clinical, and commercial capabilities that differentiate Jazz in rare disease and strengthen our right to win. Our talent strategy focuses on building and sustaining the capabilities required to advance our rare disease portfolio and deliver a disciplined approach to drive innovation.</w:t>
      </w:r>
    </w:p>
    <w:p>
      <w:pPr>
        <w:spacing w:after="0" w:line="77"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9"/>
          <w:szCs w:val="19"/>
          <w:color w:val="auto"/>
        </w:rPr>
        <w:t>We believe our people are the foundation of our future. Their expertise, resilience, and commitment to patients enable us to advance our strategy with focus and confidence. We aim to attract exceptional talent, recognize and reward high performance, and continually develop our people through meaningful experiences and learning opportunities. We maintain a strong focus on capability development and succession planning for critical roles. We regularly review talent development and succession plans across functions to support business continuity and develop a strong pipeline of future leaders.</w:t>
      </w:r>
    </w:p>
    <w:p>
      <w:pPr>
        <w:spacing w:after="0" w:line="70" w:lineRule="exact"/>
        <w:rPr>
          <w:sz w:val="20"/>
          <w:szCs w:val="20"/>
          <w:color w:val="auto"/>
        </w:rPr>
      </w:pPr>
    </w:p>
    <w:p>
      <w:pPr>
        <w:ind w:right="80" w:firstLine="480"/>
        <w:spacing w:after="0" w:line="270" w:lineRule="auto"/>
        <w:rPr>
          <w:sz w:val="20"/>
          <w:szCs w:val="20"/>
          <w:color w:val="auto"/>
        </w:rPr>
      </w:pPr>
      <w:r>
        <w:rPr>
          <w:rFonts w:ascii="Times New Roman" w:cs="Times New Roman" w:eastAsia="Times New Roman" w:hAnsi="Times New Roman"/>
          <w:sz w:val="19"/>
          <w:szCs w:val="19"/>
          <w:color w:val="auto"/>
        </w:rPr>
        <w:t>We encourage our employees to engage in regular dialogue with their leaders to create development plans aligned to their aspirations and business needs. Our performance management process reinforces continual feedback, coaching, and growth through new experiences and learning. We encourage all employees to maintain an individual development plan outlining learning interests and focus areas.</w:t>
      </w:r>
    </w:p>
    <w:p>
      <w:pPr>
        <w:spacing w:after="0" w:line="64"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We continue to sharpen the capabilities that fuel our performance – investing in capability development in key areas such as patient insights and evidence generation, clinical development excellence, AI-enabled tools, and customer experience platforms that support long-term success. Broadly across the organization, we leverage digital learning platforms to provide on demand learning across leadership, personal effectiveness, and well-being. We also offer self-service learning resources on topics such as high-performance teamwork, decision-making, hybrid working, and digital skills. Tuition reimbursement is available in our major markets to support career development.</w:t>
      </w:r>
    </w:p>
    <w:p>
      <w:pPr>
        <w:spacing w:after="0" w:line="71"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We have strengthened our operating discipline through clearer enterprise priorities, aligned quarterly expectations, and cross functional ways of working that support consistent high-quality execution. In 2025, we continued to focus on the capabilities of our Global Leadership Team (Top 80 leaders) to strengthen leadership excellence and cross functional collaboration in pursuit of our enterprise strategic goals. We focused on a broader leadership group of people managers in 2025 to strengthen leadership behaviors linked to a high-performance culture, including constructive challenge, accountability, and enterprise-wide alignment to our goals.</w:t>
      </w:r>
    </w:p>
    <w:p>
      <w:pPr>
        <w:spacing w:after="0" w:line="71" w:lineRule="exact"/>
        <w:rPr>
          <w:sz w:val="20"/>
          <w:szCs w:val="20"/>
          <w:color w:val="auto"/>
        </w:rPr>
      </w:pPr>
    </w:p>
    <w:p>
      <w:pPr>
        <w:ind w:right="140" w:firstLine="480"/>
        <w:spacing w:after="0" w:line="266" w:lineRule="auto"/>
        <w:rPr>
          <w:sz w:val="20"/>
          <w:szCs w:val="20"/>
          <w:color w:val="auto"/>
        </w:rPr>
      </w:pPr>
      <w:r>
        <w:rPr>
          <w:rFonts w:ascii="Times New Roman" w:cs="Times New Roman" w:eastAsia="Times New Roman" w:hAnsi="Times New Roman"/>
          <w:sz w:val="19"/>
          <w:szCs w:val="19"/>
          <w:color w:val="auto"/>
        </w:rPr>
        <w:t>We provide our employees with competitive and locally relevant compensation and benefits that support our overarching strategy to attract, retain and reward highly talented employees. This includes (1) broad-based participation in our annual incentive plan, which rewards employees based on the company’s achievement of pre-established goals (or sales targets in the case of sales incentive plans) as well as performance against their personal objectives (2) participation in our long-term equity incentive plans, which fosters an ownership culture and (3) benefits that support employee well-being.</w:t>
      </w:r>
    </w:p>
    <w:p>
      <w:pPr>
        <w:spacing w:after="0" w:line="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We are committed to building and maintaining a culture of health and wellbeing. We support employees and their</w:t>
      </w:r>
    </w:p>
    <w:p>
      <w:pPr>
        <w:spacing w:after="0" w:line="4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families through programs that inspire them to focus mental and emotional health, physical well-being, financial wellness, and work/life balance.</w:t>
      </w:r>
    </w:p>
    <w:p>
      <w:pPr>
        <w:spacing w:after="0" w:line="63" w:lineRule="exact"/>
        <w:rPr>
          <w:sz w:val="20"/>
          <w:szCs w:val="20"/>
          <w:color w:val="auto"/>
        </w:rPr>
      </w:pPr>
    </w:p>
    <w:p>
      <w:pPr>
        <w:ind w:left="700" w:right="1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provide a robust set of offerings centered on mental and emotional health, including resilience, stress management, mindfulness and managing clinical conditions.</w:t>
      </w:r>
    </w:p>
    <w:p>
      <w:pPr>
        <w:spacing w:after="0" w:line="46" w:lineRule="exact"/>
        <w:rPr>
          <w:sz w:val="20"/>
          <w:szCs w:val="20"/>
          <w:color w:val="auto"/>
        </w:rPr>
      </w:pPr>
    </w:p>
    <w:p>
      <w:pPr>
        <w:ind w:left="700" w:right="30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offer programs that promote activity, healthy nutrition habits, chronic condition prevention and early detection of more serious disease/illness.</w:t>
      </w:r>
    </w:p>
    <w:p>
      <w:pPr>
        <w:spacing w:after="0" w:line="47" w:lineRule="exact"/>
        <w:rPr>
          <w:sz w:val="20"/>
          <w:szCs w:val="20"/>
          <w:color w:val="auto"/>
        </w:rPr>
      </w:pPr>
    </w:p>
    <w:p>
      <w:pPr>
        <w:ind w:left="700" w:right="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We offer an enhanced suite of global paid leave and other time-off policies to address the differing needs of our employee population through varying stages of life, including minimum standards for new parent leave (irrespective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44450</wp:posOffset>
            </wp:positionV>
            <wp:extent cx="259080" cy="2546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45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89"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21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21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45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45" w:name="page146"/>
    <w:bookmarkEnd w:id="145"/>
    <w:p>
      <w:pPr>
        <w:ind w:left="760" w:right="60"/>
        <w:spacing w:after="0" w:line="299" w:lineRule="auto"/>
        <w:rPr>
          <w:sz w:val="20"/>
          <w:szCs w:val="20"/>
          <w:color w:val="auto"/>
        </w:rPr>
      </w:pPr>
      <w:r>
        <w:rPr>
          <w:rFonts w:ascii="Times New Roman" w:cs="Times New Roman" w:eastAsia="Times New Roman" w:hAnsi="Times New Roman"/>
          <w:sz w:val="19"/>
          <w:szCs w:val="19"/>
          <w:color w:val="auto"/>
        </w:rPr>
        <w:t>gender or how a family is created), family caregiver leave and bereavement leave. We offer a global volunteer day to provide employees time off with full pay to give back to their communities.</w:t>
      </w:r>
    </w:p>
    <w:p>
      <w:pPr>
        <w:spacing w:after="0" w:line="37" w:lineRule="exact"/>
        <w:rPr>
          <w:sz w:val="20"/>
          <w:szCs w:val="20"/>
          <w:color w:val="auto"/>
        </w:rPr>
      </w:pPr>
    </w:p>
    <w:p>
      <w:pPr>
        <w:ind w:left="760" w:right="1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Wellbeing Reimbursement Account reimburses employees for a wide array of expenses that support their overall wellbeing, empowering them to choose what is most important to them.</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 2026, we will hold our second-</w:t>
      </w:r>
      <w:r>
        <w:rPr>
          <w:rFonts w:ascii="PMingLiU" w:cs="PMingLiU" w:eastAsia="PMingLiU" w:hAnsi="PMingLiU"/>
          <w:sz w:val="19"/>
          <w:szCs w:val="19"/>
          <w:color w:val="auto"/>
        </w:rPr>
        <w:t>HYHU -D]]:HOOEHLQJ:HHNSURYLGLQJGHGLFDWHGWLPHRIIIRUVHOI</w:t>
      </w:r>
      <w:r>
        <w:rPr>
          <w:rFonts w:ascii="Times New Roman" w:cs="Times New Roman" w:eastAsia="Times New Roman" w:hAnsi="Times New Roman"/>
          <w:sz w:val="19"/>
          <w:szCs w:val="19"/>
          <w:color w:val="auto"/>
        </w:rPr>
        <w:t>-care.</w:t>
      </w:r>
    </w:p>
    <w:p>
      <w:pPr>
        <w:spacing w:after="0" w:line="119" w:lineRule="exact"/>
        <w:rPr>
          <w:sz w:val="20"/>
          <w:szCs w:val="20"/>
          <w:color w:val="auto"/>
        </w:rPr>
      </w:pPr>
    </w:p>
    <w:p>
      <w:pPr>
        <w:ind w:left="60" w:right="140" w:firstLine="480"/>
        <w:spacing w:after="0" w:line="260" w:lineRule="auto"/>
        <w:rPr>
          <w:sz w:val="20"/>
          <w:szCs w:val="20"/>
          <w:color w:val="auto"/>
        </w:rPr>
      </w:pPr>
      <w:r>
        <w:rPr>
          <w:rFonts w:ascii="PMingLiU" w:cs="PMingLiU" w:eastAsia="PMingLiU" w:hAnsi="PMingLiU"/>
          <w:sz w:val="19"/>
          <w:szCs w:val="19"/>
          <w:i w:val="1"/>
          <w:iCs w:val="1"/>
          <w:color w:val="auto"/>
        </w:rPr>
        <w:t>(PSOR\HH&amp;DUH</w:t>
      </w:r>
      <w:r>
        <w:rPr>
          <w:rFonts w:ascii="Times New Roman" w:cs="Times New Roman" w:eastAsia="Times New Roman" w:hAnsi="Times New Roman"/>
          <w:sz w:val="19"/>
          <w:szCs w:val="19"/>
          <w:color w:val="auto"/>
        </w:rPr>
        <w:t>. We are committed to providing a workplace where people feel invested in, valued and cared for, and a</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sense of belonging. We strive to enable our employees to live our values and support one another while delivering on our patient mission. Leader expectations and tools are essential as employee needs evolve – including flexibility, whole-person support, and productive work environments.</w:t>
      </w:r>
    </w:p>
    <w:p>
      <w:pPr>
        <w:spacing w:after="0" w:line="74" w:lineRule="exact"/>
        <w:rPr>
          <w:sz w:val="20"/>
          <w:szCs w:val="20"/>
          <w:color w:val="auto"/>
        </w:rPr>
      </w:pPr>
    </w:p>
    <w:p>
      <w:pPr>
        <w:ind w:left="60" w:right="80" w:firstLine="524"/>
        <w:spacing w:after="0" w:line="277" w:lineRule="auto"/>
        <w:rPr>
          <w:sz w:val="20"/>
          <w:szCs w:val="20"/>
          <w:color w:val="auto"/>
        </w:rPr>
      </w:pPr>
      <w:r>
        <w:rPr>
          <w:rFonts w:ascii="Times New Roman" w:cs="Times New Roman" w:eastAsia="Times New Roman" w:hAnsi="Times New Roman"/>
          <w:sz w:val="19"/>
          <w:szCs w:val="19"/>
          <w:color w:val="auto"/>
        </w:rPr>
        <w:t>We provide productivity and collaboration tools and resources for remote work, training and tools for leaders managing distributed teams, flexibility within work schedules and leave programs, expanded employees assistance and mindfulness programs, and increased investment in resources focused on inclusion and belonging.</w:t>
      </w:r>
    </w:p>
    <w:p>
      <w:pPr>
        <w:spacing w:after="0" w:line="58" w:lineRule="exact"/>
        <w:rPr>
          <w:sz w:val="20"/>
          <w:szCs w:val="20"/>
          <w:color w:val="auto"/>
        </w:rPr>
      </w:pPr>
    </w:p>
    <w:p>
      <w:pPr>
        <w:ind w:left="60" w:right="120" w:firstLine="480"/>
        <w:spacing w:after="0" w:line="270" w:lineRule="auto"/>
        <w:rPr>
          <w:sz w:val="20"/>
          <w:szCs w:val="20"/>
          <w:color w:val="auto"/>
        </w:rPr>
      </w:pPr>
      <w:r>
        <w:rPr>
          <w:rFonts w:ascii="Times New Roman" w:cs="Times New Roman" w:eastAsia="Times New Roman" w:hAnsi="Times New Roman"/>
          <w:sz w:val="19"/>
          <w:szCs w:val="19"/>
          <w:color w:val="auto"/>
        </w:rPr>
        <w:t>Through direct input from employees, external insights and best practices, we developed our flexible working model; expanding the power of intentional collaboration and our ability to more effectively manage our global and highly distributed team workforce. This approach to work, called “Jazz Remix,” aims to provide eligible employees with the greatest flexibility and agility to globally connect, collaborate, innovate and perform.</w:t>
      </w:r>
    </w:p>
    <w:p>
      <w:pPr>
        <w:spacing w:after="0" w:line="64" w:lineRule="exact"/>
        <w:rPr>
          <w:sz w:val="20"/>
          <w:szCs w:val="20"/>
          <w:color w:val="auto"/>
        </w:rPr>
      </w:pPr>
    </w:p>
    <w:p>
      <w:pPr>
        <w:ind w:left="60" w:firstLine="480"/>
        <w:spacing w:after="0" w:line="406" w:lineRule="auto"/>
        <w:rPr>
          <w:sz w:val="20"/>
          <w:szCs w:val="20"/>
          <w:color w:val="auto"/>
        </w:rPr>
      </w:pPr>
      <w:r>
        <w:rPr>
          <w:rFonts w:ascii="PMingLiU" w:cs="PMingLiU" w:eastAsia="PMingLiU" w:hAnsi="PMingLiU"/>
          <w:sz w:val="15"/>
          <w:szCs w:val="15"/>
          <w:i w:val="1"/>
          <w:iCs w:val="1"/>
          <w:color w:val="auto"/>
        </w:rPr>
        <w:t>(QYLURQPHQW+HDOWKDQG6DIHW\</w:t>
      </w:r>
      <w:r>
        <w:rPr>
          <w:rFonts w:ascii="Times New Roman" w:cs="Times New Roman" w:eastAsia="Times New Roman" w:hAnsi="Times New Roman"/>
          <w:sz w:val="15"/>
          <w:szCs w:val="15"/>
          <w:color w:val="auto"/>
        </w:rPr>
        <w:t>. Our operations are subject to complex and increasingly stringent environmental, health</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xml:space="preserve">DQGVDIHW\ODZVDQGUHJXODWLRQVLQWKHFRXQWULHVZKHUHZHRSHUDWHDQGLQSDUWLFXODULQ,UHODQGWKH8.DQG,WDO\ZKHUHZH </w:t>
      </w:r>
      <w:r>
        <w:rPr>
          <w:rFonts w:ascii="Times New Roman" w:cs="Times New Roman" w:eastAsia="Times New Roman" w:hAnsi="Times New Roman"/>
          <w:sz w:val="15"/>
          <w:szCs w:val="15"/>
          <w:color w:val="auto"/>
        </w:rPr>
        <w:t>have manufacturing facilities. Our manufacturing activities involve the controlled storage, use and disposal of chemicals and solvents. Environmental and health and safety authorities administer laws governing, among other matters, the emission and discharge of pollutants, hazardous substances, workplace exposure, and employee and public welfare.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5" w:lineRule="exact"/>
        <w:rPr>
          <w:sz w:val="20"/>
          <w:szCs w:val="20"/>
          <w:color w:val="auto"/>
        </w:rPr>
      </w:pPr>
    </w:p>
    <w:p>
      <w:pPr>
        <w:ind w:left="60" w:right="80" w:firstLine="480"/>
        <w:spacing w:after="0" w:line="382" w:lineRule="auto"/>
        <w:rPr>
          <w:sz w:val="20"/>
          <w:szCs w:val="20"/>
          <w:color w:val="auto"/>
        </w:rPr>
      </w:pPr>
      <w:r>
        <w:rPr>
          <w:rFonts w:ascii="Times New Roman" w:cs="Times New Roman" w:eastAsia="Times New Roman" w:hAnsi="Times New Roman"/>
          <w:sz w:val="15"/>
          <w:szCs w:val="15"/>
          <w:color w:val="auto"/>
        </w:rPr>
        <w:t xml:space="preserve">We seek to operate our manufacturing facilities in an environmentally responsible way to protect our people, our business, our environment and the local communities in which we operate. We have adopted internal environmental policies and management systems designed to support compliance with applicable laws, directives and regulations on environmental protection and in support of environmental sustainability and local biodiversity. These include procedures for assessing compliance with applicable environmental laws and regulations and reporting incidents of non-compliance to applicable governmental authorities. For example, we have environmental policies governing our manufacturing facilities in Ireland, the </w:t>
      </w:r>
      <w:r>
        <w:rPr>
          <w:rFonts w:ascii="PMingLiU" w:cs="PMingLiU" w:eastAsia="PMingLiU" w:hAnsi="PMingLiU"/>
          <w:sz w:val="15"/>
          <w:szCs w:val="15"/>
          <w:color w:val="auto"/>
        </w:rPr>
        <w:t xml:space="preserve">8.DQG,WDO\ZKLFKGHPRQVWUDWHRXUFRPPLWPHQWWRHQYLURQPHQWDOVXVWDLQDELOLW\DQGUHTXLUHXVWRPLQLPL]HUHVRXUFHXVH </w:t>
      </w:r>
      <w:r>
        <w:rPr>
          <w:rFonts w:ascii="Times New Roman" w:cs="Times New Roman" w:eastAsia="Times New Roman" w:hAnsi="Times New Roman"/>
          <w:sz w:val="15"/>
          <w:szCs w:val="15"/>
          <w:color w:val="auto"/>
        </w:rPr>
        <w:t>(e.g., energy and water) and waste generation, optimize the use of raw materials, and undertake continuous improvement in environmental performance, with an emphasis on pollution prevention.</w:t>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33" w:lineRule="exact"/>
        <w:rPr>
          <w:sz w:val="20"/>
          <w:szCs w:val="20"/>
          <w:color w:val="auto"/>
        </w:rPr>
      </w:pPr>
    </w:p>
    <w:p>
      <w:pPr>
        <w:ind w:left="60" w:right="180" w:firstLine="480"/>
        <w:spacing w:after="0" w:line="264" w:lineRule="auto"/>
        <w:rPr>
          <w:sz w:val="20"/>
          <w:szCs w:val="20"/>
          <w:color w:val="auto"/>
        </w:rPr>
      </w:pPr>
      <w:r>
        <w:rPr>
          <w:rFonts w:ascii="Times New Roman" w:cs="Times New Roman" w:eastAsia="Times New Roman" w:hAnsi="Times New Roman"/>
          <w:sz w:val="19"/>
          <w:szCs w:val="19"/>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71" w:lineRule="exact"/>
        <w:rPr>
          <w:sz w:val="20"/>
          <w:szCs w:val="20"/>
          <w:color w:val="auto"/>
        </w:rPr>
      </w:pPr>
    </w:p>
    <w:p>
      <w:pPr>
        <w:ind w:left="60" w:firstLine="480"/>
        <w:spacing w:after="0" w:line="270" w:lineRule="auto"/>
        <w:rPr>
          <w:sz w:val="20"/>
          <w:szCs w:val="20"/>
          <w:color w:val="auto"/>
        </w:rPr>
      </w:pPr>
      <w:r>
        <w:rPr>
          <w:rFonts w:ascii="Times New Roman" w:cs="Times New Roman" w:eastAsia="Times New Roman" w:hAnsi="Times New Roman"/>
          <w:sz w:val="19"/>
          <w:szCs w:val="19"/>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prices at which branded products can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803910</wp:posOffset>
            </wp:positionV>
            <wp:extent cx="259080" cy="2546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45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22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45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40"/>
          </w:cols>
          <w:pgMar w:left="900" w:top="839" w:right="1039" w:bottom="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color w:val="auto"/>
        </w:rPr>
        <w:t>In particular, our products and most advanced product candidates face or may face competition as described below:</w:t>
      </w:r>
    </w:p>
    <w:p>
      <w:pPr>
        <w:spacing w:after="0" w:line="130" w:lineRule="exact"/>
        <w:rPr>
          <w:sz w:val="20"/>
          <w:szCs w:val="20"/>
          <w:color w:val="auto"/>
        </w:rPr>
      </w:pPr>
    </w:p>
    <w:p>
      <w:pPr>
        <w:ind w:left="300" w:right="80" w:hanging="348"/>
        <w:spacing w:after="0" w:line="254" w:lineRule="auto"/>
        <w:tabs>
          <w:tab w:leader="none" w:pos="2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;\ZDYDQG;\UHP</w:t>
      </w:r>
      <w:r>
        <w:rPr>
          <w:rFonts w:ascii="Times New Roman" w:cs="Times New Roman" w:eastAsia="Times New Roman" w:hAnsi="Times New Roman"/>
          <w:sz w:val="19"/>
          <w:szCs w:val="19"/>
          <w:color w:val="auto"/>
        </w:rPr>
        <w:t>. Xywav and Xyrem are approved by FDA and marketed in the U.S. for the treatment of both</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cataplexy and EDS in both adult and pediatric patients with narcolepsy. We and others have launched products to treat EDS in narcolepsy and may in the future launch additional products to treat cataplexy in narcolepsy that are competitive with or disrupt the market. Xywav and Xyrem face competition from Alkermes’ Lumryz (acquired through its acquisition of Avadel), a branded product for treatment of cataplexy and/or EDS in narcolepsy. Lumryz, a once-nightly dose, high-sodium oxybate, was launched in the U.S. market in June 2023, as well as potential future competition from generic versions of high-sodium oxybate, including a generic version of high-sodium oxybate from Amneal approved in September 2025 and from Ascent approved in November 2025. We and Avadel were engaged in various litigation regarding Lumryz and our oxybate products, which was settled in September 2025. For additional information on litigation and the related settlement involving this matter, see “</w:t>
      </w:r>
      <w:r>
        <w:rPr>
          <w:rFonts w:ascii="Times New Roman" w:cs="Times New Roman" w:eastAsia="Times New Roman" w:hAnsi="Times New Roman"/>
          <w:sz w:val="19"/>
          <w:szCs w:val="19"/>
          <w:i w:val="1"/>
          <w:iCs w:val="1"/>
          <w:color w:val="auto"/>
        </w:rPr>
        <w:t>FDA Litigation</w:t>
      </w:r>
      <w:r>
        <w:rPr>
          <w:rFonts w:ascii="Times New Roman" w:cs="Times New Roman" w:eastAsia="Times New Roman" w:hAnsi="Times New Roman"/>
          <w:sz w:val="19"/>
          <w:szCs w:val="19"/>
          <w:color w:val="auto"/>
        </w:rPr>
        <w:t>” and “</w:t>
      </w:r>
      <w:r>
        <w:rPr>
          <w:rFonts w:ascii="PMingLiU" w:cs="PMingLiU" w:eastAsia="PMingLiU" w:hAnsi="PMingLiU"/>
          <w:sz w:val="19"/>
          <w:szCs w:val="19"/>
          <w:i w:val="1"/>
          <w:iCs w:val="1"/>
          <w:color w:val="auto"/>
        </w:rPr>
        <w:t>$YDGHO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Litigation</w:t>
      </w:r>
      <w:r>
        <w:rPr>
          <w:rFonts w:ascii="Times New Roman" w:cs="Times New Roman" w:eastAsia="Times New Roman" w:hAnsi="Times New Roman"/>
          <w:sz w:val="19"/>
          <w:szCs w:val="19"/>
          <w:color w:val="auto"/>
        </w:rPr>
        <w:t>” in Note 13, Commitments and Contingencies-Legal Proceedings of the Notes to Consolidated Financial</w:t>
      </w:r>
      <w:r>
        <w:rPr>
          <w:rFonts w:ascii="Times New Roman" w:cs="Times New Roman" w:eastAsia="Times New Roman" w:hAnsi="Times New Roman"/>
          <w:sz w:val="19"/>
          <w:szCs w:val="19"/>
          <w:i w:val="1"/>
          <w:iCs w:val="1"/>
          <w:color w:val="auto"/>
        </w:rPr>
        <w:t xml:space="preserve"> </w:t>
      </w:r>
      <w:r>
        <w:rPr>
          <w:rFonts w:ascii="PMingLiU" w:cs="PMingLiU" w:eastAsia="PMingLiU" w:hAnsi="PMingLiU"/>
          <w:sz w:val="19"/>
          <w:szCs w:val="19"/>
          <w:color w:val="auto"/>
        </w:rPr>
        <w:t>6WDWHPHQWVLQFOXGHGLQ3DUW,9RIWKLV$QQXDO5HSRUWRQ)RUP .</w:t>
      </w:r>
    </w:p>
    <w:p>
      <w:pPr>
        <w:spacing w:after="0" w:line="83" w:lineRule="exact"/>
        <w:rPr>
          <w:sz w:val="20"/>
          <w:szCs w:val="20"/>
          <w:color w:val="auto"/>
        </w:rPr>
      </w:pPr>
    </w:p>
    <w:p>
      <w:pPr>
        <w:ind w:left="300" w:right="80"/>
        <w:spacing w:after="0" w:line="450" w:lineRule="auto"/>
        <w:rPr>
          <w:sz w:val="20"/>
          <w:szCs w:val="20"/>
          <w:color w:val="auto"/>
        </w:rPr>
      </w:pPr>
      <w:r>
        <w:rPr>
          <w:rFonts w:ascii="Times New Roman" w:cs="Times New Roman" w:eastAsia="Times New Roman" w:hAnsi="Times New Roman"/>
          <w:sz w:val="14"/>
          <w:szCs w:val="14"/>
          <w:color w:val="auto"/>
        </w:rPr>
        <w:t>In addition, since January 2023, our oxybate products have faced competition from AG high-sodium oxybate pursuant to a settlement agreement we entered into with an ANDA filer, and from July 2023 through the end of 2025, an additional AG version of high-sodium oxybate from a volume-limited ANDA filer. Collectively, these AG versions of high-sodium oxybate have negatively impacted and are expected to continue to negatively impact Xyrem and Xywav sales for patients with narcolepsy. Specifically, a wholly owned subsidiary of Hikma launched its AG version of high-sodium oxybate in January 2023. In September, 2023, Hikma had elected to continue to sell the Hikma AG product, with royalties to be paid to us, for an additional four years beginning in January 2024. 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as set forth in our agreement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Amneal also had rights to sell a low-single-digit percentage of historical Xyrem sales over each 6-month sales period, which terminated at the end of 2025. In September 2025, Amneal received FDA approval for a generic version of high-sodium oxybate. In addition, in November 2025, Ascent received FDA approval for a generic version of high-sodium oxybate. For a description of generic versions of sodium oxybate and/or new products for the treatment of cataplexy and/or EDS that currently compete or could in the future compete with, or otherwise disrupt the market for, Xywav and Xyrem, as well as a description of our settlement agreements with ANDA filers, see the risk factor under the heading “</w:t>
      </w:r>
      <w:r>
        <w:rPr>
          <w:rFonts w:ascii="PMingLiU" w:cs="PMingLiU" w:eastAsia="PMingLiU" w:hAnsi="PMingLiU"/>
          <w:sz w:val="14"/>
          <w:szCs w:val="14"/>
          <w:i w:val="1"/>
          <w:iCs w:val="1"/>
          <w:color w:val="auto"/>
        </w:rPr>
        <w:t>7KHLQWURGXFWLRQRIQHZSURGXFWVLQ</w:t>
      </w:r>
      <w:r>
        <w:rPr>
          <w:rFonts w:ascii="Times New Roman" w:cs="Times New Roman" w:eastAsia="Times New Roman" w:hAnsi="Times New Roman"/>
          <w:sz w:val="14"/>
          <w:szCs w:val="14"/>
          <w:color w:val="auto"/>
        </w:rPr>
        <w:t xml:space="preserve"> </w:t>
      </w:r>
      <w:r>
        <w:rPr>
          <w:rFonts w:ascii="PMingLiU" w:cs="PMingLiU" w:eastAsia="PMingLiU" w:hAnsi="PMingLiU"/>
          <w:sz w:val="14"/>
          <w:szCs w:val="14"/>
          <w:i w:val="1"/>
          <w:iCs w:val="1"/>
          <w:color w:val="auto"/>
        </w:rPr>
        <w:t>WKH86PDUNHWWKDWFRPSHWHZLWKRURWKHUZLVHGLVUXSWWKHPDUNHWIRURXUR[\EDWHSURGXFWVKDVDGYHUVHO\DIIHFWHG DQGPD\FRQWLQXHWRDGYHUVHO\DIIHFWVDOHVRIRXUR[\EDWHSURGXFWV´</w:t>
      </w:r>
      <w:r>
        <w:rPr>
          <w:rFonts w:ascii="Times New Roman" w:cs="Times New Roman" w:eastAsia="Times New Roman" w:hAnsi="Times New Roman"/>
          <w:sz w:val="14"/>
          <w:szCs w:val="14"/>
          <w:color w:val="auto"/>
        </w:rPr>
        <w:t>in Part I, Item 1A of this Annual Report on</w:t>
      </w:r>
      <w:r>
        <w:rPr>
          <w:rFonts w:ascii="PMingLiU" w:cs="PMingLiU" w:eastAsia="PMingLiU" w:hAnsi="PMingLiU"/>
          <w:sz w:val="14"/>
          <w:szCs w:val="14"/>
          <w:i w:val="1"/>
          <w:iCs w:val="1"/>
          <w:color w:val="auto"/>
        </w:rPr>
        <w:t xml:space="preserve"> </w:t>
      </w:r>
      <w:r>
        <w:rPr>
          <w:rFonts w:ascii="Times New Roman" w:cs="Times New Roman" w:eastAsia="Times New Roman" w:hAnsi="Times New Roman"/>
          <w:sz w:val="14"/>
          <w:szCs w:val="14"/>
          <w:color w:val="auto"/>
        </w:rPr>
        <w:t xml:space="preserve">Form </w:t>
      </w:r>
      <w:r>
        <w:rPr>
          <w:rFonts w:ascii="PMingLiU" w:cs="PMingLiU" w:eastAsia="PMingLiU" w:hAnsi="PMingLiU"/>
          <w:sz w:val="14"/>
          <w:szCs w:val="14"/>
          <w:color w:val="auto"/>
        </w:rPr>
        <w:t> .</w:t>
      </w:r>
    </w:p>
    <w:p>
      <w:pPr>
        <w:spacing w:after="0" w:line="200" w:lineRule="exact"/>
        <w:rPr>
          <w:sz w:val="20"/>
          <w:szCs w:val="20"/>
          <w:color w:val="auto"/>
        </w:rPr>
      </w:pPr>
    </w:p>
    <w:p>
      <w:pPr>
        <w:spacing w:after="0" w:line="346" w:lineRule="exact"/>
        <w:rPr>
          <w:sz w:val="20"/>
          <w:szCs w:val="20"/>
          <w:color w:val="auto"/>
        </w:rPr>
      </w:pPr>
    </w:p>
    <w:p>
      <w:pPr>
        <w:ind w:left="300" w:right="220"/>
        <w:spacing w:after="0" w:line="257" w:lineRule="auto"/>
        <w:rPr>
          <w:sz w:val="20"/>
          <w:szCs w:val="20"/>
          <w:color w:val="auto"/>
        </w:rPr>
      </w:pPr>
      <w:r>
        <w:rPr>
          <w:rFonts w:ascii="Times New Roman" w:cs="Times New Roman" w:eastAsia="Times New Roman" w:hAnsi="Times New Roman"/>
          <w:sz w:val="19"/>
          <w:szCs w:val="19"/>
          <w:color w:val="auto"/>
        </w:rPr>
        <w:t>In addition, Xywav and Xyrem may face competition in the future from other new sodium oxybate formulations for treatment of narcolepsy. Also, in the future we expect competition from generic versions of sodium oxybate. For example, we received notices in June 2021, February 2023 and July 2025, that Lupin, Teva and Granules, respectively, filed ANDAs for generic versions of Xywav. Furthermore, in January 2026, we received notices from Tris Pharma that it had filed with FDA a Section 505(b)(2) NDA for generic versions of Xyrem and Xywav. On October 13, 2023, Lupin announced that it has received tentative approval for its application to market a generic version of Xywav.</w:t>
      </w:r>
      <w:r>
        <w:rPr>
          <w:rFonts w:ascii="PMingLiU" w:cs="PMingLiU" w:eastAsia="PMingLiU" w:hAnsi="PMingLiU"/>
          <w:sz w:val="21"/>
          <w:szCs w:val="21"/>
          <w:color w:val="auto"/>
        </w:rPr>
        <w:t/>
      </w:r>
    </w:p>
    <w:p>
      <w:pPr>
        <w:spacing w:after="0" w:line="69"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9"/>
          <w:szCs w:val="19"/>
          <w:color w:val="auto"/>
        </w:rPr>
        <w:t>Non-oxybate products intended for the treatment of EDS or cataplexy in narcolepsy or IH (Xywav is the first and only FDA-approved therapy to treat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Xywav and Xyrem face competition from Sunosi, which we sold to Axsome in 2022. Xywav and Xyrem may face increased competition from new branded entrants to treat EDS or cataplexy in narcolepsy such as pitolisant, which has been approved by FDA for the treatment of both cataplexy and EDS in adult patients with narcolepsy. Harmony Biosciences has announced a phase 3 study for pitolisant for IH after receiving a refusal to file from FDA in February 2025. In addition, Alkermes acquired Avadel in February 2026, which may strengthen both companies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61595</wp:posOffset>
            </wp:positionV>
            <wp:extent cx="259080" cy="2546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45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6" w:lineRule="exact"/>
        <w:rPr>
          <w:sz w:val="20"/>
          <w:szCs w:val="20"/>
          <w:color w:val="auto"/>
        </w:rPr>
      </w:pPr>
    </w:p>
    <w:tbl>
      <w:tblPr>
        <w:tblLayout w:type="fixed"/>
        <w:tblInd w:w="440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23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23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-208915</wp:posOffset>
            </wp:positionV>
            <wp:extent cx="1134745" cy="1168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45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520"/>
          </w:cols>
          <w:pgMar w:left="1440" w:top="839" w:right="919" w:bottom="0" w:gutter="0" w:footer="0" w:header="0"/>
        </w:sectPr>
      </w:pPr>
    </w:p>
    <w:bookmarkStart w:id="147" w:name="page148"/>
    <w:bookmarkEnd w:id="147"/>
    <w:p>
      <w:pPr>
        <w:ind w:left="840" w:right="140"/>
        <w:spacing w:after="0" w:line="257" w:lineRule="auto"/>
        <w:rPr>
          <w:sz w:val="20"/>
          <w:szCs w:val="20"/>
          <w:color w:val="auto"/>
        </w:rPr>
      </w:pPr>
      <w:r>
        <w:rPr>
          <w:rFonts w:ascii="Times New Roman" w:cs="Times New Roman" w:eastAsia="Times New Roman" w:hAnsi="Times New Roman"/>
          <w:sz w:val="19"/>
          <w:szCs w:val="19"/>
          <w:color w:val="auto"/>
        </w:rPr>
        <w:t>we may experience increased competition from the combined company. Other companies have announced that they have product candidates in various phases of development to treat the symptoms of narcolepsy, such as Axsome’s reboxetine, and various companies are performing R&amp;D on orexin 2 receptor agonists for the treatment of sleep disorders, including narcolepsy and IH, which companies include Takeda, Merck &amp; Co., Inc., Eisai Co., Ltd., Centessa Pharmaceuticals plc and Alkermes.</w:t>
      </w:r>
      <w:r>
        <w:rPr>
          <w:rFonts w:ascii="PMingLiU" w:cs="PMingLiU" w:eastAsia="PMingLiU" w:hAnsi="PMingLiU"/>
          <w:sz w:val="21"/>
          <w:szCs w:val="21"/>
          <w:color w:val="auto"/>
        </w:rPr>
        <w:t/>
      </w:r>
    </w:p>
    <w:p>
      <w:pPr>
        <w:spacing w:after="0" w:line="71" w:lineRule="exact"/>
        <w:rPr>
          <w:sz w:val="20"/>
          <w:szCs w:val="20"/>
          <w:color w:val="auto"/>
        </w:rPr>
      </w:pPr>
    </w:p>
    <w:p>
      <w:pPr>
        <w:ind w:left="840" w:right="20"/>
        <w:spacing w:after="0" w:line="261" w:lineRule="auto"/>
        <w:rPr>
          <w:sz w:val="20"/>
          <w:szCs w:val="20"/>
          <w:color w:val="auto"/>
        </w:rPr>
      </w:pPr>
      <w:r>
        <w:rPr>
          <w:rFonts w:ascii="Times New Roman" w:cs="Times New Roman" w:eastAsia="Times New Roman" w:hAnsi="Times New Roman"/>
          <w:sz w:val="19"/>
          <w:szCs w:val="19"/>
          <w:color w:val="auto"/>
        </w:rPr>
        <w:t>In addition, we are also aware that prescribers often prescribe branded or generic medications for cataplexy and IH before prescribing or instead of prescribing oxybate therapy,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Epidiolex</w:t>
      </w:r>
      <w:r>
        <w:rPr>
          <w:rFonts w:ascii="Times New Roman" w:cs="Times New Roman" w:eastAsia="Times New Roman" w:hAnsi="Times New Roman"/>
          <w:sz w:val="19"/>
          <w:szCs w:val="19"/>
          <w:color w:val="auto"/>
        </w:rPr>
        <w:t>. Patients in the U.S. suffering from seizures associated with DS, LGS or TSC are treated with a variety of</w:t>
      </w:r>
    </w:p>
    <w:p>
      <w:pPr>
        <w:spacing w:after="0" w:line="30" w:lineRule="exact"/>
        <w:rPr>
          <w:sz w:val="20"/>
          <w:szCs w:val="20"/>
          <w:color w:val="auto"/>
        </w:rPr>
      </w:pPr>
    </w:p>
    <w:p>
      <w:pPr>
        <w:ind w:left="840" w:right="680"/>
        <w:spacing w:after="0" w:line="254" w:lineRule="auto"/>
        <w:rPr>
          <w:sz w:val="20"/>
          <w:szCs w:val="20"/>
          <w:color w:val="auto"/>
        </w:rPr>
      </w:pPr>
      <w:r>
        <w:rPr>
          <w:rFonts w:ascii="Times New Roman" w:cs="Times New Roman" w:eastAsia="Times New Roman" w:hAnsi="Times New Roman"/>
          <w:sz w:val="19"/>
          <w:szCs w:val="19"/>
          <w:color w:val="auto"/>
        </w:rPr>
        <w:t>FDA-approved products, including clobazam, clonazepam, valproate, lamotrigine, levetiracetam, rufinamide, topiramate, ethosuximide, and zonisamide. FDA approved Zogenix, Inc.'s low-dose fenfluramine in DS in</w:t>
      </w:r>
    </w:p>
    <w:p>
      <w:pPr>
        <w:spacing w:after="0" w:line="1" w:lineRule="exact"/>
        <w:rPr>
          <w:sz w:val="20"/>
          <w:szCs w:val="20"/>
          <w:color w:val="auto"/>
        </w:rPr>
      </w:pPr>
    </w:p>
    <w:p>
      <w:pPr>
        <w:ind w:left="840" w:right="20"/>
        <w:spacing w:after="0" w:line="255" w:lineRule="auto"/>
        <w:rPr>
          <w:sz w:val="20"/>
          <w:szCs w:val="20"/>
          <w:color w:val="auto"/>
        </w:rPr>
      </w:pPr>
      <w:r>
        <w:rPr>
          <w:rFonts w:ascii="Times New Roman" w:cs="Times New Roman" w:eastAsia="Times New Roman" w:hAnsi="Times New Roman"/>
          <w:sz w:val="19"/>
          <w:szCs w:val="19"/>
          <w:color w:val="auto"/>
        </w:rPr>
        <w:t xml:space="preserve">June 2020, and for LGS in March 2022. In March 2022, UCB S.A. announced that it had completed its acquisition of Zogenix. FDA approved Marinus Pharmaceuticals, Inc.’s ganaxolone for the treatment of seizures associated with cyclin-dependent kinase-like 5 deficiency disorder in March 2022. Ovid Therapeutics Inc./Takeda, Eisai Company Limited, Praxis Precision Medicines, Inc., Bright Minds Biosciences Inc., H Lundbeck A/S and others are developing therapies for treating Developmental and Epileptic Encephalopathies (includes DS and LGS). Stiripentol has been approved in Europe for several years to treat DS and was approved in 2018 by FDA. There are a number of public and private companies in various stages of developing genetic therapies for DS, including Stoke Therapeutics, Inc., </w:t>
      </w:r>
      <w:r>
        <w:rPr>
          <w:rFonts w:ascii="PMingLiU" w:cs="PMingLiU" w:eastAsia="PMingLiU" w:hAnsi="PMingLiU"/>
          <w:sz w:val="19"/>
          <w:szCs w:val="19"/>
          <w:color w:val="auto"/>
        </w:rPr>
        <w:t>ZKLFKKDVDQDQWLVHQVHROLJRQXFOHRWLGH67.</w:t>
      </w:r>
      <w:r>
        <w:rPr>
          <w:rFonts w:ascii="Times New Roman" w:cs="Times New Roman" w:eastAsia="Times New Roman" w:hAnsi="Times New Roman"/>
          <w:sz w:val="19"/>
          <w:szCs w:val="19"/>
          <w:color w:val="auto"/>
        </w:rPr>
        <w:t>-001, in clinical trials.</w:t>
      </w:r>
    </w:p>
    <w:p>
      <w:pPr>
        <w:spacing w:after="0" w:line="83" w:lineRule="exact"/>
        <w:rPr>
          <w:sz w:val="20"/>
          <w:szCs w:val="20"/>
          <w:color w:val="auto"/>
        </w:rPr>
      </w:pPr>
    </w:p>
    <w:p>
      <w:pPr>
        <w:ind w:left="840" w:right="140"/>
        <w:spacing w:after="0" w:line="258" w:lineRule="auto"/>
        <w:rPr>
          <w:sz w:val="20"/>
          <w:szCs w:val="20"/>
          <w:color w:val="auto"/>
        </w:rPr>
      </w:pPr>
      <w:r>
        <w:rPr>
          <w:rFonts w:ascii="Times New Roman" w:cs="Times New Roman" w:eastAsia="Times New Roman" w:hAnsi="Times New Roman"/>
          <w:sz w:val="19"/>
          <w:szCs w:val="19"/>
          <w:color w:val="auto"/>
        </w:rPr>
        <w:t>In addition, there are non-FDA approved CBD preparations being made available from companies in the medical marijuana industry, which might attempt to compete with Epidiolex. While federal law prohibits the sale and distribution of most marijuana products not approved or authorized by FDA, the vast majority of states and the District of Columbia have legalized either CBD or marijuana for either recreational or medical use, or both. Under the U.S. Farm Bill, enacted in late 2018, certain extracts and other material derived from cannabis are no longer controlled under the CSA. However, the marketing of such products as a food, dietary supplement, or for medical purposes remains subject to FDA requirements. With respect to the marketing of CBD as a food or dietary supplement, in January 2023, FDA concluded that the existing regulatory frameworks for foods and supplements were not appropriate for CBD products and denied three citizen petitions that had asked the agency to conduct rulemaking to allow the marketing of CBD products as dietary supplements. In addition, U.S. Congressional efforts related to legalization of marijuana continue. Although our business is distinct from that of entities marketing FDA-unapproved marijuana and CBD-containing dietary supplements, future legislation or federal government action authorizing the sale, distribution, use, and insurance reimbursement of non-FDA approved marijuana or CBD products could increase competition for and adversely affect our ability to generate sales of Epidiolex and our cannabinoid product candidates.</w:t>
      </w:r>
    </w:p>
    <w:p>
      <w:pPr>
        <w:spacing w:after="0" w:line="320" w:lineRule="exact"/>
        <w:rPr>
          <w:sz w:val="20"/>
          <w:szCs w:val="20"/>
          <w:color w:val="auto"/>
        </w:rPr>
      </w:pPr>
    </w:p>
    <w:p>
      <w:pPr>
        <w:ind w:left="840" w:right="200"/>
        <w:spacing w:after="0" w:line="264" w:lineRule="auto"/>
        <w:rPr>
          <w:sz w:val="20"/>
          <w:szCs w:val="20"/>
          <w:color w:val="auto"/>
        </w:rPr>
      </w:pPr>
      <w:r>
        <w:rPr>
          <w:rFonts w:ascii="Times New Roman" w:cs="Times New Roman" w:eastAsia="Times New Roman" w:hAnsi="Times New Roman"/>
          <w:sz w:val="19"/>
          <w:szCs w:val="19"/>
          <w:color w:val="auto"/>
        </w:rPr>
        <w:t>We are aware of exploratory research into the effects of tetrahydrocannabinol, often referred to as THC, and CBD drug formulations; discovery research within the pharmaceutical industry into synthetic agonists and antagonists of CB1 and CB2 receptors; companies that supply synthetic cannabinoids and cannabis extracts to researchers for pre-clinical and clinical investigation; and various companies that cultivate cannabis plants with a view to supplying herbal cannabis or nonpharmaceutical cannabis-based formulations to patients. These activities have not been approved by FDA but may in the future compete with our products.</w:t>
      </w:r>
    </w:p>
    <w:p>
      <w:pPr>
        <w:spacing w:after="0" w:line="71" w:lineRule="exact"/>
        <w:rPr>
          <w:sz w:val="20"/>
          <w:szCs w:val="20"/>
          <w:color w:val="auto"/>
        </w:rPr>
      </w:pPr>
    </w:p>
    <w:p>
      <w:pPr>
        <w:ind w:left="840"/>
        <w:spacing w:after="0" w:line="261" w:lineRule="auto"/>
        <w:rPr>
          <w:sz w:val="20"/>
          <w:szCs w:val="20"/>
          <w:color w:val="auto"/>
        </w:rPr>
      </w:pPr>
      <w:r>
        <w:rPr>
          <w:rFonts w:ascii="Times New Roman" w:cs="Times New Roman" w:eastAsia="Times New Roman" w:hAnsi="Times New Roman"/>
          <w:sz w:val="19"/>
          <w:szCs w:val="19"/>
          <w:color w:val="auto"/>
        </w:rPr>
        <w:t>Moreover, we expect that Epidiolex will face competition from generic products in the future. In November and December 2022, we received notices from various ANDA filers that they have each filed with FDA an ANDA for a generic version of Epidiolex (cannabidiol) oral solution. In January 2023, we filed patent infringement suits against these ANDA filers. 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283210</wp:posOffset>
            </wp:positionV>
            <wp:extent cx="259080" cy="2546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46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24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46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148" w:name="page149"/>
    <w:bookmarkEnd w:id="148"/>
    <w:p>
      <w:pPr>
        <w:ind w:left="780" w:right="60" w:hanging="348"/>
        <w:spacing w:after="0" w:line="335"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6"/>
          <w:szCs w:val="16"/>
          <w:i w:val="1"/>
          <w:iCs w:val="1"/>
          <w:color w:val="auto"/>
        </w:rPr>
        <w:t xml:space="preserve">=HS]HOFD </w:t>
      </w:r>
      <w:r>
        <w:rPr>
          <w:rFonts w:ascii="Times New Roman" w:cs="Times New Roman" w:eastAsia="Times New Roman" w:hAnsi="Times New Roman"/>
          <w:sz w:val="16"/>
          <w:szCs w:val="16"/>
          <w:color w:val="auto"/>
        </w:rPr>
        <w:t>Zepzelca faces competition from topotecan and tarlatamab, which are approved treatments in second line</w:t>
      </w:r>
      <w:r>
        <w:rPr>
          <w:rFonts w:ascii="PMingLiU" w:cs="PMingLiU" w:eastAsia="PMingLiU" w:hAnsi="PMingLiU"/>
          <w:sz w:val="16"/>
          <w:szCs w:val="16"/>
          <w:i w:val="1"/>
          <w:iCs w:val="1"/>
          <w:color w:val="auto"/>
        </w:rPr>
        <w:t xml:space="preserve"> </w:t>
      </w:r>
      <w:r>
        <w:rPr>
          <w:rFonts w:ascii="Times New Roman" w:cs="Times New Roman" w:eastAsia="Times New Roman" w:hAnsi="Times New Roman"/>
          <w:sz w:val="16"/>
          <w:szCs w:val="16"/>
          <w:color w:val="auto"/>
        </w:rPr>
        <w:t>SCLC in the U.S., as well as other regimens for relapsed SCLC currently recommended in compendia guidelines, including rechallenge with first-line platinum chemotherapy. There are also a number of products for the treatment of first and second line SCLC in various phases of development, including Amgen Inc.’s tarlatamab, which was approved for second line use in the U.S. in May 2024. Moreover, we expect that Zepzelca will face competition from generic products in the future. In July and August 2024, we received notices from various ANDA filers that they have each filed with FDA an ANDA for a generic version of Zepzelca. In September 2024, we filed patent infringement suits against these ANDA filers. In September 2025, we filed an additional lawsuit against each of the Zepzelca ANDA Filers, alleging that, by filing its ANDA, each party infringed the newly-issued patent related to a method of treatment using Zepzelca. For a description of this litigation, see “</w:t>
      </w:r>
      <w:r>
        <w:rPr>
          <w:rFonts w:ascii="PMingLiU" w:cs="PMingLiU" w:eastAsia="PMingLiU" w:hAnsi="PMingLiU"/>
          <w:sz w:val="16"/>
          <w:szCs w:val="16"/>
          <w:i w:val="1"/>
          <w:iCs w:val="1"/>
          <w:color w:val="auto"/>
        </w:rPr>
        <w:t>=HS]HOFD3DWHQW/LWLJDWLRQ</w:t>
      </w:r>
      <w:r>
        <w:rPr>
          <w:rFonts w:ascii="Times New Roman" w:cs="Times New Roman" w:eastAsia="Times New Roman" w:hAnsi="Times New Roman"/>
          <w:sz w:val="16"/>
          <w:szCs w:val="16"/>
          <w:color w:val="auto"/>
        </w:rPr>
        <w:t xml:space="preserve">” in Note 13, Commitments and Contingencies-Legal Proceedings of the Notes to Consolidated Financial Statements, included in </w:t>
      </w:r>
      <w:r>
        <w:rPr>
          <w:rFonts w:ascii="PMingLiU" w:cs="PMingLiU" w:eastAsia="PMingLiU" w:hAnsi="PMingLiU"/>
          <w:sz w:val="16"/>
          <w:szCs w:val="16"/>
          <w:color w:val="auto"/>
        </w:rPr>
        <w:t xml:space="preserve">3DUW,9RIWKLV$QQXDO5HSRUWRQ)RUP .$VDUHVXOWRIWKHVHODZVXLWVZHH[SHFWWKDWDVWD\RIDSSURYDORIXSWR </w:t>
      </w:r>
      <w:r>
        <w:rPr>
          <w:rFonts w:ascii="Times New Roman" w:cs="Times New Roman" w:eastAsia="Times New Roman" w:hAnsi="Times New Roman"/>
          <w:sz w:val="16"/>
          <w:szCs w:val="16"/>
          <w:color w:val="auto"/>
        </w:rPr>
        <w:t>30 months will be imposed by FDA on these ANDA filers.</w:t>
      </w:r>
    </w:p>
    <w:p>
      <w:pPr>
        <w:spacing w:after="0" w:line="18" w:lineRule="exact"/>
        <w:rPr>
          <w:sz w:val="20"/>
          <w:szCs w:val="20"/>
          <w:color w:val="auto"/>
        </w:rPr>
      </w:pPr>
    </w:p>
    <w:p>
      <w:pPr>
        <w:ind w:left="780" w:right="60" w:hanging="348"/>
        <w:spacing w:after="0" w:line="257" w:lineRule="auto"/>
        <w:tabs>
          <w:tab w:leader="none" w:pos="760" w:val="left"/>
        </w:tabs>
        <w:rPr>
          <w:sz w:val="20"/>
          <w:szCs w:val="20"/>
          <w:color w:val="auto"/>
        </w:rPr>
      </w:pP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
      </w:r>
      <w:r>
        <w:rPr>
          <w:sz w:val="20"/>
          <w:szCs w:val="20"/>
          <w:color w:val="auto"/>
        </w:rPr>
        <w:tab/>
      </w:r>
      <w:r>
        <w:rPr>
          <w:rFonts w:ascii="PMingLiU" w:cs="PMingLiU" w:eastAsia="PMingLiU" w:hAnsi="PMingLiU"/>
          <w:sz w:val="19"/>
          <w:szCs w:val="19"/>
          <w:i w:val="1"/>
          <w:iCs w:val="1"/>
          <w:color w:val="auto"/>
        </w:rPr>
        <w:t>5\OD]H</w:t>
      </w:r>
      <w:r>
        <w:rPr>
          <w:rFonts w:ascii="Times New Roman" w:cs="Times New Roman" w:eastAsia="Times New Roman" w:hAnsi="Times New Roman"/>
          <w:sz w:val="19"/>
          <w:szCs w:val="19"/>
          <w:color w:val="auto"/>
        </w:rPr>
        <w:t>Rylaze may face competition from Erwinaze in the future. Erwinaze was previously approved and</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 xml:space="preserve">commercialized by us as a treatment for ALL patients with hypersensitivity to </w:t>
      </w:r>
      <w:r>
        <w:rPr>
          <w:rFonts w:ascii="PMingLiU" w:cs="PMingLiU" w:eastAsia="PMingLiU" w:hAnsi="PMingLiU"/>
          <w:sz w:val="19"/>
          <w:szCs w:val="19"/>
          <w:i w:val="1"/>
          <w:iCs w:val="1"/>
          <w:color w:val="auto"/>
        </w:rPr>
        <w:t>(FROL</w:t>
      </w:r>
      <w:r>
        <w:rPr>
          <w:rFonts w:ascii="Times New Roman" w:cs="Times New Roman" w:eastAsia="Times New Roman" w:hAnsi="Times New Roman"/>
          <w:sz w:val="19"/>
          <w:szCs w:val="19"/>
          <w:color w:val="auto"/>
        </w:rPr>
        <w:t>-derived asparaginase. In April 2020, PBL granted Clinigen a global license for Erwinaze. However, in December 2021, Clinigen announced that FDA issued a complete response letter to PBL’s BLA for Erwinaze, indicating that the BLA cannot be approved in its current form. Outside of the U.S., Enrylaze faces competition from Erwinase. Rylaze may also face competition from other companies who have developed or are developing new treatments for ALL.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w:t>
      </w:r>
    </w:p>
    <w:p>
      <w:pPr>
        <w:spacing w:after="0" w:line="79" w:lineRule="exact"/>
        <w:rPr>
          <w:sz w:val="20"/>
          <w:szCs w:val="20"/>
          <w:color w:val="auto"/>
        </w:rPr>
      </w:pPr>
    </w:p>
    <w:p>
      <w:pPr>
        <w:ind w:left="780" w:right="100" w:hanging="348"/>
        <w:spacing w:after="0" w:line="256" w:lineRule="auto"/>
        <w:tabs>
          <w:tab w:leader="none" w:pos="760" w:val="left"/>
        </w:tabs>
        <w:rPr>
          <w:sz w:val="20"/>
          <w:szCs w:val="20"/>
          <w:color w:val="auto"/>
        </w:rPr>
      </w:pP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
      </w:r>
      <w:r>
        <w:rPr>
          <w:sz w:val="20"/>
          <w:szCs w:val="20"/>
          <w:color w:val="auto"/>
        </w:rPr>
        <w:tab/>
      </w:r>
      <w:r>
        <w:rPr>
          <w:rFonts w:ascii="PMingLiU" w:cs="PMingLiU" w:eastAsia="PMingLiU" w:hAnsi="PMingLiU"/>
          <w:sz w:val="19"/>
          <w:szCs w:val="19"/>
          <w:i w:val="1"/>
          <w:iCs w:val="1"/>
          <w:color w:val="auto"/>
        </w:rPr>
        <w:t>9\[HRV</w:t>
      </w:r>
      <w:r>
        <w:rPr>
          <w:rFonts w:ascii="Times New Roman" w:cs="Times New Roman" w:eastAsia="Times New Roman" w:hAnsi="Times New Roman"/>
          <w:sz w:val="19"/>
          <w:szCs w:val="19"/>
          <w:color w:val="auto"/>
        </w:rPr>
        <w:t>. With respect to Vyxeos, there are a number of alternative established therapies in AML. A key consideration</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in the treatment of AML patients is the patient’s suitability for chemotherapy. The AML patient population studied in the Vyxeos Phase 3 clinical trial supporting our NDA included 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spacing w:after="0" w:line="319" w:lineRule="exact"/>
        <w:rPr>
          <w:sz w:val="20"/>
          <w:szCs w:val="20"/>
          <w:color w:val="auto"/>
        </w:rPr>
      </w:pPr>
    </w:p>
    <w:p>
      <w:pPr>
        <w:ind w:left="780" w:right="40" w:hanging="348"/>
        <w:spacing w:after="0" w:line="257" w:lineRule="auto"/>
        <w:tabs>
          <w:tab w:leader="none" w:pos="760" w:val="left"/>
        </w:tabs>
        <w:rPr>
          <w:sz w:val="20"/>
          <w:szCs w:val="20"/>
          <w:color w:val="auto"/>
        </w:rPr>
      </w:pP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
      </w:r>
      <w:r>
        <w:rPr>
          <w:rFonts w:ascii="Times New Roman" w:cs="Times New Roman" w:eastAsia="Times New Roman" w:hAnsi="Times New Roman"/>
          <w:sz w:val="19"/>
          <w:szCs w:val="19"/>
          <w:i w:val="1"/>
          <w:iCs w:val="1"/>
          <w:color w:val="auto"/>
        </w:rPr>
        <w:tab/>
        <w:t>Defitelio</w:t>
      </w:r>
      <w:r>
        <w:rPr>
          <w:rFonts w:ascii="Times New Roman" w:cs="Times New Roman" w:eastAsia="Times New Roman" w:hAnsi="Times New Roman"/>
          <w:sz w:val="19"/>
          <w:szCs w:val="19"/>
          <w:color w:val="auto"/>
        </w:rPr>
        <w:t>. Defitelio is the first and only approved treatment for patients with VOD, sVOD, or VOD with renal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pulmonary dysfunction following HSCT by regulatory authorities in the U.S., Europe, Japan and other markets. Utilization of Defitelio is in part driven by evolving treatment practices in HSCT. While there is currently no direct competition to Defitelio to treat sVOD, changes in the types of conditioning regimens used as part of HSCT may affect the incidence of VOD diagnosis and demand for Defitelio. In December 2024, FDA accepted an ANDA for a generic version of Defitelio. In March 2025, we received a notice from Almaject that it had filed with FDA an ANDA for a generic version of Defitelio. In April 2025, we filed a patent infringement lawsuit against Almaject. For a description of this litigation, see “</w:t>
      </w:r>
      <w:r>
        <w:rPr>
          <w:rFonts w:ascii="Times New Roman" w:cs="Times New Roman" w:eastAsia="Times New Roman" w:hAnsi="Times New Roman"/>
          <w:sz w:val="19"/>
          <w:szCs w:val="19"/>
          <w:i w:val="1"/>
          <w:iCs w:val="1"/>
          <w:color w:val="auto"/>
        </w:rPr>
        <w:t>Defitelio Patent Litigation</w:t>
      </w:r>
      <w:r>
        <w:rPr>
          <w:rFonts w:ascii="Times New Roman" w:cs="Times New Roman" w:eastAsia="Times New Roman" w:hAnsi="Times New Roman"/>
          <w:sz w:val="19"/>
          <w:szCs w:val="19"/>
          <w:color w:val="auto"/>
        </w:rPr>
        <w:t xml:space="preserve">” in Note 13, Commitments and Contingencies-Legal Proceedings of the Notes to Consolidated Financial Statements, included in Part IV of this Annual Report on Form </w:t>
      </w:r>
      <w:r>
        <w:rPr>
          <w:rFonts w:ascii="PMingLiU" w:cs="PMingLiU" w:eastAsia="PMingLiU" w:hAnsi="PMingLiU"/>
          <w:sz w:val="19"/>
          <w:szCs w:val="19"/>
          <w:color w:val="auto"/>
        </w:rPr>
        <w:t> .$VDUHVXOWRIWKLVODZVXLWZHH[SHFWWKDWDVWD\RIDSSURYDORIXSWR</w:t>
      </w:r>
      <w:r>
        <w:rPr>
          <w:rFonts w:ascii="Times New Roman" w:cs="Times New Roman" w:eastAsia="Times New Roman" w:hAnsi="Times New Roman"/>
          <w:sz w:val="19"/>
          <w:szCs w:val="19"/>
          <w:color w:val="auto"/>
        </w:rPr>
        <w:t>30 months will be imposed by FDA on</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Almaject’s ANDA.</w:t>
      </w:r>
    </w:p>
    <w:p>
      <w:pPr>
        <w:spacing w:after="0" w:line="76" w:lineRule="exact"/>
        <w:rPr>
          <w:sz w:val="20"/>
          <w:szCs w:val="20"/>
          <w:color w:val="auto"/>
        </w:rPr>
      </w:pPr>
    </w:p>
    <w:p>
      <w:pPr>
        <w:ind w:left="780" w:right="340" w:hanging="348"/>
        <w:spacing w:after="0" w:line="299"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i w:val="1"/>
          <w:iCs w:val="1"/>
          <w:color w:val="auto"/>
        </w:rPr>
        <w:t>Ziihera</w:t>
      </w:r>
      <w:r>
        <w:rPr>
          <w:rFonts w:ascii="Times New Roman" w:cs="Times New Roman" w:eastAsia="Times New Roman" w:hAnsi="Times New Roman"/>
          <w:sz w:val="19"/>
          <w:szCs w:val="19"/>
          <w:color w:val="auto"/>
        </w:rPr>
        <w:t>. Ziihera faces competition from generic chemotherapies, including cisplatin/gemcitabine rechallenge,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HER2 directed therapies, including Enhertu and trastuzumab.</w:t>
      </w:r>
    </w:p>
    <w:p>
      <w:pPr>
        <w:spacing w:after="0" w:line="38"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9"/>
          <w:szCs w:val="19"/>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132715</wp:posOffset>
            </wp:positionV>
            <wp:extent cx="259080" cy="2546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46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7"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25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25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46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8" w:right="919" w:bottom="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9"/>
          <w:szCs w:val="19"/>
          <w:b w:val="1"/>
          <w:bCs w:val="1"/>
          <w:color w:val="auto"/>
        </w:rPr>
        <w:t>Customers</w:t>
      </w:r>
    </w:p>
    <w:p>
      <w:pPr>
        <w:spacing w:after="0" w:line="133" w:lineRule="exact"/>
        <w:rPr>
          <w:sz w:val="20"/>
          <w:szCs w:val="20"/>
          <w:color w:val="auto"/>
        </w:rPr>
      </w:pPr>
    </w:p>
    <w:p>
      <w:pPr>
        <w:ind w:left="60" w:firstLine="480"/>
        <w:spacing w:after="0" w:line="362" w:lineRule="auto"/>
        <w:rPr>
          <w:sz w:val="20"/>
          <w:szCs w:val="20"/>
          <w:color w:val="auto"/>
        </w:rPr>
      </w:pPr>
      <w:r>
        <w:rPr>
          <w:rFonts w:ascii="Times New Roman" w:cs="Times New Roman" w:eastAsia="Times New Roman" w:hAnsi="Times New Roman"/>
          <w:sz w:val="14"/>
          <w:szCs w:val="14"/>
          <w:color w:val="auto"/>
        </w:rPr>
        <w:t xml:space="preserve">In the U.S., Xywav and Xyrem are sold to one certified specialty pharmacy, ESSDS, that ships Xywav and Xyrem directly to patients. Also in the U.S., Epidiolex is sold to specialty pharmacies and specialty distributors. Modeyso is sold to one certified specialty pharmacy, Onco360, that ships Modeyso directly to patients. Defitelio is sold to hospital customers </w:t>
      </w:r>
      <w:r>
        <w:rPr>
          <w:rFonts w:ascii="PMingLiU" w:cs="PMingLiU" w:eastAsia="PMingLiU" w:hAnsi="PMingLiU"/>
          <w:sz w:val="14"/>
          <w:szCs w:val="14"/>
          <w:color w:val="auto"/>
        </w:rPr>
        <w:t xml:space="preserve">WKURXJKVXEVLGLDU\VSHFLDOW\GLVWULEXWRUVRI0F.HVVRQ=HS]HOFD5\OD]H=LLKHUDDQG9\[HRVDUHVROGWRFXVWRPHUVWKURXJK VXEVLGLDU\VSHFLDOW\GLVWULEXWRUVRI0F.HVVRQ&amp;HQFRUDDQG&amp;DUGLQDO:HKDYHGLVWULEXWLRQVHUYLFHVDJUHHPHQWVPDGHLQWKH RUGLQDU\FRXUVHRIEXVLQHVVZLWK0F.HVVRQ&amp;HQFRUDDQG&amp;DUGLQDODQGDSKDUPDF\VHUYLFHVDJUHHPHQWZLWK(66'6)RUPRUH </w:t>
      </w:r>
      <w:r>
        <w:rPr>
          <w:rFonts w:ascii="Times New Roman" w:cs="Times New Roman" w:eastAsia="Times New Roman" w:hAnsi="Times New Roman"/>
          <w:sz w:val="14"/>
          <w:szCs w:val="14"/>
          <w:color w:val="auto"/>
        </w:rPr>
        <w:t>information regarding our relationship with ESSDS, see “Business—Our Commercialized Products—Xywav and Xyrem REMS” in this Part I, Item 1. Purchases are made on a purchase order basis.</w:t>
      </w:r>
    </w:p>
    <w:p>
      <w:pPr>
        <w:spacing w:after="0" w:line="241" w:lineRule="exact"/>
        <w:rPr>
          <w:sz w:val="20"/>
          <w:szCs w:val="20"/>
          <w:color w:val="auto"/>
        </w:rPr>
      </w:pPr>
    </w:p>
    <w:p>
      <w:pPr>
        <w:ind w:left="60" w:right="40" w:firstLine="480"/>
        <w:spacing w:after="0" w:line="257" w:lineRule="auto"/>
        <w:rPr>
          <w:sz w:val="20"/>
          <w:szCs w:val="20"/>
          <w:color w:val="auto"/>
        </w:rPr>
      </w:pPr>
      <w:r>
        <w:rPr>
          <w:rFonts w:ascii="Times New Roman" w:cs="Times New Roman" w:eastAsia="Times New Roman" w:hAnsi="Times New Roman"/>
          <w:sz w:val="19"/>
          <w:szCs w:val="19"/>
          <w:color w:val="auto"/>
        </w:rPr>
        <w:t xml:space="preserve">In certain countries in Europe, Defitelio and Vyxeos are sold pursuant to marketing authorizations. We distribute these </w:t>
      </w:r>
      <w:r>
        <w:rPr>
          <w:rFonts w:ascii="PMingLiU" w:cs="PMingLiU" w:eastAsia="PMingLiU" w:hAnsi="PMingLiU"/>
          <w:sz w:val="19"/>
          <w:szCs w:val="19"/>
          <w:color w:val="auto"/>
        </w:rPr>
        <w:t>SURGXFWVWKURXJK'XUELQ3/&amp;D8.</w:t>
      </w:r>
      <w:r>
        <w:rPr>
          <w:rFonts w:ascii="Times New Roman" w:cs="Times New Roman" w:eastAsia="Times New Roman" w:hAnsi="Times New Roman"/>
          <w:sz w:val="19"/>
          <w:szCs w:val="19"/>
          <w:color w:val="auto"/>
        </w:rPr>
        <w:t>-based wholesaler and distributor, and O&amp;M Movianto Nederland BV, our centralized</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European logistics services provider, to hospitals and local wholesalers in Europe where we market these products directly and, 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In countries where there is no marketing authorization, Epidyolex is available pursuant to named patient programs, temporary use authorizations or similar authorizations in accordance with local regulations controlling the medical use of unapproved products.</w:t>
      </w:r>
    </w:p>
    <w:p>
      <w:pPr>
        <w:spacing w:after="0" w:line="80" w:lineRule="exact"/>
        <w:rPr>
          <w:sz w:val="20"/>
          <w:szCs w:val="20"/>
          <w:color w:val="auto"/>
        </w:rPr>
      </w:pPr>
    </w:p>
    <w:p>
      <w:pPr>
        <w:ind w:left="60" w:right="200" w:firstLine="480"/>
        <w:spacing w:after="0" w:line="258" w:lineRule="auto"/>
        <w:rPr>
          <w:sz w:val="20"/>
          <w:szCs w:val="20"/>
          <w:color w:val="auto"/>
        </w:rPr>
      </w:pPr>
      <w:r>
        <w:rPr>
          <w:rFonts w:ascii="Times New Roman" w:cs="Times New Roman" w:eastAsia="Times New Roman" w:hAnsi="Times New Roman"/>
          <w:sz w:val="19"/>
          <w:szCs w:val="19"/>
          <w:color w:val="auto"/>
        </w:rPr>
        <w:t>We commercialize and distribute Xyrem in Canada for the treatment of cataplexy in adult patients with narcolepsy. Xyrem is also sold in certain countries outside the U.S. and Canada by UCB under the UCB license. In July 2024, the parties agreed to terminate the UCB license. UCB has up to two years from the execution of the termination agreement to withdraw the marketing authorization for Xyrem in all applicable territories.</w:t>
      </w:r>
      <w:r>
        <w:rPr>
          <w:rFonts w:ascii="PMingLiU" w:cs="PMingLiU" w:eastAsia="PMingLiU" w:hAnsi="PMingLiU"/>
          <w:sz w:val="21"/>
          <w:szCs w:val="21"/>
          <w:color w:val="auto"/>
        </w:rPr>
        <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133" w:lineRule="exact"/>
        <w:rPr>
          <w:sz w:val="20"/>
          <w:szCs w:val="20"/>
          <w:color w:val="auto"/>
        </w:rPr>
      </w:pPr>
    </w:p>
    <w:p>
      <w:pPr>
        <w:ind w:left="60" w:right="160" w:firstLine="480"/>
        <w:spacing w:after="0" w:line="268" w:lineRule="auto"/>
        <w:rPr>
          <w:sz w:val="20"/>
          <w:szCs w:val="20"/>
          <w:color w:val="auto"/>
        </w:rPr>
      </w:pPr>
      <w:r>
        <w:rPr>
          <w:rFonts w:ascii="Times New Roman" w:cs="Times New Roman" w:eastAsia="Times New Roman" w:hAnsi="Times New Roman"/>
          <w:sz w:val="18"/>
          <w:szCs w:val="18"/>
          <w:color w:val="auto"/>
        </w:rPr>
        <w:t xml:space="preserve">We have a manufacturing and development facility in Athlone, Ireland where we manufacture Xywav and Xyrem, a </w:t>
      </w:r>
      <w:r>
        <w:rPr>
          <w:rFonts w:ascii="PMingLiU" w:cs="PMingLiU" w:eastAsia="PMingLiU" w:hAnsi="PMingLiU"/>
          <w:sz w:val="18"/>
          <w:szCs w:val="18"/>
          <w:color w:val="auto"/>
        </w:rPr>
        <w:t xml:space="preserve">PDQXIDFWXULQJDQGGHYHORSPHQWIDFLOLW\LQ.HQW6FLHQFH3DUN8.ZKHUHZHSURGXFH(SLGLROH[(SLG\ROH[DQGD </w:t>
      </w:r>
      <w:r>
        <w:rPr>
          <w:rFonts w:ascii="Times New Roman" w:cs="Times New Roman" w:eastAsia="Times New Roman" w:hAnsi="Times New Roman"/>
          <w:sz w:val="18"/>
          <w:szCs w:val="18"/>
          <w:color w:val="auto"/>
        </w:rPr>
        <w:t>manufacturing plant in Villa Guardia, Italy where we produce defibrotide drug substance. We currently do not have our own commercial manufacturing or packaging capability for our other products, product candidates or their APIs. As a result, our ability to develop and supply products in a timely and competitive manner depends on third party suppliers being able to meet our ongoing commercial and clinical trial needs for API, other raw materials, packaging materials and finished products.</w:t>
      </w:r>
      <w:r>
        <w:rPr>
          <w:rFonts w:ascii="PMingLiU" w:cs="PMingLiU" w:eastAsia="PMingLiU" w:hAnsi="PMingLiU"/>
          <w:sz w:val="20"/>
          <w:szCs w:val="20"/>
          <w:color w:val="auto"/>
        </w:rPr>
        <w:t/>
      </w:r>
    </w:p>
    <w:p>
      <w:pPr>
        <w:spacing w:after="0" w:line="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Marketed Products</w:t>
      </w:r>
    </w:p>
    <w:p>
      <w:pPr>
        <w:spacing w:after="0" w:line="129" w:lineRule="exact"/>
        <w:rPr>
          <w:sz w:val="20"/>
          <w:szCs w:val="20"/>
          <w:color w:val="auto"/>
        </w:rPr>
      </w:pPr>
    </w:p>
    <w:p>
      <w:pPr>
        <w:ind w:left="60" w:right="120" w:firstLine="480"/>
        <w:spacing w:after="0" w:line="259" w:lineRule="auto"/>
        <w:rPr>
          <w:sz w:val="20"/>
          <w:szCs w:val="20"/>
          <w:color w:val="auto"/>
        </w:rPr>
      </w:pPr>
      <w:r>
        <w:rPr>
          <w:rFonts w:ascii="PMingLiU" w:cs="PMingLiU" w:eastAsia="PMingLiU" w:hAnsi="PMingLiU"/>
          <w:sz w:val="19"/>
          <w:szCs w:val="19"/>
          <w:i w:val="1"/>
          <w:iCs w:val="1"/>
          <w:color w:val="auto"/>
        </w:rPr>
        <w:t>;\ZDYDQG;\UHP</w:t>
      </w:r>
      <w:r>
        <w:rPr>
          <w:rFonts w:ascii="Times New Roman" w:cs="Times New Roman" w:eastAsia="Times New Roman" w:hAnsi="Times New Roman"/>
          <w:sz w:val="19"/>
          <w:szCs w:val="19"/>
          <w:color w:val="auto"/>
        </w:rPr>
        <w:t>. Xywav and Xyrem are manufactured by Patheon under the Patheon Agreement entered into with</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Patheon in 2015 and also by us in our Athlone facility. Most of our U.S. commercial supply is manufactured by Patheon. The current term of the Patheon Agreement will expire in December 2026,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74" w:lineRule="exact"/>
        <w:rPr>
          <w:sz w:val="20"/>
          <w:szCs w:val="20"/>
          <w:color w:val="auto"/>
        </w:rPr>
      </w:pPr>
    </w:p>
    <w:p>
      <w:pPr>
        <w:ind w:left="60" w:right="40" w:firstLine="480"/>
        <w:spacing w:after="0" w:line="264" w:lineRule="auto"/>
        <w:rPr>
          <w:sz w:val="20"/>
          <w:szCs w:val="20"/>
          <w:color w:val="auto"/>
        </w:rPr>
      </w:pPr>
      <w:r>
        <w:rPr>
          <w:rFonts w:ascii="Times New Roman" w:cs="Times New Roman" w:eastAsia="Times New Roman" w:hAnsi="Times New Roman"/>
          <w:sz w:val="19"/>
          <w:szCs w:val="19"/>
          <w:color w:val="auto"/>
        </w:rPr>
        <w:t>Xywav, like Xyrem, is a Schedule III controlled substance in the U.S. The API of Xywav are the calcium, magnesium, potassium and sodium salts of GHB, which are Schedule I controlled substances in the U.S. As a result, Xywav and Xyrem are subject to regulation by the DEA under the CSA, and its manufacturing and distribution are highly restricted. Quotas from the DEA are required in order to manufacture or procure calcium, magnesium, potassium and sodium salts of GHB in the U.S. For information related to DEA quota requirements, see “Business—Government Regulation—Other Post-Approval Pharmaceutical Product Regulation—Controlled Substance Regulations” in this Part I, Item 1.</w:t>
      </w:r>
    </w:p>
    <w:p>
      <w:pPr>
        <w:spacing w:after="0" w:line="71" w:lineRule="exact"/>
        <w:rPr>
          <w:sz w:val="20"/>
          <w:szCs w:val="20"/>
          <w:color w:val="auto"/>
        </w:rPr>
      </w:pPr>
    </w:p>
    <w:p>
      <w:pPr>
        <w:ind w:left="60" w:right="60" w:firstLine="480"/>
        <w:spacing w:after="0" w:line="264" w:lineRule="auto"/>
        <w:rPr>
          <w:sz w:val="20"/>
          <w:szCs w:val="20"/>
          <w:color w:val="auto"/>
        </w:rPr>
      </w:pPr>
      <w:r>
        <w:rPr>
          <w:rFonts w:ascii="Times New Roman" w:cs="Times New Roman" w:eastAsia="Times New Roman" w:hAnsi="Times New Roman"/>
          <w:sz w:val="19"/>
          <w:szCs w:val="19"/>
          <w:color w:val="auto"/>
        </w:rPr>
        <w:t>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2027,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71" w:lineRule="exact"/>
        <w:rPr>
          <w:sz w:val="20"/>
          <w:szCs w:val="20"/>
          <w:color w:val="auto"/>
        </w:rPr>
      </w:pPr>
    </w:p>
    <w:p>
      <w:pPr>
        <w:ind w:left="60" w:right="240" w:firstLine="480"/>
        <w:spacing w:after="0" w:line="310" w:lineRule="auto"/>
        <w:rPr>
          <w:sz w:val="20"/>
          <w:szCs w:val="20"/>
          <w:color w:val="auto"/>
        </w:rPr>
      </w:pPr>
      <w:r>
        <w:rPr>
          <w:rFonts w:ascii="PMingLiU" w:cs="PMingLiU" w:eastAsia="PMingLiU" w:hAnsi="PMingLiU"/>
          <w:sz w:val="17"/>
          <w:szCs w:val="17"/>
          <w:i w:val="1"/>
          <w:iCs w:val="1"/>
          <w:color w:val="auto"/>
        </w:rPr>
        <w:t>(SLGLROH[</w:t>
      </w:r>
      <w:r>
        <w:rPr>
          <w:rFonts w:ascii="PMingLiU" w:cs="PMingLiU" w:eastAsia="PMingLiU" w:hAnsi="PMingLiU"/>
          <w:sz w:val="17"/>
          <w:szCs w:val="17"/>
          <w:color w:val="auto"/>
        </w:rPr>
        <w:t>(SLGLROH[(SLG\ROH[LVPDQXIDFWXUHGE\XVLQRXU.HQW6FLHQFH3DUNIDFLOLW\LQWKH8.(SLGLROH[LVD</w:t>
      </w:r>
      <w:r>
        <w:rPr>
          <w:rFonts w:ascii="PMingLiU" w:cs="PMingLiU" w:eastAsia="PMingLiU" w:hAnsi="PMingLiU"/>
          <w:sz w:val="17"/>
          <w:szCs w:val="17"/>
          <w:i w:val="1"/>
          <w:iCs w:val="1"/>
          <w:color w:val="auto"/>
        </w:rPr>
        <w:t xml:space="preserve"> </w:t>
      </w:r>
      <w:r>
        <w:rPr>
          <w:rFonts w:ascii="Times New Roman" w:cs="Times New Roman" w:eastAsia="Times New Roman" w:hAnsi="Times New Roman"/>
          <w:sz w:val="17"/>
          <w:szCs w:val="17"/>
          <w:color w:val="auto"/>
        </w:rPr>
        <w:t>pharmaceutical formulation comprising highly purified plant-</w:t>
      </w:r>
      <w:r>
        <w:rPr>
          <w:rFonts w:ascii="PMingLiU" w:cs="PMingLiU" w:eastAsia="PMingLiU" w:hAnsi="PMingLiU"/>
          <w:sz w:val="17"/>
          <w:szCs w:val="17"/>
          <w:color w:val="auto"/>
        </w:rPr>
        <w:t>GHULYHG&amp;%':HFXOWLYDWHRXUFDQQDELQRLGSODQWVLQWKH8.</w:t>
      </w:r>
      <w:r>
        <w:rPr>
          <w:rFonts w:ascii="Times New Roman" w:cs="Times New Roman" w:eastAsia="Times New Roman" w:hAnsi="Times New Roman"/>
          <w:sz w:val="17"/>
          <w:szCs w:val="17"/>
          <w:color w:val="auto"/>
        </w:rPr>
        <w:t xml:space="preserve"> under highly controlled and standardized conditions.</w:t>
      </w:r>
    </w:p>
    <w:p>
      <w:pPr>
        <w:spacing w:after="0" w:line="32" w:lineRule="exact"/>
        <w:rPr>
          <w:sz w:val="20"/>
          <w:szCs w:val="20"/>
          <w:color w:val="auto"/>
        </w:rPr>
      </w:pPr>
    </w:p>
    <w:p>
      <w:pPr>
        <w:ind w:left="60" w:right="240" w:firstLine="480"/>
        <w:spacing w:after="0" w:line="330" w:lineRule="auto"/>
        <w:rPr>
          <w:sz w:val="20"/>
          <w:szCs w:val="20"/>
          <w:color w:val="auto"/>
        </w:rPr>
      </w:pPr>
      <w:r>
        <w:rPr>
          <w:rFonts w:ascii="PMingLiU" w:cs="PMingLiU" w:eastAsia="PMingLiU" w:hAnsi="PMingLiU"/>
          <w:sz w:val="16"/>
          <w:szCs w:val="16"/>
          <w:i w:val="1"/>
          <w:iCs w:val="1"/>
          <w:color w:val="auto"/>
        </w:rPr>
        <w:t>=LLKHUD</w:t>
      </w:r>
      <w:r>
        <w:rPr>
          <w:rFonts w:ascii="PMingLiU" w:cs="PMingLiU" w:eastAsia="PMingLiU" w:hAnsi="PMingLiU"/>
          <w:sz w:val="16"/>
          <w:szCs w:val="16"/>
          <w:color w:val="auto"/>
        </w:rPr>
        <w:t>=LLKHUDLVPDQXIDFWXUHGE\:X;L+RQJ.RQJDWWKHLUPDQXIDFWXULQJVLWHLQ:X;L35&amp;7KHWHUPRIWKH</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 xml:space="preserve">DJUHHPHQWZLWK:X;L+RQJ.RQJZLOOH[SLUHLQ0DUFKDQGZLOOWKHQEHVXEMHFWWRDXWRPDWLFWKUHH\HDUH[WHQVLRQV </w:t>
      </w:r>
      <w:r>
        <w:rPr>
          <w:rFonts w:ascii="Times New Roman" w:cs="Times New Roman" w:eastAsia="Times New Roman" w:hAnsi="Times New Roman"/>
          <w:sz w:val="16"/>
          <w:szCs w:val="16"/>
          <w:color w:val="auto"/>
        </w:rPr>
        <w:t>unless either party provides advance notice of its intent to terminate the agreement. We have the right to appoint an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175260</wp:posOffset>
            </wp:positionV>
            <wp:extent cx="259080" cy="2546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46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26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46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953" w:right="979" w:bottom="0" w:gutter="0" w:footer="0" w:header="0"/>
        </w:sectPr>
      </w:pPr>
    </w:p>
    <w:bookmarkStart w:id="150" w:name="page151"/>
    <w:bookmarkEnd w:id="150"/>
    <w:p>
      <w:pPr>
        <w:ind w:right="320"/>
        <w:spacing w:after="0" w:line="299" w:lineRule="auto"/>
        <w:rPr>
          <w:sz w:val="20"/>
          <w:szCs w:val="20"/>
          <w:color w:val="auto"/>
        </w:rPr>
      </w:pPr>
      <w:r>
        <w:rPr>
          <w:rFonts w:ascii="Times New Roman" w:cs="Times New Roman" w:eastAsia="Times New Roman" w:hAnsi="Times New Roman"/>
          <w:sz w:val="19"/>
          <w:szCs w:val="19"/>
          <w:color w:val="auto"/>
        </w:rPr>
        <w:t>contract manufacturer at our discretion. In January 2026, we entered into a development and services agreement with Lonza AG and Lonza Sales AG for the commercial supply of Ziihera in the U.S. beginning in 2029.</w:t>
      </w:r>
    </w:p>
    <w:p>
      <w:pPr>
        <w:spacing w:after="0" w:line="38" w:lineRule="exact"/>
        <w:rPr>
          <w:sz w:val="20"/>
          <w:szCs w:val="20"/>
          <w:color w:val="auto"/>
        </w:rPr>
      </w:pPr>
    </w:p>
    <w:p>
      <w:pPr>
        <w:ind w:right="180" w:firstLine="479"/>
        <w:spacing w:after="0" w:line="258" w:lineRule="auto"/>
        <w:rPr>
          <w:sz w:val="20"/>
          <w:szCs w:val="20"/>
          <w:color w:val="auto"/>
        </w:rPr>
      </w:pPr>
      <w:r>
        <w:rPr>
          <w:rFonts w:ascii="PMingLiU" w:cs="PMingLiU" w:eastAsia="PMingLiU" w:hAnsi="PMingLiU"/>
          <w:sz w:val="19"/>
          <w:szCs w:val="19"/>
          <w:i w:val="1"/>
          <w:iCs w:val="1"/>
          <w:color w:val="auto"/>
        </w:rPr>
        <w:t>0RGH\VR</w:t>
      </w:r>
      <w:r>
        <w:rPr>
          <w:rFonts w:ascii="Times New Roman" w:cs="Times New Roman" w:eastAsia="Times New Roman" w:hAnsi="Times New Roman"/>
          <w:sz w:val="19"/>
          <w:szCs w:val="19"/>
          <w:color w:val="auto"/>
        </w:rPr>
        <w:t>Modeyso is manufactured by Adare, which is a sole source supplier. We source the API of Modeyso from</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ChemSpec USA, LLC. Adare is the sole provider of our commercial and clinical supply of Modeyso; however, we are not required to purchase Modeyso exclusively from Adare. If Adare does not or is not able to supply us with Modeyso for any reason, it may take time and resources to implement and execute the necessary technology transfer to another processor, this could be executed with a relative low technical risk and minimal risk of delay, as such this is unlikely to negatively impact our anticipated revenues from Modeyso.</w:t>
      </w:r>
    </w:p>
    <w:p>
      <w:pPr>
        <w:spacing w:after="0" w:line="77" w:lineRule="exact"/>
        <w:rPr>
          <w:sz w:val="20"/>
          <w:szCs w:val="20"/>
          <w:color w:val="auto"/>
        </w:rPr>
      </w:pPr>
    </w:p>
    <w:p>
      <w:pPr>
        <w:ind w:right="360" w:firstLine="480"/>
        <w:spacing w:after="0" w:line="260" w:lineRule="auto"/>
        <w:rPr>
          <w:sz w:val="20"/>
          <w:szCs w:val="20"/>
          <w:color w:val="auto"/>
        </w:rPr>
      </w:pPr>
      <w:r>
        <w:rPr>
          <w:rFonts w:ascii="PMingLiU" w:cs="PMingLiU" w:eastAsia="PMingLiU" w:hAnsi="PMingLiU"/>
          <w:sz w:val="19"/>
          <w:szCs w:val="19"/>
          <w:i w:val="1"/>
          <w:iCs w:val="1"/>
          <w:color w:val="auto"/>
        </w:rPr>
        <w:t>=HS]HOFD</w:t>
      </w:r>
      <w:r>
        <w:rPr>
          <w:rFonts w:ascii="Times New Roman" w:cs="Times New Roman" w:eastAsia="Times New Roman" w:hAnsi="Times New Roman"/>
          <w:sz w:val="19"/>
          <w:szCs w:val="19"/>
          <w:color w:val="auto"/>
        </w:rPr>
        <w:t>. Zepzelca is manufactured by Simtra. The current term of the agreement with Simtra will expire in</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December 2029 and will then be subject to automatic two-year extensions, unless either party provides advance notice of its intent to terminate the agreement. PharmaMar retains manufacturing rights for the API for U.S. and Canadian commercial supply of Zepzelca.</w:t>
      </w:r>
    </w:p>
    <w:p>
      <w:pPr>
        <w:spacing w:after="0" w:line="74" w:lineRule="exact"/>
        <w:rPr>
          <w:sz w:val="20"/>
          <w:szCs w:val="20"/>
          <w:color w:val="auto"/>
        </w:rPr>
      </w:pPr>
    </w:p>
    <w:p>
      <w:pPr>
        <w:ind w:right="100" w:firstLine="479"/>
        <w:spacing w:after="0" w:line="261" w:lineRule="auto"/>
        <w:rPr>
          <w:sz w:val="20"/>
          <w:szCs w:val="20"/>
          <w:color w:val="auto"/>
        </w:rPr>
      </w:pPr>
      <w:r>
        <w:rPr>
          <w:rFonts w:ascii="PMingLiU" w:cs="PMingLiU" w:eastAsia="PMingLiU" w:hAnsi="PMingLiU"/>
          <w:sz w:val="19"/>
          <w:szCs w:val="19"/>
          <w:i w:val="1"/>
          <w:iCs w:val="1"/>
          <w:color w:val="auto"/>
        </w:rPr>
        <w:t xml:space="preserve">5\OD]H </w:t>
      </w:r>
      <w:r>
        <w:rPr>
          <w:rFonts w:ascii="Times New Roman" w:cs="Times New Roman" w:eastAsia="Times New Roman" w:hAnsi="Times New Roman"/>
          <w:sz w:val="19"/>
          <w:szCs w:val="19"/>
          <w:color w:val="auto"/>
        </w:rPr>
        <w:t>Rylaze is currently manufactured by Patheon, and the API of Rylaze is manufactured by AGC Biologics A/S.</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The initial term of the agreement with Patheon expired in December 2025 and allows for automatic two-year extensions, unless either party provides advance notice of its intent to terminate the agreement. Patheon informed us that they will terminate the manufacturing agreement effective end of 2026. The initial term of the agreement with AGC Biologics A/S will expire in October 2026 and will then be subject to automatic three-year extensions, unless either party provides advance notice of its intent to terminate the agreement.</w:t>
      </w:r>
    </w:p>
    <w:p>
      <w:pPr>
        <w:spacing w:after="0" w:line="74" w:lineRule="exact"/>
        <w:rPr>
          <w:sz w:val="20"/>
          <w:szCs w:val="20"/>
          <w:color w:val="auto"/>
        </w:rPr>
      </w:pPr>
    </w:p>
    <w:p>
      <w:pPr>
        <w:ind w:right="240" w:firstLine="480"/>
        <w:spacing w:after="0" w:line="258" w:lineRule="auto"/>
        <w:rPr>
          <w:sz w:val="20"/>
          <w:szCs w:val="20"/>
          <w:color w:val="auto"/>
        </w:rPr>
      </w:pPr>
      <w:r>
        <w:rPr>
          <w:rFonts w:ascii="PMingLiU" w:cs="PMingLiU" w:eastAsia="PMingLiU" w:hAnsi="PMingLiU"/>
          <w:sz w:val="19"/>
          <w:szCs w:val="19"/>
          <w:i w:val="1"/>
          <w:iCs w:val="1"/>
          <w:color w:val="auto"/>
        </w:rPr>
        <w:t>9\[HRV</w:t>
      </w:r>
      <w:r>
        <w:rPr>
          <w:rFonts w:ascii="Times New Roman" w:cs="Times New Roman" w:eastAsia="Times New Roman" w:hAnsi="Times New Roman"/>
          <w:sz w:val="19"/>
          <w:szCs w:val="19"/>
          <w:color w:val="auto"/>
        </w:rPr>
        <w:t>Vyxeos is manufactured by Simtra, which is a sole source supplier from a single site location, using our</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CombiPlex platform. CombiPlex products 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 agreement with Simtra expires in December 2029,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w:t>
      </w:r>
    </w:p>
    <w:p>
      <w:pPr>
        <w:spacing w:after="0" w:line="75" w:lineRule="exact"/>
        <w:rPr>
          <w:sz w:val="20"/>
          <w:szCs w:val="20"/>
          <w:color w:val="auto"/>
        </w:rPr>
      </w:pPr>
    </w:p>
    <w:p>
      <w:pPr>
        <w:ind w:right="60" w:firstLine="480"/>
        <w:spacing w:after="0" w:line="257" w:lineRule="auto"/>
        <w:rPr>
          <w:sz w:val="20"/>
          <w:szCs w:val="20"/>
          <w:color w:val="auto"/>
        </w:rPr>
      </w:pPr>
      <w:r>
        <w:rPr>
          <w:rFonts w:ascii="PMingLiU" w:cs="PMingLiU" w:eastAsia="PMingLiU" w:hAnsi="PMingLiU"/>
          <w:sz w:val="19"/>
          <w:szCs w:val="19"/>
          <w:i w:val="1"/>
          <w:iCs w:val="1"/>
          <w:color w:val="auto"/>
        </w:rPr>
        <w:t xml:space="preserve">'HILWHOLR </w:t>
      </w:r>
      <w:r>
        <w:rPr>
          <w:rFonts w:ascii="Times New Roman" w:cs="Times New Roman" w:eastAsia="Times New Roman" w:hAnsi="Times New Roman"/>
          <w:sz w:val="19"/>
          <w:szCs w:val="19"/>
          <w:color w:val="auto"/>
        </w:rPr>
        <w:t>We are our own sole supplier of, and we believe that we are currently the sole worldwide producer of,</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defibrotide API. We manufacture defibrotide API from porcine DNA in a single facility located in Villa Guardia, Italy. Patheon currently processes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Product Candidates</w:t>
      </w:r>
    </w:p>
    <w:p>
      <w:pPr>
        <w:spacing w:after="0" w:line="129" w:lineRule="exact"/>
        <w:rPr>
          <w:sz w:val="20"/>
          <w:szCs w:val="20"/>
          <w:color w:val="auto"/>
        </w:rPr>
      </w:pPr>
    </w:p>
    <w:p>
      <w:pPr>
        <w:ind w:right="80" w:firstLine="480"/>
        <w:spacing w:after="0" w:line="292" w:lineRule="auto"/>
        <w:rPr>
          <w:sz w:val="20"/>
          <w:szCs w:val="20"/>
          <w:color w:val="auto"/>
        </w:rPr>
      </w:pPr>
      <w:r>
        <w:rPr>
          <w:rFonts w:ascii="Times New Roman" w:cs="Times New Roman" w:eastAsia="Times New Roman" w:hAnsi="Times New Roman"/>
          <w:sz w:val="17"/>
          <w:szCs w:val="17"/>
          <w:color w:val="auto"/>
        </w:rPr>
        <w:t>For discussion of the challenges we face with respect to supply of our products and product candidates, see the risk factor under the heading “</w:t>
      </w:r>
      <w:r>
        <w:rPr>
          <w:rFonts w:ascii="PMingLiU" w:cs="PMingLiU" w:eastAsia="PMingLiU" w:hAnsi="PMingLiU"/>
          <w:sz w:val="17"/>
          <w:szCs w:val="17"/>
          <w:i w:val="1"/>
          <w:iCs w:val="1"/>
          <w:color w:val="auto"/>
        </w:rPr>
        <w:t>'HOD\VRUSUREOHPVLQWKHVXSSO\RIRXUSURGXFWVIRUVDOHRUIRUXVHLQFOLQLFDOWULDOVORVVRIRXUVLQJOH</w:t>
      </w:r>
    </w:p>
    <w:p>
      <w:pPr>
        <w:spacing w:after="0" w:line="2" w:lineRule="exact"/>
        <w:rPr>
          <w:sz w:val="20"/>
          <w:szCs w:val="20"/>
          <w:color w:val="auto"/>
        </w:rPr>
      </w:pPr>
    </w:p>
    <w:p>
      <w:pPr>
        <w:ind w:right="580"/>
        <w:spacing w:after="0" w:line="393" w:lineRule="auto"/>
        <w:rPr>
          <w:sz w:val="20"/>
          <w:szCs w:val="20"/>
          <w:color w:val="auto"/>
        </w:rPr>
      </w:pPr>
      <w:r>
        <w:rPr>
          <w:rFonts w:ascii="PMingLiU" w:cs="PMingLiU" w:eastAsia="PMingLiU" w:hAnsi="PMingLiU"/>
          <w:sz w:val="14"/>
          <w:szCs w:val="14"/>
          <w:i w:val="1"/>
          <w:iCs w:val="1"/>
          <w:color w:val="auto"/>
        </w:rPr>
        <w:t>VRXUFHVXSSOLHUVRUIDLOXUHWRFRPSO\ZLWKPDQXIDFWXULQJUHJXODWLRQVFRXOGPDWHULDOO\DQGDGYHUVHO\DIIHFWRXUEXVLQHVV ILQDQFLDOFRQGLWLRQUHVXOWVRIRSHUDWLRQVDQGJURZWKSURVSHFWV´</w:t>
      </w:r>
      <w:r>
        <w:rPr>
          <w:rFonts w:ascii="Times New Roman" w:cs="Times New Roman" w:eastAsia="Times New Roman" w:hAnsi="Times New Roman"/>
          <w:sz w:val="14"/>
          <w:szCs w:val="14"/>
          <w:color w:val="auto"/>
        </w:rPr>
        <w:t>in Part I, Item 1A of this Annual Report on Form</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Patents and Proprietary Rights</w:t>
      </w:r>
    </w:p>
    <w:p>
      <w:pPr>
        <w:spacing w:after="0" w:line="133" w:lineRule="exact"/>
        <w:rPr>
          <w:sz w:val="20"/>
          <w:szCs w:val="20"/>
          <w:color w:val="auto"/>
        </w:rPr>
      </w:pPr>
    </w:p>
    <w:p>
      <w:pPr>
        <w:ind w:right="40" w:firstLine="480"/>
        <w:spacing w:after="0" w:line="260" w:lineRule="auto"/>
        <w:rPr>
          <w:sz w:val="20"/>
          <w:szCs w:val="20"/>
          <w:color w:val="auto"/>
        </w:rPr>
      </w:pPr>
      <w:r>
        <w:rPr>
          <w:rFonts w:ascii="Times New Roman" w:cs="Times New Roman" w:eastAsia="Times New Roman" w:hAnsi="Times New Roman"/>
          <w:sz w:val="19"/>
          <w:szCs w:val="19"/>
          <w:color w:val="auto"/>
        </w:rPr>
        <w:t>We actively seek to patent, or to acquire or obtain licenses to third party patents, to protect our products and product candidates and related inventions and improvements that we consider important to our business. We own a portfolio of U.S. and ex-U.S.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ex-U.S. countries differ from those in the U.S., and the degree of protection afforded by ex-U.S.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patents, patent applications and regulatory exclusivities that relate to our marketed products include:</w:t>
      </w:r>
    </w:p>
    <w:p>
      <w:pPr>
        <w:spacing w:after="0" w:line="130" w:lineRule="exact"/>
        <w:rPr>
          <w:sz w:val="20"/>
          <w:szCs w:val="20"/>
          <w:color w:val="auto"/>
        </w:rPr>
      </w:pPr>
    </w:p>
    <w:p>
      <w:pPr>
        <w:ind w:left="780" w:right="80" w:hanging="348"/>
        <w:spacing w:after="0" w:line="269"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 xml:space="preserve">;\ZDY </w:t>
      </w:r>
      <w:r>
        <w:rPr>
          <w:rFonts w:ascii="Times New Roman" w:cs="Times New Roman" w:eastAsia="Times New Roman" w:hAnsi="Times New Roman"/>
          <w:sz w:val="19"/>
          <w:szCs w:val="19"/>
          <w:color w:val="auto"/>
        </w:rPr>
        <w:t>We have 15 U.S. patents that relate to Xywav. These patents expire from 2033 to 2041. In addition, we have</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patent applications that relate to Xywav for use in additional indications that would, if issued, expire between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130175</wp:posOffset>
            </wp:positionV>
            <wp:extent cx="259080" cy="2546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46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3"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27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27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46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51" w:name="page152"/>
    <w:bookmarkEnd w:id="151"/>
    <w:p>
      <w:pPr>
        <w:ind w:left="840" w:right="120"/>
        <w:spacing w:after="0" w:line="259" w:lineRule="auto"/>
        <w:rPr>
          <w:sz w:val="20"/>
          <w:szCs w:val="20"/>
          <w:color w:val="auto"/>
        </w:rPr>
      </w:pPr>
      <w:r>
        <w:rPr>
          <w:rFonts w:ascii="Times New Roman" w:cs="Times New Roman" w:eastAsia="Times New Roman" w:hAnsi="Times New Roman"/>
          <w:sz w:val="19"/>
          <w:szCs w:val="19"/>
          <w:color w:val="auto"/>
        </w:rPr>
        <w:t xml:space="preserve">and 2041. Xywav has been granted ODE by FDA to treat narcolepsy through January 2028 (inclusive of six months of pediatric exclusivity) and to treat IH through August 2028. Some of our Xywav patents have been subject to patent litigation with the companies who filed ANDAs seeking to market a generic version of Xywav. For example, we received notices in June 2021, February 2023 and July 2025 that Lupin, Teva and Granules, respectively, filed ANDAs for generic versions of Xywav. In January 2026, we received notices from Tris Pharma that it had filed with FDA a Section 505(b)(2) NDA for generic versions of Xyrem and Xywav. For additional information on litigation involving these matters, see Note 13, Commitments and Contingencies-Legal Proceedings of the Notes to </w:t>
      </w:r>
      <w:r>
        <w:rPr>
          <w:rFonts w:ascii="PMingLiU" w:cs="PMingLiU" w:eastAsia="PMingLiU" w:hAnsi="PMingLiU"/>
          <w:sz w:val="19"/>
          <w:szCs w:val="19"/>
          <w:color w:val="auto"/>
        </w:rPr>
        <w:t>&amp;RQVROLGDWHG)LQDQFLDO6WDWHPHQWVLQFOXGHGLQ3DUW,9RIWKLV$QQXDO5HSRUWRQ)RUP .</w:t>
      </w:r>
    </w:p>
    <w:p>
      <w:pPr>
        <w:spacing w:after="0" w:line="78" w:lineRule="exact"/>
        <w:rPr>
          <w:sz w:val="20"/>
          <w:szCs w:val="20"/>
          <w:color w:val="auto"/>
        </w:rPr>
      </w:pPr>
    </w:p>
    <w:p>
      <w:pPr>
        <w:ind w:left="840" w:hanging="348"/>
        <w:spacing w:after="0" w:line="413"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5"/>
          <w:szCs w:val="15"/>
          <w:i w:val="1"/>
          <w:iCs w:val="1"/>
          <w:color w:val="auto"/>
        </w:rPr>
        <w:t>;\UHP</w:t>
      </w:r>
      <w:r>
        <w:rPr>
          <w:rFonts w:ascii="Times New Roman" w:cs="Times New Roman" w:eastAsia="Times New Roman" w:hAnsi="Times New Roman"/>
          <w:sz w:val="15"/>
          <w:szCs w:val="15"/>
          <w:color w:val="auto"/>
        </w:rPr>
        <w:t>. We currently have seven issued patents in the U.S. relating to Xyrem listed in the Orange Book. Our patents</w:t>
      </w:r>
      <w:r>
        <w:rPr>
          <w:rFonts w:ascii="PMingLiU" w:cs="PMingLiU" w:eastAsia="PMingLiU" w:hAnsi="PMingLiU"/>
          <w:sz w:val="15"/>
          <w:szCs w:val="15"/>
          <w:i w:val="1"/>
          <w:iCs w:val="1"/>
          <w:color w:val="auto"/>
        </w:rPr>
        <w:t xml:space="preserve"> </w:t>
      </w:r>
      <w:r>
        <w:rPr>
          <w:rFonts w:ascii="Times New Roman" w:cs="Times New Roman" w:eastAsia="Times New Roman" w:hAnsi="Times New Roman"/>
          <w:sz w:val="15"/>
          <w:szCs w:val="15"/>
          <w:color w:val="auto"/>
        </w:rPr>
        <w:t>relate to a DDI between Xyrem and divalproex sodium. In October 2018, due to FDA’s grant of pediatric exclusivity, an additional six months was added to the original expiration dates of all of our Orange Book-listed patents that existed at that time. As a result, our Orange Book-listed patents have periods of exclusivity between March and September 2033. Although we have settled all patent litigation against the ten companies that filed ANDAs seeking to market a generic version of Xyrem, additional companies may challenge our U.S. patents for Xyrem in the future. For a description of our Xyrem settlements, see the risk factor under the heading “</w:t>
      </w:r>
      <w:r>
        <w:rPr>
          <w:rFonts w:ascii="PMingLiU" w:cs="PMingLiU" w:eastAsia="PMingLiU" w:hAnsi="PMingLiU"/>
          <w:sz w:val="15"/>
          <w:szCs w:val="15"/>
          <w:i w:val="1"/>
          <w:iCs w:val="1"/>
          <w:color w:val="auto"/>
        </w:rPr>
        <w:t>7KHLQWURGXFWLRQRIQHZSURGXFWVLQ</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i w:val="1"/>
          <w:iCs w:val="1"/>
          <w:color w:val="auto"/>
        </w:rPr>
        <w:t>WKH86PDUNHWWKDWFRPSHWHZLWKRURWKHUZLVHGLVUXSWWKHPDUNHWIRURXUR[\EDWHSURGXFWVKDVDGYHUVHO\DIIHFWHG DQGPD\FRQWLQXHWRDGYHUVHO\DIIHFWVDOHVRIRXUR[\EDWHSURGXFWV</w:t>
      </w:r>
      <w:r>
        <w:rPr>
          <w:rFonts w:ascii="Times New Roman" w:cs="Times New Roman" w:eastAsia="Times New Roman" w:hAnsi="Times New Roman"/>
          <w:sz w:val="15"/>
          <w:szCs w:val="15"/>
          <w:color w:val="auto"/>
        </w:rPr>
        <w:t>” in Part I, Item 1A of this Annual Report on</w:t>
      </w:r>
      <w:r>
        <w:rPr>
          <w:rFonts w:ascii="PMingLiU" w:cs="PMingLiU" w:eastAsia="PMingLiU" w:hAnsi="PMingLiU"/>
          <w:sz w:val="15"/>
          <w:szCs w:val="15"/>
          <w:i w:val="1"/>
          <w:iCs w:val="1"/>
          <w:color w:val="auto"/>
        </w:rPr>
        <w:t xml:space="preserve"> </w:t>
      </w:r>
      <w:r>
        <w:rPr>
          <w:rFonts w:ascii="Times New Roman" w:cs="Times New Roman" w:eastAsia="Times New Roman" w:hAnsi="Times New Roman"/>
          <w:sz w:val="15"/>
          <w:szCs w:val="15"/>
          <w:color w:val="auto"/>
        </w:rPr>
        <w:t xml:space="preserve">Form </w:t>
      </w:r>
      <w:r>
        <w:rPr>
          <w:rFonts w:ascii="PMingLiU" w:cs="PMingLiU" w:eastAsia="PMingLiU" w:hAnsi="PMingLiU"/>
          <w:sz w:val="15"/>
          <w:szCs w:val="15"/>
          <w:color w:val="auto"/>
        </w:rPr>
        <w:t> .</w:t>
      </w:r>
    </w:p>
    <w:p>
      <w:pPr>
        <w:spacing w:after="0" w:line="2" w:lineRule="exact"/>
        <w:rPr>
          <w:sz w:val="20"/>
          <w:szCs w:val="20"/>
          <w:color w:val="auto"/>
        </w:rPr>
      </w:pPr>
    </w:p>
    <w:p>
      <w:pPr>
        <w:ind w:left="840" w:right="700"/>
        <w:spacing w:after="0" w:line="299" w:lineRule="auto"/>
        <w:rPr>
          <w:sz w:val="20"/>
          <w:szCs w:val="20"/>
          <w:color w:val="auto"/>
        </w:rPr>
      </w:pPr>
      <w:r>
        <w:rPr>
          <w:rFonts w:ascii="Times New Roman" w:cs="Times New Roman" w:eastAsia="Times New Roman" w:hAnsi="Times New Roman"/>
          <w:sz w:val="19"/>
          <w:szCs w:val="19"/>
          <w:color w:val="auto"/>
        </w:rPr>
        <w:t>The European Patent Office issued a method of administration patent relating to the DDI between Xyrem and divalproex sodium that expires in 2034.</w:t>
      </w:r>
    </w:p>
    <w:p>
      <w:pPr>
        <w:spacing w:after="0" w:line="37" w:lineRule="exact"/>
        <w:rPr>
          <w:sz w:val="20"/>
          <w:szCs w:val="20"/>
          <w:color w:val="auto"/>
        </w:rPr>
      </w:pPr>
    </w:p>
    <w:p>
      <w:pPr>
        <w:ind w:left="840" w:right="60" w:hanging="348"/>
        <w:spacing w:after="0" w:line="254"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(SLGLROH[</w:t>
      </w:r>
      <w:r>
        <w:rPr>
          <w:rFonts w:ascii="Times New Roman" w:cs="Times New Roman" w:eastAsia="Times New Roman" w:hAnsi="Times New Roman"/>
          <w:sz w:val="19"/>
          <w:szCs w:val="19"/>
          <w:color w:val="auto"/>
        </w:rPr>
        <w:t>Our patent portfolio relating to the use of CBD in the treatment of epileptic encephalopathies includes 32</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 xml:space="preserve">issued U.S. patents listed in the Orange Book. These patents claim the use of CBD for the treatment of convulsive, drop and atonic seizures associated with both LGS and DS, an oral composition of CBD, as well as the use of CBD in combination with clobazam, and the teaching that dose adjustment may be needed when concomitantly prescribed. The patents currently listed in the Orange Book will expire between 2035 and 2041. We have filed corresponding </w:t>
      </w:r>
      <w:r>
        <w:rPr>
          <w:rFonts w:ascii="PMingLiU" w:cs="PMingLiU" w:eastAsia="PMingLiU" w:hAnsi="PMingLiU"/>
          <w:sz w:val="19"/>
          <w:szCs w:val="19"/>
          <w:color w:val="auto"/>
        </w:rPr>
        <w:t xml:space="preserve">SDWHQWDSSOLFDWLRQVLQPDQ\MXULVGLFWLRQVZRUOGZLGHLQFOXGLQJ(XURSH8.&amp;DQDGD-DSDQ0H[LFR$XVWUDOLDDQG </w:t>
      </w:r>
      <w:r>
        <w:rPr>
          <w:rFonts w:ascii="Times New Roman" w:cs="Times New Roman" w:eastAsia="Times New Roman" w:hAnsi="Times New Roman"/>
          <w:sz w:val="19"/>
          <w:szCs w:val="19"/>
          <w:color w:val="auto"/>
        </w:rPr>
        <w:t>New Zealand. The USPTO has granted two patents based on data that demonstrates that Epidiolex provides a benefit over synthetic CBD in an animal model of epilepsy, which will expire in 2039 and which are listed in the Orange Book. Epidiolex has received ODE to treat seizures associated with LGS and DS, which expired in September 2025, and TSC, which expires in July 2027.</w:t>
      </w:r>
    </w:p>
    <w:p>
      <w:pPr>
        <w:spacing w:after="0" w:line="79" w:lineRule="exact"/>
        <w:rPr>
          <w:sz w:val="20"/>
          <w:szCs w:val="20"/>
          <w:color w:val="auto"/>
        </w:rPr>
      </w:pPr>
    </w:p>
    <w:p>
      <w:pPr>
        <w:ind w:left="840" w:right="80" w:hanging="348"/>
        <w:spacing w:after="0" w:line="259"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=LLKHUD</w:t>
      </w:r>
      <w:r>
        <w:rPr>
          <w:rFonts w:ascii="Times New Roman" w:cs="Times New Roman" w:eastAsia="Times New Roman" w:hAnsi="Times New Roman"/>
          <w:sz w:val="19"/>
          <w:szCs w:val="19"/>
          <w:color w:val="auto"/>
        </w:rPr>
        <w:t>In 2022, we obtained a license from Zymeworks BC Inc., which included rights to a portfolio of U.S. and</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ex-U.S. patents and patent applications, including compositions and methods of using Ziihera. The portfolio contains a U.S. composition of matter patent relating to Ziihera, which expires in 2034 (excluding any adjustments or extensions).</w:t>
      </w:r>
    </w:p>
    <w:p>
      <w:pPr>
        <w:spacing w:after="0" w:line="313" w:lineRule="exact"/>
        <w:rPr>
          <w:sz w:val="20"/>
          <w:szCs w:val="20"/>
          <w:color w:val="auto"/>
        </w:rPr>
      </w:pPr>
    </w:p>
    <w:p>
      <w:pPr>
        <w:ind w:left="840" w:right="180" w:hanging="348"/>
        <w:spacing w:after="0" w:line="258"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PMingLiU" w:cs="PMingLiU" w:eastAsia="PMingLiU" w:hAnsi="PMingLiU"/>
          <w:sz w:val="19"/>
          <w:szCs w:val="19"/>
          <w:i w:val="1"/>
          <w:iCs w:val="1"/>
          <w:color w:val="auto"/>
        </w:rPr>
        <w:t>0RGH\VR</w:t>
      </w:r>
      <w:r>
        <w:rPr>
          <w:rFonts w:ascii="Times New Roman" w:cs="Times New Roman" w:eastAsia="Times New Roman" w:hAnsi="Times New Roman"/>
          <w:sz w:val="19"/>
          <w:szCs w:val="19"/>
          <w:color w:val="auto"/>
        </w:rPr>
        <w:t>As a result of the Chimerix Acquisition, we acquired a portfolio of U.S. and international patents and patent applications for Modeyso, which cover methods of use and pharmaceutical formulations. There are seven patents listed in the Orange Book, with the last patent set to expire on January 30, 2037. This expiration excludes an additional two years of patent term extension, for which the application is currently pending with the USPTO. Modeyso has also received orphan drug designation and new chemical entity status, which will expire on</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August 6, 2030. ODE for Modeyso is expected and, if granted, will expire on August 6, 2032.</w:t>
      </w:r>
    </w:p>
    <w:p>
      <w:pPr>
        <w:spacing w:after="0" w:line="105" w:lineRule="exact"/>
        <w:rPr>
          <w:sz w:val="20"/>
          <w:szCs w:val="20"/>
          <w:color w:val="auto"/>
        </w:rPr>
      </w:pPr>
    </w:p>
    <w:p>
      <w:pPr>
        <w:ind w:left="840" w:right="60" w:hanging="348"/>
        <w:spacing w:after="0" w:line="256" w:lineRule="auto"/>
        <w:tabs>
          <w:tab w:leader="none" w:pos="820" w:val="left"/>
        </w:tabs>
        <w:rPr>
          <w:sz w:val="20"/>
          <w:szCs w:val="20"/>
          <w:color w:val="auto"/>
        </w:rPr>
      </w:pP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
      </w:r>
      <w:r>
        <w:rPr>
          <w:sz w:val="20"/>
          <w:szCs w:val="20"/>
          <w:color w:val="auto"/>
        </w:rPr>
        <w:tab/>
      </w:r>
      <w:r>
        <w:rPr>
          <w:rFonts w:ascii="PMingLiU" w:cs="PMingLiU" w:eastAsia="PMingLiU" w:hAnsi="PMingLiU"/>
          <w:sz w:val="19"/>
          <w:szCs w:val="19"/>
          <w:i w:val="1"/>
          <w:iCs w:val="1"/>
          <w:color w:val="auto"/>
        </w:rPr>
        <w:t>=HS]HOFD</w:t>
      </w:r>
      <w:r>
        <w:rPr>
          <w:rFonts w:ascii="Times New Roman" w:cs="Times New Roman" w:eastAsia="Times New Roman" w:hAnsi="Times New Roman"/>
          <w:sz w:val="19"/>
          <w:szCs w:val="19"/>
          <w:color w:val="auto"/>
        </w:rPr>
        <w:t>. In December 2019, we entered into an exclusive license agreement with PharmaMar pursuant to which we</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obtained exclusive U.S. 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Orange Book listed U.S. patent (expiring in 2029, with granted patent term extension) covers a genus of compounds, including lurbinectedin, and use in treating various cancers. A request for extension (CSP) has also been filed in Canada. Zepzelca has also been granted ODE for the treatment of adults with metastatic SCLC with disease progression on or after platinum-based chemotherapy until 2027 and new chemical entity exclusivity, which expired in 2025. In October 2025, we received approval for Zepzelca in a second indication, as a first-line maintenance treatment for adults with ES-SCLC in combination use of lurbinectedin with atezolizumab. ODE for the second indication is anticipated, which if granted, would expire in October 2032. In July and August 2024, we received notices from various ANDA filers that they have each filed with FDA an ANDA for a generic version of Zepzelca. In September 2024, we filed patent infringement suits against these ANDA filers. For a description of this litigation, see “Zepzelca Patent Litigation” in Note 13, Commitments and Contingencies-Legal Proceedings of the Notes to Consolidated Financial Statements, included in Part IV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217170</wp:posOffset>
            </wp:positionV>
            <wp:extent cx="259080" cy="2546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46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28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46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60"/>
          </w:cols>
          <w:pgMar w:left="900" w:top="839" w:right="919" w:bottom="0" w:gutter="0" w:footer="0" w:header="0"/>
        </w:sectPr>
      </w:pPr>
    </w:p>
    <w:bookmarkStart w:id="152" w:name="page153"/>
    <w:bookmarkEnd w:id="152"/>
    <w:p>
      <w:pPr>
        <w:ind w:left="780" w:right="40"/>
        <w:spacing w:after="0" w:line="368" w:lineRule="auto"/>
        <w:rPr>
          <w:sz w:val="20"/>
          <w:szCs w:val="20"/>
          <w:color w:val="auto"/>
        </w:rPr>
      </w:pPr>
      <w:r>
        <w:rPr>
          <w:rFonts w:ascii="PMingLiU" w:cs="PMingLiU" w:eastAsia="PMingLiU" w:hAnsi="PMingLiU"/>
          <w:sz w:val="16"/>
          <w:szCs w:val="16"/>
          <w:color w:val="auto"/>
        </w:rPr>
        <w:t xml:space="preserve">$QQXDO5HSRUWRQ)RUP .$VDUHVXOWRIWKHVHODZVXLWVZHH[SHFWWKDWDVWD\RIDSSURYDORIXSWRPRQWKVZLOO </w:t>
      </w:r>
      <w:r>
        <w:rPr>
          <w:rFonts w:ascii="Times New Roman" w:cs="Times New Roman" w:eastAsia="Times New Roman" w:hAnsi="Times New Roman"/>
          <w:sz w:val="16"/>
          <w:szCs w:val="16"/>
          <w:color w:val="auto"/>
        </w:rPr>
        <w:t>be imposed by FDA on these ANDA filers.</w:t>
      </w:r>
    </w:p>
    <w:p>
      <w:pPr>
        <w:spacing w:after="0" w:line="1" w:lineRule="exact"/>
        <w:rPr>
          <w:sz w:val="20"/>
          <w:szCs w:val="20"/>
          <w:color w:val="auto"/>
        </w:rPr>
      </w:pPr>
    </w:p>
    <w:p>
      <w:pPr>
        <w:ind w:left="780" w:right="260" w:hanging="348"/>
        <w:spacing w:after="0" w:line="246"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5\OD]H</w:t>
      </w:r>
      <w:r>
        <w:rPr>
          <w:rFonts w:ascii="Times New Roman" w:cs="Times New Roman" w:eastAsia="Times New Roman" w:hAnsi="Times New Roman"/>
          <w:sz w:val="19"/>
          <w:szCs w:val="19"/>
          <w:color w:val="auto"/>
        </w:rPr>
        <w:t>. In 2016, we obtained worldwide rights from Pfenex, including Pfenex’s patent rights relating to Rylaze, to</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develop and commercialize multiple early-stage hematology product candidates, including a license to two U.S. process patents relating to Rylaze, with respective expirations in 2026 and 2038. Pfenex has been acquired by Ligand. Rylaze has been granted orphan drug designation for the treatment of patients with ALL or LBL. We have two patent application families relating to dosing regimens. One covers the dosing regimen (25mg/m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intramuscularly every 48 hours), while the other covers various dosing regimens of interest. If issued, these would expire in 2040 and 2042, respectively. Another patent application relating to formulations of asparaginase would expire in 2042, if issued.</w:t>
      </w:r>
    </w:p>
    <w:p>
      <w:pPr>
        <w:spacing w:after="0" w:line="91" w:lineRule="exact"/>
        <w:rPr>
          <w:sz w:val="20"/>
          <w:szCs w:val="20"/>
          <w:color w:val="auto"/>
        </w:rPr>
      </w:pPr>
    </w:p>
    <w:p>
      <w:pPr>
        <w:ind w:left="780" w:right="120" w:hanging="348"/>
        <w:spacing w:after="0" w:line="255"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i w:val="1"/>
          <w:iCs w:val="1"/>
          <w:color w:val="auto"/>
        </w:rPr>
        <w:t>9\[HRV</w:t>
      </w:r>
      <w:r>
        <w:rPr>
          <w:rFonts w:ascii="Times New Roman" w:cs="Times New Roman" w:eastAsia="Times New Roman" w:hAnsi="Times New Roman"/>
          <w:sz w:val="19"/>
          <w:szCs w:val="19"/>
          <w:color w:val="auto"/>
        </w:rPr>
        <w:t>We have a portfolio of U.S. and ex-U.S. patents and patent applications for Vyxeos and the CombiPlex</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platform relating to various compositions and methods of making and use. These include six Orange Book listed U.S. patents covering Vyxeos compositions and methods of use expiring between 2026 and 2033 (including pediatric extensions) and two U.S. patents covering CombiPlex (which also cover Vyxeos) expiring in July 2027 (including pediatric extensions). In March 2021, FDA approved an expanded label for Vyxeos for the treatment of t-AML or AML-MRC in pediatric patients 1 year and older. In addition, Vyxeos was granted OME by the EC until</w:t>
      </w:r>
    </w:p>
    <w:p>
      <w:pPr>
        <w:spacing w:after="0" w:line="3" w:lineRule="exact"/>
        <w:rPr>
          <w:sz w:val="20"/>
          <w:szCs w:val="20"/>
          <w:color w:val="auto"/>
        </w:rPr>
      </w:pPr>
    </w:p>
    <w:p>
      <w:pPr>
        <w:ind w:left="780" w:right="100"/>
        <w:spacing w:after="0" w:line="263" w:lineRule="auto"/>
        <w:rPr>
          <w:sz w:val="20"/>
          <w:szCs w:val="20"/>
          <w:color w:val="auto"/>
        </w:rPr>
      </w:pPr>
      <w:r>
        <w:rPr>
          <w:rFonts w:ascii="Times New Roman" w:cs="Times New Roman" w:eastAsia="Times New Roman" w:hAnsi="Times New Roman"/>
          <w:sz w:val="19"/>
          <w:szCs w:val="19"/>
          <w:color w:val="auto"/>
        </w:rPr>
        <w:t>August 2028, ten years from its EC approval for the treatment of adults with newly-diagnosed t-AML or AML-MRC. Vyxeos was approved by Health Canada for treatment of adults with newly diagnosed t-AML or AML-MRC in April 2021. Vyxeos was approved in March 2024 in Japan and designated as an orphan drug.</w:t>
      </w:r>
    </w:p>
    <w:p>
      <w:pPr>
        <w:spacing w:after="0" w:line="71" w:lineRule="exact"/>
        <w:rPr>
          <w:sz w:val="20"/>
          <w:szCs w:val="20"/>
          <w:color w:val="auto"/>
        </w:rPr>
      </w:pPr>
    </w:p>
    <w:p>
      <w:pPr>
        <w:ind w:left="780" w:right="60" w:hanging="348"/>
        <w:spacing w:after="0" w:line="360" w:lineRule="auto"/>
        <w:rPr>
          <w:sz w:val="20"/>
          <w:szCs w:val="20"/>
          <w:color w:val="auto"/>
        </w:rPr>
      </w:pPr>
      <w:r>
        <w:rPr>
          <w:rFonts w:ascii="Times New Roman" w:cs="Times New Roman" w:eastAsia="Times New Roman" w:hAnsi="Times New Roman"/>
          <w:sz w:val="16"/>
          <w:szCs w:val="16"/>
          <w:color w:val="auto"/>
        </w:rPr>
        <w:t>•</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Defitelio</w:t>
      </w:r>
      <w:r>
        <w:rPr>
          <w:rFonts w:ascii="Times New Roman" w:cs="Times New Roman" w:eastAsia="Times New Roman" w:hAnsi="Times New Roman"/>
          <w:sz w:val="16"/>
          <w:szCs w:val="16"/>
          <w:color w:val="auto"/>
        </w:rPr>
        <w:t>. The unique process of deriving defibrotide from porcine DNA is extensive and uses both chemical and biological processes that rely on complex characterization methods. We have U.S. and ex-U.S. patents and patent applications relating to various compositions, methods of use and methods of characterization, with the issued patents expiring at various times between 2021 and 2035. Three U.S. patents are listed in the Orange Book. In December 2024, FDA accepted an ANDA from Almaject for a generic version of Defitelio. We received notice by Almaject of this ANDA filing in March 2025. In April 2025, we filed a patent infringement lawsuit against Almaject. For a description of this litigation, see “</w:t>
      </w:r>
      <w:r>
        <w:rPr>
          <w:rFonts w:ascii="Times New Roman" w:cs="Times New Roman" w:eastAsia="Times New Roman" w:hAnsi="Times New Roman"/>
          <w:sz w:val="16"/>
          <w:szCs w:val="16"/>
          <w:i w:val="1"/>
          <w:iCs w:val="1"/>
          <w:color w:val="auto"/>
        </w:rPr>
        <w:t>Defitelio Patent Litigation</w:t>
      </w:r>
      <w:r>
        <w:rPr>
          <w:rFonts w:ascii="Times New Roman" w:cs="Times New Roman" w:eastAsia="Times New Roman" w:hAnsi="Times New Roman"/>
          <w:sz w:val="16"/>
          <w:szCs w:val="16"/>
          <w:color w:val="auto"/>
        </w:rPr>
        <w:t xml:space="preserve">” in Note 13, Commitments and Contingencies-Legal Proceedings of the Notes to Consolidated Financial Statements, included in Part IV of this Annual Report on </w:t>
      </w:r>
      <w:r>
        <w:rPr>
          <w:rFonts w:ascii="PMingLiU" w:cs="PMingLiU" w:eastAsia="PMingLiU" w:hAnsi="PMingLiU"/>
          <w:sz w:val="16"/>
          <w:szCs w:val="16"/>
          <w:color w:val="auto"/>
        </w:rPr>
        <w:t>)RUP .$VDUHVXOWRIWKLVODZVXLWZHH[SHFWWKDWDVWD\RIDSSURYDORIXSWR</w:t>
      </w:r>
      <w:r>
        <w:rPr>
          <w:rFonts w:ascii="Times New Roman" w:cs="Times New Roman" w:eastAsia="Times New Roman" w:hAnsi="Times New Roman"/>
          <w:sz w:val="16"/>
          <w:szCs w:val="16"/>
          <w:color w:val="auto"/>
        </w:rPr>
        <w:t>30 months will be imposed by FDA</w:t>
      </w:r>
      <w:r>
        <w:rPr>
          <w:rFonts w:ascii="PMingLiU" w:cs="PMingLiU" w:eastAsia="PMingLiU" w:hAnsi="PMingLiU"/>
          <w:sz w:val="16"/>
          <w:szCs w:val="16"/>
          <w:color w:val="auto"/>
        </w:rPr>
        <w:t xml:space="preserve"> RQ$OPDMHFW¶V$1'$'HILEURWLGHKDVDOVREHHQJUDQWHGRUSKDQGUXJGHVLJQDWLRQE\WKH.RUHDQ0LQLVWU\RI)RRG </w:t>
      </w:r>
      <w:r>
        <w:rPr>
          <w:rFonts w:ascii="Times New Roman" w:cs="Times New Roman" w:eastAsia="Times New Roman" w:hAnsi="Times New Roman"/>
          <w:sz w:val="16"/>
          <w:szCs w:val="16"/>
          <w:color w:val="auto"/>
        </w:rPr>
        <w:t>and Drug Safety to treat and prevent VOD, by the Commonwealth of Australia-Department of Health for the treatment of VOD and by the EC for the prevention of acute Graft-versus-Host Disease. We acquired the rights to defibrotide for the treatment and prevention of VOD in North America, Central America and South America from Sigma-Tau Pharmaceuticals, Inc. in 2014.</w:t>
      </w:r>
    </w:p>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patents and/or patent applications that relate to our product candidates include:</w:t>
      </w:r>
    </w:p>
    <w:p>
      <w:pPr>
        <w:spacing w:after="0" w:line="130" w:lineRule="exact"/>
        <w:rPr>
          <w:sz w:val="20"/>
          <w:szCs w:val="20"/>
          <w:color w:val="auto"/>
        </w:rPr>
      </w:pPr>
    </w:p>
    <w:p>
      <w:pPr>
        <w:ind w:left="780" w:right="24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PMingLiU" w:cs="PMingLiU" w:eastAsia="PMingLiU" w:hAnsi="PMingLiU"/>
          <w:sz w:val="19"/>
          <w:szCs w:val="19"/>
          <w:i w:val="1"/>
          <w:iCs w:val="1"/>
          <w:color w:val="auto"/>
        </w:rPr>
        <w:t>-=3</w:t>
      </w:r>
      <w:r>
        <w:rPr>
          <w:rFonts w:ascii="Times New Roman" w:cs="Times New Roman" w:eastAsia="Times New Roman" w:hAnsi="Times New Roman"/>
          <w:sz w:val="19"/>
          <w:szCs w:val="19"/>
          <w:color w:val="auto"/>
        </w:rPr>
        <w:t>. Through a collaboration agreement and an asset purchase agreement with Redx in 2019, we acquired a portfolio of U.S. and ex-U.S. patents and patent applications, including rights relating to compositions and methods of using JZP815. The portfolio contains a U.S. composition of matter patent relating to JZP815, which expires in 2035 (excluding any adjustments or extensions).</w:t>
      </w:r>
    </w:p>
    <w:p>
      <w:pPr>
        <w:spacing w:after="0" w:line="69" w:lineRule="exact"/>
        <w:rPr>
          <w:sz w:val="20"/>
          <w:szCs w:val="20"/>
          <w:color w:val="auto"/>
        </w:rPr>
      </w:pPr>
    </w:p>
    <w:p>
      <w:pPr>
        <w:ind w:left="780" w:right="4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PMingLiU" w:cs="PMingLiU" w:eastAsia="PMingLiU" w:hAnsi="PMingLiU"/>
          <w:sz w:val="19"/>
          <w:szCs w:val="19"/>
          <w:i w:val="1"/>
          <w:iCs w:val="1"/>
          <w:color w:val="auto"/>
        </w:rPr>
        <w:t>-=3</w:t>
      </w:r>
      <w:r>
        <w:rPr>
          <w:rFonts w:ascii="Times New Roman" w:cs="Times New Roman" w:eastAsia="Times New Roman" w:hAnsi="Times New Roman"/>
          <w:sz w:val="19"/>
          <w:szCs w:val="19"/>
          <w:color w:val="auto"/>
        </w:rPr>
        <w:t>. Through a license agreement with Werewolf in 2022, we obtained a license to a portfolio of U.S. and ex-U.S. patents and patent applications, including rights relating to compositions and methods of using JZP898. The portfolio contains a U.S. composition of matter patent relating to JZP898, which, if granted, expires in 2040 (excluding any adjustments or extensions).</w:t>
      </w:r>
    </w:p>
    <w:p>
      <w:pPr>
        <w:spacing w:after="0" w:line="69" w:lineRule="exact"/>
        <w:rPr>
          <w:sz w:val="20"/>
          <w:szCs w:val="20"/>
          <w:color w:val="auto"/>
        </w:rPr>
      </w:pPr>
    </w:p>
    <w:p>
      <w:pPr>
        <w:ind w:right="40" w:firstLine="480"/>
        <w:spacing w:after="0" w:line="265" w:lineRule="auto"/>
        <w:rPr>
          <w:sz w:val="20"/>
          <w:szCs w:val="20"/>
          <w:color w:val="auto"/>
        </w:rPr>
      </w:pPr>
      <w:r>
        <w:rPr>
          <w:rFonts w:ascii="Times New Roman" w:cs="Times New Roman" w:eastAsia="Times New Roman" w:hAnsi="Times New Roman"/>
          <w:sz w:val="19"/>
          <w:szCs w:val="19"/>
          <w:color w:val="auto"/>
        </w:rPr>
        <w:t xml:space="preserve">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w:t>
      </w:r>
      <w:r>
        <w:rPr>
          <w:rFonts w:ascii="PMingLiU" w:cs="PMingLiU" w:eastAsia="PMingLiU" w:hAnsi="PMingLiU"/>
          <w:sz w:val="19"/>
          <w:szCs w:val="19"/>
          <w:color w:val="auto"/>
        </w:rPr>
        <w:t> .</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33" w:lineRule="exact"/>
        <w:rPr>
          <w:sz w:val="20"/>
          <w:szCs w:val="20"/>
          <w:color w:val="auto"/>
        </w:rPr>
      </w:pPr>
    </w:p>
    <w:p>
      <w:pPr>
        <w:ind w:right="380" w:firstLine="480"/>
        <w:spacing w:after="0" w:line="266" w:lineRule="auto"/>
        <w:rPr>
          <w:sz w:val="20"/>
          <w:szCs w:val="20"/>
          <w:color w:val="auto"/>
        </w:rPr>
      </w:pPr>
      <w:r>
        <w:rPr>
          <w:rFonts w:ascii="Times New Roman" w:cs="Times New Roman" w:eastAsia="Times New Roman" w:hAnsi="Times New Roman"/>
          <w:sz w:val="19"/>
          <w:szCs w:val="19"/>
          <w:color w:val="auto"/>
        </w:rPr>
        <w:t>As a global pharmaceutical company, our activities are subject to extensive regulation in the U.S., Europe and other countries where we do business. Regulatory requirements encompass the entire life cycle of pharmaceutical products, from R&amp;D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428625</wp:posOffset>
            </wp:positionV>
            <wp:extent cx="259080" cy="2546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47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29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29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47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53" w:name="page154"/>
    <w:bookmarkEnd w:id="153"/>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Testing and Approval of Pharmaceutical Products</w:t>
      </w:r>
    </w:p>
    <w:p>
      <w:pPr>
        <w:spacing w:after="0" w:line="129" w:lineRule="exact"/>
        <w:rPr>
          <w:sz w:val="20"/>
          <w:szCs w:val="20"/>
          <w:color w:val="auto"/>
        </w:rPr>
      </w:pPr>
    </w:p>
    <w:p>
      <w:pPr>
        <w:ind w:left="60" w:right="180" w:firstLine="480"/>
        <w:spacing w:after="0" w:line="264" w:lineRule="auto"/>
        <w:rPr>
          <w:sz w:val="20"/>
          <w:szCs w:val="20"/>
          <w:color w:val="auto"/>
        </w:rPr>
      </w:pPr>
      <w:r>
        <w:rPr>
          <w:rFonts w:ascii="Times New Roman" w:cs="Times New Roman" w:eastAsia="Times New Roman" w:hAnsi="Times New Roman"/>
          <w:sz w:val="19"/>
          <w:szCs w:val="19"/>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71" w:lineRule="exact"/>
        <w:rPr>
          <w:sz w:val="20"/>
          <w:szCs w:val="20"/>
          <w:color w:val="auto"/>
        </w:rPr>
      </w:pPr>
    </w:p>
    <w:p>
      <w:pPr>
        <w:ind w:left="60" w:right="360" w:firstLine="480"/>
        <w:spacing w:after="0" w:line="299" w:lineRule="auto"/>
        <w:rPr>
          <w:sz w:val="20"/>
          <w:szCs w:val="20"/>
          <w:color w:val="auto"/>
        </w:rPr>
      </w:pPr>
      <w:r>
        <w:rPr>
          <w:rFonts w:ascii="Times New Roman" w:cs="Times New Roman" w:eastAsia="Times New Roman" w:hAnsi="Times New Roman"/>
          <w:sz w:val="19"/>
          <w:szCs w:val="19"/>
          <w:color w:val="auto"/>
        </w:rPr>
        <w:t>In the U.S., FDA reviews and, if warranted, approves applications for marketing approval. The process for obtaining marketing approval in the U.S. for a drug or biologic product candidate generally includes:</w:t>
      </w:r>
    </w:p>
    <w:p>
      <w:pPr>
        <w:spacing w:after="0" w:line="37" w:lineRule="exact"/>
        <w:rPr>
          <w:sz w:val="20"/>
          <w:szCs w:val="20"/>
          <w:color w:val="auto"/>
        </w:rPr>
      </w:pPr>
    </w:p>
    <w:p>
      <w:pPr>
        <w:ind w:left="8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conducting preclinical laboratory and animal testing and submitting the results to FDA in an IND application requesting approval to test the product candidate in human clinical trials;</w:t>
      </w:r>
    </w:p>
    <w:p>
      <w:pPr>
        <w:spacing w:after="0" w:line="46" w:lineRule="exact"/>
        <w:rPr>
          <w:sz w:val="20"/>
          <w:szCs w:val="20"/>
          <w:color w:val="auto"/>
        </w:rPr>
      </w:pPr>
    </w:p>
    <w:p>
      <w:pPr>
        <w:ind w:left="840" w:right="6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conducting adequate and well-controlled human clinical trials to establish the safety and efficacy of the product candidate in the desired indication;</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submitting an NDA, sNDA, BLA or sBLA as appropriate, to FDA seeking approval for a specific indication; and</w:t>
      </w:r>
    </w:p>
    <w:p>
      <w:pPr>
        <w:spacing w:after="0" w:line="118" w:lineRule="exact"/>
        <w:rPr>
          <w:sz w:val="20"/>
          <w:szCs w:val="20"/>
          <w:color w:val="auto"/>
        </w:rPr>
      </w:pPr>
    </w:p>
    <w:p>
      <w:pPr>
        <w:jc w:val="both"/>
        <w:ind w:left="840" w:right="20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completing inspections by FDA of the facilities where the product candidate is manufactured, analyzed and stored to demonstrate compliance with cGMP, and any requested FDA audits of the clinical trial sites that generated the data supporting the application.</w:t>
      </w:r>
    </w:p>
    <w:p>
      <w:pPr>
        <w:spacing w:after="0" w:line="64" w:lineRule="exact"/>
        <w:rPr>
          <w:sz w:val="20"/>
          <w:szCs w:val="20"/>
          <w:color w:val="auto"/>
        </w:rPr>
      </w:pPr>
    </w:p>
    <w:p>
      <w:pPr>
        <w:ind w:left="60" w:right="80" w:firstLine="480"/>
        <w:spacing w:after="0" w:line="260" w:lineRule="auto"/>
        <w:rPr>
          <w:sz w:val="20"/>
          <w:szCs w:val="20"/>
          <w:color w:val="auto"/>
        </w:rPr>
      </w:pPr>
      <w:r>
        <w:rPr>
          <w:rFonts w:ascii="Times New Roman" w:cs="Times New Roman" w:eastAsia="Times New Roman" w:hAnsi="Times New Roman"/>
          <w:sz w:val="19"/>
          <w:szCs w:val="19"/>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74" w:lineRule="exact"/>
        <w:rPr>
          <w:sz w:val="20"/>
          <w:szCs w:val="20"/>
          <w:color w:val="auto"/>
        </w:rPr>
      </w:pPr>
    </w:p>
    <w:p>
      <w:pPr>
        <w:ind w:left="60" w:right="20" w:firstLine="480"/>
        <w:spacing w:after="0" w:line="264" w:lineRule="auto"/>
        <w:rPr>
          <w:sz w:val="20"/>
          <w:szCs w:val="20"/>
          <w:color w:val="auto"/>
        </w:rPr>
      </w:pPr>
      <w:r>
        <w:rPr>
          <w:rFonts w:ascii="Times New Roman" w:cs="Times New Roman" w:eastAsia="Times New Roman" w:hAnsi="Times New Roman"/>
          <w:sz w:val="19"/>
          <w:szCs w:val="19"/>
          <w:color w:val="auto"/>
        </w:rPr>
        <w:t>Once an NDA, sNDA, BLA or sBLA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PDUFA for a new molecular entity, FDA has ten months from the filing decision in which to complete its initial review of a standard application and respond to the applicant, and six months from the filing decision for a priority application. FDA does not always meet its PDUFA goal dates, and in certain circumstances, the PDUFA goal date may be extended.</w:t>
      </w:r>
    </w:p>
    <w:p>
      <w:pPr>
        <w:spacing w:after="0" w:line="71" w:lineRule="exact"/>
        <w:rPr>
          <w:sz w:val="20"/>
          <w:szCs w:val="20"/>
          <w:color w:val="auto"/>
        </w:rPr>
      </w:pPr>
    </w:p>
    <w:p>
      <w:pPr>
        <w:ind w:left="60" w:firstLine="480"/>
        <w:spacing w:after="0" w:line="259" w:lineRule="auto"/>
        <w:rPr>
          <w:sz w:val="20"/>
          <w:szCs w:val="20"/>
          <w:color w:val="auto"/>
        </w:rPr>
      </w:pPr>
      <w:r>
        <w:rPr>
          <w:rFonts w:ascii="Times New Roman" w:cs="Times New Roman" w:eastAsia="Times New Roman" w:hAnsi="Times New Roman"/>
          <w:sz w:val="19"/>
          <w:szCs w:val="19"/>
          <w:color w:val="auto"/>
        </w:rPr>
        <w:t xml:space="preserve">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In addition, a PRV may be used to obtain priority review by FDA for one of our future regulatory submissions. Modeyso was also granted fast track designations and priority review for the treatment of adult and pediatric patients 1 year of age and older with diffuse midline glioma harboring an </w:t>
      </w:r>
      <w:r>
        <w:rPr>
          <w:rFonts w:ascii="PMingLiU" w:cs="PMingLiU" w:eastAsia="PMingLiU" w:hAnsi="PMingLiU"/>
          <w:sz w:val="19"/>
          <w:szCs w:val="19"/>
          <w:color w:val="auto"/>
        </w:rPr>
        <w:t>+.0PXWDWLRQZKLFKZDVJUDQWHGDFFHOHUDWHGDSSURYDOLQ$XJXVW</w:t>
      </w:r>
    </w:p>
    <w:p>
      <w:pPr>
        <w:spacing w:after="0" w:line="79" w:lineRule="exact"/>
        <w:rPr>
          <w:sz w:val="20"/>
          <w:szCs w:val="20"/>
          <w:color w:val="auto"/>
        </w:rPr>
      </w:pPr>
    </w:p>
    <w:p>
      <w:pPr>
        <w:ind w:left="60" w:right="320" w:firstLine="480"/>
        <w:spacing w:after="0" w:line="261" w:lineRule="auto"/>
        <w:rPr>
          <w:sz w:val="20"/>
          <w:szCs w:val="20"/>
          <w:color w:val="auto"/>
        </w:rPr>
      </w:pPr>
      <w:r>
        <w:rPr>
          <w:rFonts w:ascii="Times New Roman" w:cs="Times New Roman" w:eastAsia="Times New Roman" w:hAnsi="Times New Roman"/>
          <w:sz w:val="19"/>
          <w:szCs w:val="19"/>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78" w:lineRule="exact"/>
        <w:rPr>
          <w:sz w:val="20"/>
          <w:szCs w:val="20"/>
          <w:color w:val="auto"/>
        </w:rPr>
      </w:pPr>
    </w:p>
    <w:p>
      <w:pPr>
        <w:ind w:left="60" w:right="240" w:firstLine="480"/>
        <w:spacing w:after="0" w:line="277" w:lineRule="auto"/>
        <w:rPr>
          <w:sz w:val="20"/>
          <w:szCs w:val="20"/>
          <w:color w:val="auto"/>
        </w:rPr>
      </w:pPr>
      <w:r>
        <w:rPr>
          <w:rFonts w:ascii="Times New Roman" w:cs="Times New Roman" w:eastAsia="Times New Roman" w:hAnsi="Times New Roman"/>
          <w:sz w:val="19"/>
          <w:szCs w:val="19"/>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125730</wp:posOffset>
            </wp:positionV>
            <wp:extent cx="259080" cy="2546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47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30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47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41" w:right="999" w:bottom="0" w:gutter="0" w:footer="0" w:header="0"/>
        </w:sectPr>
      </w:pPr>
    </w:p>
    <w:bookmarkStart w:id="154" w:name="page155"/>
    <w:bookmarkEnd w:id="154"/>
    <w:p>
      <w:pPr>
        <w:ind w:right="200"/>
        <w:spacing w:after="0" w:line="325" w:lineRule="auto"/>
        <w:rPr>
          <w:sz w:val="20"/>
          <w:szCs w:val="20"/>
          <w:color w:val="auto"/>
        </w:rPr>
      </w:pPr>
      <w:r>
        <w:rPr>
          <w:rFonts w:ascii="Times New Roman" w:cs="Times New Roman" w:eastAsia="Times New Roman" w:hAnsi="Times New Roman"/>
          <w:sz w:val="16"/>
          <w:szCs w:val="16"/>
          <w:color w:val="auto"/>
        </w:rPr>
        <w:t xml:space="preserve">document a clinical benefit in the case of products approved under accelerated approval regulations. FDA granted accelerated approval to Zepzelca for relapsed SCLC based on data from a Phase 2 trial and to Modeyso for diffuse midline glioma </w:t>
      </w:r>
      <w:r>
        <w:rPr>
          <w:rFonts w:ascii="PMingLiU" w:cs="PMingLiU" w:eastAsia="PMingLiU" w:hAnsi="PMingLiU"/>
          <w:sz w:val="16"/>
          <w:szCs w:val="16"/>
          <w:color w:val="auto"/>
        </w:rPr>
        <w:t xml:space="preserve">KDUERULQJDQ+.0PXWDWLRQZLWKSURJUHVVLYHGLVHDVHVIROORZLQJSULRUWKHUDS\ERWKDSSURYDOVDUHFRQWLQJHQWXSRQ </w:t>
      </w:r>
      <w:r>
        <w:rPr>
          <w:rFonts w:ascii="Times New Roman" w:cs="Times New Roman" w:eastAsia="Times New Roman" w:hAnsi="Times New Roman"/>
          <w:sz w:val="16"/>
          <w:szCs w:val="16"/>
          <w:color w:val="auto"/>
        </w:rPr>
        <w:t>verification and description of clinical benefit in a post-marketing clinical trial.</w:t>
      </w:r>
    </w:p>
    <w:p>
      <w:pPr>
        <w:spacing w:after="0" w:line="22" w:lineRule="exact"/>
        <w:rPr>
          <w:sz w:val="20"/>
          <w:szCs w:val="20"/>
          <w:color w:val="auto"/>
        </w:rPr>
      </w:pPr>
    </w:p>
    <w:p>
      <w:pPr>
        <w:ind w:right="140" w:firstLine="480"/>
        <w:spacing w:after="0" w:line="459" w:lineRule="auto"/>
        <w:rPr>
          <w:sz w:val="20"/>
          <w:szCs w:val="20"/>
          <w:color w:val="auto"/>
        </w:rPr>
      </w:pPr>
      <w:r>
        <w:rPr>
          <w:rFonts w:ascii="Times New Roman" w:cs="Times New Roman" w:eastAsia="Times New Roman" w:hAnsi="Times New Roman"/>
          <w:sz w:val="14"/>
          <w:szCs w:val="14"/>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ETASU. Xywav and Xyrem are required to have a REMS. For more discussion regarding the Xywav and Xyrem REMS, see the risk factors under the headings “</w:t>
      </w:r>
      <w:r>
        <w:rPr>
          <w:rFonts w:ascii="PMingLiU" w:cs="PMingLiU" w:eastAsia="PMingLiU" w:hAnsi="PMingLiU"/>
          <w:sz w:val="14"/>
          <w:szCs w:val="14"/>
          <w:i w:val="1"/>
          <w:iCs w:val="1"/>
          <w:color w:val="auto"/>
        </w:rPr>
        <w:t>7KHGLVWULEXWLRQDQGVDOHRIRXUR[\EDWHSURGXFWVDUHVXEMHFWWRVLJQLILFDQWUHJXODWRU\UHVWULFWLRQV</w:t>
      </w:r>
      <w:r>
        <w:rPr>
          <w:rFonts w:ascii="Times New Roman" w:cs="Times New Roman" w:eastAsia="Times New Roman" w:hAnsi="Times New Roman"/>
          <w:sz w:val="14"/>
          <w:szCs w:val="14"/>
          <w:color w:val="auto"/>
        </w:rPr>
        <w:t xml:space="preserve"> </w:t>
      </w:r>
      <w:r>
        <w:rPr>
          <w:rFonts w:ascii="PMingLiU" w:cs="PMingLiU" w:eastAsia="PMingLiU" w:hAnsi="PMingLiU"/>
          <w:sz w:val="14"/>
          <w:szCs w:val="14"/>
          <w:i w:val="1"/>
          <w:iCs w:val="1"/>
          <w:color w:val="auto"/>
        </w:rPr>
        <w:t>LQFOXGLQJWKHUHTXLUHPHQWVRID5(06DQGWKHVHUHJXODWRU\UHTXLUHPHQWVVXEMHFWXVWRULVNVDQGXQFHUWDLQWLHVDQ\RIZKLFK FRXOGQHJDWLYHO\LPSDFWVDOHVRI;\ZDYDQG;\UHP</w:t>
      </w:r>
      <w:r>
        <w:rPr>
          <w:rFonts w:ascii="Times New Roman" w:cs="Times New Roman" w:eastAsia="Times New Roman" w:hAnsi="Times New Roman"/>
          <w:sz w:val="14"/>
          <w:szCs w:val="14"/>
          <w:color w:val="auto"/>
        </w:rPr>
        <w:t>” and “Risks Related to Our Intellectual Property” in Part I, Item 1A of this</w:t>
      </w:r>
      <w:r>
        <w:rPr>
          <w:rFonts w:ascii="PMingLiU" w:cs="PMingLiU" w:eastAsia="PMingLiU" w:hAnsi="PMingLiU"/>
          <w:sz w:val="14"/>
          <w:szCs w:val="14"/>
          <w:i w:val="1"/>
          <w:iCs w:val="1"/>
          <w:color w:val="auto"/>
        </w:rPr>
        <w:t xml:space="preserve"> </w:t>
      </w:r>
      <w:r>
        <w:rPr>
          <w:rFonts w:ascii="Times New Roman" w:cs="Times New Roman" w:eastAsia="Times New Roman" w:hAnsi="Times New Roman"/>
          <w:sz w:val="14"/>
          <w:szCs w:val="14"/>
          <w:color w:val="auto"/>
        </w:rPr>
        <w:t xml:space="preserve">Annual Report on Form </w:t>
      </w:r>
      <w:r>
        <w:rPr>
          <w:rFonts w:ascii="PMingLiU" w:cs="PMingLiU" w:eastAsia="PMingLiU" w:hAnsi="PMingLiU"/>
          <w:sz w:val="14"/>
          <w:szCs w:val="14"/>
          <w:color w:val="auto"/>
        </w:rPr>
        <w:t> .</w:t>
      </w:r>
    </w:p>
    <w:p>
      <w:pPr>
        <w:spacing w:after="0" w:line="3" w:lineRule="exact"/>
        <w:rPr>
          <w:sz w:val="20"/>
          <w:szCs w:val="20"/>
          <w:color w:val="auto"/>
        </w:rPr>
      </w:pPr>
    </w:p>
    <w:p>
      <w:pPr>
        <w:ind w:right="200" w:firstLine="480"/>
        <w:spacing w:after="0" w:line="270" w:lineRule="auto"/>
        <w:rPr>
          <w:sz w:val="20"/>
          <w:szCs w:val="20"/>
          <w:color w:val="auto"/>
        </w:rPr>
      </w:pPr>
      <w:r>
        <w:rPr>
          <w:rFonts w:ascii="Times New Roman" w:cs="Times New Roman" w:eastAsia="Times New Roman" w:hAnsi="Times New Roman"/>
          <w:sz w:val="19"/>
          <w:szCs w:val="19"/>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w:t>
      </w:r>
    </w:p>
    <w:p>
      <w:pPr>
        <w:spacing w:after="0" w:line="64" w:lineRule="exact"/>
        <w:rPr>
          <w:sz w:val="20"/>
          <w:szCs w:val="20"/>
          <w:color w:val="auto"/>
        </w:rPr>
      </w:pPr>
    </w:p>
    <w:p>
      <w:pPr>
        <w:ind w:right="100" w:firstLine="480"/>
        <w:spacing w:after="0" w:line="378" w:lineRule="auto"/>
        <w:rPr>
          <w:sz w:val="20"/>
          <w:szCs w:val="20"/>
          <w:color w:val="auto"/>
        </w:rPr>
      </w:pPr>
      <w:r>
        <w:rPr>
          <w:rFonts w:ascii="Times New Roman" w:cs="Times New Roman" w:eastAsia="Times New Roman" w:hAnsi="Times New Roman"/>
          <w:sz w:val="14"/>
          <w:szCs w:val="14"/>
          <w:color w:val="auto"/>
        </w:rPr>
        <w:t xml:space="preserve">In the EU, there are several procedures for requesting marketing authorization which can be more efficient than applying for authorization on a country-by-country basis. There is a “centralized” procedure allowing submission of a single MAA to EMA. If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w:t>
      </w:r>
      <w:r>
        <w:rPr>
          <w:rFonts w:ascii="PMingLiU" w:cs="PMingLiU" w:eastAsia="PMingLiU" w:hAnsi="PMingLiU"/>
          <w:sz w:val="14"/>
          <w:szCs w:val="14"/>
          <w:color w:val="auto"/>
        </w:rPr>
        <w:t xml:space="preserve">8.¶VZLWKGUDZDOIURPWKH(8RQ-DQXDU\FRPPRQO\UHIHUUHGWRDV%UH[LWKDVFUHDWHGXQFHUWDLQW\FRQFHUQLQJWKH IXWXUHUHODWLRQVKLSEHWZHHQWKH8.DQGWKH(8$PRQJWKHFKDQJHVWKDWKDYHKDGDGLUHFWLPSDFWDUHWKDW*UHDW%ULWDLQ </w:t>
      </w:r>
      <w:r>
        <w:rPr>
          <w:rFonts w:ascii="Times New Roman" w:cs="Times New Roman" w:eastAsia="Times New Roman" w:hAnsi="Times New Roman"/>
          <w:sz w:val="14"/>
          <w:szCs w:val="14"/>
          <w:color w:val="auto"/>
        </w:rPr>
        <w:t xml:space="preserve">(England, Scotland and Wales) is now treated as a third country. To mitigate the immediate impact of this in December 2020, </w:t>
      </w:r>
      <w:r>
        <w:rPr>
          <w:rFonts w:ascii="PMingLiU" w:cs="PMingLiU" w:eastAsia="PMingLiU" w:hAnsi="PMingLiU"/>
          <w:sz w:val="14"/>
          <w:szCs w:val="14"/>
          <w:color w:val="auto"/>
        </w:rPr>
        <w:t xml:space="preserve">WKH(8DQG8.UHDFKHGDQDJUHHPHQWLQSULQFLSOHRQWKHIUDPHZRUNIRUWKHLUIXWXUHUHODWLRQVKLSWKH7&amp;$:LWKUHJDUGWR(8 UHJXODWLRQV1RUWKHUQ,UHODQGFRQWLQXHVWRIROORZWKH(8UHJXODWRU\UXOHV$VSDUWRIWKH7&amp;$WKH(8DQGWKH8.UHFRJQL]H </w:t>
      </w:r>
      <w:r>
        <w:rPr>
          <w:rFonts w:ascii="Times New Roman" w:cs="Times New Roman" w:eastAsia="Times New Roman" w:hAnsi="Times New Roman"/>
          <w:sz w:val="14"/>
          <w:szCs w:val="14"/>
          <w:color w:val="auto"/>
        </w:rPr>
        <w:t xml:space="preserve">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w:t>
      </w:r>
      <w:r>
        <w:rPr>
          <w:rFonts w:ascii="PMingLiU" w:cs="PMingLiU" w:eastAsia="PMingLiU" w:hAnsi="PMingLiU"/>
          <w:sz w:val="14"/>
          <w:szCs w:val="14"/>
          <w:color w:val="auto"/>
        </w:rPr>
        <w:t>DQGEDWFKUHOHDVH7KH8.KDVXQLODWHUDOO\DJUHHGWRDFFHSW(8EDWFKWHVWLQJDQGEDWFKUHOHDVHWKHUHLVDOLVWRIDSSURYH</w:t>
      </w:r>
      <w:r>
        <w:rPr>
          <w:rFonts w:ascii="Times New Roman" w:cs="Times New Roman" w:eastAsia="Times New Roman" w:hAnsi="Times New Roman"/>
          <w:sz w:val="14"/>
          <w:szCs w:val="14"/>
          <w:color w:val="auto"/>
        </w:rPr>
        <w:t>d</w:t>
      </w:r>
      <w:r>
        <w:rPr>
          <w:rFonts w:ascii="PMingLiU" w:cs="PMingLiU" w:eastAsia="PMingLiU" w:hAnsi="PMingLiU"/>
          <w:sz w:val="14"/>
          <w:szCs w:val="14"/>
          <w:color w:val="auto"/>
        </w:rPr>
        <w:t xml:space="preserve"> FRXQWULHVIRULPSRUWLQWR*UHDW%ULWDLQFXUUHQWO\LQFOXGLQJ(8DQG(($FRXQWULHVZKLFKUHTXLUHQRLPSRUWWHVWLQJRU8. </w:t>
      </w:r>
      <w:r>
        <w:rPr>
          <w:rFonts w:ascii="Times New Roman" w:cs="Times New Roman" w:eastAsia="Times New Roman" w:hAnsi="Times New Roman"/>
          <w:sz w:val="14"/>
          <w:szCs w:val="14"/>
          <w:color w:val="auto"/>
        </w:rPr>
        <w:t xml:space="preserve">“qualified person” release certification. However, the EU continues to apply EU laws that require batch testing and batch </w:t>
      </w:r>
      <w:r>
        <w:rPr>
          <w:rFonts w:ascii="PMingLiU" w:cs="PMingLiU" w:eastAsia="PMingLiU" w:hAnsi="PMingLiU"/>
          <w:sz w:val="14"/>
          <w:szCs w:val="14"/>
          <w:color w:val="auto"/>
        </w:rPr>
        <w:t>UHOHDVHWRWDNHSODFHLQWKH(8WHUULWRU\7KLVPHDQVWKDWPHGLFLQDOSURGXFWVWKDWDUHWHVWHGDQGUHOHDVHGLQWKH8.PXVW</w:t>
      </w:r>
      <w:r>
        <w:rPr>
          <w:rFonts w:ascii="Times New Roman" w:cs="Times New Roman" w:eastAsia="Times New Roman" w:hAnsi="Times New Roman"/>
          <w:sz w:val="14"/>
          <w:szCs w:val="14"/>
          <w:color w:val="auto"/>
        </w:rPr>
        <w:t>be</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200" w:lineRule="exact"/>
        <w:rPr>
          <w:sz w:val="20"/>
          <w:szCs w:val="20"/>
          <w:color w:val="auto"/>
        </w:rPr>
      </w:pPr>
    </w:p>
    <w:p>
      <w:pPr>
        <w:spacing w:after="0" w:line="320" w:lineRule="exact"/>
        <w:rPr>
          <w:sz w:val="20"/>
          <w:szCs w:val="20"/>
          <w:color w:val="auto"/>
        </w:rPr>
      </w:pPr>
    </w:p>
    <w:p>
      <w:pPr>
        <w:ind w:right="60" w:firstLine="480"/>
        <w:spacing w:after="0" w:line="266" w:lineRule="auto"/>
        <w:rPr>
          <w:sz w:val="20"/>
          <w:szCs w:val="20"/>
          <w:color w:val="auto"/>
        </w:rPr>
      </w:pPr>
      <w:r>
        <w:rPr>
          <w:rFonts w:ascii="Times New Roman" w:cs="Times New Roman" w:eastAsia="Times New Roman" w:hAnsi="Times New Roman"/>
          <w:sz w:val="19"/>
          <w:szCs w:val="19"/>
          <w:color w:val="auto"/>
        </w:rPr>
        <w:t>The maximum timeframe for the evaluation of a MAA in the EU under the centralized procedure is 210 days, subject to certain exceptions and clock stops. An initial marketing authorization granted in the EU is valid for five years, with renewal subject to re-evaluation of the risk-benefit profile of the medicinal product. Once renewed, the authorization is usually valid for an unlimited period unless the national competent authority or the EC decides on justified grounds to proceed with one additional five-year renewal.</w:t>
      </w:r>
    </w:p>
    <w:p>
      <w:pPr>
        <w:spacing w:after="0" w:line="70" w:lineRule="exact"/>
        <w:rPr>
          <w:sz w:val="20"/>
          <w:szCs w:val="20"/>
          <w:color w:val="auto"/>
        </w:rPr>
      </w:pPr>
    </w:p>
    <w:p>
      <w:pPr>
        <w:ind w:right="40" w:firstLine="480"/>
        <w:spacing w:after="0" w:line="260" w:lineRule="auto"/>
        <w:rPr>
          <w:sz w:val="20"/>
          <w:szCs w:val="20"/>
          <w:color w:val="auto"/>
        </w:rPr>
      </w:pPr>
      <w:r>
        <w:rPr>
          <w:rFonts w:ascii="Times New Roman" w:cs="Times New Roman" w:eastAsia="Times New Roman" w:hAnsi="Times New Roman"/>
          <w:sz w:val="19"/>
          <w:szCs w:val="19"/>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137795</wp:posOffset>
            </wp:positionV>
            <wp:extent cx="259080" cy="2546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47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3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31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31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47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55" w:name="page156"/>
    <w:bookmarkEnd w:id="155"/>
    <w:p>
      <w:pPr>
        <w:ind w:left="60" w:right="140"/>
        <w:spacing w:after="0" w:line="277" w:lineRule="auto"/>
        <w:rPr>
          <w:sz w:val="20"/>
          <w:szCs w:val="20"/>
          <w:color w:val="auto"/>
        </w:rPr>
      </w:pPr>
      <w:r>
        <w:rPr>
          <w:rFonts w:ascii="Times New Roman" w:cs="Times New Roman" w:eastAsia="Times New Roman" w:hAnsi="Times New Roman"/>
          <w:sz w:val="19"/>
          <w:szCs w:val="19"/>
          <w:color w:val="auto"/>
        </w:rPr>
        <w:t>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58" w:lineRule="exact"/>
        <w:rPr>
          <w:sz w:val="20"/>
          <w:szCs w:val="20"/>
          <w:color w:val="auto"/>
        </w:rPr>
      </w:pPr>
    </w:p>
    <w:p>
      <w:pPr>
        <w:ind w:left="60" w:right="100" w:firstLine="480"/>
        <w:spacing w:after="0" w:line="264" w:lineRule="auto"/>
        <w:rPr>
          <w:sz w:val="20"/>
          <w:szCs w:val="20"/>
          <w:color w:val="auto"/>
        </w:rPr>
      </w:pPr>
      <w:r>
        <w:rPr>
          <w:rFonts w:ascii="Times New Roman" w:cs="Times New Roman" w:eastAsia="Times New Roman" w:hAnsi="Times New Roman"/>
          <w:sz w:val="19"/>
          <w:szCs w:val="19"/>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71" w:lineRule="exact"/>
        <w:rPr>
          <w:sz w:val="20"/>
          <w:szCs w:val="20"/>
          <w:color w:val="auto"/>
        </w:rPr>
      </w:pPr>
    </w:p>
    <w:p>
      <w:pPr>
        <w:ind w:left="60" w:right="160" w:firstLine="480"/>
        <w:spacing w:after="0" w:line="264" w:lineRule="auto"/>
        <w:rPr>
          <w:sz w:val="20"/>
          <w:szCs w:val="20"/>
          <w:color w:val="auto"/>
        </w:rPr>
      </w:pPr>
      <w:r>
        <w:rPr>
          <w:rFonts w:ascii="Times New Roman" w:cs="Times New Roman" w:eastAsia="Times New Roman" w:hAnsi="Times New Roman"/>
          <w:sz w:val="19"/>
          <w:szCs w:val="19"/>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Manufacture of Pharmaceutical Products</w:t>
      </w:r>
    </w:p>
    <w:p>
      <w:pPr>
        <w:spacing w:after="0" w:line="129"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73" w:lineRule="exact"/>
        <w:rPr>
          <w:sz w:val="20"/>
          <w:szCs w:val="20"/>
          <w:color w:val="auto"/>
        </w:rPr>
      </w:pPr>
    </w:p>
    <w:p>
      <w:pPr>
        <w:ind w:left="60" w:right="260" w:firstLine="480"/>
        <w:spacing w:after="0" w:line="263" w:lineRule="auto"/>
        <w:rPr>
          <w:sz w:val="20"/>
          <w:szCs w:val="20"/>
          <w:color w:val="auto"/>
        </w:rPr>
      </w:pPr>
      <w:r>
        <w:rPr>
          <w:rFonts w:ascii="Times New Roman" w:cs="Times New Roman" w:eastAsia="Times New Roman" w:hAnsi="Times New Roman"/>
          <w:sz w:val="19"/>
          <w:szCs w:val="19"/>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 of Pharmaceutical Products</w:t>
      </w:r>
    </w:p>
    <w:p>
      <w:pPr>
        <w:spacing w:after="0" w:line="133"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$GYHUWLVLQJDQG3URPRWLRQDO$FWLYLWLHV</w:t>
      </w:r>
    </w:p>
    <w:p>
      <w:pPr>
        <w:spacing w:after="0" w:line="117" w:lineRule="exact"/>
        <w:rPr>
          <w:sz w:val="20"/>
          <w:szCs w:val="20"/>
          <w:color w:val="auto"/>
        </w:rPr>
      </w:pPr>
    </w:p>
    <w:p>
      <w:pPr>
        <w:ind w:left="60" w:right="60" w:firstLine="480"/>
        <w:spacing w:after="0" w:line="263" w:lineRule="auto"/>
        <w:rPr>
          <w:sz w:val="20"/>
          <w:szCs w:val="20"/>
          <w:color w:val="auto"/>
        </w:rPr>
      </w:pPr>
      <w:r>
        <w:rPr>
          <w:rFonts w:ascii="Times New Roman" w:cs="Times New Roman" w:eastAsia="Times New Roman" w:hAnsi="Times New Roman"/>
          <w:sz w:val="19"/>
          <w:szCs w:val="19"/>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70"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SmPC as approved by the competent authorities in connection with a marketing authorization. The SmPC is the document describing the properties and the officially approved conditions of use of a medicine and providing information to physicians concerning the safe and effective use of the medicinal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431165</wp:posOffset>
            </wp:positionV>
            <wp:extent cx="259080" cy="2546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47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32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47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9" w:right="999" w:bottom="0" w:gutter="0" w:footer="0" w:header="0"/>
        </w:sectPr>
      </w:pPr>
    </w:p>
    <w:bookmarkStart w:id="156" w:name="page157"/>
    <w:bookmarkEnd w:id="156"/>
    <w:p>
      <w:pPr>
        <w:ind w:left="480"/>
        <w:spacing w:after="0"/>
        <w:rPr>
          <w:sz w:val="20"/>
          <w:szCs w:val="20"/>
          <w:color w:val="auto"/>
        </w:rPr>
      </w:pPr>
      <w:r>
        <w:rPr>
          <w:rFonts w:ascii="PMingLiU" w:cs="PMingLiU" w:eastAsia="PMingLiU" w:hAnsi="PMingLiU"/>
          <w:sz w:val="19"/>
          <w:szCs w:val="19"/>
          <w:i w:val="1"/>
          <w:iCs w:val="1"/>
          <w:color w:val="auto"/>
        </w:rPr>
        <w:t>)UDXGDQG$EXVH</w:t>
      </w:r>
    </w:p>
    <w:p>
      <w:pPr>
        <w:spacing w:after="0" w:line="117" w:lineRule="exact"/>
        <w:rPr>
          <w:sz w:val="20"/>
          <w:szCs w:val="20"/>
          <w:color w:val="auto"/>
        </w:rPr>
      </w:pPr>
    </w:p>
    <w:p>
      <w:pPr>
        <w:ind w:right="60" w:firstLine="480"/>
        <w:spacing w:after="0" w:line="338" w:lineRule="auto"/>
        <w:rPr>
          <w:sz w:val="20"/>
          <w:szCs w:val="20"/>
          <w:color w:val="auto"/>
        </w:rPr>
      </w:pPr>
      <w:r>
        <w:rPr>
          <w:rFonts w:ascii="Times New Roman" w:cs="Times New Roman" w:eastAsia="Times New Roman" w:hAnsi="Times New Roman"/>
          <w:sz w:val="16"/>
          <w:szCs w:val="16"/>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w:t>
      </w:r>
      <w:r>
        <w:rPr>
          <w:rFonts w:ascii="PMingLiU" w:cs="PMingLiU" w:eastAsia="PMingLiU" w:hAnsi="PMingLiU"/>
          <w:sz w:val="16"/>
          <w:szCs w:val="16"/>
          <w:color w:val="auto"/>
        </w:rPr>
        <w:t>.LFNEDFN6WDWXWHSURKLELWVDPRQJRWKHUWKLQJV</w:t>
      </w:r>
      <w:r>
        <w:rPr>
          <w:rFonts w:ascii="Times New Roman" w:cs="Times New Roman" w:eastAsia="Times New Roman" w:hAnsi="Times New Roman"/>
          <w:sz w:val="16"/>
          <w:szCs w:val="16"/>
          <w:color w:val="auto"/>
        </w:rPr>
        <w:t xml:space="preserve">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DOJ and the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the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w:t>
      </w:r>
      <w:r>
        <w:rPr>
          <w:rFonts w:ascii="PMingLiU" w:cs="PMingLiU" w:eastAsia="PMingLiU" w:hAnsi="PMingLiU"/>
          <w:sz w:val="16"/>
          <w:szCs w:val="16"/>
          <w:color w:val="auto"/>
        </w:rPr>
        <w:t>.LFNEDFN6WDWXWHPD\EHHVWDEOLVKHGZLWKRXWSURYLGLQJVSHFLILFLQWHQWWRYLRODWHWKHVWDWXWHDQGPD\EH</w:t>
      </w:r>
      <w:r>
        <w:rPr>
          <w:rFonts w:ascii="Times New Roman" w:cs="Times New Roman" w:eastAsia="Times New Roman" w:hAnsi="Times New Roman"/>
          <w:sz w:val="16"/>
          <w:szCs w:val="16"/>
          <w:color w:val="auto"/>
        </w:rPr>
        <w:t xml:space="preserve"> punishable by civil, criminal, and administrative fines and penalties, damages, imprisonment, and/or exclusion from participation in federal healthcare programs.</w:t>
      </w:r>
    </w:p>
    <w:p>
      <w:pPr>
        <w:spacing w:after="0" w:line="286"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or fraudulent claim for payment of federal funds, or knowingly making, or causing to be made, a false record or statement to get a false claim paid. A claim resulting from a violation of the federal Anti-</w:t>
      </w:r>
      <w:r>
        <w:rPr>
          <w:rFonts w:ascii="PMingLiU" w:cs="PMingLiU" w:eastAsia="PMingLiU" w:hAnsi="PMingLiU"/>
          <w:sz w:val="18"/>
          <w:szCs w:val="18"/>
          <w:color w:val="auto"/>
        </w:rPr>
        <w:t>.LFNEDFN6WDWXWHFRQVWLWXWHVDIDOVH</w:t>
      </w:r>
      <w:r>
        <w:rPr>
          <w:rFonts w:ascii="Times New Roman" w:cs="Times New Roman" w:eastAsia="Times New Roman" w:hAnsi="Times New Roman"/>
          <w:sz w:val="18"/>
          <w:szCs w:val="18"/>
          <w:color w:val="auto"/>
        </w:rPr>
        <w:t xml:space="preserv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60"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9"/>
          <w:szCs w:val="19"/>
          <w:color w:val="auto"/>
        </w:rPr>
        <w:t>Pharmaceutical companies are subject to other federal false claim and statements laws, some of which extend to non-government health benefit programs. For example, the healthcare fraud provisions under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70"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9"/>
          <w:szCs w:val="19"/>
          <w:color w:val="auto"/>
        </w:rPr>
        <w:t>The majority of individual states also have statutes or regulations similar to the federal Anti-</w:t>
      </w:r>
      <w:r>
        <w:rPr>
          <w:rFonts w:ascii="PMingLiU" w:cs="PMingLiU" w:eastAsia="PMingLiU" w:hAnsi="PMingLiU"/>
          <w:sz w:val="19"/>
          <w:szCs w:val="19"/>
          <w:color w:val="auto"/>
        </w:rPr>
        <w:t>.LFNEDFN6WDWXWHDQGWKH</w:t>
      </w:r>
      <w:r>
        <w:rPr>
          <w:rFonts w:ascii="Times New Roman" w:cs="Times New Roman" w:eastAsia="Times New Roman" w:hAnsi="Times New Roman"/>
          <w:sz w:val="19"/>
          <w:szCs w:val="19"/>
          <w:color w:val="auto"/>
        </w:rPr>
        <w:t xml:space="preserv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Other Post-Approval Pharmaceutical Product Regulation</w:t>
      </w:r>
    </w:p>
    <w:p>
      <w:pPr>
        <w:spacing w:after="0" w:line="133" w:lineRule="exact"/>
        <w:rPr>
          <w:sz w:val="20"/>
          <w:szCs w:val="20"/>
          <w:color w:val="auto"/>
        </w:rPr>
      </w:pPr>
    </w:p>
    <w:p>
      <w:pPr>
        <w:ind w:left="480"/>
        <w:spacing w:after="0"/>
        <w:rPr>
          <w:sz w:val="20"/>
          <w:szCs w:val="20"/>
          <w:color w:val="auto"/>
        </w:rPr>
      </w:pPr>
      <w:r>
        <w:rPr>
          <w:rFonts w:ascii="PMingLiU" w:cs="PMingLiU" w:eastAsia="PMingLiU" w:hAnsi="PMingLiU"/>
          <w:sz w:val="19"/>
          <w:szCs w:val="19"/>
          <w:i w:val="1"/>
          <w:iCs w:val="1"/>
          <w:color w:val="auto"/>
        </w:rPr>
        <w:t>6DIHW\5HSRUWLQJ3KDUPDFRYLJLODQFH</w:t>
      </w:r>
    </w:p>
    <w:p>
      <w:pPr>
        <w:spacing w:after="0" w:line="117"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FDA,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135255</wp:posOffset>
            </wp:positionV>
            <wp:extent cx="259080" cy="2546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47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3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33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33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47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43" w:right="919" w:bottom="0" w:gutter="0" w:footer="0" w:header="0"/>
        </w:sectPr>
      </w:pPr>
    </w:p>
    <w:bookmarkStart w:id="157" w:name="page158"/>
    <w:bookmarkEnd w:id="157"/>
    <w:p>
      <w:pPr>
        <w:ind w:left="60" w:right="160" w:firstLine="480"/>
        <w:spacing w:after="0" w:line="261" w:lineRule="auto"/>
        <w:rPr>
          <w:sz w:val="20"/>
          <w:szCs w:val="20"/>
          <w:color w:val="auto"/>
        </w:rPr>
      </w:pPr>
      <w:r>
        <w:rPr>
          <w:rFonts w:ascii="Times New Roman" w:cs="Times New Roman" w:eastAsia="Times New Roman" w:hAnsi="Times New Roman"/>
          <w:sz w:val="19"/>
          <w:szCs w:val="19"/>
          <w:color w:val="auto"/>
        </w:rPr>
        <w:t>FDA and the competent authorities of the EU member states on behalf of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EMA’s Pharmacovigilance Risk Assessment Committee may propose to the CHMP that the marketing authorization holder be required to take specific steps. Non-compliance can lead to the variation, suspension or withdrawal of marketing authorization or imposition of financial penalties or other enforcement measures.</w:t>
      </w:r>
    </w:p>
    <w:p>
      <w:pPr>
        <w:spacing w:after="0" w:line="82"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6XQVKLQH$FWDQG7UDQVSDUHQF\/DZV</w:t>
      </w:r>
    </w:p>
    <w:p>
      <w:pPr>
        <w:spacing w:after="0" w:line="117" w:lineRule="exact"/>
        <w:rPr>
          <w:sz w:val="20"/>
          <w:szCs w:val="20"/>
          <w:color w:val="auto"/>
        </w:rPr>
      </w:pP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The Sunshine provisions require tracking of payments and transfers of value to physicians and teaching hospitals and ownership interests held by physicians and their families, and reporting to the federal government and public disclosure of these data. Since 2022, reporting has been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70" w:lineRule="exact"/>
        <w:rPr>
          <w:sz w:val="20"/>
          <w:szCs w:val="20"/>
          <w:color w:val="auto"/>
        </w:rPr>
      </w:pPr>
    </w:p>
    <w:p>
      <w:pPr>
        <w:ind w:left="60" w:right="80" w:firstLine="480"/>
        <w:spacing w:after="0" w:line="260" w:lineRule="auto"/>
        <w:rPr>
          <w:sz w:val="20"/>
          <w:szCs w:val="20"/>
          <w:color w:val="auto"/>
        </w:rPr>
      </w:pPr>
      <w:r>
        <w:rPr>
          <w:rFonts w:ascii="Times New Roman" w:cs="Times New Roman" w:eastAsia="Times New Roman" w:hAnsi="Times New Roman"/>
          <w:sz w:val="19"/>
          <w:szCs w:val="19"/>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82"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&amp;RQWUROOHG6XEVWDQFH5HJXODWLRQV</w:t>
      </w:r>
    </w:p>
    <w:p>
      <w:pPr>
        <w:spacing w:after="0" w:line="117" w:lineRule="exact"/>
        <w:rPr>
          <w:sz w:val="20"/>
          <w:szCs w:val="20"/>
          <w:color w:val="auto"/>
        </w:rPr>
      </w:pPr>
    </w:p>
    <w:p>
      <w:pPr>
        <w:ind w:left="60" w:firstLine="480"/>
        <w:spacing w:after="0" w:line="259" w:lineRule="auto"/>
        <w:rPr>
          <w:sz w:val="20"/>
          <w:szCs w:val="20"/>
          <w:color w:val="auto"/>
        </w:rPr>
      </w:pPr>
      <w:r>
        <w:rPr>
          <w:rFonts w:ascii="Times New Roman" w:cs="Times New Roman" w:eastAsia="Times New Roman" w:hAnsi="Times New Roman"/>
          <w:sz w:val="19"/>
          <w:szCs w:val="19"/>
          <w:color w:val="auto"/>
        </w:rPr>
        <w:t>The DEA is the U.S. federal agency responsible for domestic enforcement of the federal CSA and similar state and foreign laws based on the drug’s potential for abuse, among other factors. Controlled substances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drug products are regulated as Schedule III controlled substances. Certain product candidates we are developing contain controlled substances as defined in the CSA. Drug products approved by FDA that contain cannabis or cannabis extracts may be controlled substances and, if so, will be rescheduled to Schedules II-V after approval or, like Epidiolex, removed completely from the schedules by operation of other laws.</w:t>
      </w:r>
    </w:p>
    <w:p>
      <w:pPr>
        <w:spacing w:after="0" w:line="78" w:lineRule="exact"/>
        <w:rPr>
          <w:sz w:val="20"/>
          <w:szCs w:val="20"/>
          <w:color w:val="auto"/>
        </w:rPr>
      </w:pPr>
    </w:p>
    <w:p>
      <w:pPr>
        <w:ind w:left="60" w:right="40" w:firstLine="480"/>
        <w:spacing w:after="0" w:line="263" w:lineRule="auto"/>
        <w:rPr>
          <w:sz w:val="20"/>
          <w:szCs w:val="20"/>
          <w:color w:val="auto"/>
        </w:rPr>
      </w:pPr>
      <w:r>
        <w:rPr>
          <w:rFonts w:ascii="Times New Roman" w:cs="Times New Roman" w:eastAsia="Times New Roman" w:hAnsi="Times New Roman"/>
          <w:sz w:val="19"/>
          <w:szCs w:val="19"/>
          <w:color w:val="auto"/>
        </w:rPr>
        <w:t>The DEA limits the quantity of certain Schedule I and II controlled substances that may be manufactured and procured in the U.S. in any given calendar year through a quota system and, as a result, quotas from the DEA are required in order to manufacture and procure oxybate salts in the U.S. Accordingly, we require DEA quotas for Siegfried, our U.S. based sodium oxybate supplier, to manufacture sodium oxybate and for Patheon, our U.S.-based Xyrem supplier, to procure sodium oxybate from Siegfried in order to manufacture and supply us with Xyrem drug product. We also require DEA quotas for Patheon to manufacture and procure the API of Xywav oxybate salt. Xywav and Xyrem manufactured at our plant in Ireland enter the U.S. as Schedule III drugs and therefore do not require a DEA manufacturing or procurement quota.</w:t>
      </w:r>
    </w:p>
    <w:p>
      <w:pPr>
        <w:spacing w:after="0" w:line="70" w:lineRule="exact"/>
        <w:rPr>
          <w:sz w:val="20"/>
          <w:szCs w:val="20"/>
          <w:color w:val="auto"/>
        </w:rPr>
      </w:pPr>
    </w:p>
    <w:p>
      <w:pPr>
        <w:ind w:left="60" w:right="80" w:firstLine="480"/>
        <w:spacing w:after="0" w:line="263" w:lineRule="auto"/>
        <w:rPr>
          <w:sz w:val="20"/>
          <w:szCs w:val="20"/>
          <w:color w:val="auto"/>
        </w:rPr>
      </w:pPr>
      <w:r>
        <w:rPr>
          <w:rFonts w:ascii="Times New Roman" w:cs="Times New Roman" w:eastAsia="Times New Roman" w:hAnsi="Times New Roman"/>
          <w:sz w:val="19"/>
          <w:szCs w:val="19"/>
          <w:color w:val="auto"/>
        </w:rPr>
        <w:t>As Schedule III drugs, Xywav and Xyrem are also subject to DEA and state regulations relating to the importation, manufacturing, storage, distribution and physician prescription procedures, including limitations on prescription refills. In addition, the third parties who perform certain activities related to our products that contain controlled substances, including manufacturing, distributing, dispensing and conducting clinical studies for Xywav and Xyrem, are required to maintain necessary DEA registrations and state licenses and comply with federal and state controlled substance requirements. The DEA periodically inspects facilities for compliance with its rules and regulations. For all controlled substances, there are potential criminal and civil penalties that apply for the failure to meet applicable legal requirements, and, in general,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280670</wp:posOffset>
            </wp:positionV>
            <wp:extent cx="259080" cy="2546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48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34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48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58" w:name="page159"/>
    <w:bookmarkEnd w:id="158"/>
    <w:p>
      <w:pPr>
        <w:ind w:right="760"/>
        <w:spacing w:after="0" w:line="299" w:lineRule="auto"/>
        <w:rPr>
          <w:sz w:val="20"/>
          <w:szCs w:val="20"/>
          <w:color w:val="auto"/>
        </w:rPr>
      </w:pPr>
      <w:r>
        <w:rPr>
          <w:rFonts w:ascii="Times New Roman" w:cs="Times New Roman" w:eastAsia="Times New Roman" w:hAnsi="Times New Roman"/>
          <w:sz w:val="19"/>
          <w:szCs w:val="19"/>
          <w:color w:val="auto"/>
        </w:rPr>
        <w:t>professionals may be required to have a federal and/or state license in order to handle, prescribe, or dispense controlled substances.</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Other Regulations</w:t>
      </w:r>
    </w:p>
    <w:p>
      <w:pPr>
        <w:spacing w:after="0" w:line="127" w:lineRule="exact"/>
        <w:rPr>
          <w:sz w:val="20"/>
          <w:szCs w:val="20"/>
          <w:color w:val="auto"/>
        </w:rPr>
      </w:pPr>
    </w:p>
    <w:p>
      <w:pPr>
        <w:ind w:right="140" w:firstLine="480"/>
        <w:spacing w:after="0" w:line="264" w:lineRule="auto"/>
        <w:rPr>
          <w:sz w:val="20"/>
          <w:szCs w:val="20"/>
          <w:color w:val="auto"/>
        </w:rPr>
      </w:pPr>
      <w:r>
        <w:rPr>
          <w:rFonts w:ascii="Times New Roman" w:cs="Times New Roman" w:eastAsia="Times New Roman" w:hAnsi="Times New Roman"/>
          <w:sz w:val="19"/>
          <w:szCs w:val="19"/>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Anti-Corruption Legislation</w:t>
      </w:r>
    </w:p>
    <w:p>
      <w:pPr>
        <w:spacing w:after="0" w:line="129" w:lineRule="exact"/>
        <w:rPr>
          <w:sz w:val="20"/>
          <w:szCs w:val="20"/>
          <w:color w:val="auto"/>
        </w:rPr>
      </w:pPr>
    </w:p>
    <w:p>
      <w:pPr>
        <w:ind w:right="20" w:firstLine="480"/>
        <w:spacing w:after="0" w:line="322" w:lineRule="auto"/>
        <w:rPr>
          <w:sz w:val="20"/>
          <w:szCs w:val="20"/>
          <w:color w:val="auto"/>
        </w:rPr>
      </w:pPr>
      <w:r>
        <w:rPr>
          <w:rFonts w:ascii="Times New Roman" w:cs="Times New Roman" w:eastAsia="Times New Roman" w:hAnsi="Times New Roman"/>
          <w:sz w:val="15"/>
          <w:szCs w:val="15"/>
          <w:color w:val="auto"/>
        </w:rPr>
        <w:t xml:space="preserve">Our business activities outside of the U.S. are subject to the FCPA, and similar anti-bribery or anti-corruption laws, regulations, industry self-regulation codes of conduct and physicians’ codes of professional conduct or rules of other countries </w:t>
      </w:r>
      <w:r>
        <w:rPr>
          <w:rFonts w:ascii="PMingLiU" w:cs="PMingLiU" w:eastAsia="PMingLiU" w:hAnsi="PMingLiU"/>
          <w:sz w:val="15"/>
          <w:szCs w:val="15"/>
          <w:color w:val="auto"/>
        </w:rPr>
        <w:t>LQZKLFKZHRSHUDWHLQFOXGLQJWKH8.%ULEHU\$FW7KH)&amp;3$DQGVLPLODUDQWL</w:t>
      </w:r>
      <w:r>
        <w:rPr>
          <w:rFonts w:ascii="Times New Roman" w:cs="Times New Roman" w:eastAsia="Times New Roman" w:hAnsi="Times New Roman"/>
          <w:sz w:val="15"/>
          <w:szCs w:val="15"/>
          <w:color w:val="auto"/>
        </w:rPr>
        <w:t>-corruption laws in other countries generally</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 xml:space="preserve">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w:t>
      </w:r>
      <w:r>
        <w:rPr>
          <w:rFonts w:ascii="PMingLiU" w:cs="PMingLiU" w:eastAsia="PMingLiU" w:hAnsi="PMingLiU"/>
          <w:sz w:val="15"/>
          <w:szCs w:val="15"/>
          <w:color w:val="auto"/>
        </w:rPr>
        <w:t>WKHWUDQVDFWLRQVRIWKHFRPSDQ\DQGWRGHYLVHDQGPDLQWDLQDQDGHTXDWHV\VWHPRILQWHUQDODFFRXQWLQJFRQWUROV7KH8. %ULEHU\$FWSURKLELWVJLYLQJRIIHULQJRUSURPLVLQJEULEHVWRDQ\SHUVRQLQFOXGLQJ8.DQGQRQ</w:t>
      </w: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 xml:space="preserve">8.JRYHUQPHQWRIILFLDOV </w:t>
      </w:r>
      <w:r>
        <w:rPr>
          <w:rFonts w:ascii="Times New Roman" w:cs="Times New Roman" w:eastAsia="Times New Roman" w:hAnsi="Times New Roman"/>
          <w:sz w:val="15"/>
          <w:szCs w:val="15"/>
          <w:color w:val="auto"/>
        </w:rPr>
        <w:t xml:space="preserve">and private persons, as well as requesting, agreeing to receive, or accepting bribes from any person. In addition, under the </w:t>
      </w:r>
      <w:r>
        <w:rPr>
          <w:rFonts w:ascii="PMingLiU" w:cs="PMingLiU" w:eastAsia="PMingLiU" w:hAnsi="PMingLiU"/>
          <w:sz w:val="15"/>
          <w:szCs w:val="15"/>
          <w:color w:val="auto"/>
        </w:rPr>
        <w:t>8.</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color w:val="auto"/>
        </w:rPr>
        <w:t>%ULEHU\$FWFRPSDQLHVWKDWFDUU\RQDEXVLQHVVRUSDUWRIDEXVLQHVVLQWKH8.PD\EHKHOGOLDEOHIRUEULEHVJLYHQRIIHUH</w:t>
      </w:r>
      <w:r>
        <w:rPr>
          <w:rFonts w:ascii="Times New Roman" w:cs="Times New Roman" w:eastAsia="Times New Roman" w:hAnsi="Times New Roman"/>
          <w:sz w:val="15"/>
          <w:szCs w:val="15"/>
          <w:color w:val="auto"/>
        </w:rPr>
        <w:t>d or</w:t>
      </w:r>
      <w:r>
        <w:rPr>
          <w:rFonts w:ascii="PMingLiU" w:cs="PMingLiU" w:eastAsia="PMingLiU" w:hAnsi="PMingLiU"/>
          <w:sz w:val="15"/>
          <w:szCs w:val="15"/>
          <w:color w:val="auto"/>
        </w:rPr>
        <w:t xml:space="preserve"> SURPLVHGWRDQ\SHUVRQLQFOXGLQJ8.DQGQRQ</w:t>
      </w: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 xml:space="preserve">8.JRYHUQPHQWRIILFLDOVDQGSULYDWHSHUVRQVLQDQ\FRXQWU\E\HPSOR\HHV </w:t>
      </w:r>
      <w:r>
        <w:rPr>
          <w:rFonts w:ascii="Times New Roman" w:cs="Times New Roman" w:eastAsia="Times New Roman" w:hAnsi="Times New Roman"/>
          <w:sz w:val="15"/>
          <w:szCs w:val="15"/>
          <w:color w:val="auto"/>
        </w:rPr>
        <w:t xml:space="preserve">and persons associated with the company in order to obtain or retain business or a business advantage for the company. Liability is strict, with no element of a corrupt state of mind, but a defense of having in place adequate procedures designed to </w:t>
      </w:r>
      <w:r>
        <w:rPr>
          <w:rFonts w:ascii="PMingLiU" w:cs="PMingLiU" w:eastAsia="PMingLiU" w:hAnsi="PMingLiU"/>
          <w:sz w:val="15"/>
          <w:szCs w:val="15"/>
          <w:color w:val="auto"/>
        </w:rPr>
        <w:t xml:space="preserve">SUHYHQWEULEHU\LVDYDLODEOHXQGHUWKH8.%ULEHU\$FWDQGFHUWDLQRWKHUODZVXQGHUWKH)&amp;3$LWPLJKWEHFRQVLGHUHGDVD </w:t>
      </w:r>
      <w:r>
        <w:rPr>
          <w:rFonts w:ascii="Times New Roman" w:cs="Times New Roman" w:eastAsia="Times New Roman" w:hAnsi="Times New Roman"/>
          <w:sz w:val="15"/>
          <w:szCs w:val="15"/>
          <w:color w:val="auto"/>
        </w:rPr>
        <w:t>mitigating factor.</w:t>
      </w:r>
    </w:p>
    <w:p>
      <w:pPr>
        <w:spacing w:after="0" w:line="30" w:lineRule="exact"/>
        <w:rPr>
          <w:sz w:val="20"/>
          <w:szCs w:val="20"/>
          <w:color w:val="auto"/>
        </w:rPr>
      </w:pPr>
    </w:p>
    <w:p>
      <w:pPr>
        <w:ind w:right="60" w:firstLine="480"/>
        <w:spacing w:after="0" w:line="377" w:lineRule="auto"/>
        <w:rPr>
          <w:sz w:val="20"/>
          <w:szCs w:val="20"/>
          <w:color w:val="auto"/>
        </w:rPr>
      </w:pPr>
      <w:r>
        <w:rPr>
          <w:rFonts w:ascii="Times New Roman" w:cs="Times New Roman" w:eastAsia="Times New Roman" w:hAnsi="Times New Roman"/>
          <w:sz w:val="15"/>
          <w:szCs w:val="15"/>
          <w:color w:val="auto"/>
        </w:rPr>
        <w:t xml:space="preserve">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w:t>
      </w:r>
      <w:r>
        <w:rPr>
          <w:rFonts w:ascii="PMingLiU" w:cs="PMingLiU" w:eastAsia="PMingLiU" w:hAnsi="PMingLiU"/>
          <w:sz w:val="15"/>
          <w:szCs w:val="15"/>
          <w:color w:val="auto"/>
        </w:rPr>
        <w:t xml:space="preserve">WKHVHSUHVFULEHUVDQGSXUFKDVHUVPD\EHVXEMHFWWRWKH)&amp;3$WKH8.%ULEHU\$FWDQGVLPLODUODZV5HFHQWO\WKH6(&amp;DQGWKH </w:t>
      </w:r>
      <w:r>
        <w:rPr>
          <w:rFonts w:ascii="Times New Roman" w:cs="Times New Roman" w:eastAsia="Times New Roman" w:hAnsi="Times New Roman"/>
          <w:sz w:val="15"/>
          <w:szCs w:val="15"/>
          <w:color w:val="auto"/>
        </w:rPr>
        <w:t>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conducting due diligence of our business partners, requiring training of our employees on FCPA requirements, and implementing and maintaining policies, procedures, and internal controls to ensure compliance with the FCPA and similar laws.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disgorgement of past profits, and could cause disruption to our business, including through procurement bans or similar administrative actions. It is possible that an adverse outcome in an FCPA action could materially affect our consolidated results of operations, liquidity, and financial position and result in parallel civil litigation such as securities class actions and shareholder derivative suits.</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i w:val="1"/>
          <w:iCs w:val="1"/>
          <w:color w:val="auto"/>
        </w:rPr>
        <w:t>Data Protection and Privacy</w:t>
      </w:r>
    </w:p>
    <w:p>
      <w:pPr>
        <w:spacing w:after="0" w:line="129"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Compliance with these laws requires a flexible privacy framework and substantial resources, and compliance efforts will likely be an increasing and substantial cost in the future. We may be subject to fines, penalties, or private actions in the event of non-compliance with such laws. In particular, we are subject to the GDPR, which imposes penalties up to 4% of annual global revenue, the California Consumer Privacy Act of 2018, as amended by the California Consumer Privacy Rights Act, and numerous other federal, state, national and international laws and regulations that govern the privacy and security of the personal data we collect and maintain.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433705</wp:posOffset>
            </wp:positionV>
            <wp:extent cx="259080" cy="2546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48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35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35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48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59" w:name="page160"/>
    <w:bookmarkEnd w:id="159"/>
    <w:p>
      <w:pPr>
        <w:ind w:left="320"/>
        <w:spacing w:after="0"/>
        <w:rPr>
          <w:sz w:val="20"/>
          <w:szCs w:val="20"/>
          <w:color w:val="auto"/>
        </w:rPr>
      </w:pPr>
      <w:r>
        <w:rPr>
          <w:rFonts w:ascii="Times New Roman" w:cs="Times New Roman" w:eastAsia="Times New Roman" w:hAnsi="Times New Roman"/>
          <w:sz w:val="19"/>
          <w:szCs w:val="19"/>
          <w:b w:val="1"/>
          <w:bCs w:val="1"/>
          <w:i w:val="1"/>
          <w:iCs w:val="1"/>
          <w:color w:val="auto"/>
        </w:rPr>
        <w:t>Marketing Exclusivity</w:t>
      </w:r>
    </w:p>
    <w:p>
      <w:pPr>
        <w:spacing w:after="0" w:line="133"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7KH+DWFK</w:t>
      </w: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:D[PDQ$FW</w:t>
      </w:r>
    </w:p>
    <w:p>
      <w:pPr>
        <w:spacing w:after="0" w:line="114" w:lineRule="exact"/>
        <w:rPr>
          <w:sz w:val="20"/>
          <w:szCs w:val="20"/>
          <w:color w:val="auto"/>
        </w:rPr>
      </w:pPr>
    </w:p>
    <w:p>
      <w:pPr>
        <w:ind w:left="60" w:right="60" w:firstLine="480"/>
        <w:spacing w:after="0" w:line="263" w:lineRule="auto"/>
        <w:rPr>
          <w:sz w:val="20"/>
          <w:szCs w:val="20"/>
          <w:color w:val="auto"/>
        </w:rPr>
      </w:pPr>
      <w:r>
        <w:rPr>
          <w:rFonts w:ascii="Times New Roman" w:cs="Times New Roman" w:eastAsia="Times New Roman" w:hAnsi="Times New Roman"/>
          <w:sz w:val="19"/>
          <w:szCs w:val="19"/>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Hatch-Waxman Act provides two abbreviated approval pathways for certain drug products.</w:t>
      </w:r>
    </w:p>
    <w:p>
      <w:pPr>
        <w:spacing w:after="0" w:line="310" w:lineRule="exact"/>
        <w:rPr>
          <w:sz w:val="20"/>
          <w:szCs w:val="20"/>
          <w:color w:val="auto"/>
        </w:rPr>
      </w:pPr>
    </w:p>
    <w:p>
      <w:pPr>
        <w:ind w:left="60" w:right="160" w:firstLine="480"/>
        <w:spacing w:after="0" w:line="260" w:lineRule="auto"/>
        <w:rPr>
          <w:sz w:val="20"/>
          <w:szCs w:val="20"/>
          <w:color w:val="auto"/>
        </w:rPr>
      </w:pPr>
      <w:r>
        <w:rPr>
          <w:rFonts w:ascii="Times New Roman" w:cs="Times New Roman" w:eastAsia="Times New Roman" w:hAnsi="Times New Roman"/>
          <w:sz w:val="19"/>
          <w:szCs w:val="19"/>
          <w:color w:val="auto"/>
        </w:rPr>
        <w:t>The first path, under Section 505(b)(2) of the FDCA, usually is used for the approval of a product that is similar, but not identical, to a previously-approved brand-name product, referred to as the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78" w:lineRule="exact"/>
        <w:rPr>
          <w:sz w:val="20"/>
          <w:szCs w:val="20"/>
          <w:color w:val="auto"/>
        </w:rPr>
      </w:pPr>
    </w:p>
    <w:p>
      <w:pPr>
        <w:ind w:left="60" w:right="60" w:firstLine="480"/>
        <w:spacing w:after="0" w:line="260" w:lineRule="auto"/>
        <w:rPr>
          <w:sz w:val="20"/>
          <w:szCs w:val="20"/>
          <w:color w:val="auto"/>
        </w:rPr>
      </w:pPr>
      <w:r>
        <w:rPr>
          <w:rFonts w:ascii="Times New Roman" w:cs="Times New Roman" w:eastAsia="Times New Roman" w:hAnsi="Times New Roman"/>
          <w:sz w:val="19"/>
          <w:szCs w:val="19"/>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4" w:lineRule="exact"/>
        <w:rPr>
          <w:sz w:val="20"/>
          <w:szCs w:val="20"/>
          <w:color w:val="auto"/>
        </w:rPr>
      </w:pPr>
    </w:p>
    <w:p>
      <w:pPr>
        <w:ind w:left="60" w:right="40" w:firstLine="480"/>
        <w:spacing w:after="0" w:line="260" w:lineRule="auto"/>
        <w:rPr>
          <w:sz w:val="20"/>
          <w:szCs w:val="20"/>
          <w:color w:val="auto"/>
        </w:rPr>
      </w:pPr>
      <w:r>
        <w:rPr>
          <w:rFonts w:ascii="Times New Roman" w:cs="Times New Roman" w:eastAsia="Times New Roman" w:hAnsi="Times New Roman"/>
          <w:sz w:val="19"/>
          <w:szCs w:val="19"/>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78" w:lineRule="exact"/>
        <w:rPr>
          <w:sz w:val="20"/>
          <w:szCs w:val="20"/>
          <w:color w:val="auto"/>
        </w:rPr>
      </w:pPr>
    </w:p>
    <w:p>
      <w:pPr>
        <w:ind w:left="60" w:firstLine="480"/>
        <w:spacing w:after="0" w:line="259" w:lineRule="auto"/>
        <w:rPr>
          <w:sz w:val="20"/>
          <w:szCs w:val="20"/>
          <w:color w:val="auto"/>
        </w:rPr>
      </w:pPr>
      <w:r>
        <w:rPr>
          <w:rFonts w:ascii="Times New Roman" w:cs="Times New Roman" w:eastAsia="Times New Roman" w:hAnsi="Times New Roman"/>
          <w:sz w:val="19"/>
          <w:szCs w:val="19"/>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81" w:lineRule="exact"/>
        <w:rPr>
          <w:sz w:val="20"/>
          <w:szCs w:val="20"/>
          <w:color w:val="auto"/>
        </w:rPr>
      </w:pPr>
    </w:p>
    <w:p>
      <w:pPr>
        <w:jc w:val="both"/>
        <w:ind w:left="60" w:right="20" w:firstLine="480"/>
        <w:spacing w:after="0" w:line="277" w:lineRule="auto"/>
        <w:rPr>
          <w:sz w:val="20"/>
          <w:szCs w:val="20"/>
          <w:color w:val="auto"/>
        </w:rPr>
      </w:pPr>
      <w:r>
        <w:rPr>
          <w:rFonts w:ascii="Times New Roman" w:cs="Times New Roman" w:eastAsia="Times New Roman" w:hAnsi="Times New Roman"/>
          <w:sz w:val="19"/>
          <w:szCs w:val="19"/>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125095</wp:posOffset>
            </wp:positionV>
            <wp:extent cx="259080" cy="2546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48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36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48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41" w:right="959" w:bottom="0" w:gutter="0" w:footer="0" w:header="0"/>
        </w:sectPr>
      </w:pPr>
    </w:p>
    <w:bookmarkStart w:id="160" w:name="page161"/>
    <w:bookmarkEnd w:id="160"/>
    <w:p>
      <w:pPr>
        <w:ind w:right="80"/>
        <w:spacing w:after="0" w:line="266" w:lineRule="auto"/>
        <w:rPr>
          <w:sz w:val="20"/>
          <w:szCs w:val="20"/>
          <w:color w:val="auto"/>
        </w:rPr>
      </w:pPr>
      <w:r>
        <w:rPr>
          <w:rFonts w:ascii="Times New Roman" w:cs="Times New Roman" w:eastAsia="Times New Roman" w:hAnsi="Times New Roman"/>
          <w:sz w:val="19"/>
          <w:szCs w:val="19"/>
          <w:color w:val="auto"/>
        </w:rPr>
        <w:t>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70"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19"/>
          <w:szCs w:val="19"/>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In December 2025, the European Parliament and the Council of the EU reached a provisional agreement on the comprehensive reform of the EU pharmaceutical legislation to enhance the availability, accessibility, and affordability of medicinal products across the EU. This new legislation includes a new directive and a new regulation that would replace the current pharmaceutical legislation in the EU. Among others, the new legislation provides for certain changes to regulatory exclusivity periods. The provisional agreement is still subject to the formal approval by the European Parliament and the Council of the EU and subsequent publication in the Official Journal of the EU.</w:t>
      </w:r>
    </w:p>
    <w:p>
      <w:pPr>
        <w:spacing w:after="0" w:line="324" w:lineRule="exact"/>
        <w:rPr>
          <w:sz w:val="20"/>
          <w:szCs w:val="20"/>
          <w:color w:val="auto"/>
        </w:rPr>
      </w:pPr>
    </w:p>
    <w:p>
      <w:pPr>
        <w:ind w:left="480"/>
        <w:spacing w:after="0"/>
        <w:rPr>
          <w:sz w:val="20"/>
          <w:szCs w:val="20"/>
          <w:color w:val="auto"/>
        </w:rPr>
      </w:pPr>
      <w:r>
        <w:rPr>
          <w:rFonts w:ascii="PMingLiU" w:cs="PMingLiU" w:eastAsia="PMingLiU" w:hAnsi="PMingLiU"/>
          <w:sz w:val="19"/>
          <w:szCs w:val="19"/>
          <w:i w:val="1"/>
          <w:iCs w:val="1"/>
          <w:color w:val="auto"/>
        </w:rPr>
        <w:t>2USKDQ'UXJDQG2WKHU([FOXVLYLWLHV</w:t>
      </w:r>
    </w:p>
    <w:p>
      <w:pPr>
        <w:spacing w:after="0" w:line="11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9"/>
          <w:szCs w:val="19"/>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was granted ODE by FDA to treat and prevent VOD until March 2023. Vyxeos was granted ODE by FDA for the treatment of adults with AML until August 2024 and pediatric patients ages 1 year and older with AML until March 2028. Epidiolex has received ODE to treat seizures associated with LGS and DS through</w:t>
      </w:r>
    </w:p>
    <w:p>
      <w:pPr>
        <w:spacing w:after="0" w:line="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2025 and TSC through 2027. In June 2021, FDA recognized seven years of ODE for Xywav stating that Xywav is clinically superior to Xyrem by means of greater safety due to reduced chronic sodium burden. Xywav has been granted ODE by FDA to treat narcolepsy through January 2027 and to treat IH through August 2028. Rylaze has been granted ODE for the treatment of patients with ALL or LBL until 2028. Ziihera has been granted ODE through November 2031 for the treatment of adults with previously treated, unresectable or metastatic HER2-positive (IHC3+) BTC, as detected by an FDA-approved test.</w:t>
      </w:r>
    </w:p>
    <w:p>
      <w:pPr>
        <w:spacing w:after="0" w:line="76"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9"/>
          <w:szCs w:val="19"/>
          <w:color w:val="auto"/>
        </w:rPr>
        <w:t>Biologic products approved under a BLA are subject to the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70" w:lineRule="exact"/>
        <w:rPr>
          <w:sz w:val="20"/>
          <w:szCs w:val="20"/>
          <w:color w:val="auto"/>
        </w:rPr>
      </w:pPr>
    </w:p>
    <w:p>
      <w:pPr>
        <w:ind w:right="200" w:firstLine="480"/>
        <w:spacing w:after="0" w:line="270" w:lineRule="auto"/>
        <w:rPr>
          <w:sz w:val="20"/>
          <w:szCs w:val="20"/>
          <w:color w:val="auto"/>
        </w:rPr>
      </w:pPr>
      <w:r>
        <w:rPr>
          <w:rFonts w:ascii="Times New Roman" w:cs="Times New Roman" w:eastAsia="Times New Roman" w:hAnsi="Times New Roman"/>
          <w:sz w:val="19"/>
          <w:szCs w:val="19"/>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w:t>
      </w:r>
    </w:p>
    <w:p>
      <w:pPr>
        <w:spacing w:after="0" w:line="64"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9"/>
          <w:szCs w:val="19"/>
          <w:color w:val="auto"/>
        </w:rPr>
        <w:t>In the EU, orphan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OME in all EU member states upon marketing authorization. As in the U.S., a similar medicinal product with the same orphan indication may be approved, notwithstanding OME,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59055</wp:posOffset>
            </wp:positionV>
            <wp:extent cx="259080" cy="2546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48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1"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37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37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48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61" w:name="page162"/>
    <w:bookmarkEnd w:id="161"/>
    <w:p>
      <w:pPr>
        <w:ind w:left="60" w:right="120"/>
        <w:spacing w:after="0" w:line="257" w:lineRule="auto"/>
        <w:rPr>
          <w:sz w:val="20"/>
          <w:szCs w:val="20"/>
          <w:color w:val="auto"/>
        </w:rPr>
      </w:pPr>
      <w:r>
        <w:rPr>
          <w:rFonts w:ascii="Times New Roman" w:cs="Times New Roman" w:eastAsia="Times New Roman" w:hAnsi="Times New Roman"/>
          <w:sz w:val="19"/>
          <w:szCs w:val="19"/>
          <w:color w:val="auto"/>
        </w:rPr>
        <w:t xml:space="preserve">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OME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was granted OME by the EC for the treatment of VOD and prevention </w:t>
      </w:r>
      <w:r>
        <w:rPr>
          <w:rFonts w:ascii="PMingLiU" w:cs="PMingLiU" w:eastAsia="PMingLiU" w:hAnsi="PMingLiU"/>
          <w:sz w:val="19"/>
          <w:szCs w:val="19"/>
          <w:color w:val="auto"/>
        </w:rPr>
        <w:t xml:space="preserve">RI*Y+'XQWLO2FWREHUE\WKH.RUHDQ0LQLVWU\RI)RRGDQG'UXJ6DIHW\WRWUHDWDQGSUHYHQW92'DQGE\WKH </w:t>
      </w:r>
      <w:r>
        <w:rPr>
          <w:rFonts w:ascii="Times New Roman" w:cs="Times New Roman" w:eastAsia="Times New Roman" w:hAnsi="Times New Roman"/>
          <w:sz w:val="19"/>
          <w:szCs w:val="19"/>
          <w:color w:val="auto"/>
        </w:rPr>
        <w:t>Commonwealth of Australia-Department of Health for the treatment of VOD. Vyxeos has been granted OME by the EC until August 2028. Epidyolex has been granted OME for use as adjunct therapy of seizures associated with DS and LGS until September 2029, and for use as adjunctive therapy of seizures associated with TSC until April 2031. Ziihera has been granted OME through June 2033, for the treatment of BTC.</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Pharmaceutical Pricing, Reimbursement by Government and Private Payors and Patient Access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Pricing and Reimbursement</w:t>
      </w:r>
    </w:p>
    <w:p>
      <w:pPr>
        <w:spacing w:after="0" w:line="129" w:lineRule="exact"/>
        <w:rPr>
          <w:sz w:val="20"/>
          <w:szCs w:val="20"/>
          <w:color w:val="auto"/>
        </w:rPr>
      </w:pPr>
    </w:p>
    <w:p>
      <w:pPr>
        <w:ind w:left="60" w:right="80" w:firstLine="480"/>
        <w:spacing w:after="0" w:line="258" w:lineRule="auto"/>
        <w:rPr>
          <w:sz w:val="20"/>
          <w:szCs w:val="20"/>
          <w:color w:val="auto"/>
        </w:rPr>
      </w:pPr>
      <w:r>
        <w:rPr>
          <w:rFonts w:ascii="Times New Roman" w:cs="Times New Roman" w:eastAsia="Times New Roman" w:hAnsi="Times New Roman"/>
          <w:sz w:val="19"/>
          <w:szCs w:val="19"/>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PBMs negotiate rebates with drug manufacturers for inclusion of products on their formularies in specific positions or coverage criteria. Beginning in the third quarter of 2019, we have been entering into agreements with certain PBMs or similar organizations to provide rebates for our products where coverage was provided and products were listed in certain formulary positions, among other conditions.</w:t>
      </w:r>
    </w:p>
    <w:p>
      <w:pPr>
        <w:spacing w:after="0" w:line="84" w:lineRule="exact"/>
        <w:rPr>
          <w:sz w:val="20"/>
          <w:szCs w:val="20"/>
          <w:color w:val="auto"/>
        </w:rPr>
      </w:pPr>
    </w:p>
    <w:p>
      <w:pPr>
        <w:ind w:left="60" w:firstLine="480"/>
        <w:spacing w:after="0" w:line="256" w:lineRule="auto"/>
        <w:rPr>
          <w:sz w:val="20"/>
          <w:szCs w:val="20"/>
          <w:color w:val="auto"/>
        </w:rPr>
      </w:pPr>
      <w:r>
        <w:rPr>
          <w:rFonts w:ascii="PMingLiU" w:cs="PMingLiU" w:eastAsia="PMingLiU" w:hAnsi="PMingLiU"/>
          <w:sz w:val="19"/>
          <w:szCs w:val="19"/>
          <w:color w:val="auto"/>
        </w:rPr>
        <w:t xml:space="preserve">0HGLFDLGLVDMRLQWIHGHUDODQGVWDWHSURJUDPWKDWLVDGPLQLVWHUHGE\WKHVWDWHVIRUORZ LQFRPHDQGGLVDEOHGEHQHILFLDULHV </w:t>
      </w:r>
      <w:r>
        <w:rPr>
          <w:rFonts w:ascii="Times New Roman" w:cs="Times New Roman" w:eastAsia="Times New Roman" w:hAnsi="Times New Roman"/>
          <w:sz w:val="19"/>
          <w:szCs w:val="19"/>
          <w:color w:val="auto"/>
        </w:rPr>
        <w:t>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for our drugs under Medicaid and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CMS, the federal agency that administers Medicare and Medicaid, including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ASP information for certain of our products to CMS on a quarterly basis. The ASP is calculated based on a statutorily defined formula as well as regulations and interpretations of the statute by CMS. This information may be used to compute Medicare payment rates, with rates for Medicare Part B drugs outside the hospital outpatient setting and in the hospital outpatient setting consisting of ASP plus a specified percentage.</w:t>
      </w:r>
    </w:p>
    <w:p>
      <w:pPr>
        <w:spacing w:after="0" w:line="89" w:lineRule="exact"/>
        <w:rPr>
          <w:sz w:val="20"/>
          <w:szCs w:val="20"/>
          <w:color w:val="auto"/>
        </w:rPr>
      </w:pPr>
    </w:p>
    <w:p>
      <w:pPr>
        <w:ind w:left="60" w:right="80" w:firstLine="480"/>
        <w:spacing w:after="0" w:line="260" w:lineRule="auto"/>
        <w:rPr>
          <w:sz w:val="20"/>
          <w:szCs w:val="20"/>
          <w:color w:val="auto"/>
        </w:rPr>
      </w:pPr>
      <w:r>
        <w:rPr>
          <w:rFonts w:ascii="Times New Roman" w:cs="Times New Roman" w:eastAsia="Times New Roman" w:hAnsi="Times New Roman"/>
          <w:sz w:val="19"/>
          <w:szCs w:val="19"/>
          <w:color w:val="auto"/>
        </w:rPr>
        <w:t>Federal law requires that any company that participates in the Medicaid Drug Rebate Program also participate in the 340B program, in order for federal funds to be available for the manufacturer’s drugs under Medicaid and Medicare Part B. The 340B program, which is administered by the HRSA requires participating manufacturers to agree to charge statutorily defined covered entities no more than the 340B “ceiling price” for the manufacturer’s covered outpatient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135255</wp:posOffset>
            </wp:positionV>
            <wp:extent cx="259080" cy="2546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48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38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48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60"/>
          </w:cols>
          <w:pgMar w:left="900" w:top="839" w:right="919" w:bottom="0" w:gutter="0" w:footer="0" w:header="0"/>
        </w:sectPr>
      </w:pPr>
    </w:p>
    <w:bookmarkStart w:id="162" w:name="page163"/>
    <w:bookmarkEnd w:id="162"/>
    <w:p>
      <w:pPr>
        <w:ind w:right="200"/>
        <w:spacing w:after="0" w:line="263" w:lineRule="auto"/>
        <w:rPr>
          <w:sz w:val="20"/>
          <w:szCs w:val="20"/>
          <w:color w:val="auto"/>
        </w:rPr>
      </w:pPr>
      <w:r>
        <w:rPr>
          <w:rFonts w:ascii="Times New Roman" w:cs="Times New Roman" w:eastAsia="Times New Roman" w:hAnsi="Times New Roman"/>
          <w:sz w:val="19"/>
          <w:szCs w:val="19"/>
          <w:color w:val="auto"/>
        </w:rPr>
        <w:t>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r>
        <w:rPr>
          <w:rFonts w:ascii="PMingLiU" w:cs="PMingLiU" w:eastAsia="PMingLiU" w:hAnsi="PMingLiU"/>
          <w:sz w:val="19"/>
          <w:szCs w:val="19"/>
          <w:color w:val="auto"/>
        </w:rPr>
        <w:t/>
      </w:r>
    </w:p>
    <w:p>
      <w:pPr>
        <w:spacing w:after="0" w:line="70"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A provision in The American Rescue Plan Act of 2021 eliminated, effective January 2024, the statutory cap on rebates drug manufacturers are required to pay under the Medicaid Drug Rebate Program. The elimination of the cap on rebates means that manufacturer discounts to Medicaid may, in certain circumstances, exceed the amount that state Medicaid programs pay for the drug. Further,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which could negatively affect our business and financial condition.</w:t>
      </w:r>
    </w:p>
    <w:p>
      <w:pPr>
        <w:spacing w:after="0" w:line="78"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9"/>
          <w:szCs w:val="19"/>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58"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Further, HHS imposes rebates on many Medicare Part B and Medicare Part D products to penalize price increases that outpace inflation on an annual basis. HHS has also been empowered to negotiate the price of certain single-source drugs that have been on the market for at least 7 years covered under Medicare as part of the Medicare Drug Price Negotiation Program. Each year up to twenty (20) products will be selected by HHS for the Medicare Drug Price Negotiation Program. Drugs and biologics designated for one or more rare diseases or conditions, and approved only for such rare indications, are excluded from the Medicare Drug Price Negotiation Program. Products subject to the Medicare Drug Price Negotiation Program are expected to experience a significant reduction in reimbursement from the Medicare program on a per unit basis.</w:t>
      </w:r>
    </w:p>
    <w:p>
      <w:pPr>
        <w:spacing w:after="0" w:line="70"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In order to be eligible to have our products paid for with federal funds under the Medicaid and Medicare Part B programs and purchased by certain federal agencies and grantees, we also participate in the VA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FCP. The FCP is based on the Non-FAMP, which we calculate and report to the VA on a quarterly and annual basis. We also participate in the Tricare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73"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Numerous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Additionally, some individual states have begun establishing Prescription Drug Affordability Boards to review high-cost drugs and, in some cases, set upper payment limits. Similar bills have been previously introduced at the federal level and additional legislation could be introduced in the near future. State legislatures are also becoming increasingly aggressive in passing legislation that could expand the availability of the ceiling price under the federal government's 340B program.</w:t>
      </w:r>
    </w:p>
    <w:p>
      <w:pPr>
        <w:spacing w:after="0" w:line="317"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Legislative and regulatory proposals to reform the regulation of the U.S. pharmaceutical industry and reimbursement for pharmaceutical drugs are continually changing. On July 4, 2025, President Trump signed into law the OBBBA, which includes significant changes to Medicaid, Medicare, and the ACA. These reforms are anticipated to decrease federal health care spending by approximately $1 trillion by significantly reducing Medicaid spending and enrollment, making changes to the Medicare program, and altering ACA marketplace enrollment provisions.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declines to extend the ACA enhanced advanced premium tax credits that expired at the end of 2025, which, among other provisions in the law, are anticipated to reduce the number of Americans with health insurance. The U.S. Congress is considering proposed legislation intended to further reduce healthcare costs with alternatives to replace the expired ACA subsidies. Other legislative and regulatory proposals that have recently been considered include, among other things, proposals to limit the terms of patent litigation settlements with generic sponsors, to define certain conduct around patenting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66040</wp:posOffset>
            </wp:positionV>
            <wp:extent cx="259080" cy="2546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49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2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39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39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49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63" w:name="page164"/>
    <w:bookmarkEnd w:id="163"/>
    <w:p>
      <w:pPr>
        <w:ind w:left="60" w:right="20"/>
        <w:spacing w:after="0" w:line="266" w:lineRule="auto"/>
        <w:rPr>
          <w:sz w:val="20"/>
          <w:szCs w:val="20"/>
          <w:color w:val="auto"/>
        </w:rPr>
      </w:pPr>
      <w:r>
        <w:rPr>
          <w:rFonts w:ascii="Times New Roman" w:cs="Times New Roman" w:eastAsia="Times New Roman" w:hAnsi="Times New Roman"/>
          <w:sz w:val="19"/>
          <w:szCs w:val="19"/>
          <w:color w:val="auto"/>
        </w:rPr>
        <w:t>and new product development as unfair competition, to address the scope of orphan drug exclusivity and to facilitate the importation of drugs into the U.S. from other countries, and changes to health care coverage. For example, the current administration has announced agreements with several pharmaceutical companies that require the drug manufacturers to offer Medicaid programs prescription drug MFN pricing equal to or lower than those paid in other developed nations, with additional mandates for direct-to-patient discounts and repatriation of foreign revenues.</w:t>
      </w:r>
    </w:p>
    <w:p>
      <w:pPr>
        <w:spacing w:after="0" w:line="70" w:lineRule="exact"/>
        <w:rPr>
          <w:sz w:val="20"/>
          <w:szCs w:val="20"/>
          <w:color w:val="auto"/>
        </w:rPr>
      </w:pPr>
    </w:p>
    <w:p>
      <w:pPr>
        <w:ind w:left="60" w:right="60" w:firstLine="480"/>
        <w:spacing w:after="0" w:line="258" w:lineRule="auto"/>
        <w:rPr>
          <w:sz w:val="20"/>
          <w:szCs w:val="20"/>
          <w:color w:val="auto"/>
        </w:rPr>
      </w:pPr>
      <w:r>
        <w:rPr>
          <w:rFonts w:ascii="Times New Roman" w:cs="Times New Roman" w:eastAsia="Times New Roman" w:hAnsi="Times New Roman"/>
          <w:sz w:val="19"/>
          <w:szCs w:val="19"/>
          <w:color w:val="auto"/>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MFN pricing for pharmaceutical products; (3) imposing tariffs on imported pharmaceutical products; and (4) as part of the MAHA Commission’s Strategy Report released in September 2025, working across government agencies to increase enforcement on direct-to-consumer pharmaceutical advertising. Additionally, the current administration recently called on U.S. Congress to enact “The Great Healthcare Plan,” to codify and expand MFN pricing, lower government subsidies to private insurance companies, increase healthcare price transparency, expand pharmaceutical drugs available for over-the-counter purchase, and enact restrictions on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cs="Times New Roman" w:eastAsia="Times New Roman" w:hAnsi="Times New Roman"/>
          <w:sz w:val="19"/>
          <w:szCs w:val="19"/>
          <w:i w:val="1"/>
          <w:iCs w:val="1"/>
          <w:color w:val="auto"/>
        </w:rPr>
        <w:t>Loper Bright</w:t>
      </w:r>
      <w:r>
        <w:rPr>
          <w:rFonts w:ascii="Times New Roman" w:cs="Times New Roman" w:eastAsia="Times New Roman" w:hAnsi="Times New Roman"/>
          <w:sz w:val="19"/>
          <w:szCs w:val="19"/>
          <w:color w:val="auto"/>
        </w:rPr>
        <w:t xml:space="preserve"> decision greatly reduced judicial deference to regulatory agencies, which could increase successful legal challenges to federal regulations affecting our operations.</w:t>
      </w:r>
    </w:p>
    <w:p>
      <w:pPr>
        <w:spacing w:after="0" w:line="86" w:lineRule="exact"/>
        <w:rPr>
          <w:sz w:val="20"/>
          <w:szCs w:val="20"/>
          <w:color w:val="auto"/>
        </w:rPr>
      </w:pPr>
    </w:p>
    <w:p>
      <w:pPr>
        <w:ind w:left="60" w:right="100" w:firstLine="528"/>
        <w:spacing w:after="0" w:line="258" w:lineRule="auto"/>
        <w:rPr>
          <w:sz w:val="20"/>
          <w:szCs w:val="20"/>
          <w:color w:val="auto"/>
        </w:rPr>
      </w:pPr>
      <w:r>
        <w:rPr>
          <w:rFonts w:ascii="Times New Roman" w:cs="Times New Roman" w:eastAsia="Times New Roman" w:hAnsi="Times New Roman"/>
          <w:sz w:val="19"/>
          <w:szCs w:val="19"/>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voluntary and temporary sales rebates, lower maximum prices, lower or lack of reimbursement coverage and incentives to use cheaper, usually generic, products as an alternative.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European Parliament and the Council of the EU adopted HTA Regulation 2021/2282, which intends to boost cooperation and collaboration among EU member states in assessing health technologies, including new medicinal products. The HTA Regulation entered into application in January 2025 establishes a framework of rules, procedures and methodologies for conducting Joint Clinical Assessments at EU level which are intended to support EU member states in their national HTA processes. Under this regulation, EU member states must use common HTA tools, methodologies, and procedures across the EU. However, individual EU member states continue to be responsible for drawing conclusions on the overall value of a new health technology for their healthcare system, and pricing and reimbursement decisions.</w:t>
      </w:r>
    </w:p>
    <w:p>
      <w:pPr>
        <w:spacing w:after="0" w:line="78" w:lineRule="exact"/>
        <w:rPr>
          <w:sz w:val="20"/>
          <w:szCs w:val="20"/>
          <w:color w:val="auto"/>
        </w:rPr>
      </w:pPr>
    </w:p>
    <w:p>
      <w:pPr>
        <w:ind w:left="60" w:right="160" w:firstLine="480"/>
        <w:spacing w:after="0" w:line="259" w:lineRule="auto"/>
        <w:rPr>
          <w:sz w:val="20"/>
          <w:szCs w:val="20"/>
          <w:color w:val="auto"/>
        </w:rPr>
      </w:pPr>
      <w:r>
        <w:rPr>
          <w:rFonts w:ascii="Times New Roman" w:cs="Times New Roman" w:eastAsia="Times New Roman" w:hAnsi="Times New Roman"/>
          <w:sz w:val="19"/>
          <w:szCs w:val="19"/>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81" w:lineRule="exact"/>
        <w:rPr>
          <w:sz w:val="20"/>
          <w:szCs w:val="20"/>
          <w:color w:val="auto"/>
        </w:rPr>
      </w:pPr>
    </w:p>
    <w:p>
      <w:pPr>
        <w:ind w:left="60" w:firstLine="480"/>
        <w:spacing w:after="0" w:line="330" w:lineRule="auto"/>
        <w:rPr>
          <w:sz w:val="20"/>
          <w:szCs w:val="20"/>
          <w:color w:val="auto"/>
        </w:rPr>
      </w:pPr>
      <w:r>
        <w:rPr>
          <w:rFonts w:ascii="Times New Roman" w:cs="Times New Roman" w:eastAsia="Times New Roman" w:hAnsi="Times New Roman"/>
          <w:sz w:val="15"/>
          <w:szCs w:val="15"/>
          <w:color w:val="auto"/>
        </w:rPr>
        <w:t>For more information, including with respect to recent legal developments regarding the Medicaid Drug Rebate Program, Medicare Part B, and the 340B program, see the risk factors under the headings “</w:t>
      </w:r>
      <w:r>
        <w:rPr>
          <w:rFonts w:ascii="PMingLiU" w:cs="PMingLiU" w:eastAsia="PMingLiU" w:hAnsi="PMingLiU"/>
          <w:sz w:val="15"/>
          <w:szCs w:val="15"/>
          <w:i w:val="1"/>
          <w:iCs w:val="1"/>
          <w:color w:val="auto"/>
        </w:rPr>
        <w:t>$GHTXDWHFRYHUDJHDQGUHLPEXUVHPHQWIURP</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i w:val="1"/>
          <w:iCs w:val="1"/>
          <w:color w:val="auto"/>
        </w:rPr>
        <w:t>WKLUGSDUW\SD\RUVPD\QRWEHDYDLODEOHIRURXUSURGXFWVDQGZHPD\EHXQDEOHWRVXFFHVVIXOO\FRQWUDFWIRUFRYHUDJHIURP SKDUPDF\EHQHILWPDQDJHUVDQGJURXSSXUFKDVLQJRUJDQL]DWLRQVZKLFKFRXOGGLPLQLVKRXUVDOHVRUDIIHFWRXUDELOLW\WRVHOORX</w:t>
      </w:r>
      <w:r>
        <w:rPr>
          <w:rFonts w:ascii="Times New Roman" w:cs="Times New Roman" w:eastAsia="Times New Roman" w:hAnsi="Times New Roman"/>
          <w:sz w:val="15"/>
          <w:szCs w:val="15"/>
          <w:i w:val="1"/>
          <w:iCs w:val="1"/>
          <w:color w:val="auto"/>
        </w:rPr>
        <w:t>r</w:t>
      </w:r>
      <w:r>
        <w:rPr>
          <w:rFonts w:ascii="PMingLiU" w:cs="PMingLiU" w:eastAsia="PMingLiU" w:hAnsi="PMingLiU"/>
          <w:sz w:val="15"/>
          <w:szCs w:val="15"/>
          <w:i w:val="1"/>
          <w:iCs w:val="1"/>
          <w:color w:val="auto"/>
        </w:rPr>
        <w:t xml:space="preserve"> SURGXFWVSURILWDEO\FRQYHUVHO\WRVHFXUHFRYHUDJHIURPWKHVHRUJDQL]DWLRQVZHPD\EHUHTXLUHGWRSD\UHEDWHVRURWKHU GLVFRXQWVRURWKHUUHVWULFWLRQVWRUHLPEXUVHPHQWWKDWFRXOGGLPLQLVKRXUVDOHV´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pricing of pharmaceutical products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30480</wp:posOffset>
            </wp:positionV>
            <wp:extent cx="259080" cy="2546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49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40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49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64" w:name="page165"/>
    <w:bookmarkEnd w:id="164"/>
    <w:p>
      <w:pPr>
        <w:ind w:right="220"/>
        <w:spacing w:after="0" w:line="316" w:lineRule="auto"/>
        <w:rPr>
          <w:sz w:val="20"/>
          <w:szCs w:val="20"/>
          <w:color w:val="auto"/>
        </w:rPr>
      </w:pPr>
      <w:r>
        <w:rPr>
          <w:rFonts w:ascii="PMingLiU" w:cs="PMingLiU" w:eastAsia="PMingLiU" w:hAnsi="PMingLiU"/>
          <w:sz w:val="15"/>
          <w:szCs w:val="15"/>
          <w:i w:val="1"/>
          <w:iCs w:val="1"/>
          <w:color w:val="auto"/>
        </w:rPr>
        <w:t>FRPHXQGHULQFUHDVLQJVFUXWLQ\DVSDUWRIDJOREDOWUHQGWRZDUGKHDOWKFDUHFRVWFRQWDLQPHQWDQGUHVXOWLQJFKDQJHVLQ KHDOWKFDUHODZDQGSROLF\PD\LPSDFWRXUEXVLQHVVLQZD\VWKDWZHFDQQRWFXUUHQWO\SUHGLFWZKLFKFRXOGKDYHDPDWHULDO DGYHUVHHIIHFWRQRXUEXVLQHVVDQGILQDQFLDOFRQGLWLRQ´</w:t>
      </w:r>
      <w:r>
        <w:rPr>
          <w:rFonts w:ascii="Times New Roman" w:cs="Times New Roman" w:eastAsia="Times New Roman" w:hAnsi="Times New Roman"/>
          <w:sz w:val="15"/>
          <w:szCs w:val="15"/>
          <w:color w:val="auto"/>
        </w:rPr>
        <w:t>and</w:t>
      </w:r>
      <w:r>
        <w:rPr>
          <w:rFonts w:ascii="PMingLiU" w:cs="PMingLiU" w:eastAsia="PMingLiU" w:hAnsi="PMingLiU"/>
          <w:sz w:val="15"/>
          <w:szCs w:val="15"/>
          <w:i w:val="1"/>
          <w:iCs w:val="1"/>
          <w:color w:val="auto"/>
        </w:rPr>
        <w:t xml:space="preserve"> ³,IZHIDLOWRFRPSO\ZLWKRXUUHSRUWLQJDQGSD\PHQWREOLJDWLRQV XQGHUWKH0HGLFDLG'UXJ5HEDWH3URJUDPRURWKHUJRYHUQPHQWDOSULFLQJSURJUDPVZHFRXOGEHVXEMHFWWRDGGLWLRQDO</w:t>
      </w:r>
    </w:p>
    <w:p>
      <w:pPr>
        <w:spacing w:after="0" w:line="2" w:lineRule="exact"/>
        <w:rPr>
          <w:sz w:val="20"/>
          <w:szCs w:val="20"/>
          <w:color w:val="auto"/>
        </w:rPr>
      </w:pPr>
    </w:p>
    <w:p>
      <w:pPr>
        <w:ind w:right="600"/>
        <w:spacing w:after="0" w:line="396" w:lineRule="auto"/>
        <w:rPr>
          <w:sz w:val="20"/>
          <w:szCs w:val="20"/>
          <w:color w:val="auto"/>
        </w:rPr>
      </w:pPr>
      <w:r>
        <w:rPr>
          <w:rFonts w:ascii="PMingLiU" w:cs="PMingLiU" w:eastAsia="PMingLiU" w:hAnsi="PMingLiU"/>
          <w:sz w:val="14"/>
          <w:szCs w:val="14"/>
          <w:i w:val="1"/>
          <w:iCs w:val="1"/>
          <w:color w:val="auto"/>
        </w:rPr>
        <w:t>UHLPEXUVHPHQWUHTXLUHPHQWVSHQDOWLHVVDQFWLRQVDQGILQHVZKLFKFRXOGKDYHDPDWHULDODGYHUVHHIIHFWRQRXUEXVLQHVV ILQDQFLDOFRQGLWLRQUHVXOWVRIRSHUDWLRQVDQGJURZWKSURVSHFWV´</w:t>
      </w:r>
      <w:r>
        <w:rPr>
          <w:rFonts w:ascii="Times New Roman" w:cs="Times New Roman" w:eastAsia="Times New Roman" w:hAnsi="Times New Roman"/>
          <w:sz w:val="14"/>
          <w:szCs w:val="14"/>
          <w:color w:val="auto"/>
        </w:rPr>
        <w:t>in Part I, Item 1A of this Annual Report on Form</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 .</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Patient Copay Assistance and Free Product Programs</w:t>
      </w:r>
    </w:p>
    <w:p>
      <w:pPr>
        <w:spacing w:after="0" w:line="129"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71" w:lineRule="exact"/>
        <w:rPr>
          <w:sz w:val="20"/>
          <w:szCs w:val="20"/>
          <w:color w:val="auto"/>
        </w:rPr>
      </w:pPr>
    </w:p>
    <w:p>
      <w:pPr>
        <w:ind w:right="140" w:firstLine="480"/>
        <w:spacing w:after="0" w:line="258" w:lineRule="auto"/>
        <w:rPr>
          <w:sz w:val="20"/>
          <w:szCs w:val="20"/>
          <w:color w:val="auto"/>
        </w:rPr>
      </w:pPr>
      <w:r>
        <w:rPr>
          <w:rFonts w:ascii="Times New Roman" w:cs="Times New Roman" w:eastAsia="Times New Roman" w:hAnsi="Times New Roman"/>
          <w:sz w:val="19"/>
          <w:szCs w:val="19"/>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PMingLiU" w:cs="PMingLiU" w:eastAsia="PMingLiU" w:hAnsi="PMingLiU"/>
          <w:sz w:val="19"/>
          <w:szCs w:val="19"/>
          <w:i w:val="1"/>
          <w:iCs w:val="1"/>
          <w:color w:val="auto"/>
        </w:rPr>
        <w:t>ERQDILGH</w:t>
      </w:r>
      <w:r>
        <w:rPr>
          <w:rFonts w:ascii="Times New Roman" w:cs="Times New Roman" w:eastAsia="Times New Roman" w:hAnsi="Times New Roman"/>
          <w:sz w:val="19"/>
          <w:szCs w:val="19"/>
          <w:color w:val="auto"/>
        </w:rPr>
        <w:t>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 As of August 2024, we have fulfilled the terms and the OIG closed out our corporate integrity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Jazz Pharmaceuticals plc</w:t>
      </w:r>
    </w:p>
    <w:p>
      <w:pPr>
        <w:spacing w:after="0" w:line="133"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9"/>
          <w:szCs w:val="19"/>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70" w:lineRule="exact"/>
        <w:rPr>
          <w:sz w:val="20"/>
          <w:szCs w:val="20"/>
          <w:color w:val="auto"/>
        </w:rPr>
      </w:pPr>
    </w:p>
    <w:p>
      <w:pPr>
        <w:ind w:right="400" w:firstLine="480"/>
        <w:spacing w:after="0" w:line="299" w:lineRule="auto"/>
        <w:rPr>
          <w:sz w:val="20"/>
          <w:szCs w:val="20"/>
          <w:color w:val="auto"/>
        </w:rPr>
      </w:pPr>
      <w:r>
        <w:rPr>
          <w:rFonts w:ascii="Times New Roman" w:cs="Times New Roman" w:eastAsia="Times New Roman" w:hAnsi="Times New Roman"/>
          <w:sz w:val="19"/>
          <w:szCs w:val="19"/>
          <w:color w:val="auto"/>
        </w:rPr>
        <w:t>Our predecessor, Jazz Pharmaceuticals, Inc., was incorporated in California in March 2003 and was reincorporated in Delaware in January 2004.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33" w:lineRule="exact"/>
        <w:rPr>
          <w:sz w:val="20"/>
          <w:szCs w:val="20"/>
          <w:color w:val="auto"/>
        </w:rPr>
      </w:pPr>
    </w:p>
    <w:p>
      <w:pPr>
        <w:ind w:right="340" w:firstLine="480"/>
        <w:spacing w:after="0" w:line="299" w:lineRule="auto"/>
        <w:rPr>
          <w:sz w:val="20"/>
          <w:szCs w:val="20"/>
          <w:color w:val="auto"/>
        </w:rPr>
      </w:pPr>
      <w:r>
        <w:rPr>
          <w:rFonts w:ascii="Times New Roman" w:cs="Times New Roman" w:eastAsia="Times New Roman" w:hAnsi="Times New Roman"/>
          <w:sz w:val="19"/>
          <w:szCs w:val="19"/>
          <w:color w:val="auto"/>
        </w:rPr>
        <w:t>The mailing address of our headquarters is Fifth Floor, Waterloo Exchange, Waterloo Road, Dublin 4, Ireland, and our telephone number at that location is +353-1-634-7800. Our website is www.jazzpharmaceuticals.com.</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file or furnish pursuant to Section 13(a) or 15(d) of the Exchange Act, as applicable, our Annual Reports 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Form </w:t>
      </w:r>
      <w:r>
        <w:rPr>
          <w:rFonts w:ascii="PMingLiU" w:cs="PMingLiU" w:eastAsia="PMingLiU" w:hAnsi="PMingLiU"/>
          <w:sz w:val="17"/>
          <w:szCs w:val="17"/>
          <w:color w:val="auto"/>
        </w:rPr>
        <w:t> .4XDUWHUO\5HSRUWVRQ)RUP  4&amp;XUUHQW5HSRUWVRQ)RUP</w:t>
      </w:r>
      <w:r>
        <w:rPr>
          <w:rFonts w:ascii="Times New Roman" w:cs="Times New Roman" w:eastAsia="Times New Roman" w:hAnsi="Times New Roman"/>
          <w:sz w:val="17"/>
          <w:szCs w:val="17"/>
          <w:color w:val="auto"/>
        </w:rPr>
        <w:t xml:space="preserve"> 8-</w:t>
      </w:r>
      <w:r>
        <w:rPr>
          <w:rFonts w:ascii="PMingLiU" w:cs="PMingLiU" w:eastAsia="PMingLiU" w:hAnsi="PMingLiU"/>
          <w:sz w:val="17"/>
          <w:szCs w:val="17"/>
          <w:color w:val="auto"/>
        </w:rPr>
        <w:t>.DPHQGPHQWVWRWKRVHUHSRUWVSUR[\VWDWHPHQWV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other information electronically with the SEC. Through a link on our website, we make copies of our periodic and current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reports, amendments to those reports, proxy statements and other information available, free of charge, as soon as reasonably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practicable after we electronically file such material with, or furnish it to, the SEC. Such reports and other information may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also be accessed through the SEC’s website at www.sec.gov. Information found on, or accessible through, our website is not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 of, and is not incorporated into, this Annual Report on Form </w:t>
      </w:r>
      <w:r>
        <w:rPr>
          <w:rFonts w:ascii="PMingLiU" w:cs="PMingLiU" w:eastAsia="PMingLiU" w:hAnsi="PMingLiU"/>
          <w:sz w:val="17"/>
          <w:szCs w:val="17"/>
          <w:color w:val="auto"/>
        </w:rPr>
        <w:t> .RUDQ\RWKHUUHSRUWWKDWZHILOHZLWKRUIXUQLVKWRWKH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w:t>
      </w:r>
    </w:p>
    <w:p>
      <w:pPr>
        <w:spacing w:after="0" w:line="1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1A.</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25" w:lineRule="exact"/>
        <w:rPr>
          <w:sz w:val="20"/>
          <w:szCs w:val="20"/>
          <w:color w:val="auto"/>
        </w:rPr>
      </w:pPr>
    </w:p>
    <w:p>
      <w:pPr>
        <w:ind w:firstLine="480"/>
        <w:spacing w:after="0" w:line="355" w:lineRule="auto"/>
        <w:rPr>
          <w:sz w:val="20"/>
          <w:szCs w:val="20"/>
          <w:color w:val="auto"/>
        </w:rPr>
      </w:pPr>
      <w:r>
        <w:rPr>
          <w:rFonts w:ascii="PMingLiU" w:cs="PMingLiU" w:eastAsia="PMingLiU" w:hAnsi="PMingLiU"/>
          <w:sz w:val="14"/>
          <w:szCs w:val="14"/>
          <w:i w:val="1"/>
          <w:iCs w:val="1"/>
          <w:color w:val="auto"/>
        </w:rPr>
        <w:t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w:t>
      </w:r>
      <w:r>
        <w:rPr>
          <w:rFonts w:ascii="Times New Roman" w:cs="Times New Roman" w:eastAsia="Times New Roman" w:hAnsi="Times New Roman"/>
          <w:sz w:val="14"/>
          <w:szCs w:val="14"/>
          <w:i w:val="1"/>
          <w:iCs w:val="1"/>
          <w:color w:val="auto"/>
        </w:rPr>
        <w:t>in this</w:t>
      </w:r>
      <w:r>
        <w:rPr>
          <w:rFonts w:ascii="PMingLiU" w:cs="PMingLiU" w:eastAsia="PMingLiU" w:hAnsi="PMingLiU"/>
          <w:sz w:val="14"/>
          <w:szCs w:val="14"/>
          <w:i w:val="1"/>
          <w:iCs w:val="1"/>
          <w:color w:val="auto"/>
        </w:rPr>
        <w:t xml:space="preserve"> </w:t>
      </w:r>
      <w:r>
        <w:rPr>
          <w:rFonts w:ascii="Times New Roman" w:cs="Times New Roman" w:eastAsia="Times New Roman" w:hAnsi="Times New Roman"/>
          <w:sz w:val="14"/>
          <w:szCs w:val="14"/>
          <w:i w:val="1"/>
          <w:iCs w:val="1"/>
          <w:color w:val="auto"/>
        </w:rPr>
        <w:t xml:space="preserve">Annual Report on Form </w:t>
      </w:r>
      <w:r>
        <w:rPr>
          <w:rFonts w:ascii="PMingLiU" w:cs="PMingLiU" w:eastAsia="PMingLiU" w:hAnsi="PMingLiU"/>
          <w:sz w:val="14"/>
          <w:szCs w:val="14"/>
          <w:i w:val="1"/>
          <w:iCs w:val="1"/>
          <w:color w:val="auto"/>
        </w:rPr>
        <w:t> .LQFOXGLQJRXUFRQVROLGDWHGILQDQFLDOVWDWHPHQWVDQGDFFRPSDQ\LQJQRWHV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502920</wp:posOffset>
            </wp:positionV>
            <wp:extent cx="259080" cy="2546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49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41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41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49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43" w:right="919" w:bottom="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9"/>
          <w:szCs w:val="19"/>
          <w:b w:val="1"/>
          <w:bCs w:val="1"/>
          <w:color w:val="auto"/>
        </w:rPr>
        <w:t>Risks Related to Our Lead Products and Product Candidates</w:t>
      </w:r>
    </w:p>
    <w:p>
      <w:pPr>
        <w:spacing w:after="0" w:line="135" w:lineRule="exact"/>
        <w:rPr>
          <w:sz w:val="20"/>
          <w:szCs w:val="20"/>
          <w:color w:val="auto"/>
        </w:rPr>
      </w:pPr>
    </w:p>
    <w:p>
      <w:pPr>
        <w:ind w:left="60" w:right="6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inability to maintain revenues from our oxybate franchise would have a material adverse effect on our business, financial condition, results of operations and growth prospects.</w:t>
      </w:r>
    </w:p>
    <w:p>
      <w:pPr>
        <w:spacing w:after="0" w:line="39" w:lineRule="exact"/>
        <w:rPr>
          <w:sz w:val="20"/>
          <w:szCs w:val="20"/>
          <w:color w:val="auto"/>
        </w:rPr>
      </w:pPr>
    </w:p>
    <w:p>
      <w:pPr>
        <w:ind w:left="60" w:firstLine="480"/>
        <w:spacing w:after="0" w:line="395" w:lineRule="auto"/>
        <w:rPr>
          <w:sz w:val="20"/>
          <w:szCs w:val="20"/>
          <w:color w:val="auto"/>
        </w:rPr>
      </w:pPr>
      <w:r>
        <w:rPr>
          <w:rFonts w:ascii="Times New Roman" w:cs="Times New Roman" w:eastAsia="Times New Roman" w:hAnsi="Times New Roman"/>
          <w:sz w:val="15"/>
          <w:szCs w:val="15"/>
          <w:color w:val="auto"/>
        </w:rPr>
        <w:t>Historically, our business was substantially dependent on Xyrem, and our financial results were significantly influenced by sales of Xyrem. Our current 2026 operating plan assumes that Xywav, with 92% lower sodium compared to high-sodium oxybates (depending on the dose) and absence of a sodium warning, will remain the #1 branded oxybate treatment for narcolepsy; the position it held based on revenue in the fourth quarter of 2025. While we expect that our business will continue to be meaningfully dependent on oxybate revenues, there is no guarantee that oxybate revenues will remain at current levels. In this regard, our ability to maintain oxybate revenues and realize the anticipated benefits from our investment in Xywav are subject to a number of risks and uncertainties as discussed in greater detail below, including: those related to the commercialization of Xywav for the treatment of IH in adults and adoption in that indication; competition from the introduction of AG versions of high-sodium oxybate and branded products, such as Alkermes’ once-nightly dose, high-sodium oxybate branded product Lumryz (acquired through its acquisition of Avadel), for treatment of cataplexy and/or EDS in adults with narcolepsy in the U.S. market, as well as potential future competition from generic versions of high-sodium oxybate, including a generic version of high-sodium oxybate from Amneal approved in September 2025, from Ascent approved in November 2025,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Xyrem and/or Xywav, including from pending intellectual property litigation; and continued acceptance of Xywav by physicians and patients. For a discussion of risks associated with maintaining the AG royalty revenue from the Hikma AG, see the risk factor below titled “</w:t>
      </w:r>
      <w:r>
        <w:rPr>
          <w:rFonts w:ascii="PMingLiU" w:cs="PMingLiU" w:eastAsia="PMingLiU" w:hAnsi="PMingLiU"/>
          <w:sz w:val="15"/>
          <w:szCs w:val="15"/>
          <w:i w:val="1"/>
          <w:iCs w:val="1"/>
          <w:color w:val="auto"/>
        </w:rPr>
        <w:t>7KHLQWURGXFWLRQRIQHZSURGXFWVLQWKH86PDUNHWWKDWFRPSHWHZLWKRURWKHUZLVHGLVUXSWWKHPDUNHWIRURXUR[\EDWH</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i w:val="1"/>
          <w:iCs w:val="1"/>
          <w:color w:val="auto"/>
        </w:rPr>
        <w:t>SURGXFWVKDVDGYHUVHO\DIIHFWHGDQGPD\FRQWLQXHWRDGYHUVHO\DIIHFWVDOHVRIRXUR[\EDWHSURGXFWV</w:t>
      </w:r>
      <w:r>
        <w:rPr>
          <w:rFonts w:ascii="Times New Roman" w:cs="Times New Roman" w:eastAsia="Times New Roman" w:hAnsi="Times New Roman"/>
          <w:sz w:val="15"/>
          <w:szCs w:val="15"/>
          <w:color w:val="auto"/>
        </w:rPr>
        <w:t>.” We have seen a negative</w:t>
      </w:r>
      <w:r>
        <w:rPr>
          <w:rFonts w:ascii="PMingLiU" w:cs="PMingLiU" w:eastAsia="PMingLiU" w:hAnsi="PMingLiU"/>
          <w:sz w:val="15"/>
          <w:szCs w:val="15"/>
          <w:i w:val="1"/>
          <w:iCs w:val="1"/>
          <w:color w:val="auto"/>
        </w:rPr>
        <w:t xml:space="preserve"> </w:t>
      </w:r>
      <w:r>
        <w:rPr>
          <w:rFonts w:ascii="Times New Roman" w:cs="Times New Roman" w:eastAsia="Times New Roman" w:hAnsi="Times New Roman"/>
          <w:sz w:val="15"/>
          <w:szCs w:val="15"/>
          <w:color w:val="auto"/>
        </w:rPr>
        <w:t>impact and expect to see a further negative impact on our oxybate revenues as a result of AG products and Alkermes’ Lumryz and any generic products and new branded products that may compete with our oxybate products. A substantial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262" w:lineRule="exact"/>
        <w:rPr>
          <w:sz w:val="20"/>
          <w:szCs w:val="20"/>
          <w:color w:val="auto"/>
        </w:rPr>
      </w:pPr>
    </w:p>
    <w:p>
      <w:pPr>
        <w:ind w:left="60" w:right="3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introduction of new products in the U.S. market that compete with, or otherwise disrupt the market for, our oxybate products has adversely affected and may continue to adversely affect sales of our oxybate products.</w:t>
      </w:r>
    </w:p>
    <w:p>
      <w:pPr>
        <w:spacing w:after="0" w:line="39" w:lineRule="exact"/>
        <w:rPr>
          <w:sz w:val="20"/>
          <w:szCs w:val="20"/>
          <w:color w:val="auto"/>
        </w:rPr>
      </w:pPr>
    </w:p>
    <w:p>
      <w:pPr>
        <w:ind w:left="60" w:right="220" w:firstLine="480"/>
        <w:spacing w:after="0" w:line="299" w:lineRule="auto"/>
        <w:rPr>
          <w:sz w:val="20"/>
          <w:szCs w:val="20"/>
          <w:color w:val="auto"/>
        </w:rPr>
      </w:pPr>
      <w:r>
        <w:rPr>
          <w:rFonts w:ascii="Times New Roman" w:cs="Times New Roman" w:eastAsia="Times New Roman" w:hAnsi="Times New Roman"/>
          <w:sz w:val="19"/>
          <w:szCs w:val="19"/>
          <w:color w:val="auto"/>
        </w:rPr>
        <w:t>New treatment options for cataplexy and EDS in narcolepsy have been commercially launched and, in the future, other products may be launched that are competitive with, or disrupt the market for, our oxybate products, Xywav and Xyrem.</w:t>
      </w:r>
    </w:p>
    <w:p>
      <w:pPr>
        <w:spacing w:after="0" w:line="38" w:lineRule="exact"/>
        <w:rPr>
          <w:sz w:val="20"/>
          <w:szCs w:val="20"/>
          <w:color w:val="auto"/>
        </w:rPr>
      </w:pPr>
    </w:p>
    <w:p>
      <w:pPr>
        <w:ind w:left="60" w:firstLine="480"/>
        <w:spacing w:after="0" w:line="257" w:lineRule="auto"/>
        <w:rPr>
          <w:sz w:val="20"/>
          <w:szCs w:val="20"/>
          <w:color w:val="auto"/>
        </w:rPr>
      </w:pPr>
      <w:r>
        <w:rPr>
          <w:rFonts w:ascii="Times New Roman" w:cs="Times New Roman" w:eastAsia="Times New Roman" w:hAnsi="Times New Roman"/>
          <w:sz w:val="19"/>
          <w:szCs w:val="19"/>
          <w:color w:val="auto"/>
        </w:rPr>
        <w:t>Ten companies have sent us notices that they had filed ANDAs seeking approval to market a generic version of Xyrem. We filed patent lawsuits against all ten companies and have settled with all ten of the companies. To date, FDA has approved or tentatively approved four of these ANDAs, and we believe that it is likely that FDA will approve or tentatively approve some or all of the others. Pursuant to our patent litigation settlement with the first filer, Hikma launched its AG version of high-sodium oxybate in the U.S. beginning on January 1, 2023. Accordingly, beginning in January 2023, Xywav and Xyrem face competition from an AG version of high-sodium oxybate. We also granted Hikma a license to launch its own generic high-sodium oxybate product but, if it elects to launch its own generic product, Hikma will no longer have the right to sell the Hikma AG product. 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Amneal had rights to sell a low-single-digit percentage of historical Xyrem sales over each 6-month sales period. Lupin and Par never elected to launch an AG product. AG products are distributed through the same REMS as Xywav and Xyrem. We also granted each of Amneal, Lupin and Par a license to launch its own generic high-sodium oxybate product under its ANDA on or after December 31, 2025, or earlier under certain circumstances, including the circumstance where Hikma elects to launch its own generic product. In September 2025, Amneal received FDA approval for a generic version of high-sodium oxybate. In addition, in November 2025, Ascent received FDA approval for a generic version of high-sodium oxybate. As of December 31, 2025, Amneal’s rights to sell its AG version of high-sodium oxybate terminated. In our settlements with each of six other ANDA filers, we granted each a license to launch its own generic high-sodium oxybate product under its ANDA on or after December 31, 2025, or earlier under certain circumstances, including circumstances where Hikma launches its own generic high-sodium oxybate product. It is possible that additional companies may file ANDAs seeking to market a generic version of Xyrem which could lead to additional patent litigation or challenges with respect to Xyrem and/or additional competition for our oxybate products.</w:t>
      </w:r>
    </w:p>
    <w:p>
      <w:pPr>
        <w:spacing w:after="0" w:line="92" w:lineRule="exact"/>
        <w:rPr>
          <w:sz w:val="20"/>
          <w:szCs w:val="20"/>
          <w:color w:val="auto"/>
        </w:rPr>
      </w:pPr>
    </w:p>
    <w:p>
      <w:pPr>
        <w:ind w:left="60" w:right="80" w:firstLine="480"/>
        <w:spacing w:after="0" w:line="277" w:lineRule="auto"/>
        <w:rPr>
          <w:sz w:val="20"/>
          <w:szCs w:val="20"/>
          <w:color w:val="auto"/>
        </w:rPr>
      </w:pPr>
      <w:r>
        <w:rPr>
          <w:rFonts w:ascii="Times New Roman" w:cs="Times New Roman" w:eastAsia="Times New Roman" w:hAnsi="Times New Roman"/>
          <w:sz w:val="19"/>
          <w:szCs w:val="19"/>
          <w:color w:val="auto"/>
        </w:rPr>
        <w:t>Any ANDA holder launching an AG product or another generic high-sodium oxybate product will independently establish the price of the AG product and/or its own generic high-sodium oxybate product and determine the types of discounts or rebates they will offer parties that purchase or pay for the product. Generic competition often results in decreases in the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126365</wp:posOffset>
            </wp:positionV>
            <wp:extent cx="259080" cy="2546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49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42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49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953" w:right="979" w:bottom="0" w:gutter="0" w:footer="0" w:header="0"/>
        </w:sectPr>
      </w:pPr>
    </w:p>
    <w:bookmarkStart w:id="166" w:name="page167"/>
    <w:bookmarkEnd w:id="166"/>
    <w:p>
      <w:pPr>
        <w:ind w:right="260"/>
        <w:spacing w:after="0" w:line="261" w:lineRule="auto"/>
        <w:rPr>
          <w:sz w:val="20"/>
          <w:szCs w:val="20"/>
          <w:color w:val="auto"/>
        </w:rPr>
      </w:pPr>
      <w:r>
        <w:rPr>
          <w:rFonts w:ascii="Times New Roman" w:cs="Times New Roman" w:eastAsia="Times New Roman" w:hAnsi="Times New Roman"/>
          <w:sz w:val="19"/>
          <w:szCs w:val="19"/>
          <w:color w:val="auto"/>
        </w:rPr>
        <w:t>prices at which branded products can be sold. A component of drug pricing is the manufacturer’s list price for a drug to wholesalers or direct purchasers in the U.S. (without discounts, rebates or other reductions) referred to as the WAC. In this regard, Hikma and Amneal launched their AG products in 2023 at a WAC that was less than 15% lower than the WAC for Xyrem. After any introduction of a generic product, whether or not it is an AG product, a significant percentage of the prescriptions written for Xyrem have been, and will likely continue to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We continue to receive royalties and other revenue based on sales of AG products in accordance with the terms of our settlement agreements.</w:t>
      </w:r>
    </w:p>
    <w:p>
      <w:pPr>
        <w:spacing w:after="0" w:line="73"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9"/>
          <w:szCs w:val="19"/>
          <w:color w:val="auto"/>
        </w:rPr>
        <w:t>Other companies may develop sodium oxybate products for the treatment of narcolepsy, using an alternative formulation or a different delivery technology, and seek approval in the U.S. using an NDA approval pathway under Section 505(b)(2) and referencing the safety and efficacy data for Xyrem. For example, we face competition from branded products for treatment of cataplexy and/or EDS in narcolepsy, such as Alkermes’ Lumryz (acquired through its acquisition of Avadel). On May 1, 2023, Avadel announced that it had received FDA approval and ODE through May 1, 2030 for Lumryz, a fixed-dose, high-sodium oxybate which uses its proprietary technology for the treatment of EDS and cataplexy in patients with narcolepsy. On September 3, 2025, Avadel announced plans to develop and commercialize with XWPharma Ltd. a no salt, once nightly valiloxybate product for the treatment of narcolepsy and IH. Xyrem and Xywav also face increased competition from other branded entrants to treat EDS in narcolepsy such as Wakix and Sunosi, which we sold to Axsome in 2022. Other companies have announced that they have product candidates in various phases of development to treat the symptoms of narcolepsy, such as Axsome’s reboxetine, and various companies are performing R&amp;D on orexin 2 receptor agonists for the treatment of sleep disorders, including narcolepsy and IH, which companies include Takeda, Merck &amp; Co., Inc., Eisai Co., Ltd., Centessa Pharmaceuticals plc and Alkermes. In this regard, Alkermes acquired Avadel in February 2026, the strategic rationale for which Alkermes has stated includes the combined companies supporting a broad development strategy for Alkermes’ portfolio of orexin 2 receptor agonists and supporting the advancement of clinical studies to support potential label expansion opportunities for Lumryz.</w:t>
      </w:r>
    </w:p>
    <w:p>
      <w:pPr>
        <w:spacing w:after="0" w:line="319" w:lineRule="exact"/>
        <w:rPr>
          <w:sz w:val="20"/>
          <w:szCs w:val="20"/>
          <w:color w:val="auto"/>
        </w:rPr>
      </w:pPr>
    </w:p>
    <w:p>
      <w:pPr>
        <w:ind w:right="40" w:firstLine="480"/>
        <w:spacing w:after="0" w:line="338" w:lineRule="auto"/>
        <w:rPr>
          <w:sz w:val="20"/>
          <w:szCs w:val="20"/>
          <w:color w:val="auto"/>
        </w:rPr>
      </w:pPr>
      <w:r>
        <w:rPr>
          <w:rFonts w:ascii="Times New Roman" w:cs="Times New Roman" w:eastAsia="Times New Roman" w:hAnsi="Times New Roman"/>
          <w:sz w:val="16"/>
          <w:szCs w:val="16"/>
          <w:color w:val="auto"/>
        </w:rPr>
        <w:t>We expect that Xywav for the treatment of both cataplexy and EDS in patients with narcolepsy will continue to face competition from generic or AG high-sodium oxybate products or branded entrants in narcolepsy, such as Alkermes’ Lumryz, notwithstanding FDA recognizing ODE for Xywav. For example, we received notices in June 2021, February 2023 and July 2025 that Lupin, Teva and Granules, respectively, filed ANDAs for generic versions of Xywav. On October 13, 2023, Lupin announced that it has received tentative approval for its application to market a generic version of Xywav. In addition, in July 2025, we received notice from Granules that it has filed with FDA an ANDA for a generic version of Xywav. Furthermore, in January 2026, we received notices from Tris Pharma that it had filed with FDA a Section 505(b)(2) NDA for generic versions of Xyrem and Xywav. We have filed patent infringement suits against these ANDA filers. For additional information see “</w:t>
      </w:r>
      <w:r>
        <w:rPr>
          <w:rFonts w:ascii="PMingLiU" w:cs="PMingLiU" w:eastAsia="PMingLiU" w:hAnsi="PMingLiU"/>
          <w:sz w:val="16"/>
          <w:szCs w:val="16"/>
          <w:i w:val="1"/>
          <w:iCs w:val="1"/>
          <w:color w:val="auto"/>
        </w:rPr>
        <w:t>;\ZDY3DWHQW/LWLJDWLRQ</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Tris Pharma Patent Litigation</w:t>
      </w:r>
      <w:r>
        <w:rPr>
          <w:rFonts w:ascii="Times New Roman" w:cs="Times New Roman" w:eastAsia="Times New Roman" w:hAnsi="Times New Roman"/>
          <w:sz w:val="16"/>
          <w:szCs w:val="16"/>
          <w:color w:val="auto"/>
        </w:rPr>
        <w:t xml:space="preserve">” in Note 13, Commitments and Contingencies—Legal </w:t>
      </w:r>
      <w:r>
        <w:rPr>
          <w:rFonts w:ascii="PMingLiU" w:cs="PMingLiU" w:eastAsia="PMingLiU" w:hAnsi="PMingLiU"/>
          <w:sz w:val="16"/>
          <w:szCs w:val="16"/>
          <w:color w:val="auto"/>
        </w:rPr>
        <w:t xml:space="preserve">3URFHHGLQJVRIWKH1RWHVWR&amp;RQVROLGDWHG)LQDQFLDO6WDWHPHQWVLQFOXGHGLQ3DUW,9RIWKLV$QQXDO5HSRUWRQ)RUP . </w:t>
      </w:r>
      <w:r>
        <w:rPr>
          <w:rFonts w:ascii="Times New Roman" w:cs="Times New Roman" w:eastAsia="Times New Roman" w:hAnsi="Times New Roman"/>
          <w:sz w:val="16"/>
          <w:szCs w:val="16"/>
          <w:color w:val="auto"/>
        </w:rPr>
        <w:t>Additional companies may file ANDAs seeking to market a generic version of Xywav which could lead to additional patent litigation or challenges with respect to Xywav and/or additional competition.</w:t>
      </w:r>
    </w:p>
    <w:p>
      <w:pPr>
        <w:spacing w:after="0" w:line="1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9"/>
          <w:szCs w:val="19"/>
          <w:color w:val="auto"/>
        </w:rPr>
        <w:t xml:space="preserve">Moreover, generic or AG high-sodium oxybate products or branded high-sodium oxybate entrants in narcolepsy, such as Alkermes’ Lumryz, as well as non-oxybate products intended for the treatment of EDS or cataplexy in narcolepsy or IH including new market entrants, even if not directly competitive with Xywav or Xyrem, have and may continue to have the effect of changing treatment regimens and payor or formulary coverage of Xywav or Xyrem in favor of other products, and indirectly adversely affect sales of Xywav and Xyrem. Examples of such new market entrants of non-oxybate products include Wakix, a drug that was approved by FDA in 2019 for the treatment of EDS in adult patients with narcolepsy and approved by FDA in 2020 for an adult cataplexy indication in the U.S. Wakix has also been approved and marketed in Europe to treat adult patients with narcolepsy, with or without cataplexy, and to treat EDS in obstructive sleep apnea. Harmony Biosciences announced a phase 3 study for pitolisant for IH after receiving a refusal to file from FDA in February 2025. In addition, Alkermes acquired Avadel in February 2026, which may strengthen both companies and we may experience increased competition from the combined company. We are also aware that prescribers often prescribe branded or generic medications for cataplexy and IH, before or instead of prescribing oxybate therapy including Xywav and Xyrem, and that payors often require patients to try such medications before they will cover Xywav or Xyrem, even if they are not approved for this use. Examples of such products are described in “Business—Competition” in Part I, Item 1 of this Annual Report on Form </w:t>
      </w:r>
      <w:r>
        <w:rPr>
          <w:rFonts w:ascii="PMingLiU" w:cs="PMingLiU" w:eastAsia="PMingLiU" w:hAnsi="PMingLiU"/>
          <w:sz w:val="19"/>
          <w:szCs w:val="19"/>
          <w:color w:val="auto"/>
        </w:rPr>
        <w:t> .</w:t>
      </w:r>
    </w:p>
    <w:p>
      <w:pPr>
        <w:spacing w:after="0" w:line="86" w:lineRule="exact"/>
        <w:rPr>
          <w:sz w:val="20"/>
          <w:szCs w:val="20"/>
          <w:color w:val="auto"/>
        </w:rPr>
      </w:pPr>
    </w:p>
    <w:p>
      <w:pPr>
        <w:jc w:val="both"/>
        <w:ind w:right="200" w:firstLine="480"/>
        <w:spacing w:after="0" w:line="270" w:lineRule="auto"/>
        <w:rPr>
          <w:sz w:val="20"/>
          <w:szCs w:val="20"/>
          <w:color w:val="auto"/>
        </w:rPr>
      </w:pPr>
      <w:r>
        <w:rPr>
          <w:rFonts w:ascii="Times New Roman" w:cs="Times New Roman" w:eastAsia="Times New Roman" w:hAnsi="Times New Roman"/>
          <w:sz w:val="19"/>
          <w:szCs w:val="19"/>
          <w:color w:val="auto"/>
        </w:rPr>
        <w:t>We expect that the approval and launch of AG products or other generic versions of Xyrem or Xywav and the approval and launch of any other sodium oxybate product, such as Alkermes’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351790</wp:posOffset>
            </wp:positionV>
            <wp:extent cx="259080" cy="2546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49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43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43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49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67" w:name="page168"/>
    <w:bookmarkEnd w:id="167"/>
    <w:p>
      <w:pPr>
        <w:ind w:left="60" w:right="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59"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The API of Xywav and Xyrem is a form of GHB, a central nervous system depressant known to be associated with facilitating sexual assault as well as with respiratory depression and other serious side effects. As a result, FDA requires that we maintain a REMS with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73" w:lineRule="exact"/>
        <w:rPr>
          <w:sz w:val="20"/>
          <w:szCs w:val="20"/>
          <w:color w:val="auto"/>
        </w:rPr>
      </w:pPr>
    </w:p>
    <w:p>
      <w:pPr>
        <w:ind w:left="60" w:right="60" w:firstLine="480"/>
        <w:spacing w:after="0" w:line="259" w:lineRule="auto"/>
        <w:rPr>
          <w:sz w:val="20"/>
          <w:szCs w:val="20"/>
          <w:color w:val="auto"/>
        </w:rPr>
      </w:pPr>
      <w:r>
        <w:rPr>
          <w:rFonts w:ascii="Times New Roman" w:cs="Times New Roman" w:eastAsia="Times New Roman" w:hAnsi="Times New Roman"/>
          <w:sz w:val="19"/>
          <w:szCs w:val="19"/>
          <w:color w:val="auto"/>
        </w:rPr>
        <w:t>FDA continues to evaluate the Xywav and Xyrem REMS on an ongoing basis and has required, and may in the future require, modifications to the Xywav and Xyrem REMS. In 2023, FDA requested certain modifications to the Xywav and Xyrem REMS, which FDA approved in January 2024 as part of additional modifications to the REMS that we requested. We cannot predict whether FDA will request, seek to require or ultimately require additional modifications to, or impose additional requirements on, the Xywav and Xyrem REMS, including in connection with the submission of new oxybate products or indications, the introduction of AGs,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or Xywav as a treatment for IH, and prescribers’ willingness to prescribe, and patients’ willingness to take, Xywav or Xyrem, any of which could have a material adverse effect on our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8" w:lineRule="exact"/>
        <w:rPr>
          <w:sz w:val="20"/>
          <w:szCs w:val="20"/>
          <w:color w:val="auto"/>
        </w:rPr>
      </w:pPr>
    </w:p>
    <w:p>
      <w:pPr>
        <w:ind w:left="60" w:right="20" w:firstLine="480"/>
        <w:spacing w:after="0" w:line="259" w:lineRule="auto"/>
        <w:rPr>
          <w:sz w:val="20"/>
          <w:szCs w:val="20"/>
          <w:color w:val="auto"/>
        </w:rPr>
      </w:pPr>
      <w:r>
        <w:rPr>
          <w:rFonts w:ascii="Times New Roman" w:cs="Times New Roman" w:eastAsia="Times New Roman" w:hAnsi="Times New Roman"/>
          <w:sz w:val="19"/>
          <w:szCs w:val="19"/>
          <w:color w:val="auto"/>
        </w:rPr>
        <w:t>We depend on outside vendors, including ESSDS,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8" w:lineRule="exact"/>
        <w:rPr>
          <w:sz w:val="20"/>
          <w:szCs w:val="20"/>
          <w:color w:val="auto"/>
        </w:rPr>
      </w:pPr>
    </w:p>
    <w:p>
      <w:pPr>
        <w:ind w:left="60" w:firstLine="480"/>
        <w:spacing w:after="0" w:line="257" w:lineRule="auto"/>
        <w:rPr>
          <w:sz w:val="20"/>
          <w:szCs w:val="20"/>
          <w:color w:val="auto"/>
        </w:rPr>
      </w:pPr>
      <w:r>
        <w:rPr>
          <w:rFonts w:ascii="Times New Roman" w:cs="Times New Roman" w:eastAsia="Times New Roman" w:hAnsi="Times New Roman"/>
          <w:sz w:val="19"/>
          <w:szCs w:val="19"/>
          <w:color w:val="auto"/>
        </w:rPr>
        <w:t xml:space="preserve">In its approval of Hikma’s ANDA, FDA waived the requirement of a single shared REMS with the Xywav and Xyrem REMS, approving Hikma’s ANDA with a generic high-sodium oxybate REMS separate from the Xywav and Xyrem REMS, except for the requirement that the high-sodium oxybate REMS program pharmacies contact the Xywav and Xyrem REMS by phone to verify and report certain information. The generic high-sodium oxybate REMS was approved with the condition that it be open to all future sponsors of ANDAs or NDAs for high-sodium oxybate products. In its approval of Avadel’s high-sodium oxybate product, FDA also approved a separate REMS for that product, also with a requirement that the pharmacies in the Avadel (now Alkermes) -sponsored REMS contact the Xywav and Xyrem REMS to verify and report certain information. Administration of multiple sodium oxybate REMS systems could increase the risks associated with oxybate distribution, could make it more difficult or expensive for us to distribute Xywav and Xyrem and disrupt patient access to Xywav or Xyrem. Because patients, consumers and others may not differentiate other high-sodium oxybate products from our sodium oxybate products or differentiate between the different REMS programs, any negative outcomes, including risks to the public, caused by or otherwise related to a separate high-sodium oxybate REMS, could have a significant negative impact in terms of product liability, our reputation and goodwill, public acceptance of Xywav or Xyrem as a treatment for cataplexy and EDS in narcolepsy or Xywav for the treatment of IH, and prescribers’ willingness to prescribe, and patients’ willingness to take, Xywav or Xyrem, any of which could have a material adverse effect on our business. </w:t>
      </w:r>
      <w:r>
        <w:rPr>
          <w:rFonts w:ascii="PMingLiU" w:cs="PMingLiU" w:eastAsia="PMingLiU" w:hAnsi="PMingLiU"/>
          <w:sz w:val="19"/>
          <w:szCs w:val="19"/>
          <w:color w:val="auto"/>
        </w:rPr>
        <w:t/>
      </w:r>
    </w:p>
    <w:p>
      <w:pPr>
        <w:spacing w:after="0" w:line="86" w:lineRule="exact"/>
        <w:rPr>
          <w:sz w:val="20"/>
          <w:szCs w:val="20"/>
          <w:color w:val="auto"/>
        </w:rPr>
      </w:pPr>
    </w:p>
    <w:p>
      <w:pPr>
        <w:ind w:left="60" w:right="20" w:firstLine="480"/>
        <w:spacing w:after="0" w:line="277" w:lineRule="auto"/>
        <w:rPr>
          <w:sz w:val="20"/>
          <w:szCs w:val="20"/>
          <w:color w:val="auto"/>
        </w:rPr>
      </w:pPr>
      <w:r>
        <w:rPr>
          <w:rFonts w:ascii="Times New Roman" w:cs="Times New Roman" w:eastAsia="Times New Roman" w:hAnsi="Times New Roman"/>
          <w:sz w:val="19"/>
          <w:szCs w:val="19"/>
          <w:color w:val="auto"/>
        </w:rPr>
        <w:t>We may face pressure to further modify the Xywav and Xyrem REMS, including sharing data, which may be proprietary, required for the safe distribution of sodium oxybate, in connection with FDA’s approval of the generic sodium oxybate REMS or another oxybate REMS that has been approved or may be submitted or approved in the future. We cannot predict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125095</wp:posOffset>
            </wp:positionV>
            <wp:extent cx="259080" cy="2546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50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44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50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41" w:right="979" w:bottom="0" w:gutter="0" w:footer="0" w:header="0"/>
        </w:sectPr>
      </w:pPr>
    </w:p>
    <w:bookmarkStart w:id="168" w:name="page169"/>
    <w:bookmarkEnd w:id="168"/>
    <w:p>
      <w:pPr>
        <w:ind w:right="280"/>
        <w:spacing w:after="0" w:line="277" w:lineRule="auto"/>
        <w:rPr>
          <w:sz w:val="20"/>
          <w:szCs w:val="20"/>
          <w:color w:val="auto"/>
        </w:rPr>
      </w:pPr>
      <w:r>
        <w:rPr>
          <w:rFonts w:ascii="Times New Roman" w:cs="Times New Roman" w:eastAsia="Times New Roman" w:hAnsi="Times New Roman"/>
          <w:sz w:val="19"/>
          <w:szCs w:val="19"/>
          <w:color w:val="auto"/>
        </w:rPr>
        <w:t>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58"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9"/>
          <w:szCs w:val="19"/>
          <w:color w:val="auto"/>
        </w:rPr>
        <w:t>REMS programs have increasingly drawn public scrutiny from the U.S. Congress, the FTC, the USPTO, and FDA, with allegations that such programs are used as a means of improperly blocking or delaying competition. In December 2019, as part of the Further Consolidated Appropriations Act of 2020, U.S. Congress passed legislation known as the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generic products with REMS. A further example of continued interest in REMS oversight came from the USPTO in collaboration with FDA in November 2022, when they published an RFC in the Federal Register that asked, “What policy considerations or concerns should the USPTO and FDA explore in relation to the patenting of REMS associated with certain FDA-approved products?” The comments for this RFC closed on February 6, 2023.</w:t>
      </w:r>
      <w:r>
        <w:rPr>
          <w:rFonts w:ascii="PMingLiU" w:cs="PMingLiU" w:eastAsia="PMingLiU" w:hAnsi="PMingLiU"/>
          <w:sz w:val="19"/>
          <w:szCs w:val="19"/>
          <w:color w:val="auto"/>
        </w:rPr>
        <w:t/>
      </w:r>
    </w:p>
    <w:p>
      <w:pPr>
        <w:spacing w:after="0" w:line="80" w:lineRule="exact"/>
        <w:rPr>
          <w:sz w:val="20"/>
          <w:szCs w:val="20"/>
          <w:color w:val="auto"/>
        </w:rPr>
      </w:pPr>
    </w:p>
    <w:p>
      <w:pPr>
        <w:ind w:right="60" w:firstLine="480"/>
        <w:spacing w:after="0" w:line="345" w:lineRule="auto"/>
        <w:rPr>
          <w:sz w:val="20"/>
          <w:szCs w:val="20"/>
          <w:color w:val="auto"/>
        </w:rPr>
      </w:pPr>
      <w:r>
        <w:rPr>
          <w:rFonts w:ascii="Times New Roman" w:cs="Times New Roman" w:eastAsia="Times New Roman" w:hAnsi="Times New Roman"/>
          <w:sz w:val="16"/>
          <w:szCs w:val="16"/>
          <w:color w:val="auto"/>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high-sodium oxybate. In December 2020, these cases were centralized and transferred to the U.S. District Court for the Northern District of California, where the multidistrict litigation will proceed for the purpose of discovery and pre-trial proceedings. As of October 2025, we have resolved the entirety of the Xyrem Antitrust Litigation. For additional information on these lawsuits, as well as a class settlement agreement with respect thereto, see "</w:t>
      </w:r>
      <w:r>
        <w:rPr>
          <w:rFonts w:ascii="PMingLiU" w:cs="PMingLiU" w:eastAsia="PMingLiU" w:hAnsi="PMingLiU"/>
          <w:sz w:val="16"/>
          <w:szCs w:val="16"/>
          <w:i w:val="1"/>
          <w:iCs w:val="1"/>
          <w:color w:val="auto"/>
        </w:rPr>
        <w:t>;\UHP$QWLWUXVW/LWLJDWLRQ</w:t>
      </w:r>
      <w:r>
        <w:rPr>
          <w:rFonts w:ascii="Times New Roman" w:cs="Times New Roman" w:eastAsia="Times New Roman" w:hAnsi="Times New Roman"/>
          <w:sz w:val="16"/>
          <w:szCs w:val="16"/>
          <w:color w:val="auto"/>
        </w:rPr>
        <w:t>" (and for other litigation and settlement involving our listing of our REMS patent in the Orange Book), see "</w:t>
      </w:r>
      <w:r>
        <w:rPr>
          <w:rFonts w:ascii="PMingLiU" w:cs="PMingLiU" w:eastAsia="PMingLiU" w:hAnsi="PMingLiU"/>
          <w:sz w:val="16"/>
          <w:szCs w:val="16"/>
          <w:i w:val="1"/>
          <w:iCs w:val="1"/>
          <w:color w:val="auto"/>
        </w:rPr>
        <w:t>$YDGHO/LWLJDWLRQ</w:t>
      </w:r>
      <w:r>
        <w:rPr>
          <w:rFonts w:ascii="Times New Roman" w:cs="Times New Roman" w:eastAsia="Times New Roman" w:hAnsi="Times New Roman"/>
          <w:sz w:val="16"/>
          <w:szCs w:val="16"/>
          <w:color w:val="auto"/>
        </w:rPr>
        <w:t xml:space="preserve">" in Note 13, Commitments and Contingencies—Legal Proceedings of the </w:t>
      </w:r>
      <w:r>
        <w:rPr>
          <w:rFonts w:ascii="PMingLiU" w:cs="PMingLiU" w:eastAsia="PMingLiU" w:hAnsi="PMingLiU"/>
          <w:sz w:val="16"/>
          <w:szCs w:val="16"/>
          <w:color w:val="auto"/>
        </w:rPr>
        <w:t xml:space="preserve">1RWHVWR&amp;RQVROLGDWHG)LQDQFLDO6WDWHPHQWVLQFOXGHGLQ3DUW,9RIWKLV$QQXDO5HSRUWRQ)RUP .,WLVSRVVLEOHWKDW </w:t>
      </w:r>
      <w:r>
        <w:rPr>
          <w:rFonts w:ascii="Times New Roman" w:cs="Times New Roman" w:eastAsia="Times New Roman" w:hAnsi="Times New Roman"/>
          <w:sz w:val="16"/>
          <w:szCs w:val="16"/>
          <w:color w:val="auto"/>
        </w:rPr>
        <w:t>additional lawsuits will be filed against us making similar or related allegations or that governmental authorities could commence an investigation. We cannot predict the outcome of any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278"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73"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19"/>
          <w:szCs w:val="19"/>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66"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39"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LGS, DS and TSC.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In the future, we expect Epidiolex to face competition from generic cannabinoids. We have settled patent litigation with each of the ten companies seeking to market a generic version of Epidiolex in the U.S. by granting each of the Epidiolex ANDA Filers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61595</wp:posOffset>
            </wp:positionV>
            <wp:extent cx="259080" cy="2546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50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45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45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50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69" w:name="page170"/>
    <w:bookmarkEnd w:id="169"/>
    <w:p>
      <w:pPr>
        <w:ind w:left="60" w:right="20"/>
        <w:spacing w:after="0" w:line="261" w:lineRule="auto"/>
        <w:rPr>
          <w:sz w:val="20"/>
          <w:szCs w:val="20"/>
          <w:color w:val="auto"/>
        </w:rPr>
      </w:pPr>
      <w:r>
        <w:rPr>
          <w:rFonts w:ascii="Times New Roman" w:cs="Times New Roman" w:eastAsia="Times New Roman" w:hAnsi="Times New Roman"/>
          <w:sz w:val="19"/>
          <w:szCs w:val="19"/>
          <w:color w:val="auto"/>
        </w:rPr>
        <w:t>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However, these settlements do not prevent other third parties from filing additional ANDAs seeking to market a generic version of Epidiolex in the future. Any such filings could result in additional patent litigation or challenges with respect to Epidiolex and could require substantial financial resources. An adverse outcome in any such litigation, or the entry into additional settlement agreements, could result in the approval and commercialization of generic versions of Epidiolex earlier than anticipated and may have a material adverse effect on our businesses, financial condition, results of operations and growth prospects.</w:t>
      </w:r>
    </w:p>
    <w:p>
      <w:pPr>
        <w:spacing w:after="0" w:line="80" w:lineRule="exact"/>
        <w:rPr>
          <w:sz w:val="20"/>
          <w:szCs w:val="20"/>
          <w:color w:val="auto"/>
        </w:rPr>
      </w:pPr>
    </w:p>
    <w:p>
      <w:pPr>
        <w:ind w:left="60" w:right="18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While we expect Xywav and Epidiolex/Epidyolex to remain our largest products, our success also depends on our ability to effectively commercialize our other existing products and potential future products.</w:t>
      </w:r>
      <w:r>
        <w:rPr>
          <w:rFonts w:ascii="PMingLiU" w:cs="PMingLiU" w:eastAsia="PMingLiU" w:hAnsi="PMingLiU"/>
          <w:sz w:val="19"/>
          <w:szCs w:val="19"/>
          <w:b w:val="1"/>
          <w:bCs w:val="1"/>
          <w:i w:val="1"/>
          <w:iCs w:val="1"/>
          <w:color w:val="auto"/>
        </w:rPr>
        <w:t/>
      </w:r>
    </w:p>
    <w:p>
      <w:pPr>
        <w:spacing w:after="0" w:line="55" w:lineRule="exact"/>
        <w:rPr>
          <w:sz w:val="20"/>
          <w:szCs w:val="20"/>
          <w:color w:val="auto"/>
        </w:rPr>
      </w:pPr>
    </w:p>
    <w:p>
      <w:pPr>
        <w:ind w:left="60" w:right="180" w:firstLine="480"/>
        <w:spacing w:after="0" w:line="257" w:lineRule="auto"/>
        <w:rPr>
          <w:sz w:val="20"/>
          <w:szCs w:val="20"/>
          <w:color w:val="auto"/>
        </w:rPr>
      </w:pPr>
      <w:r>
        <w:rPr>
          <w:rFonts w:ascii="Times New Roman" w:cs="Times New Roman" w:eastAsia="Times New Roman" w:hAnsi="Times New Roman"/>
          <w:sz w:val="19"/>
          <w:szCs w:val="19"/>
          <w:color w:val="auto"/>
        </w:rPr>
        <w:t>In addition to Xywav, Epidiolex/Epidyolex and our other neuroscience products and product candidates, we are commercializing a portfolio of products, including our other lead marketed products, Ziihera, Modeyso, Zepzelca and Rylaze. An inability to effectively commercialize our other lead marketed products and to maximize their potential where possible through successful R&amp;D activities could have a material adverse effect on our business, financial condition, results of operations and growth prospects.</w:t>
      </w:r>
      <w:r>
        <w:rPr>
          <w:rFonts w:ascii="PMingLiU" w:cs="PMingLiU" w:eastAsia="PMingLiU" w:hAnsi="PMingLiU"/>
          <w:sz w:val="21"/>
          <w:szCs w:val="21"/>
          <w:b w:val="1"/>
          <w:bCs w:val="1"/>
          <w:i w:val="1"/>
          <w:iCs w:val="1"/>
          <w:color w:val="auto"/>
        </w:rPr>
        <w:t/>
      </w:r>
    </w:p>
    <w:p>
      <w:pPr>
        <w:spacing w:after="0" w:line="71" w:lineRule="exact"/>
        <w:rPr>
          <w:sz w:val="20"/>
          <w:szCs w:val="20"/>
          <w:color w:val="auto"/>
        </w:rPr>
      </w:pPr>
    </w:p>
    <w:p>
      <w:pPr>
        <w:ind w:left="60" w:right="20" w:firstLine="480"/>
        <w:spacing w:after="0" w:line="290" w:lineRule="auto"/>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color w:val="121212"/>
        </w:rPr>
        <w:t>ur ability to realize the anticipated benefits from our investment in Zepzelca</w:t>
      </w:r>
      <w:r>
        <w:rPr>
          <w:rFonts w:ascii="Times New Roman" w:cs="Times New Roman" w:eastAsia="Times New Roman" w:hAnsi="Times New Roman"/>
          <w:sz w:val="17"/>
          <w:szCs w:val="17"/>
          <w:color w:val="auto"/>
        </w:rPr>
        <w:t xml:space="preserve"> is </w:t>
      </w:r>
      <w:r>
        <w:rPr>
          <w:rFonts w:ascii="Times New Roman" w:cs="Times New Roman" w:eastAsia="Times New Roman" w:hAnsi="Times New Roman"/>
          <w:sz w:val="17"/>
          <w:szCs w:val="17"/>
          <w:color w:val="121212"/>
        </w:rPr>
        <w:t>subject to a number of risks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21212"/>
        </w:rPr>
        <w:t xml:space="preserve">uncertainties, including: </w:t>
      </w:r>
      <w:r>
        <w:rPr>
          <w:rFonts w:ascii="Times New Roman" w:cs="Times New Roman" w:eastAsia="Times New Roman" w:hAnsi="Times New Roman"/>
          <w:sz w:val="17"/>
          <w:szCs w:val="17"/>
          <w:color w:val="000000"/>
        </w:rPr>
        <w:t>our ability to successfully commercialize Zepzelca in the U.S. and Canada; adequate supply of</w:t>
      </w:r>
      <w:r>
        <w:rPr>
          <w:rFonts w:ascii="Times New Roman" w:cs="Times New Roman" w:eastAsia="Times New Roman" w:hAnsi="Times New Roman"/>
          <w:sz w:val="17"/>
          <w:szCs w:val="17"/>
          <w:color w:val="121212"/>
        </w:rPr>
        <w:t xml:space="preserve"> </w:t>
      </w:r>
      <w:r>
        <w:rPr>
          <w:rFonts w:ascii="Times New Roman" w:cs="Times New Roman" w:eastAsia="Times New Roman" w:hAnsi="Times New Roman"/>
          <w:sz w:val="17"/>
          <w:szCs w:val="17"/>
          <w:color w:val="000000"/>
        </w:rPr>
        <w:t xml:space="preserve">Zepzelca to meet demand; </w:t>
      </w:r>
      <w:r>
        <w:rPr>
          <w:rFonts w:ascii="Times New Roman" w:cs="Times New Roman" w:eastAsia="Times New Roman" w:hAnsi="Times New Roman"/>
          <w:sz w:val="17"/>
          <w:szCs w:val="17"/>
          <w:color w:val="121212"/>
        </w:rPr>
        <w:t>a</w:t>
      </w:r>
      <w:r>
        <w:rPr>
          <w:rFonts w:ascii="Times New Roman" w:cs="Times New Roman" w:eastAsia="Times New Roman" w:hAnsi="Times New Roman"/>
          <w:sz w:val="17"/>
          <w:szCs w:val="17"/>
          <w:color w:val="000000"/>
        </w:rPr>
        <w:t>vailability of favorable treatment pathway designations pricing and adequate coverage and reimbursement; the potential for negative trial data read-outs in ongoing or future Zepzelca clinical trials; our and PharmaMar’s, ability to maintain accelerated approval or successfully complete a confirmatory study of Zepzelca; competition from Amgen Inc.’s tarlatamab, a product approved for the treatment of extensive-stage metastatic SCLC in May 2024; and patients’ access to lung cancer screening, diagnosis and treatment. In July and August 2024, we received notices from Zepzelca ANDA filers. On September 11, 2024, we and PharmaMar filed a patent infringement suit against the Zepzelca ANDA Filers in the U.S. District Court for the District of New Jersey. For additional information see “</w:t>
      </w:r>
      <w:r>
        <w:rPr>
          <w:rFonts w:ascii="Times New Roman" w:cs="Times New Roman" w:eastAsia="Times New Roman" w:hAnsi="Times New Roman"/>
          <w:sz w:val="17"/>
          <w:szCs w:val="17"/>
          <w:i w:val="1"/>
          <w:iCs w:val="1"/>
          <w:color w:val="121212"/>
        </w:rPr>
        <w:t>=HS]HOFD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Patent Litigation</w:t>
      </w:r>
      <w:r>
        <w:rPr>
          <w:rFonts w:ascii="Times New Roman" w:cs="Times New Roman" w:eastAsia="Times New Roman" w:hAnsi="Times New Roman"/>
          <w:sz w:val="17"/>
          <w:szCs w:val="17"/>
          <w:color w:val="000000"/>
        </w:rPr>
        <w:t xml:space="preserve">” in Note 13, Commitments and Contingencies—Legal Proceedings of the Notes to Consolidated Financial Statements, included in Part IV of </w:t>
      </w:r>
      <w:r>
        <w:rPr>
          <w:rFonts w:ascii="PMingLiU" w:cs="PMingLiU" w:eastAsia="PMingLiU" w:hAnsi="PMingLiU"/>
          <w:sz w:val="17"/>
          <w:szCs w:val="17"/>
          <w:color w:val="000000"/>
        </w:rPr>
        <w:t>WKLV$QQXDO5HSRUWRQ)RUP .$GGLWLRQDOFRPSDQLHVPD\ILOH$1'$VVHHNLQJWRPDUNHWDJHQHULFYHUVLRQRI</w:t>
      </w:r>
      <w:r>
        <w:rPr>
          <w:rFonts w:ascii="Times New Roman" w:cs="Times New Roman" w:eastAsia="Times New Roman" w:hAnsi="Times New Roman"/>
          <w:sz w:val="17"/>
          <w:szCs w:val="17"/>
          <w:color w:val="121212"/>
        </w:rPr>
        <w:t>Zepzelca</w:t>
      </w:r>
      <w:r>
        <w:rPr>
          <w:rFonts w:ascii="PMingLiU" w:cs="PMingLiU" w:eastAsia="PMingLiU" w:hAnsi="PMingLiU"/>
          <w:sz w:val="17"/>
          <w:szCs w:val="17"/>
          <w:color w:val="000000"/>
        </w:rPr>
        <w:t xml:space="preserve"> </w:t>
      </w:r>
      <w:r>
        <w:rPr>
          <w:rFonts w:ascii="Times New Roman" w:cs="Times New Roman" w:eastAsia="Times New Roman" w:hAnsi="Times New Roman"/>
          <w:sz w:val="17"/>
          <w:szCs w:val="17"/>
          <w:color w:val="000000"/>
        </w:rPr>
        <w:t xml:space="preserve">which could lead to additional patent litigation or challenges with respect to </w:t>
      </w:r>
      <w:r>
        <w:rPr>
          <w:rFonts w:ascii="Times New Roman" w:cs="Times New Roman" w:eastAsia="Times New Roman" w:hAnsi="Times New Roman"/>
          <w:sz w:val="17"/>
          <w:szCs w:val="17"/>
          <w:color w:val="121212"/>
        </w:rPr>
        <w:t>Zepzelca</w:t>
      </w:r>
      <w:r>
        <w:rPr>
          <w:rFonts w:ascii="Times New Roman" w:cs="Times New Roman" w:eastAsia="Times New Roman" w:hAnsi="Times New Roman"/>
          <w:sz w:val="17"/>
          <w:szCs w:val="17"/>
          <w:color w:val="000000"/>
        </w:rPr>
        <w:t>.</w:t>
      </w:r>
    </w:p>
    <w:p>
      <w:pPr>
        <w:spacing w:after="0" w:line="284" w:lineRule="exact"/>
        <w:rPr>
          <w:sz w:val="20"/>
          <w:szCs w:val="20"/>
          <w:color w:val="auto"/>
        </w:rPr>
      </w:pPr>
    </w:p>
    <w:p>
      <w:pPr>
        <w:ind w:left="60" w:right="180" w:firstLine="480"/>
        <w:spacing w:after="0" w:line="263" w:lineRule="auto"/>
        <w:rPr>
          <w:sz w:val="20"/>
          <w:szCs w:val="20"/>
          <w:color w:val="auto"/>
        </w:rPr>
      </w:pPr>
      <w:r>
        <w:rPr>
          <w:rFonts w:ascii="Times New Roman" w:cs="Times New Roman" w:eastAsia="Times New Roman" w:hAnsi="Times New Roman"/>
          <w:sz w:val="19"/>
          <w:szCs w:val="19"/>
          <w:color w:val="121212"/>
        </w:rPr>
        <w:t>O</w:t>
      </w:r>
      <w:r>
        <w:rPr>
          <w:rFonts w:ascii="Times New Roman" w:cs="Times New Roman" w:eastAsia="Times New Roman" w:hAnsi="Times New Roman"/>
          <w:sz w:val="19"/>
          <w:szCs w:val="19"/>
          <w:color w:val="000000"/>
        </w:rPr>
        <w:t>ur ability to realize the anticipated benefits from our investments in Rylaze is subject to a number of uncertainties,</w:t>
      </w:r>
      <w:r>
        <w:rPr>
          <w:rFonts w:ascii="Times New Roman" w:cs="Times New Roman" w:eastAsia="Times New Roman" w:hAnsi="Times New Roman"/>
          <w:sz w:val="19"/>
          <w:szCs w:val="19"/>
          <w:color w:val="121212"/>
        </w:rPr>
        <w:t xml:space="preserve"> </w:t>
      </w:r>
      <w:r>
        <w:rPr>
          <w:rFonts w:ascii="Times New Roman" w:cs="Times New Roman" w:eastAsia="Times New Roman" w:hAnsi="Times New Roman"/>
          <w:sz w:val="19"/>
          <w:szCs w:val="19"/>
          <w:color w:val="000000"/>
        </w:rPr>
        <w:t xml:space="preserve">including our ability to successfully commercialize Rylaze including creating awareness among health care professionals and ensuring that patients with ALL or LBL will be given the appropriate course of therapy and dosing regimen based on the currently approved label. </w:t>
      </w:r>
      <w:r>
        <w:rPr>
          <w:rFonts w:ascii="Times New Roman" w:cs="Times New Roman" w:eastAsia="Times New Roman" w:hAnsi="Times New Roman"/>
          <w:sz w:val="19"/>
          <w:szCs w:val="19"/>
          <w:color w:val="121212"/>
        </w:rPr>
        <w:t>O</w:t>
      </w:r>
      <w:r>
        <w:rPr>
          <w:rFonts w:ascii="Times New Roman" w:cs="Times New Roman" w:eastAsia="Times New Roman" w:hAnsi="Times New Roman"/>
          <w:sz w:val="19"/>
          <w:szCs w:val="19"/>
          <w:color w:val="000000"/>
        </w:rPr>
        <w:t>ur ability to realize the anticipated benefits from our investments in Ziihera is subject to a number of uncertainties, including our ability to successfully commercialize Ziihera in BTC and clinically develop potential future indications in HER2+ solid tumors, including in GEA and our ability to successfully complete regulatory activities and approvals for Ziihera in other indication</w:t>
      </w:r>
      <w:r>
        <w:rPr>
          <w:rFonts w:ascii="Times New Roman" w:cs="Times New Roman" w:eastAsia="Times New Roman" w:hAnsi="Times New Roman"/>
          <w:sz w:val="19"/>
          <w:szCs w:val="19"/>
          <w:color w:val="121212"/>
        </w:rPr>
        <w:t>s</w:t>
      </w:r>
      <w:r>
        <w:rPr>
          <w:rFonts w:ascii="Times New Roman" w:cs="Times New Roman" w:eastAsia="Times New Roman" w:hAnsi="Times New Roman"/>
          <w:sz w:val="19"/>
          <w:szCs w:val="19"/>
          <w:color w:val="000000"/>
        </w:rPr>
        <w:t>.</w:t>
      </w:r>
    </w:p>
    <w:p>
      <w:pPr>
        <w:spacing w:after="0" w:line="72" w:lineRule="exact"/>
        <w:rPr>
          <w:sz w:val="20"/>
          <w:szCs w:val="20"/>
          <w:color w:val="auto"/>
        </w:rPr>
      </w:pPr>
    </w:p>
    <w:p>
      <w:pPr>
        <w:ind w:left="60" w:right="540"/>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We face substantial competition from other companies, including companies with larger sales organizations and more experience working with large and diverse product portfolios, and competition from generic drugs.</w:t>
      </w:r>
      <w:r>
        <w:rPr>
          <w:rFonts w:ascii="PMingLiU" w:cs="PMingLiU" w:eastAsia="PMingLiU" w:hAnsi="PMingLiU"/>
          <w:sz w:val="23"/>
          <w:szCs w:val="23"/>
          <w:i w:val="1"/>
          <w:iCs w:val="1"/>
          <w:color w:val="121212"/>
        </w:rPr>
        <w:t/>
      </w:r>
    </w:p>
    <w:p>
      <w:pPr>
        <w:spacing w:after="0" w:line="71"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Our products compete, and our product candidates may in the future compete, with currently existing therapies, including other branded products, AG and other generic products, product candidates currently under development by us and others and/or future product candidates, including new molecular and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317" w:lineRule="exact"/>
        <w:rPr>
          <w:sz w:val="20"/>
          <w:szCs w:val="20"/>
          <w:color w:val="auto"/>
        </w:rPr>
      </w:pPr>
    </w:p>
    <w:p>
      <w:pPr>
        <w:ind w:left="60" w:right="180" w:firstLine="480"/>
        <w:spacing w:after="0" w:line="311" w:lineRule="auto"/>
        <w:rPr>
          <w:sz w:val="20"/>
          <w:szCs w:val="20"/>
          <w:color w:val="auto"/>
        </w:rPr>
      </w:pPr>
      <w:r>
        <w:rPr>
          <w:rFonts w:ascii="Times New Roman" w:cs="Times New Roman" w:eastAsia="Times New Roman" w:hAnsi="Times New Roman"/>
          <w:sz w:val="18"/>
          <w:szCs w:val="18"/>
          <w:color w:val="auto"/>
        </w:rPr>
        <w:t xml:space="preserve">For a description of the competition that our lead marketed products and most advanced product candidates face or may face, see the discussion in “Business—Competition” in Part I, Item 1 of this Annual Report on Form </w:t>
      </w:r>
      <w:r>
        <w:rPr>
          <w:rFonts w:ascii="PMingLiU" w:cs="PMingLiU" w:eastAsia="PMingLiU" w:hAnsi="PMingLiU"/>
          <w:sz w:val="18"/>
          <w:szCs w:val="18"/>
          <w:color w:val="auto"/>
        </w:rPr>
        <w:t> .DQGWKHULVNIDFWRU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107950</wp:posOffset>
            </wp:positionV>
            <wp:extent cx="259080" cy="2546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50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46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50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170" w:name="page171"/>
    <w:bookmarkEnd w:id="170"/>
    <w:p>
      <w:pPr>
        <w:jc w:val="both"/>
        <w:ind w:right="120"/>
        <w:spacing w:after="0" w:line="356" w:lineRule="auto"/>
        <w:rPr>
          <w:sz w:val="20"/>
          <w:szCs w:val="20"/>
          <w:color w:val="auto"/>
        </w:rPr>
      </w:pPr>
      <w:r>
        <w:rPr>
          <w:rFonts w:ascii="Times New Roman" w:cs="Times New Roman" w:eastAsia="Times New Roman" w:hAnsi="Times New Roman"/>
          <w:sz w:val="15"/>
          <w:szCs w:val="15"/>
          <w:color w:val="auto"/>
        </w:rPr>
        <w:t>under the heading “</w:t>
      </w:r>
      <w:r>
        <w:rPr>
          <w:rFonts w:ascii="PMingLiU" w:cs="PMingLiU" w:eastAsia="PMingLiU" w:hAnsi="PMingLiU"/>
          <w:sz w:val="15"/>
          <w:szCs w:val="15"/>
          <w:i w:val="1"/>
          <w:iCs w:val="1"/>
          <w:color w:val="auto"/>
        </w:rPr>
        <w:t>7KHLQWURGXFWLRQRIQHZSURGXFWVLQWKH86PDUNHWWKDWFRPSHWHZLWKRURWKHUZLVHGLVUXSWWKHPDUNHWIRU</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i w:val="1"/>
          <w:iCs w:val="1"/>
          <w:color w:val="auto"/>
        </w:rPr>
        <w:t>RXUR[\EDWHSURGXFWVKDVDGYHUVHO\DIIHFWHGDQGPD\FRQWLQXHWRDGYHUVHO\DIIHFWVDOHVRIRXUR[\EDWHSURGXFWV´</w:t>
      </w:r>
      <w:r>
        <w:rPr>
          <w:rFonts w:ascii="Times New Roman" w:cs="Times New Roman" w:eastAsia="Times New Roman" w:hAnsi="Times New Roman"/>
          <w:sz w:val="15"/>
          <w:szCs w:val="15"/>
          <w:color w:val="auto"/>
        </w:rPr>
        <w:t>in this Part I,</w:t>
      </w:r>
      <w:r>
        <w:rPr>
          <w:rFonts w:ascii="PMingLiU" w:cs="PMingLiU" w:eastAsia="PMingLiU" w:hAnsi="PMingLiU"/>
          <w:sz w:val="15"/>
          <w:szCs w:val="15"/>
          <w:i w:val="1"/>
          <w:iCs w:val="1"/>
          <w:color w:val="auto"/>
        </w:rPr>
        <w:t xml:space="preserve"> </w:t>
      </w:r>
      <w:r>
        <w:rPr>
          <w:rFonts w:ascii="Times New Roman" w:cs="Times New Roman" w:eastAsia="Times New Roman" w:hAnsi="Times New Roman"/>
          <w:sz w:val="15"/>
          <w:szCs w:val="15"/>
          <w:color w:val="auto"/>
        </w:rPr>
        <w:t>Item 1A.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executive and judicial changes and flux in the regulatory landscape creates uncertainty for us and our industry.</w:t>
      </w:r>
    </w:p>
    <w:p>
      <w:pPr>
        <w:spacing w:after="0" w:line="129" w:lineRule="exact"/>
        <w:rPr>
          <w:sz w:val="20"/>
          <w:szCs w:val="20"/>
          <w:color w:val="auto"/>
        </w:rPr>
      </w:pPr>
    </w:p>
    <w:p>
      <w:pPr>
        <w:ind w:right="100" w:firstLine="524"/>
        <w:spacing w:after="0" w:line="257" w:lineRule="auto"/>
        <w:rPr>
          <w:sz w:val="20"/>
          <w:szCs w:val="20"/>
          <w:color w:val="auto"/>
        </w:rPr>
      </w:pPr>
      <w:r>
        <w:rPr>
          <w:rFonts w:ascii="Times New Roman" w:cs="Times New Roman" w:eastAsia="Times New Roman" w:hAnsi="Times New Roman"/>
          <w:sz w:val="19"/>
          <w:szCs w:val="19"/>
          <w:color w:val="auto"/>
        </w:rPr>
        <w:t>The current administration is pursuing policies to reduce regulations and expenditures across government including at HHS, FDA, CMS and related agencies. These actions, primarily directed by executive orders or memoranda from the Office of Management and Budget, may propose policy changes that create additional uncertainty for our business. For example, on September 30, 2025, the current administration announced the first several agreements with major pharmaceutical companies that requires drug manufacturers to offer, through a direct-to-consumer platform, U.S. patients and Medicaid programs prescription drug MFN pricing equal to or lower than those paid in other developed nations, with additional mandates for direct-to-patient discounts and repatriation of foreign revenues, in exchange for tariff relief.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MFN pricing for pharmaceutical products; (3) imposing tariffs on imported pharmaceutical products; and (4) as part of the MAHA Commission’s Strategy Report released in September 2025, working across government agencies to increase enforcement on direct-to-consumer pharmaceutical advertising. Additionally, the current administration recently called on U.S. Congress to enact "The Great Healthcare Plan," to codify and expand MFN pricing, lower government subsidies to private insurance companies, increase healthcare price transparency, expand pharmaceutical drugs available for over-the-counter purchase, and enact restrictions on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w:t>
      </w:r>
      <w:r>
        <w:rPr>
          <w:rFonts w:ascii="Times New Roman" w:cs="Times New Roman" w:eastAsia="Times New Roman" w:hAnsi="Times New Roman"/>
          <w:sz w:val="23"/>
          <w:szCs w:val="23"/>
          <w:color w:val="auto"/>
        </w:rPr>
        <w:t>.</w:t>
      </w:r>
      <w:r>
        <w:rPr>
          <w:rFonts w:ascii="Times New Roman" w:cs="Times New Roman" w:eastAsia="Times New Roman" w:hAnsi="Times New Roman"/>
          <w:sz w:val="19"/>
          <w:szCs w:val="19"/>
          <w:color w:val="auto"/>
        </w:rPr>
        <w:t xml:space="preserve"> Finally, U.S. Congress may introduce and ultimately pass health care related legislation that could impact the drug approval process and make changes to the Medicare Drug Price Negotiation Program created under the IRA as well as PBMs.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3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r>
        <w:rPr>
          <w:rFonts w:ascii="PMingLiU" w:cs="PMingLiU" w:eastAsia="PMingLiU" w:hAnsi="PMingLiU"/>
          <w:sz w:val="23"/>
          <w:szCs w:val="23"/>
          <w:b w:val="1"/>
          <w:bCs w:val="1"/>
          <w:i w:val="1"/>
          <w:iCs w:val="1"/>
          <w:color w:val="auto"/>
        </w:rPr>
        <w:t/>
      </w:r>
    </w:p>
    <w:p>
      <w:pPr>
        <w:spacing w:after="0" w:line="5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9"/>
          <w:szCs w:val="19"/>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73"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9"/>
          <w:szCs w:val="19"/>
          <w:color w:val="auto"/>
        </w:rPr>
        <w:t>As part of the overall trend toward cost containment, third party payors often require prior authorization for, and require reauthorization for continuation of, prescription products or alternatively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309" w:lineRule="exact"/>
        <w:rPr>
          <w:sz w:val="20"/>
          <w:szCs w:val="20"/>
          <w:color w:val="auto"/>
        </w:rPr>
      </w:pPr>
    </w:p>
    <w:p>
      <w:pPr>
        <w:ind w:right="100" w:firstLine="480"/>
        <w:spacing w:after="0" w:line="263" w:lineRule="auto"/>
        <w:rPr>
          <w:sz w:val="20"/>
          <w:szCs w:val="20"/>
          <w:color w:val="auto"/>
        </w:rPr>
      </w:pPr>
      <w:r>
        <w:rPr>
          <w:rFonts w:ascii="Times New Roman" w:cs="Times New Roman" w:eastAsia="Times New Roman" w:hAnsi="Times New Roman"/>
          <w:sz w:val="19"/>
          <w:szCs w:val="19"/>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177800</wp:posOffset>
            </wp:positionV>
            <wp:extent cx="259080" cy="2546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50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98"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47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47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50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71" w:name="page172"/>
    <w:bookmarkEnd w:id="171"/>
    <w:p>
      <w:pPr>
        <w:ind w:left="60" w:right="520"/>
        <w:spacing w:after="0" w:line="277" w:lineRule="auto"/>
        <w:rPr>
          <w:sz w:val="20"/>
          <w:szCs w:val="20"/>
          <w:color w:val="auto"/>
        </w:rPr>
      </w:pPr>
      <w:r>
        <w:rPr>
          <w:rFonts w:ascii="Times New Roman" w:cs="Times New Roman" w:eastAsia="Times New Roman" w:hAnsi="Times New Roman"/>
          <w:sz w:val="19"/>
          <w:szCs w:val="19"/>
          <w:color w:val="auto"/>
        </w:rPr>
        <w:t>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8" w:lineRule="exact"/>
        <w:rPr>
          <w:sz w:val="20"/>
          <w:szCs w:val="20"/>
          <w:color w:val="auto"/>
        </w:rPr>
      </w:pPr>
    </w:p>
    <w:p>
      <w:pPr>
        <w:ind w:left="60" w:right="40" w:firstLine="480"/>
        <w:spacing w:after="0" w:line="258" w:lineRule="auto"/>
        <w:rPr>
          <w:sz w:val="20"/>
          <w:szCs w:val="20"/>
          <w:color w:val="auto"/>
        </w:rPr>
      </w:pPr>
      <w:r>
        <w:rPr>
          <w:rFonts w:ascii="Times New Roman" w:cs="Times New Roman" w:eastAsia="Times New Roman" w:hAnsi="Times New Roman"/>
          <w:sz w:val="19"/>
          <w:szCs w:val="19"/>
          <w:color w:val="auto"/>
        </w:rPr>
        <w:t>Third party PBMs, other similar organizations and payors can limit coverage to specific products on an approved list, or formulary, which might: not include all of the approved products for a particular indication; exclude drugs from their formularies in favor of competitor drugs or alternative treatments; place drugs on formulary tiers with higher patient co-pay obligations; and/or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 market for PBM services has become highly concentrated and vertically integrated, giving these entities further leverage in negotiating rebates, discounts or other concessions.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In addition, PBMs and other third-party payors could implement alternative funding programs that could have an impact on our product revenue. If we are unsuccessful in maintaining broad coverage for our products, our anticipated revenue from and growth prospects for our products could be negatively affected.</w:t>
      </w:r>
    </w:p>
    <w:p>
      <w:pPr>
        <w:spacing w:after="0" w:line="75"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or financial conditions.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cross border trade to keep healthcare costs down. Moreover, in order to obtain reimbursement for our products in some European countries, including some EU member states, we may be required to compile additional data comparing the cost-effectiveness of our products to other available therapies.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other individual EU member states. In January 2025, the HTA Regulation 2021/2282 entered into application. This regulation aims to harmonize the clinical benefit assessment of health technologies across the EU by creating a framework of rules, procedures and methodologies for conducting Joint Clinical Assessments at the EU level. Under this regulation, EU member states must use common HTA tools, methodologies, and procedures across the EU. However, individual member states remain responsible for determining the overall value of a new health technology within their respective healthcare systems, as well as making pricing and reimbursement decisions. If we are unable to maintain favorable pricing and reimbursement status in EU member states that represent significant markets for us, our anticipated revenue from and growth prospects for our products in the EU could be negatively affected.</w:t>
      </w:r>
    </w:p>
    <w:p>
      <w:pPr>
        <w:spacing w:after="0" w:line="78" w:lineRule="exact"/>
        <w:rPr>
          <w:sz w:val="20"/>
          <w:szCs w:val="20"/>
          <w:color w:val="auto"/>
        </w:rPr>
      </w:pPr>
    </w:p>
    <w:p>
      <w:pPr>
        <w:ind w:left="60" w:right="6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300" w:lineRule="exact"/>
        <w:rPr>
          <w:sz w:val="20"/>
          <w:szCs w:val="20"/>
          <w:color w:val="auto"/>
        </w:rPr>
      </w:pPr>
    </w:p>
    <w:p>
      <w:pPr>
        <w:ind w:left="60" w:right="80" w:firstLine="480"/>
        <w:spacing w:after="0" w:line="260" w:lineRule="auto"/>
        <w:rPr>
          <w:sz w:val="20"/>
          <w:szCs w:val="20"/>
          <w:color w:val="auto"/>
        </w:rPr>
      </w:pPr>
      <w:r>
        <w:rPr>
          <w:rFonts w:ascii="Times New Roman" w:cs="Times New Roman" w:eastAsia="Times New Roman" w:hAnsi="Times New Roman"/>
          <w:sz w:val="19"/>
          <w:szCs w:val="19"/>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In addition, policymakers and federal agencies, including the Center for Medicare &amp; Medicaid Innovation, are advancing new drug pricing models to implement MFN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64135</wp:posOffset>
            </wp:positionV>
            <wp:extent cx="259080" cy="2546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50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48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50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172" w:name="page173"/>
    <w:bookmarkEnd w:id="172"/>
    <w:p>
      <w:pPr>
        <w:ind w:right="100"/>
        <w:spacing w:after="0" w:line="257" w:lineRule="auto"/>
        <w:rPr>
          <w:sz w:val="20"/>
          <w:szCs w:val="20"/>
          <w:color w:val="auto"/>
        </w:rPr>
      </w:pPr>
      <w:r>
        <w:rPr>
          <w:rFonts w:ascii="Times New Roman" w:cs="Times New Roman" w:eastAsia="Times New Roman" w:hAnsi="Times New Roman"/>
          <w:sz w:val="19"/>
          <w:szCs w:val="19"/>
          <w:color w:val="auto"/>
        </w:rPr>
        <w:t>reference pricing, which has been a focus of the Trump Administration’s health policy agenda. These initiatives, if finalized and implemented, could reduce the net prices for certain products, exert downward pricing pressure, and adversely affect our revenues and profitability.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HHS imposes rebates on many Medicare Part B and Medicare Part D products to penalize price increases that outpace inflation on an annual basis. HHS has also been empowered to negotiate the price of certain single-source drugs that have been on the market for at least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 addition, under the Medicaid Drug Rebate Program, rebates owed by manufacturers are no longer subject to a cap on the rebate amount effective January 1, 2024, which may adversely affect our rebate liability. The foregoing may negatively impact our overall rebate and discount liability, which would have a negative adverse effect on our revenues.</w:t>
      </w:r>
      <w:r>
        <w:rPr>
          <w:rFonts w:ascii="Arial" w:cs="Arial" w:eastAsia="Arial" w:hAnsi="Arial"/>
          <w:sz w:val="21"/>
          <w:szCs w:val="21"/>
          <w:color w:val="auto"/>
        </w:rPr>
        <w:t>ϙ</w:t>
      </w:r>
    </w:p>
    <w:p>
      <w:pPr>
        <w:spacing w:after="0" w:line="75"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9"/>
          <w:szCs w:val="19"/>
          <w:color w:val="auto"/>
        </w:rPr>
        <w:t>On July 4, 2025, President Trump signed into law the OBBBA, which includes significant changes to Medicaid, Medicare, and the ACA. These reforms are anticipated to decrease federal health care spending by approximately $1 trillion by significantly reducing Medicaid spending and enrollment, making changes to the Medicare program, and altering ACA marketplace enrollment provisions. Such decreases to federal health care spending and loss of health care coverage could reduce access to, and reimbursement for, our products, which could have a negative adverse effect on our revenues.</w:t>
      </w:r>
    </w:p>
    <w:p>
      <w:pPr>
        <w:spacing w:after="0" w:line="70" w:lineRule="exact"/>
        <w:rPr>
          <w:sz w:val="20"/>
          <w:szCs w:val="20"/>
          <w:color w:val="auto"/>
        </w:rPr>
      </w:pPr>
    </w:p>
    <w:p>
      <w:pPr>
        <w:ind w:right="280" w:firstLine="480"/>
        <w:spacing w:after="0" w:line="270" w:lineRule="auto"/>
        <w:rPr>
          <w:sz w:val="20"/>
          <w:szCs w:val="20"/>
          <w:color w:val="auto"/>
        </w:rPr>
      </w:pPr>
      <w:r>
        <w:rPr>
          <w:rFonts w:ascii="Times New Roman" w:cs="Times New Roman" w:eastAsia="Times New Roman" w:hAnsi="Times New Roman"/>
          <w:sz w:val="19"/>
          <w:szCs w:val="19"/>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w:t>
      </w:r>
    </w:p>
    <w:p>
      <w:pPr>
        <w:spacing w:after="0" w:line="65"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MFN pricing models have remained an area of significant interest to the Trump Administration.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FDA and CMS within 60 days to implement these changes and threatened to use “every tool in our arsenal” to address what the letter characterized as “abusive drug pricing practices”. Further, the current administration has announced agreements with several pharmaceutical companies that require the drug manufacturers to offer Medicaid programs prescription drug MFN pricing equal to or lower than those paid in other developed nations, with additional mandates for direct-to-patient discounts and repatriation of foreign revenues. As of January 2026, 16 of the 17 pharmaceutical companies that received the July 2025 letters from President Trump have signed agreements with the Trump Administration.</w:t>
      </w:r>
    </w:p>
    <w:p>
      <w:pPr>
        <w:spacing w:after="0" w:line="81" w:lineRule="exact"/>
        <w:rPr>
          <w:sz w:val="20"/>
          <w:szCs w:val="20"/>
          <w:color w:val="auto"/>
        </w:rPr>
      </w:pPr>
    </w:p>
    <w:p>
      <w:pPr>
        <w:ind w:right="220" w:firstLine="480"/>
        <w:spacing w:after="0" w:line="263" w:lineRule="auto"/>
        <w:rPr>
          <w:sz w:val="20"/>
          <w:szCs w:val="20"/>
          <w:color w:val="auto"/>
        </w:rPr>
      </w:pPr>
      <w:r>
        <w:rPr>
          <w:rFonts w:ascii="Times New Roman" w:cs="Times New Roman" w:eastAsia="Times New Roman" w:hAnsi="Times New Roman"/>
          <w:sz w:val="19"/>
          <w:szCs w:val="19"/>
          <w:color w:val="auto"/>
        </w:rPr>
        <w:t>On November 6, 2025, CMS announced the GENErating cost Reductions for U.S. Medicaid (GENEROUS) Model, a model under which participating manufacturers may voluntarily offer MFN pricing to state Medicaid programs for covered outpatient drugs. On December 19, 2025, CMS issued proposed rules to establish the Global Benchmark for Efficient Drug Pricing (GLOBE) Model and the Guarding U.S. Medicare Against Rising Drug Costs (GUARD) Model, two mandatory MFN pricing models impacting Part B drugs and Part D drugs in select geographic areas, respectively. Under the proposed rules, a manufacturer would owe rebates to Medicare if prices for their drugs exceeded the prices paid by other economically comparable reference countries, with an initial list of 19 reference countries included in the proposed rule.</w:t>
      </w:r>
    </w:p>
    <w:p>
      <w:pPr>
        <w:spacing w:after="0" w:line="70" w:lineRule="exact"/>
        <w:rPr>
          <w:sz w:val="20"/>
          <w:szCs w:val="20"/>
          <w:color w:val="auto"/>
        </w:rPr>
      </w:pPr>
    </w:p>
    <w:p>
      <w:pPr>
        <w:ind w:right="280" w:firstLine="479"/>
        <w:spacing w:after="0" w:line="277" w:lineRule="auto"/>
        <w:rPr>
          <w:sz w:val="20"/>
          <w:szCs w:val="20"/>
          <w:color w:val="auto"/>
        </w:rPr>
      </w:pPr>
      <w:r>
        <w:rPr>
          <w:rFonts w:ascii="Times New Roman" w:cs="Times New Roman" w:eastAsia="Times New Roman" w:hAnsi="Times New Roman"/>
          <w:sz w:val="19"/>
          <w:szCs w:val="19"/>
          <w:color w:val="auto"/>
        </w:rPr>
        <w:t>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58" w:lineRule="exact"/>
        <w:rPr>
          <w:sz w:val="20"/>
          <w:szCs w:val="20"/>
          <w:color w:val="auto"/>
        </w:rPr>
      </w:pPr>
    </w:p>
    <w:p>
      <w:pPr>
        <w:ind w:right="80" w:firstLine="480"/>
        <w:spacing w:after="0" w:line="260" w:lineRule="auto"/>
        <w:rPr>
          <w:sz w:val="20"/>
          <w:szCs w:val="20"/>
          <w:color w:val="auto"/>
        </w:rPr>
      </w:pPr>
      <w:r>
        <w:rPr>
          <w:rFonts w:ascii="Times New Roman" w:cs="Times New Roman" w:eastAsia="Times New Roman" w:hAnsi="Times New Roman"/>
          <w:sz w:val="19"/>
          <w:szCs w:val="19"/>
          <w:color w:val="auto"/>
        </w:rPr>
        <w:t>There is also ongoing activity related to health care coverage. The ACA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ACA,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U.S.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61595</wp:posOffset>
            </wp:positionV>
            <wp:extent cx="259080" cy="2546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51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49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49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51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73" w:name="page174"/>
    <w:bookmarkEnd w:id="173"/>
    <w:p>
      <w:pPr>
        <w:ind w:left="60" w:right="80" w:firstLine="480"/>
        <w:spacing w:after="0" w:line="256" w:lineRule="auto"/>
        <w:rPr>
          <w:sz w:val="20"/>
          <w:szCs w:val="20"/>
          <w:color w:val="auto"/>
        </w:rPr>
      </w:pPr>
      <w:r>
        <w:rPr>
          <w:rFonts w:ascii="Times New Roman" w:cs="Times New Roman" w:eastAsia="Times New Roman" w:hAnsi="Times New Roman"/>
          <w:sz w:val="19"/>
          <w:szCs w:val="19"/>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2026, and there is no guarantee that we will not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r>
        <w:rPr>
          <w:rFonts w:ascii="PMingLiU" w:cs="PMingLiU" w:eastAsia="PMingLiU" w:hAnsi="PMingLiU"/>
          <w:sz w:val="21"/>
          <w:szCs w:val="21"/>
          <w:color w:val="auto"/>
        </w:rPr>
        <w:t/>
      </w:r>
    </w:p>
    <w:p>
      <w:pPr>
        <w:spacing w:after="0" w:line="75" w:lineRule="exact"/>
        <w:rPr>
          <w:sz w:val="20"/>
          <w:szCs w:val="20"/>
          <w:color w:val="auto"/>
        </w:rPr>
      </w:pPr>
    </w:p>
    <w:p>
      <w:pPr>
        <w:ind w:left="60" w:firstLine="480"/>
        <w:spacing w:after="0" w:line="411" w:lineRule="auto"/>
        <w:rPr>
          <w:sz w:val="20"/>
          <w:szCs w:val="20"/>
          <w:color w:val="auto"/>
        </w:rPr>
      </w:pPr>
      <w:r>
        <w:rPr>
          <w:rFonts w:ascii="Times New Roman" w:cs="Times New Roman" w:eastAsia="Times New Roman" w:hAnsi="Times New Roman"/>
          <w:sz w:val="14"/>
          <w:szCs w:val="14"/>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PMingLiU" w:cs="PMingLiU" w:eastAsia="PMingLiU" w:hAnsi="PMingLiU"/>
          <w:sz w:val="14"/>
          <w:szCs w:val="14"/>
          <w:i w:val="1"/>
          <w:iCs w:val="1"/>
          <w:color w:val="auto"/>
        </w:rPr>
        <w:t>:HDUHVXEMHFWWRVLJQLILFDQWRQJRLQJUHJXODWRU\REOLJDWLRQVDQGRYHUVLJKWZKLFKPD\VXEMHFWXVWRFLYLORUFULPLQDO</w:t>
      </w:r>
      <w:r>
        <w:rPr>
          <w:rFonts w:ascii="Times New Roman" w:cs="Times New Roman" w:eastAsia="Times New Roman" w:hAnsi="Times New Roman"/>
          <w:sz w:val="14"/>
          <w:szCs w:val="14"/>
          <w:color w:val="auto"/>
        </w:rPr>
        <w:t xml:space="preserve"> </w:t>
      </w:r>
      <w:r>
        <w:rPr>
          <w:rFonts w:ascii="PMingLiU" w:cs="PMingLiU" w:eastAsia="PMingLiU" w:hAnsi="PMingLiU"/>
          <w:sz w:val="14"/>
          <w:szCs w:val="14"/>
          <w:i w:val="1"/>
          <w:iCs w:val="1"/>
          <w:color w:val="auto"/>
        </w:rPr>
        <w:t xml:space="preserve">SURFHHGLQJVLQYHVWLJDWLRQVRUSHQDOWLHVDQGPD\UHVXOWLQVLJQLILFDQWDGGLWLRQDOH[SHQVHDQGOLPLWRXUDELOLW\WRFRPPHUFLDOL]H </w:t>
      </w:r>
      <w:r>
        <w:rPr>
          <w:rFonts w:ascii="Times New Roman" w:cs="Times New Roman" w:eastAsia="Times New Roman" w:hAnsi="Times New Roman"/>
          <w:sz w:val="14"/>
          <w:szCs w:val="14"/>
          <w:i w:val="1"/>
          <w:iCs w:val="1"/>
          <w:color w:val="auto"/>
        </w:rPr>
        <w:t>our products</w:t>
      </w:r>
      <w:r>
        <w:rPr>
          <w:rFonts w:ascii="Times New Roman" w:cs="Times New Roman" w:eastAsia="Times New Roman" w:hAnsi="Times New Roman"/>
          <w:sz w:val="14"/>
          <w:szCs w:val="14"/>
          <w:color w:val="auto"/>
        </w:rPr>
        <w:t>” in Part I, Item 1A of this Annual Report on Form 10-</w:t>
      </w:r>
      <w:r>
        <w:rPr>
          <w:rFonts w:ascii="PMingLiU" w:cs="PMingLiU" w:eastAsia="PMingLiU" w:hAnsi="PMingLiU"/>
          <w:sz w:val="14"/>
          <w:szCs w:val="14"/>
          <w:color w:val="auto"/>
        </w:rPr>
        <w:t>.</w:t>
      </w:r>
    </w:p>
    <w:p>
      <w:pPr>
        <w:spacing w:after="0" w:line="1" w:lineRule="exact"/>
        <w:rPr>
          <w:sz w:val="20"/>
          <w:szCs w:val="20"/>
          <w:color w:val="auto"/>
        </w:rPr>
      </w:pPr>
    </w:p>
    <w:p>
      <w:pPr>
        <w:ind w:left="60" w:right="20" w:firstLine="480"/>
        <w:spacing w:after="0" w:line="345" w:lineRule="auto"/>
        <w:rPr>
          <w:sz w:val="20"/>
          <w:szCs w:val="20"/>
          <w:color w:val="auto"/>
        </w:rPr>
      </w:pPr>
      <w:r>
        <w:rPr>
          <w:rFonts w:ascii="Times New Roman" w:cs="Times New Roman" w:eastAsia="Times New Roman" w:hAnsi="Times New Roman"/>
          <w:sz w:val="16"/>
          <w:szCs w:val="16"/>
          <w:color w:val="auto"/>
        </w:rPr>
        <w:t xml:space="preserve">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w:t>
      </w:r>
      <w:r>
        <w:rPr>
          <w:rFonts w:ascii="PMingLiU" w:cs="PMingLiU" w:eastAsia="PMingLiU" w:hAnsi="PMingLiU"/>
          <w:sz w:val="16"/>
          <w:szCs w:val="16"/>
          <w:color w:val="auto"/>
        </w:rPr>
        <w:t xml:space="preserve">IURPJRYHUQPHQWDODXWKRULWLHVRUWKLUGSDUW\SD\RUVDVZHOODVFODZEDFNVDQGUHYHQXHFDSV)RUH[DPSOHLQWKH8.WKH 9ROXQWDU\3ULFLQJ$FFHVVDQG*URZWKVFKHPHRQ1+6VSHQGLQJRQEUDQGHGPHGLFLQHVDJUHHGEHWZHHQWKH8.JRYHUQPHQW </w:t>
      </w:r>
      <w:r>
        <w:rPr>
          <w:rFonts w:ascii="Times New Roman" w:cs="Times New Roman" w:eastAsia="Times New Roman" w:hAnsi="Times New Roman"/>
          <w:sz w:val="16"/>
          <w:szCs w:val="16"/>
          <w:color w:val="auto"/>
        </w:rPr>
        <w:t>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reimbursement price of medicinal products to be assessed against the relative price and cost of treatment of existing standard of care and competitor products, which may hinder the inclusion of newer innovative products in reimbursement lists. In December 2025, the European Parliament and the Council of the EU reached a provisional agreement on the comprehensive revision of the existing EU general pharmaceutical legislation. This new legislation includes increased transparency on R&amp;D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The provisional agreement is still subject to the formal approval by the European Parliament and the Council of the EU and subsequent publication in the Official Journal of the EU.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80" w:lineRule="exact"/>
        <w:rPr>
          <w:sz w:val="20"/>
          <w:szCs w:val="20"/>
          <w:color w:val="auto"/>
        </w:rPr>
      </w:pPr>
    </w:p>
    <w:p>
      <w:pPr>
        <w:ind w:left="60" w:right="4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39" w:lineRule="exact"/>
        <w:rPr>
          <w:sz w:val="20"/>
          <w:szCs w:val="20"/>
          <w:color w:val="auto"/>
        </w:rPr>
      </w:pPr>
    </w:p>
    <w:p>
      <w:pPr>
        <w:ind w:left="60" w:right="240" w:firstLine="480"/>
        <w:spacing w:after="0" w:line="299" w:lineRule="auto"/>
        <w:rPr>
          <w:sz w:val="20"/>
          <w:szCs w:val="20"/>
          <w:color w:val="auto"/>
        </w:rPr>
      </w:pPr>
      <w:r>
        <w:rPr>
          <w:rFonts w:ascii="Times New Roman" w:cs="Times New Roman" w:eastAsia="Times New Roman" w:hAnsi="Times New Roman"/>
          <w:sz w:val="19"/>
          <w:szCs w:val="19"/>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37" w:lineRule="exact"/>
        <w:rPr>
          <w:sz w:val="20"/>
          <w:szCs w:val="20"/>
          <w:color w:val="auto"/>
        </w:rPr>
      </w:pPr>
    </w:p>
    <w:p>
      <w:pPr>
        <w:jc w:val="both"/>
        <w:ind w:left="760" w:right="6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20" w:type="dxa"/>
            <w:vAlign w:val="bottom"/>
          </w:tcPr>
          <w:p>
            <w:pPr>
              <w:spacing w:after="0"/>
              <w:rPr>
                <w:sz w:val="22"/>
                <w:szCs w:val="22"/>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prevalence of the disease or condition for which the product is approved and its diagnosis;</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efficacy of the product in regular use;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severity of side effects and other risks in relation to the benefits of our products;</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unanticipated serious adverse events;</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acceptance by physicians and patients of each product as a safe and effective treatment;</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availability of sufficient product inventory to meet demand;</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physicians’ decisions relating to treatment practices based on availability of product;</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perceived clinical superiority and/or advantages over alternative treatments;</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overcoming negative publicity surrounding illicit use of</w:t>
            </w:r>
          </w:p>
        </w:tc>
        <w:tc>
          <w:tcPr>
            <w:tcW w:w="0" w:type="dxa"/>
            <w:vAlign w:val="bottom"/>
          </w:tcPr>
          <w:p>
            <w:pPr>
              <w:spacing w:after="0"/>
              <w:rPr>
                <w:sz w:val="1"/>
                <w:szCs w:val="1"/>
                <w:color w:val="auto"/>
              </w:rPr>
            </w:pPr>
          </w:p>
        </w:tc>
      </w:tr>
      <w:tr>
        <w:trPr>
          <w:trHeight w:val="434"/>
        </w:trPr>
        <w:tc>
          <w:tcPr>
            <w:tcW w:w="320" w:type="dxa"/>
            <w:vAlign w:val="bottom"/>
          </w:tcPr>
          <w:p>
            <w:pPr>
              <w:jc w:val="right"/>
              <w:spacing w:after="0"/>
              <w:rPr>
                <w:sz w:val="20"/>
                <w:szCs w:val="20"/>
                <w:color w:val="auto"/>
              </w:rPr>
            </w:pPr>
            <w:r>
              <w:rPr>
                <w:rFonts w:ascii="Arial" w:cs="Arial" w:eastAsia="Arial" w:hAnsi="Arial"/>
                <w:sz w:val="20"/>
                <w:szCs w:val="20"/>
                <w:b w:val="1"/>
                <w:bCs w:val="1"/>
                <w:color w:val="5C004B"/>
                <w:w w:val="89"/>
              </w:rPr>
              <w:t>50</w:t>
            </w:r>
          </w:p>
        </w:tc>
        <w:tc>
          <w:tcPr>
            <w:tcW w:w="4100" w:type="dxa"/>
            <w:vAlign w:val="bottom"/>
          </w:tcPr>
          <w:p>
            <w:pPr>
              <w:ind w:left="440"/>
              <w:spacing w:after="0"/>
              <w:rPr>
                <w:sz w:val="20"/>
                <w:szCs w:val="20"/>
                <w:color w:val="auto"/>
              </w:rPr>
            </w:pPr>
            <w:r>
              <w:rPr>
                <w:rFonts w:ascii="Arial" w:cs="Arial" w:eastAsia="Arial" w:hAnsi="Arial"/>
                <w:sz w:val="16"/>
                <w:szCs w:val="16"/>
                <w:color w:val="auto"/>
              </w:rPr>
              <w:t>2025 ANNUAL REPORT</w:t>
            </w:r>
          </w:p>
        </w:tc>
        <w:tc>
          <w:tcPr>
            <w:tcW w:w="3540" w:type="dxa"/>
            <w:vAlign w:val="bottom"/>
            <w:vMerge w:val="restart"/>
          </w:tcPr>
          <w:p>
            <w:pPr>
              <w:jc w:val="right"/>
              <w:ind w:right="2723"/>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-269240</wp:posOffset>
            </wp:positionV>
            <wp:extent cx="1416050" cy="2546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512">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74" w:name="page175"/>
    <w:bookmarkEnd w:id="174"/>
    <w:p>
      <w:pPr>
        <w:ind w:left="1040"/>
        <w:spacing w:after="0" w:line="255" w:lineRule="exact"/>
        <w:tabs>
          <w:tab w:leader="none" w:pos="1380" w:val="left"/>
        </w:tabs>
        <w:rPr>
          <w:sz w:val="20"/>
          <w:szCs w:val="20"/>
          <w:color w:val="auto"/>
        </w:rPr>
      </w:pPr>
      <w:r>
        <w:rPr>
          <w:rFonts w:ascii="Arial Unicode MS" w:cs="Arial Unicode MS" w:eastAsia="Arial Unicode MS" w:hAnsi="Arial Unicode MS"/>
          <w:sz w:val="19"/>
          <w:szCs w:val="19"/>
          <w:color w:val="auto"/>
        </w:rPr>
        <w:t>ƕ</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color w:val="auto"/>
        </w:rPr>
        <w:t>GHB or</w:t>
      </w:r>
    </w:p>
    <w:p>
      <w:pPr>
        <w:spacing w:after="0" w:line="95" w:lineRule="exact"/>
        <w:rPr>
          <w:sz w:val="20"/>
          <w:szCs w:val="20"/>
          <w:color w:val="auto"/>
        </w:rPr>
      </w:pPr>
    </w:p>
    <w:p>
      <w:pPr>
        <w:ind w:left="1040"/>
        <w:spacing w:after="0" w:line="255" w:lineRule="exact"/>
        <w:tabs>
          <w:tab w:leader="none" w:pos="1380" w:val="left"/>
        </w:tabs>
        <w:rPr>
          <w:sz w:val="20"/>
          <w:szCs w:val="20"/>
          <w:color w:val="auto"/>
        </w:rPr>
      </w:pPr>
      <w:r>
        <w:rPr>
          <w:rFonts w:ascii="Arial Unicode MS" w:cs="Arial Unicode MS" w:eastAsia="Arial Unicode MS" w:hAnsi="Arial Unicode MS"/>
          <w:sz w:val="19"/>
          <w:szCs w:val="19"/>
          <w:color w:val="auto"/>
        </w:rPr>
        <w:t>ƕ</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color w:val="auto"/>
        </w:rPr>
        <w:t>CBD and marijuana products</w:t>
      </w:r>
    </w:p>
    <w:p>
      <w:pPr>
        <w:spacing w:after="0" w:line="95" w:lineRule="exact"/>
        <w:rPr>
          <w:sz w:val="20"/>
          <w:szCs w:val="20"/>
          <w:color w:val="auto"/>
        </w:rPr>
      </w:pPr>
    </w:p>
    <w:p>
      <w:pPr>
        <w:ind w:left="700" w:right="400"/>
        <w:spacing w:after="0" w:line="299" w:lineRule="auto"/>
        <w:rPr>
          <w:sz w:val="20"/>
          <w:szCs w:val="20"/>
          <w:color w:val="auto"/>
        </w:rPr>
      </w:pPr>
      <w:r>
        <w:rPr>
          <w:rFonts w:ascii="Times New Roman" w:cs="Times New Roman" w:eastAsia="Times New Roman" w:hAnsi="Times New Roman"/>
          <w:sz w:val="19"/>
          <w:szCs w:val="19"/>
          <w:color w:val="auto"/>
        </w:rPr>
        <w:t>and the view of patients, law enforcement agencies, physicians and regulators of our products as being the same or similar to illicit products;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relative convenience and ease of administration;</w:t>
      </w:r>
    </w:p>
    <w:p>
      <w:pPr>
        <w:spacing w:after="0" w:line="118" w:lineRule="exact"/>
        <w:rPr>
          <w:sz w:val="20"/>
          <w:szCs w:val="20"/>
          <w:color w:val="auto"/>
        </w:rPr>
      </w:pPr>
    </w:p>
    <w:p>
      <w:pPr>
        <w:ind w:left="700" w:right="6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with respect to Xywav and Xyrem, physician and patient assessment of the burdens associated with obtaining or maintaining the certifications required under the Xywav and Xyrem REMS;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cost of treatment in relation to alternative treatments, including generic products;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availability of financial or other assistance for patients who are uninsured or underinsured.</w:t>
      </w:r>
    </w:p>
    <w:p>
      <w:pPr>
        <w:spacing w:after="0" w:line="119" w:lineRule="exact"/>
        <w:rPr>
          <w:sz w:val="20"/>
          <w:szCs w:val="20"/>
          <w:color w:val="auto"/>
        </w:rPr>
      </w:pPr>
    </w:p>
    <w:p>
      <w:pPr>
        <w:ind w:right="260" w:firstLine="480"/>
        <w:spacing w:after="0" w:line="270" w:lineRule="auto"/>
        <w:rPr>
          <w:sz w:val="20"/>
          <w:szCs w:val="20"/>
          <w:color w:val="auto"/>
        </w:rPr>
      </w:pPr>
      <w:r>
        <w:rPr>
          <w:rFonts w:ascii="Times New Roman" w:cs="Times New Roman" w:eastAsia="Times New Roman" w:hAnsi="Times New Roman"/>
          <w:sz w:val="19"/>
          <w:szCs w:val="19"/>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66" w:lineRule="exact"/>
        <w:rPr>
          <w:sz w:val="20"/>
          <w:szCs w:val="20"/>
          <w:color w:val="auto"/>
        </w:rPr>
      </w:pPr>
    </w:p>
    <w:p>
      <w:pPr>
        <w:jc w:val="both"/>
        <w:ind w:right="30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59"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9"/>
          <w:szCs w:val="19"/>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federal, state and non-U.S. regulations. In addition, we and our suppliers are subject to FDA’s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actions by regulatory authorities for our failure to comply with cGMP requirements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our supplier’s ability to supply the ingredients or finished products we need.</w:t>
      </w:r>
    </w:p>
    <w:p>
      <w:pPr>
        <w:spacing w:after="0" w:line="80" w:lineRule="exact"/>
        <w:rPr>
          <w:sz w:val="20"/>
          <w:szCs w:val="20"/>
          <w:color w:val="auto"/>
        </w:rPr>
      </w:pPr>
    </w:p>
    <w:p>
      <w:pPr>
        <w:ind w:right="180" w:firstLine="480"/>
        <w:spacing w:after="0" w:line="364" w:lineRule="auto"/>
        <w:rPr>
          <w:sz w:val="20"/>
          <w:szCs w:val="20"/>
          <w:color w:val="auto"/>
        </w:rPr>
      </w:pPr>
      <w:r>
        <w:rPr>
          <w:rFonts w:ascii="Times New Roman" w:cs="Times New Roman" w:eastAsia="Times New Roman" w:hAnsi="Times New Roman"/>
          <w:sz w:val="14"/>
          <w:szCs w:val="14"/>
          <w:color w:val="auto"/>
        </w:rPr>
        <w:t xml:space="preserve">We have a manufacturing and development facility in Athlone, Ireland where we manufacture Xywav and Xyrem, a manufacturing plant in Villa Guardia, Italy where we produce the defibrotide drug substance and a manufacturing and </w:t>
      </w:r>
      <w:r>
        <w:rPr>
          <w:rFonts w:ascii="PMingLiU" w:cs="PMingLiU" w:eastAsia="PMingLiU" w:hAnsi="PMingLiU"/>
          <w:sz w:val="14"/>
          <w:szCs w:val="14"/>
          <w:color w:val="auto"/>
        </w:rPr>
        <w:t xml:space="preserve">GHYHORSPHQWIDFLOLW\LQWKH8.DW.HQW6FLHQFH3DUNZKHUHZHSURGXFH(SLGLROH[(SLG\ROH[DQGKDYHFDSDELOLW\WRGHYHORS </w:t>
      </w:r>
      <w:r>
        <w:rPr>
          <w:rFonts w:ascii="Times New Roman" w:cs="Times New Roman" w:eastAsia="Times New Roman" w:hAnsi="Times New Roman"/>
          <w:sz w:val="14"/>
          <w:szCs w:val="14"/>
          <w:color w:val="auto"/>
        </w:rPr>
        <w:t xml:space="preserve">product candidates. We currently do not have our own commercial manufacturing or packaging capability for our other </w:t>
      </w:r>
      <w:r>
        <w:rPr>
          <w:rFonts w:ascii="PMingLiU" w:cs="PMingLiU" w:eastAsia="PMingLiU" w:hAnsi="PMingLiU"/>
          <w:sz w:val="14"/>
          <w:szCs w:val="14"/>
          <w:color w:val="auto"/>
        </w:rPr>
        <w:t>SURGXFWVWKHLU$3,VRUSURGXFWFDQGLGDWHVRXWVLGHRIWKRVHGHYHORSHGDW.HQW6FLHQFH3DUN$VDUHVXOWRXUDELOLW\WRGHYH</w:t>
      </w:r>
      <w:r>
        <w:rPr>
          <w:rFonts w:ascii="Times New Roman" w:cs="Times New Roman" w:eastAsia="Times New Roman" w:hAnsi="Times New Roman"/>
          <w:sz w:val="14"/>
          <w:szCs w:val="14"/>
          <w:color w:val="auto"/>
        </w:rPr>
        <w:t>lop</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and supply products in a timely and competitive manner depends primarily on third party suppliers being able to meet our ongoing commercial and clinical trial needs for API, other raw materials, packaging materials and finished products.</w:t>
      </w:r>
    </w:p>
    <w:p>
      <w:pPr>
        <w:spacing w:after="0" w:line="9"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78" w:lineRule="exact"/>
        <w:rPr>
          <w:sz w:val="20"/>
          <w:szCs w:val="20"/>
          <w:color w:val="auto"/>
        </w:rPr>
      </w:pPr>
    </w:p>
    <w:p>
      <w:pPr>
        <w:ind w:right="440" w:firstLine="480"/>
        <w:spacing w:after="0" w:line="299" w:lineRule="auto"/>
        <w:rPr>
          <w:sz w:val="20"/>
          <w:szCs w:val="20"/>
          <w:color w:val="auto"/>
        </w:rPr>
      </w:pPr>
      <w:r>
        <w:rPr>
          <w:rFonts w:ascii="Times New Roman" w:cs="Times New Roman" w:eastAsia="Times New Roman" w:hAnsi="Times New Roman"/>
          <w:sz w:val="19"/>
          <w:szCs w:val="19"/>
          <w:color w:val="auto"/>
        </w:rPr>
        <w:t>We are responsible for the manufacture and supply of Epidiolex/Epidyolex for commercial use and for use in clinical trials. The manufacturing of Epidiolex/Epidyolex necessitates compliance with GMP, and other regulatory requirements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38735</wp:posOffset>
            </wp:positionV>
            <wp:extent cx="259080" cy="2546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51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80"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51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51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51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8" w:right="919" w:bottom="0" w:gutter="0" w:footer="0" w:header="0"/>
        </w:sectPr>
      </w:pPr>
    </w:p>
    <w:bookmarkStart w:id="175" w:name="page176"/>
    <w:bookmarkEnd w:id="175"/>
    <w:p>
      <w:pPr>
        <w:ind w:left="60" w:right="20"/>
        <w:spacing w:after="0" w:line="259" w:lineRule="auto"/>
        <w:rPr>
          <w:sz w:val="20"/>
          <w:szCs w:val="20"/>
          <w:color w:val="auto"/>
        </w:rPr>
      </w:pPr>
      <w:r>
        <w:rPr>
          <w:rFonts w:ascii="Times New Roman" w:cs="Times New Roman" w:eastAsia="Times New Roman" w:hAnsi="Times New Roman"/>
          <w:sz w:val="19"/>
          <w:szCs w:val="19"/>
          <w:color w:val="auto"/>
        </w:rPr>
        <w:t>jurisdictions internationally. Our ability to successfully manufacture Epidiolex/Epidyolex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cannabis plants that produce the CBD used in Epidiolex/Epidyolex and a second site at which we can crystallize the purified CBD from the liquid plant extract. If we are unable to manufacture Epidiolex/Epidyolex in accordance with regulatory specifications, including cGMP,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on a timely or cost-competitive basis, if at all. Our manufacturing program requires significant time and resources and may not be successful, may lead to delays, interruptions to supply or may prove to be more costly than anticipated.</w:t>
      </w:r>
    </w:p>
    <w:p>
      <w:pPr>
        <w:spacing w:after="0" w:line="78" w:lineRule="exact"/>
        <w:rPr>
          <w:sz w:val="20"/>
          <w:szCs w:val="20"/>
          <w:color w:val="auto"/>
        </w:rPr>
      </w:pPr>
    </w:p>
    <w:p>
      <w:pPr>
        <w:ind w:left="60" w:right="260" w:firstLine="480"/>
        <w:spacing w:after="0" w:line="266" w:lineRule="auto"/>
        <w:rPr>
          <w:sz w:val="20"/>
          <w:szCs w:val="20"/>
          <w:color w:val="auto"/>
        </w:rPr>
      </w:pPr>
      <w:r>
        <w:rPr>
          <w:rFonts w:ascii="Times New Roman" w:cs="Times New Roman" w:eastAsia="Times New Roman" w:hAnsi="Times New Roman"/>
          <w:sz w:val="19"/>
          <w:szCs w:val="19"/>
          <w:color w:val="auto"/>
        </w:rPr>
        <w:t>Zepzelca is manufactured by Simtra, which is a sole source supplier from a single site location. If we fail to obtain a sufficient supply of Zepzelca in accordance with applicable specifications on a timely basis, our sales of Zepzelca, our future maintenance and potential growth of the market for this product, our ability to conduct ongoing and future clinical trials of Zepzelca, and our business, financial condition, results of operations and growth prospects could be materially adversely affected.</w:t>
      </w:r>
    </w:p>
    <w:p>
      <w:pPr>
        <w:spacing w:after="0" w:line="70" w:lineRule="exact"/>
        <w:rPr>
          <w:sz w:val="20"/>
          <w:szCs w:val="20"/>
          <w:color w:val="auto"/>
        </w:rPr>
      </w:pPr>
    </w:p>
    <w:p>
      <w:pPr>
        <w:ind w:left="60" w:right="60" w:firstLine="480"/>
        <w:spacing w:after="0" w:line="264" w:lineRule="auto"/>
        <w:rPr>
          <w:sz w:val="20"/>
          <w:szCs w:val="20"/>
          <w:color w:val="auto"/>
        </w:rPr>
      </w:pPr>
      <w:r>
        <w:rPr>
          <w:rFonts w:ascii="Times New Roman" w:cs="Times New Roman" w:eastAsia="Times New Roman" w:hAnsi="Times New Roman"/>
          <w:sz w:val="19"/>
          <w:szCs w:val="19"/>
          <w:color w:val="auto"/>
        </w:rPr>
        <w:t>Rylaze drug substance is manufactured by AGC Biologics A/S at its facility in Copenhagen, Denmark and the drug product is manufactured and packaged by Patheon at its facility in Greenville, North Carolina.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1" w:lineRule="exact"/>
        <w:rPr>
          <w:sz w:val="20"/>
          <w:szCs w:val="20"/>
          <w:color w:val="auto"/>
        </w:rPr>
      </w:pPr>
    </w:p>
    <w:p>
      <w:pPr>
        <w:ind w:left="60" w:right="40" w:firstLine="480"/>
        <w:spacing w:after="0" w:line="266" w:lineRule="auto"/>
        <w:rPr>
          <w:sz w:val="20"/>
          <w:szCs w:val="20"/>
          <w:color w:val="auto"/>
        </w:rPr>
      </w:pPr>
      <w:r>
        <w:rPr>
          <w:rFonts w:ascii="Times New Roman" w:cs="Times New Roman" w:eastAsia="Times New Roman" w:hAnsi="Times New Roman"/>
          <w:sz w:val="19"/>
          <w:szCs w:val="19"/>
          <w:color w:val="auto"/>
        </w:rPr>
        <w:t>Vyxeos is manufactured by Simtra,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and our ability to conduct ongoing and future clinical trials of Vyxeos, could be materially adversely affected.</w:t>
      </w:r>
    </w:p>
    <w:p>
      <w:pPr>
        <w:spacing w:after="0" w:line="70" w:lineRule="exact"/>
        <w:rPr>
          <w:sz w:val="20"/>
          <w:szCs w:val="20"/>
          <w:color w:val="auto"/>
        </w:rPr>
      </w:pPr>
    </w:p>
    <w:p>
      <w:pPr>
        <w:ind w:left="60" w:firstLine="480"/>
        <w:spacing w:after="0" w:line="287" w:lineRule="auto"/>
        <w:rPr>
          <w:sz w:val="20"/>
          <w:szCs w:val="20"/>
          <w:color w:val="auto"/>
        </w:rPr>
      </w:pPr>
      <w:r>
        <w:rPr>
          <w:rFonts w:ascii="PMingLiU" w:cs="PMingLiU" w:eastAsia="PMingLiU" w:hAnsi="PMingLiU"/>
          <w:sz w:val="18"/>
          <w:szCs w:val="18"/>
          <w:color w:val="auto"/>
        </w:rPr>
        <w:t xml:space="preserve">:HFXUUHQWO\UHO\RQ:X;L+RQJ.RQJDFRPSDQ\EDVHGLQWKH35&amp;DQGVXEVLGLDU\RI:X;LDVWKHVROHVXSSOLHURI </w:t>
      </w:r>
      <w:r>
        <w:rPr>
          <w:rFonts w:ascii="Times New Roman" w:cs="Times New Roman" w:eastAsia="Times New Roman" w:hAnsi="Times New Roman"/>
          <w:sz w:val="18"/>
          <w:szCs w:val="18"/>
          <w:color w:val="auto"/>
        </w:rPr>
        <w:t>Ziihera. Accordingly, there is a risk that supplies of Ziihera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 between the PRC and the U.S., including but not limited to potential trade restrictions, sanctions, other regulatory requirements, or proposed legislation imposed by the U.S. government, which could restrict or even prohibit our ability to work with WuXi. For example, the House of Representatives of the prior U.S. Congress (the 118th U.S. Congress) passed the BIOSECURE Act, which proposed to ban U.S. government contracts, grants, and loans from being used towards biotechnology equipment and services produced or provided by certain named Chinese biotechnology companies, including WuXi, and would authorize the U.S. government to name additional Chinese biotechnology companies of concern. The legislation did not pass the U.S. Congress in 2024, however, on December 18, 2025, the BIOSECURE Act was passed as part of the final Fiscal Year 2026 National Defense Authorization Act. Although the statutory language in the NDAA does not explicitly name WuXi, or any other companies, like the BIOSECURE Act, it bans federal procurement or funding associated with “biotechnology companies of concern” and restricting use of their equipment and services in federal contracts, grants, and loans. The implementation of the act will be phased in over a period of years, and could severely restrict the ability of companies to work with certain Chinese biotechnology companies of concern without losing the ability to contract with, or otherwise receive funding from, the U.S. government. Although to date there has been no impact on our ability to obtain supply of Ziihera, there can be no assurance that operations would not be impacted in the future with a negative impact on Ziihera supply.</w:t>
      </w:r>
    </w:p>
    <w:p>
      <w:pPr>
        <w:spacing w:after="0" w:line="307" w:lineRule="exact"/>
        <w:rPr>
          <w:sz w:val="20"/>
          <w:szCs w:val="20"/>
          <w:color w:val="auto"/>
        </w:rPr>
      </w:pPr>
    </w:p>
    <w:p>
      <w:pPr>
        <w:ind w:left="60" w:right="200" w:firstLine="480"/>
        <w:spacing w:after="0" w:line="270" w:lineRule="auto"/>
        <w:rPr>
          <w:sz w:val="20"/>
          <w:szCs w:val="20"/>
          <w:color w:val="auto"/>
        </w:rPr>
      </w:pPr>
      <w:r>
        <w:rPr>
          <w:rFonts w:ascii="Times New Roman" w:cs="Times New Roman" w:eastAsia="Times New Roman" w:hAnsi="Times New Roman"/>
          <w:sz w:val="19"/>
          <w:szCs w:val="19"/>
          <w:color w:val="auto"/>
        </w:rPr>
        <w:t>Modeyso is manufactured by Adare, which is a sole source supplier. If we fail to obtain a sufficient supply of Modeyso in accordance with applicable specifications on a timely basis, our sales of Modeyso, our future maintenance and potential growth of the market for this product, our ability to conduct ongoing and future clinical trials of Modeyso and our business, financial condition, results of operations and growth prospects could be materially adversely affected.</w:t>
      </w:r>
    </w:p>
    <w:p>
      <w:pPr>
        <w:spacing w:after="0" w:line="64" w:lineRule="exact"/>
        <w:rPr>
          <w:sz w:val="20"/>
          <w:szCs w:val="20"/>
          <w:color w:val="auto"/>
        </w:rPr>
      </w:pPr>
    </w:p>
    <w:p>
      <w:pPr>
        <w:ind w:left="60" w:right="320" w:firstLine="480"/>
        <w:spacing w:after="0" w:line="270" w:lineRule="auto"/>
        <w:rPr>
          <w:sz w:val="20"/>
          <w:szCs w:val="20"/>
          <w:color w:val="auto"/>
        </w:rPr>
      </w:pPr>
      <w:r>
        <w:rPr>
          <w:rFonts w:ascii="Times New Roman" w:cs="Times New Roman" w:eastAsia="Times New Roman" w:hAnsi="Times New Roman"/>
          <w:sz w:val="19"/>
          <w:szCs w:val="19"/>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FDA or a similar international or national regulatory body of any product candidate we or our suppliers for that product must obtain approval by the applicable regulatory body to manufacture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55880</wp:posOffset>
            </wp:positionV>
            <wp:extent cx="259080" cy="2546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51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52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51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176" w:name="page177"/>
    <w:bookmarkEnd w:id="176"/>
    <w:p>
      <w:pPr>
        <w:ind w:right="140"/>
        <w:spacing w:after="0" w:line="261" w:lineRule="auto"/>
        <w:rPr>
          <w:sz w:val="20"/>
          <w:szCs w:val="20"/>
          <w:color w:val="auto"/>
        </w:rPr>
      </w:pPr>
      <w:r>
        <w:rPr>
          <w:rFonts w:ascii="Times New Roman" w:cs="Times New Roman" w:eastAsia="Times New Roman" w:hAnsi="Times New Roman"/>
          <w:sz w:val="19"/>
          <w:szCs w:val="19"/>
          <w:color w:val="auto"/>
        </w:rPr>
        <w:t>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rFonts w:ascii="PMingLiU" w:cs="PMingLiU" w:eastAsia="PMingLiU" w:hAnsi="PMingLiU"/>
          <w:sz w:val="23"/>
          <w:szCs w:val="23"/>
          <w:b w:val="1"/>
          <w:bCs w:val="1"/>
          <w:i w:val="1"/>
          <w:iCs w:val="1"/>
          <w:color w:val="auto"/>
        </w:rPr>
        <w:t/>
      </w:r>
    </w:p>
    <w:p>
      <w:pPr>
        <w:spacing w:after="0" w:line="5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9"/>
          <w:szCs w:val="19"/>
          <w:color w:val="auto"/>
        </w:rPr>
        <w:t>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w:t>
      </w:r>
    </w:p>
    <w:p>
      <w:pPr>
        <w:spacing w:after="0" w:line="73" w:lineRule="exact"/>
        <w:rPr>
          <w:sz w:val="20"/>
          <w:szCs w:val="20"/>
          <w:color w:val="auto"/>
        </w:rPr>
      </w:pPr>
    </w:p>
    <w:p>
      <w:pPr>
        <w:ind w:right="340" w:firstLine="480"/>
        <w:spacing w:after="0" w:line="295" w:lineRule="auto"/>
        <w:rPr>
          <w:sz w:val="20"/>
          <w:szCs w:val="20"/>
          <w:color w:val="auto"/>
        </w:rPr>
      </w:pPr>
      <w:r>
        <w:rPr>
          <w:rFonts w:ascii="Times New Roman" w:cs="Times New Roman" w:eastAsia="Times New Roman" w:hAnsi="Times New Roman"/>
          <w:sz w:val="17"/>
          <w:szCs w:val="17"/>
          <w:color w:val="auto"/>
        </w:rPr>
        <w:t xml:space="preserve">While we are an Irish company headquartered in Dublin, Ireland, we derive the majority of our revenues from sales of our products in the U.S. We conduct business globally and our operations, including third-party suppliers, span numerous countries outside the U.S. In particular, we have a manufacturing and development facility in Athlone, Ireland where we </w:t>
      </w:r>
      <w:r>
        <w:rPr>
          <w:rFonts w:ascii="PMingLiU" w:cs="PMingLiU" w:eastAsia="PMingLiU" w:hAnsi="PMingLiU"/>
          <w:sz w:val="17"/>
          <w:szCs w:val="17"/>
          <w:color w:val="auto"/>
        </w:rPr>
        <w:t xml:space="preserve">PDQXIDFWXUH;\ZDYDQG;\UHPDPDQXIDFWXULQJDQGGHYHORSPHQWIDFLOLW\LQ.HQW6FLHQFH3DUN8.ZKHUHZHSURGXFH </w:t>
      </w:r>
      <w:r>
        <w:rPr>
          <w:rFonts w:ascii="Times New Roman" w:cs="Times New Roman" w:eastAsia="Times New Roman" w:hAnsi="Times New Roman"/>
          <w:sz w:val="17"/>
          <w:szCs w:val="17"/>
          <w:color w:val="auto"/>
        </w:rPr>
        <w:t>Epidiolex/Epidyolex, and a manufacturing plant in Villa Guardia, Italy where we produce defibrotide drug substance. In addition, we rely on our supplier in the PRC for the manufacture of Ziihera.</w:t>
      </w:r>
    </w:p>
    <w:p>
      <w:pPr>
        <w:spacing w:after="0" w:line="44"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The ongoing trade tensions between the U.S. and other jurisdictions have resulted in multiple rounds of tariffs and anticipated tariffs affecting pharmaceuticals and pharmaceutical ingredients, including finished drug products, manufacturing equipment, and related supplies. Such tariffs may significantly increase our costs for certain products. The Bureau of Industry and Security, U.S. Department of Commerce, has initiated an investigation to determine whether pharmaceutical ingredients, including finished drug product, manufactured outside the U.S. pose a national security risk and should be subject to additional tariffs. Should current tariffs hold or additional tariffs be imposed specifically targeting pharmaceutical imports, such tariffs will result in additional costs on our business, including costs with respect to APIs and other raw materials upon which our business depends and will generally increase our manufacturing costs. In addition, such tariffs will increase our supply chain complexity and could also potentially disrupt our existing supply chain. Moreover, other governments have imposed and may continue to impose retaliatory tariffs, trade restrictions or trade barriers on our products, which may impose additional costs and complexity on our business. In addition,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R&amp;D locations.</w:t>
      </w:r>
    </w:p>
    <w:p>
      <w:pPr>
        <w:spacing w:after="0" w:line="75" w:lineRule="exact"/>
        <w:rPr>
          <w:sz w:val="20"/>
          <w:szCs w:val="20"/>
          <w:color w:val="auto"/>
        </w:rPr>
      </w:pPr>
    </w:p>
    <w:p>
      <w:pPr>
        <w:ind w:right="60" w:firstLine="475"/>
        <w:spacing w:after="0" w:line="260" w:lineRule="auto"/>
        <w:rPr>
          <w:sz w:val="20"/>
          <w:szCs w:val="20"/>
          <w:color w:val="auto"/>
        </w:rPr>
      </w:pPr>
      <w:r>
        <w:rPr>
          <w:rFonts w:ascii="Times New Roman" w:cs="Times New Roman" w:eastAsia="Times New Roman" w:hAnsi="Times New Roman"/>
          <w:sz w:val="19"/>
          <w:szCs w:val="19"/>
          <w:color w:val="auto"/>
        </w:rPr>
        <w:t>While we cannot at this time predict the ultimate impact of such tariffs, we anticipate that our margins could be adversely affected beginning as early as fiscal 2026, depending on the ultimate scope and duration of tariffs imposed. Additionally, it is possible that such tariffs could affect imports of APIs and other raw materials used in our products, or our business may be adversely impacted by retaliatory trade measures taken by other countries, including restricted access to APIs or other raw materials used in our products, further disrupting our supply chain and increasing our costs. Given the nature of our products, relocating the manufacturing supply in response to tariffs and other trade restrictions would be a complex, costly and time-consuming process making it difficult for us to react quickly to a rapidly changing environment. In this regard, it would take a significant amount of time and expense to implement and execute the necessary technology transfer to, and to qualify, new suppliers for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w:t>
      </w:r>
    </w:p>
    <w:p>
      <w:pPr>
        <w:spacing w:after="0" w:line="74" w:lineRule="exact"/>
        <w:rPr>
          <w:sz w:val="20"/>
          <w:szCs w:val="20"/>
          <w:color w:val="auto"/>
        </w:rPr>
      </w:pPr>
    </w:p>
    <w:p>
      <w:pPr>
        <w:jc w:val="both"/>
        <w:ind w:right="60" w:firstLine="475"/>
        <w:spacing w:after="0" w:line="270" w:lineRule="auto"/>
        <w:rPr>
          <w:sz w:val="20"/>
          <w:szCs w:val="20"/>
          <w:color w:val="auto"/>
        </w:rPr>
      </w:pPr>
      <w:r>
        <w:rPr>
          <w:rFonts w:ascii="Times New Roman" w:cs="Times New Roman" w:eastAsia="Times New Roman" w:hAnsi="Times New Roman"/>
          <w:sz w:val="19"/>
          <w:szCs w:val="19"/>
          <w:color w:val="auto"/>
        </w:rPr>
        <w:t>Further, the continued threats of new or increased tariffs, sanctions, trade restrictions and trade barriers as well as ongoing changes in U.S. and foreign government trade policies, including potential modifications to existing trade agreements, have had and may continue to have a generally disruptive impact on the global economy and, therefore, negatively impact revenues from sales of our products. Given the volatility and uncertainty regarding the scope and duration of such tariffs and other aspects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55245</wp:posOffset>
            </wp:positionV>
            <wp:extent cx="259080" cy="2546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51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0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53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53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51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77" w:name="page178"/>
    <w:bookmarkEnd w:id="177"/>
    <w:p>
      <w:pPr>
        <w:ind w:left="60"/>
        <w:spacing w:after="0" w:line="264" w:lineRule="auto"/>
        <w:rPr>
          <w:sz w:val="20"/>
          <w:szCs w:val="20"/>
          <w:color w:val="auto"/>
        </w:rPr>
      </w:pPr>
      <w:r>
        <w:rPr>
          <w:rFonts w:ascii="Times New Roman" w:cs="Times New Roman" w:eastAsia="Times New Roman" w:hAnsi="Times New Roman"/>
          <w:sz w:val="19"/>
          <w:szCs w:val="19"/>
          <w:color w:val="auto"/>
        </w:rPr>
        <w:t>U.S. and foreign government trade policies, the ultimate impact on our operations and financial results is uncertain and could be significant. In any event, further trade restrictions and export regulations, or new or increased tariffs, including further retaliatory measures, could increase our supply chain complexity and our manufacturing costs, decrease our margins, reduce the competitiveness of our products, or restrict our ability to sell our products, provide services or purchase necessary equipment and supplies. Any of these factors could have a material adverse effect on our business, financial condition, results of operations and growth prospects.</w:t>
      </w:r>
    </w:p>
    <w:p>
      <w:pPr>
        <w:spacing w:after="0" w:line="69" w:lineRule="exact"/>
        <w:rPr>
          <w:sz w:val="20"/>
          <w:szCs w:val="20"/>
          <w:color w:val="auto"/>
        </w:rPr>
      </w:pPr>
    </w:p>
    <w:p>
      <w:pPr>
        <w:ind w:left="60" w:right="3160"/>
        <w:spacing w:after="0" w:line="384" w:lineRule="auto"/>
        <w:rPr>
          <w:sz w:val="20"/>
          <w:szCs w:val="20"/>
          <w:color w:val="auto"/>
        </w:rPr>
      </w:pPr>
      <w:r>
        <w:rPr>
          <w:rFonts w:ascii="Times New Roman" w:cs="Times New Roman" w:eastAsia="Times New Roman" w:hAnsi="Times New Roman"/>
          <w:sz w:val="19"/>
          <w:szCs w:val="19"/>
          <w:b w:val="1"/>
          <w:bCs w:val="1"/>
          <w:color w:val="auto"/>
        </w:rPr>
        <w:t xml:space="preserve">Risks Related to Growth of Our Product Portfolio and Research and Development </w:t>
      </w:r>
      <w:r>
        <w:rPr>
          <w:rFonts w:ascii="Times New Roman" w:cs="Times New Roman" w:eastAsia="Times New Roman" w:hAnsi="Times New Roman"/>
          <w:sz w:val="19"/>
          <w:szCs w:val="19"/>
          <w:b w:val="1"/>
          <w:bCs w:val="1"/>
          <w:i w:val="1"/>
          <w:iCs w:val="1"/>
          <w:color w:val="auto"/>
        </w:rPr>
        <w:t>We may not realize the anticipated benefits from our acquisition of Chimerix.</w:t>
      </w:r>
    </w:p>
    <w:p>
      <w:pPr>
        <w:spacing w:after="0" w:line="1" w:lineRule="exact"/>
        <w:rPr>
          <w:sz w:val="20"/>
          <w:szCs w:val="20"/>
          <w:color w:val="auto"/>
        </w:rPr>
      </w:pPr>
    </w:p>
    <w:p>
      <w:pPr>
        <w:ind w:left="60" w:right="100" w:firstLine="524"/>
        <w:spacing w:after="0" w:line="261" w:lineRule="auto"/>
        <w:rPr>
          <w:sz w:val="20"/>
          <w:szCs w:val="20"/>
          <w:color w:val="auto"/>
        </w:rPr>
      </w:pPr>
      <w:r>
        <w:rPr>
          <w:rFonts w:ascii="Times New Roman" w:cs="Times New Roman" w:eastAsia="Times New Roman" w:hAnsi="Times New Roman"/>
          <w:sz w:val="19"/>
          <w:szCs w:val="19"/>
          <w:color w:val="auto"/>
        </w:rPr>
        <w:t>On April 21, 2025, we completed the acquisition of all the outstanding shares of Chimerix Common Stock. As a result of this, Chimerix became our indirect wholly owned subsidiary. The success of the acquisition will depend, in part, on our ability to realize the anticipated benefits from successfully combining our and Chimerix’s operations and we plan on devoting significant management attention and resources to integrating our business practices and operations with Chimerix’s so that we can fully realize the anticipated benefits of the acquisition. In addition, Modeyso, which we acquired in the acquisition, may not be successful or may require significantly greater resources and investments than originally anticipated.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75" w:lineRule="exact"/>
        <w:rPr>
          <w:sz w:val="20"/>
          <w:szCs w:val="20"/>
          <w:color w:val="auto"/>
        </w:rPr>
      </w:pPr>
    </w:p>
    <w:p>
      <w:pPr>
        <w:ind w:left="60" w:right="6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39" w:lineRule="exact"/>
        <w:rPr>
          <w:sz w:val="20"/>
          <w:szCs w:val="20"/>
          <w:color w:val="auto"/>
        </w:rPr>
      </w:pPr>
    </w:p>
    <w:p>
      <w:pPr>
        <w:ind w:left="60" w:right="120" w:firstLine="480"/>
        <w:spacing w:after="0" w:line="261" w:lineRule="auto"/>
        <w:rPr>
          <w:sz w:val="20"/>
          <w:szCs w:val="20"/>
          <w:color w:val="auto"/>
        </w:rPr>
      </w:pPr>
      <w:r>
        <w:rPr>
          <w:rFonts w:ascii="Times New Roman" w:cs="Times New Roman" w:eastAsia="Times New Roman" w:hAnsi="Times New Roman"/>
          <w:sz w:val="19"/>
          <w:szCs w:val="19"/>
          <w:color w:val="auto"/>
        </w:rPr>
        <w:t>The testing, manufacturing and marketing of our products require regulatory approvals, including approval from FDA and similar bodies in Europe and other countries. If FDA, EMA,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78" w:lineRule="exact"/>
        <w:rPr>
          <w:sz w:val="20"/>
          <w:szCs w:val="20"/>
          <w:color w:val="auto"/>
        </w:rPr>
      </w:pPr>
    </w:p>
    <w:p>
      <w:pPr>
        <w:ind w:left="60" w:right="40" w:firstLine="480"/>
        <w:spacing w:after="0" w:line="260" w:lineRule="auto"/>
        <w:rPr>
          <w:sz w:val="20"/>
          <w:szCs w:val="20"/>
          <w:color w:val="auto"/>
        </w:rPr>
      </w:pPr>
      <w:r>
        <w:rPr>
          <w:rFonts w:ascii="Times New Roman" w:cs="Times New Roman" w:eastAsia="Times New Roman" w:hAnsi="Times New Roman"/>
          <w:sz w:val="19"/>
          <w:szCs w:val="19"/>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w:t>
      </w:r>
    </w:p>
    <w:p>
      <w:pPr>
        <w:spacing w:after="0" w:line="77" w:lineRule="exact"/>
        <w:rPr>
          <w:sz w:val="20"/>
          <w:szCs w:val="20"/>
          <w:color w:val="auto"/>
        </w:rPr>
      </w:pPr>
    </w:p>
    <w:p>
      <w:pPr>
        <w:ind w:left="60" w:firstLine="480"/>
        <w:spacing w:after="0" w:line="349" w:lineRule="auto"/>
        <w:rPr>
          <w:sz w:val="20"/>
          <w:szCs w:val="20"/>
          <w:color w:val="auto"/>
        </w:rPr>
      </w:pPr>
      <w:r>
        <w:rPr>
          <w:rFonts w:ascii="Times New Roman" w:cs="Times New Roman" w:eastAsia="Times New Roman" w:hAnsi="Times New Roman"/>
          <w:sz w:val="16"/>
          <w:szCs w:val="16"/>
          <w:color w:val="auto"/>
        </w:rPr>
        <w:t xml:space="preserve">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Epidiolex/Epidyolex, Zepzelca, Rylaze, Ziihera, Modeyso, Vyxeos and Defitelio. These post-marketing requirements and commitments include satisfactorily conducting multiple post-marketing trials and safety studies. Failure to comply with these post-marketing requirements could result in withdrawal of our marketing approvals for the applicable product and/or other civil or criminal penalties. If a product is approved under accelerated approval, continued approval may be contingent upon verification and description of clinical benefit in a confirmatory trial. For example, FDA granted accelerated approval to Zepzelca for relapsed SCLC based on data from a Phase 2 trial, which approval is contingent upon verification and description of clinical benefit in a post-marketing clinical trial. In addition, FDA granted accelerated approval to Ziihera for previously treated, unresectable or metastatic HER2-positive BTC based on data from a Phase 2 trial. Continued approval for this indication may be contingent upon verification and description of clinical benefit in a confirmatory trial. While a Phase 3 confirmatory trial is ongoing to evaluate zanidatamab in combination with standard-of-care therapy versus standard-of-care therapy alone in the first-line setting for patients with HER2-positive BTC, our inability to confirm its clinical benefit in the first-line setting for patients with HER2-positive BTC could result in the withdrawal of approval of Ziihera, which could have a material adverse effect on our business, financial condition, results of operations and growth prospects. Furthermore, FDA granted accelerated approval to Modeyso for adult and pediatric patients 1 year of age and older with diffuse </w:t>
      </w:r>
      <w:r>
        <w:rPr>
          <w:rFonts w:ascii="PMingLiU" w:cs="PMingLiU" w:eastAsia="PMingLiU" w:hAnsi="PMingLiU"/>
          <w:sz w:val="16"/>
          <w:szCs w:val="16"/>
          <w:color w:val="auto"/>
        </w:rPr>
        <w:t>PLGOLQHJOLRPDKDUERULQJDQ+.0PXWDWLRQZLWKSURJUHVVLYHGLVHDVHIROORZLQJSULRUWKHUDS\EDVHGRQGDWDIURPD3KDVH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266065</wp:posOffset>
            </wp:positionV>
            <wp:extent cx="259080" cy="2546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51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54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52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178" w:name="page179"/>
    <w:bookmarkEnd w:id="178"/>
    <w:p>
      <w:pPr>
        <w:ind w:right="100"/>
        <w:spacing w:after="0" w:line="386" w:lineRule="auto"/>
        <w:rPr>
          <w:sz w:val="20"/>
          <w:szCs w:val="20"/>
          <w:color w:val="auto"/>
        </w:rPr>
      </w:pPr>
      <w:r>
        <w:rPr>
          <w:rFonts w:ascii="Times New Roman" w:cs="Times New Roman" w:eastAsia="Times New Roman" w:hAnsi="Times New Roman"/>
          <w:sz w:val="15"/>
          <w:szCs w:val="15"/>
          <w:color w:val="auto"/>
        </w:rPr>
        <w:t>trial, which approval is contingent upon verification and description of clinical benefit in a post-marketing clinical trial. While the Phase 3 ACTION confirmatory trial is ongoing to evaluate Modeyso in first-</w:t>
      </w:r>
      <w:r>
        <w:rPr>
          <w:rFonts w:ascii="PMingLiU" w:cs="PMingLiU" w:eastAsia="PMingLiU" w:hAnsi="PMingLiU"/>
          <w:sz w:val="15"/>
          <w:szCs w:val="15"/>
          <w:color w:val="auto"/>
        </w:rPr>
        <w:t>OLQHVHWWLQJIRUSDWLHQWVZLWK+.0</w:t>
      </w:r>
      <w:r>
        <w:rPr>
          <w:rFonts w:ascii="Times New Roman" w:cs="Times New Roman" w:eastAsia="Times New Roman" w:hAnsi="Times New Roman"/>
          <w:sz w:val="15"/>
          <w:szCs w:val="15"/>
          <w:color w:val="auto"/>
        </w:rPr>
        <w:t xml:space="preserve">-mutant diffuse glioma, our inability to confirm its clinical benefit in the first-line setting for patients with diffuse midline glioma </w:t>
      </w:r>
      <w:r>
        <w:rPr>
          <w:rFonts w:ascii="PMingLiU" w:cs="PMingLiU" w:eastAsia="PMingLiU" w:hAnsi="PMingLiU"/>
          <w:sz w:val="15"/>
          <w:szCs w:val="15"/>
          <w:color w:val="auto"/>
        </w:rPr>
        <w:t xml:space="preserve">KDUERULQJDQ+.0PXWDWLRQFRXOGUHVXOWLQWKHZLWKGUDZDORIDSSURYDORI0RGH\VRZKLFKFRXOGKDYHDPDWHULDODGYHUVH </w:t>
      </w:r>
      <w:r>
        <w:rPr>
          <w:rFonts w:ascii="Times New Roman" w:cs="Times New Roman" w:eastAsia="Times New Roman" w:hAnsi="Times New Roman"/>
          <w:sz w:val="15"/>
          <w:szCs w:val="15"/>
          <w:color w:val="auto"/>
        </w:rPr>
        <w:t>effect on our business, financial condition, results of operations and growth prospects.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5"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Any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MAAs for indications beyond its currently approved uses or impose additional post-approval requirements. If any of these actions were to occur, it could result in significant expense and delay or limit our ability to generate sales of Epidiolex/Epidyolex.</w:t>
      </w:r>
    </w:p>
    <w:p>
      <w:pPr>
        <w:spacing w:after="0" w:line="71"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If we are not successful in the clinical development of our product candidates, if we are unable to obtain regulatory approval for our product candidates in a timely manner, or at all, or if sales of an approved product do not reach the levels we expect, in each case including as a result of any executive or judicial actions as described under “—Recent executive and judicial changes and flux in the regulatory landscape creates uncertainty for us and our industry,” our anticipated revenue from our product candidates would be negatively affected, which could have a material adverse effect on our business, financial condition, results of operations and growth prospects.</w:t>
      </w:r>
    </w:p>
    <w:p>
      <w:pPr>
        <w:spacing w:after="0" w:line="73"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39"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 xml:space="preserve">In addition to continued investment in our R&amp;D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9"/>
          <w:szCs w:val="19"/>
          <w:color w:val="121212"/>
        </w:rPr>
        <w:t>we may be unable to identify or consummate</w:t>
      </w:r>
      <w:r>
        <w:rPr>
          <w:rFonts w:ascii="Times New Roman" w:cs="Times New Roman" w:eastAsia="Times New Roman" w:hAnsi="Times New Roman"/>
          <w:sz w:val="19"/>
          <w:szCs w:val="19"/>
          <w:color w:val="auto"/>
        </w:rPr>
        <w:t xml:space="preserve"> suitable acquisition or in-licensing opportunities, and </w:t>
      </w:r>
      <w:r>
        <w:rPr>
          <w:rFonts w:ascii="Times New Roman" w:cs="Times New Roman" w:eastAsia="Times New Roman" w:hAnsi="Times New Roman"/>
          <w:sz w:val="19"/>
          <w:szCs w:val="19"/>
          <w:color w:val="121212"/>
        </w:rPr>
        <w:t>this inability could impair our ability to grow our business.</w:t>
      </w:r>
      <w:r>
        <w:rPr>
          <w:rFonts w:ascii="Times New Roman" w:cs="Times New Roman" w:eastAsia="Times New Roman" w:hAnsi="Times New Roman"/>
          <w:sz w:val="19"/>
          <w:szCs w:val="19"/>
          <w:color w:val="auto"/>
        </w:rPr>
        <w:t xml:space="preserve"> Other companies, many of which may have substantially greater financial, sales and marketing resources, compete with us for these opportunities. Even if appropriate opportunities are available, we may not be able to successfully identify them, or we may not have the financial resources necessary to pursue them.</w:t>
      </w:r>
    </w:p>
    <w:p>
      <w:pPr>
        <w:spacing w:after="0" w:line="70"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9"/>
          <w:szCs w:val="19"/>
          <w:color w:val="auto"/>
        </w:rPr>
        <w:t>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In addition, product and product candidate acquisitions, particularly when the acquisition takes the form of a merger or other business consolidation, such as the Chimerix Acquisition has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80" w:lineRule="exact"/>
        <w:rPr>
          <w:sz w:val="20"/>
          <w:szCs w:val="20"/>
          <w:color w:val="auto"/>
        </w:rPr>
      </w:pPr>
    </w:p>
    <w:p>
      <w:pPr>
        <w:ind w:left="360" w:right="700"/>
        <w:spacing w:after="0" w:line="39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need to incur substantial debt and/or engage in dilutive issuances of equity securities to pay for acquisitions;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need to comply with regulatory requirements, including in some cases clearance from the FTC;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potential need to secure shareholder approval of the transaction;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potential disruption of our historical core business;</w:t>
      </w:r>
    </w:p>
    <w:p>
      <w:pPr>
        <w:spacing w:after="0" w:line="270" w:lineRule="exact"/>
        <w:rPr>
          <w:sz w:val="20"/>
          <w:szCs w:val="20"/>
          <w:color w:val="auto"/>
        </w:rPr>
      </w:pPr>
    </w:p>
    <w:p>
      <w:pPr>
        <w:ind w:left="700" w:right="90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strain on, and need to continue to expand, our existing operational, technical, financial and administrative infrastructure;</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21212"/>
        </w:rPr>
        <w:t>the difficulties in integrating acquired products and product candidates into our portfolio;</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difficulties in assimilating employees and corporate cultures;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failure to retain key managers and other personnel;</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need to write down assets or recognize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238125</wp:posOffset>
            </wp:positionV>
            <wp:extent cx="259080" cy="2546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52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94"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55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55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52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79" w:name="page180"/>
    <w:bookmarkEnd w:id="179"/>
    <w:p>
      <w:pPr>
        <w:ind w:left="760" w:right="11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diversion of our management’s attention to integration of operations and corporate and administrative infrastructures; and</w:t>
      </w:r>
    </w:p>
    <w:p>
      <w:pPr>
        <w:spacing w:after="0" w:line="46" w:lineRule="exact"/>
        <w:rPr>
          <w:sz w:val="20"/>
          <w:szCs w:val="20"/>
          <w:color w:val="auto"/>
        </w:rPr>
      </w:pPr>
    </w:p>
    <w:p>
      <w:pPr>
        <w:ind w:left="760" w:right="3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any unanticipated liabilities for activities of or related to the acquired business or its operations, products or product candidates.</w:t>
      </w:r>
    </w:p>
    <w:p>
      <w:pPr>
        <w:spacing w:after="0" w:line="47" w:lineRule="exact"/>
        <w:rPr>
          <w:sz w:val="20"/>
          <w:szCs w:val="20"/>
          <w:color w:val="auto"/>
        </w:rPr>
      </w:pPr>
    </w:p>
    <w:p>
      <w:pPr>
        <w:ind w:left="60" w:right="40" w:firstLine="480"/>
        <w:spacing w:after="0" w:line="277" w:lineRule="auto"/>
        <w:rPr>
          <w:sz w:val="20"/>
          <w:szCs w:val="20"/>
          <w:color w:val="auto"/>
        </w:rPr>
      </w:pPr>
      <w:r>
        <w:rPr>
          <w:rFonts w:ascii="Times New Roman" w:cs="Times New Roman" w:eastAsia="Times New Roman" w:hAnsi="Times New Roman"/>
          <w:sz w:val="19"/>
          <w:szCs w:val="19"/>
          <w:color w:val="auto"/>
        </w:rPr>
        <w:t>As a result of these or other factors, products or product candidates we acquire, or obtain licenses to, may not produce the revenues, earnings or business synergies that we anticipated, may not result in regulatory approvals, and may not perform as expected.</w:t>
      </w:r>
    </w:p>
    <w:p>
      <w:pPr>
        <w:spacing w:after="0" w:line="60" w:lineRule="exact"/>
        <w:rPr>
          <w:sz w:val="20"/>
          <w:szCs w:val="20"/>
          <w:color w:val="auto"/>
        </w:rPr>
      </w:pPr>
    </w:p>
    <w:p>
      <w:pPr>
        <w:ind w:left="60" w:right="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6" w:lineRule="exact"/>
        <w:rPr>
          <w:sz w:val="20"/>
          <w:szCs w:val="20"/>
          <w:color w:val="auto"/>
        </w:rPr>
      </w:pPr>
    </w:p>
    <w:p>
      <w:pPr>
        <w:ind w:left="60" w:right="20" w:firstLine="480"/>
        <w:spacing w:after="0" w:line="258" w:lineRule="auto"/>
        <w:rPr>
          <w:sz w:val="20"/>
          <w:szCs w:val="20"/>
          <w:color w:val="auto"/>
        </w:rPr>
      </w:pPr>
      <w:r>
        <w:rPr>
          <w:rFonts w:ascii="Times New Roman" w:cs="Times New Roman" w:eastAsia="Times New Roman" w:hAnsi="Times New Roman"/>
          <w:sz w:val="19"/>
          <w:szCs w:val="19"/>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or any equivalent non-U.S. regulatory agency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86" w:lineRule="exact"/>
        <w:rPr>
          <w:sz w:val="20"/>
          <w:szCs w:val="20"/>
          <w:color w:val="auto"/>
        </w:rPr>
      </w:pPr>
    </w:p>
    <w:p>
      <w:pPr>
        <w:ind w:left="60" w:right="500" w:firstLine="480"/>
        <w:spacing w:after="0" w:line="299" w:lineRule="auto"/>
        <w:rPr>
          <w:sz w:val="20"/>
          <w:szCs w:val="20"/>
          <w:color w:val="auto"/>
        </w:rPr>
      </w:pPr>
      <w:r>
        <w:rPr>
          <w:rFonts w:ascii="Times New Roman" w:cs="Times New Roman" w:eastAsia="Times New Roman" w:hAnsi="Times New Roman"/>
          <w:sz w:val="19"/>
          <w:szCs w:val="19"/>
          <w:color w:val="auto"/>
        </w:rPr>
        <w:t>In addition to issues relating to the results generated in clinical trials, clinical trials have been and can be delayed or halted for a variety of reasons, including:</w:t>
      </w:r>
    </w:p>
    <w:p>
      <w:pPr>
        <w:spacing w:after="0" w:line="37" w:lineRule="exact"/>
        <w:rPr>
          <w:sz w:val="20"/>
          <w:szCs w:val="20"/>
          <w:color w:val="auto"/>
        </w:rPr>
      </w:pPr>
    </w:p>
    <w:p>
      <w:pPr>
        <w:ind w:left="760" w:right="22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difficulty identifying, recruiting or enrolling eligible patients, often based on the number of clinical trials, particularly with enrollment criteria targeting the same patient population, and in rare diseases with small patient populations;</w:t>
      </w:r>
    </w:p>
    <w:p>
      <w:pPr>
        <w:spacing w:after="0" w:line="46" w:lineRule="exact"/>
        <w:rPr>
          <w:sz w:val="20"/>
          <w:szCs w:val="20"/>
          <w:color w:val="auto"/>
        </w:rPr>
      </w:pPr>
    </w:p>
    <w:p>
      <w:pPr>
        <w:ind w:left="760" w:right="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difficulty identifying a clinical development pathway, including viable indications and appropriate clinical trial protocol design, particularly where there is no applicable regulatory precedent;</w:t>
      </w:r>
    </w:p>
    <w:p>
      <w:pPr>
        <w:spacing w:after="0" w:line="46" w:lineRule="exact"/>
        <w:rPr>
          <w:sz w:val="20"/>
          <w:szCs w:val="20"/>
          <w:color w:val="auto"/>
        </w:rPr>
      </w:pPr>
    </w:p>
    <w:p>
      <w:pPr>
        <w:ind w:left="760" w:right="36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63" w:lineRule="exact"/>
        <w:rPr>
          <w:sz w:val="20"/>
          <w:szCs w:val="20"/>
          <w:color w:val="auto"/>
        </w:rPr>
      </w:pPr>
    </w:p>
    <w:p>
      <w:pPr>
        <w:ind w:left="760" w:right="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delays or failures in obtaining clinical materials and manufacturing sufficient quantities of the product candidate for use in trials;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delays or failures in reaching agreement on acceptable terms with prospective study sites;</w:t>
      </w:r>
    </w:p>
    <w:p>
      <w:pPr>
        <w:spacing w:after="0" w:line="118" w:lineRule="exact"/>
        <w:rPr>
          <w:sz w:val="20"/>
          <w:szCs w:val="20"/>
          <w:color w:val="auto"/>
        </w:rPr>
      </w:pPr>
    </w:p>
    <w:p>
      <w:pPr>
        <w:ind w:left="7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delays or failures in obtaining approval of our clinical trial protocol from an institutional review board, or similar bodies in other jurisdictions, such as an ethics committee in Europe, to conduct a clinical trial at a prospective study site;</w:t>
      </w:r>
    </w:p>
    <w:p>
      <w:pPr>
        <w:spacing w:after="0" w:line="46" w:lineRule="exact"/>
        <w:rPr>
          <w:sz w:val="20"/>
          <w:szCs w:val="20"/>
          <w:color w:val="auto"/>
        </w:rPr>
      </w:pPr>
    </w:p>
    <w:p>
      <w:pPr>
        <w:ind w:left="760" w:right="16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unforeseen safety issues;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inability to monitor patients adequately during or after treatment;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difficulty monitoring multiple study sites; or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insufficient funds to complete the trials.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 some jurisdictions such as the EU, initiating Phase 3 clinical trials and clinical trials in the pediatric population is</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subject to a requirement to obtain approval or a waiver from the competent authorities of the EU member states and/or EMA.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303530</wp:posOffset>
            </wp:positionV>
            <wp:extent cx="259080" cy="2546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52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56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52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8" w:right="959" w:bottom="0" w:gutter="0" w:footer="0" w:header="0"/>
        </w:sectPr>
      </w:pPr>
    </w:p>
    <w:bookmarkStart w:id="180" w:name="page181"/>
    <w:bookmarkEnd w:id="180"/>
    <w:p>
      <w:pPr>
        <w:ind w:right="260"/>
        <w:spacing w:after="0" w:line="299" w:lineRule="auto"/>
        <w:rPr>
          <w:sz w:val="20"/>
          <w:szCs w:val="20"/>
          <w:color w:val="auto"/>
        </w:rPr>
      </w:pPr>
      <w:r>
        <w:rPr>
          <w:rFonts w:ascii="Times New Roman" w:cs="Times New Roman" w:eastAsia="Times New Roman" w:hAnsi="Times New Roman"/>
          <w:sz w:val="19"/>
          <w:szCs w:val="19"/>
          <w:color w:val="auto"/>
        </w:rPr>
        <w:t>we do not obtain such approval, our ability to conduct clinical trials and obtain marketing authorizations or approvals may be severely impaired and our business may be adversely impacted.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It is difficult and costly to protect our proprietary rights, and we may not be able to ensure their protection.</w:t>
      </w:r>
    </w:p>
    <w:p>
      <w:pPr>
        <w:spacing w:after="0" w:line="129" w:lineRule="exact"/>
        <w:rPr>
          <w:sz w:val="20"/>
          <w:szCs w:val="20"/>
          <w:color w:val="auto"/>
        </w:rPr>
      </w:pPr>
    </w:p>
    <w:p>
      <w:pPr>
        <w:ind w:right="160" w:firstLine="480"/>
        <w:spacing w:after="0" w:line="266" w:lineRule="auto"/>
        <w:rPr>
          <w:sz w:val="20"/>
          <w:szCs w:val="20"/>
          <w:color w:val="auto"/>
        </w:rPr>
      </w:pPr>
      <w:r>
        <w:rPr>
          <w:rFonts w:ascii="Times New Roman" w:cs="Times New Roman" w:eastAsia="Times New Roman" w:hAnsi="Times New Roman"/>
          <w:sz w:val="19"/>
          <w:szCs w:val="19"/>
          <w:color w:val="auto"/>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70" w:lineRule="exact"/>
        <w:rPr>
          <w:sz w:val="20"/>
          <w:szCs w:val="20"/>
          <w:color w:val="auto"/>
        </w:rPr>
      </w:pPr>
    </w:p>
    <w:p>
      <w:pPr>
        <w:ind w:right="340" w:firstLine="480"/>
        <w:spacing w:after="0" w:line="277" w:lineRule="auto"/>
        <w:rPr>
          <w:sz w:val="20"/>
          <w:szCs w:val="20"/>
          <w:color w:val="auto"/>
        </w:rPr>
      </w:pPr>
      <w:r>
        <w:rPr>
          <w:rFonts w:ascii="Times New Roman" w:cs="Times New Roman" w:eastAsia="Times New Roman" w:hAnsi="Times New Roman"/>
          <w:sz w:val="19"/>
          <w:szCs w:val="19"/>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patent applications, or those of our licensors or partners, may not result in issued patents;</w:t>
      </w:r>
    </w:p>
    <w:p>
      <w:pPr>
        <w:spacing w:after="0" w:line="118" w:lineRule="exact"/>
        <w:rPr>
          <w:sz w:val="20"/>
          <w:szCs w:val="20"/>
          <w:color w:val="auto"/>
        </w:rPr>
      </w:pPr>
    </w:p>
    <w:p>
      <w:pPr>
        <w:ind w:left="700" w:right="6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63" w:lineRule="exact"/>
        <w:rPr>
          <w:sz w:val="20"/>
          <w:szCs w:val="20"/>
          <w:color w:val="auto"/>
        </w:rPr>
      </w:pPr>
    </w:p>
    <w:p>
      <w:pPr>
        <w:ind w:left="700" w:right="6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issued patents, or those of our licensors or partners, may be held invalid or unenforceable as a result of legal challenges by third parties or may be vulnerable to legal challenges as a result of changes in applicable law;</w:t>
      </w:r>
    </w:p>
    <w:p>
      <w:pPr>
        <w:spacing w:after="0" w:line="46" w:lineRule="exact"/>
        <w:rPr>
          <w:sz w:val="20"/>
          <w:szCs w:val="20"/>
          <w:color w:val="auto"/>
        </w:rPr>
      </w:pPr>
    </w:p>
    <w:p>
      <w:pPr>
        <w:ind w:left="700" w:right="22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patents covering certain aspects of our products or the use thereof could be delisted from FDA's Orange Book as a result of challenges by third parties before FDA or the courts;</w:t>
      </w:r>
    </w:p>
    <w:p>
      <w:pPr>
        <w:spacing w:after="0" w:line="46" w:lineRule="exact"/>
        <w:rPr>
          <w:sz w:val="20"/>
          <w:szCs w:val="20"/>
          <w:color w:val="auto"/>
        </w:rPr>
      </w:pPr>
    </w:p>
    <w:p>
      <w:pPr>
        <w:ind w:left="700" w:right="5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competitors may manufacture products in countries where we have not applied for patent protection or that have a different scope of patent protection or that do not respect our patents; or</w:t>
      </w:r>
    </w:p>
    <w:p>
      <w:pPr>
        <w:spacing w:after="0" w:line="46" w:lineRule="exact"/>
        <w:rPr>
          <w:sz w:val="20"/>
          <w:szCs w:val="20"/>
          <w:color w:val="auto"/>
        </w:rPr>
      </w:pPr>
    </w:p>
    <w:p>
      <w:pPr>
        <w:ind w:left="700" w:right="3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others may be issued patents that prevent the sale of our products or require licensing and the payment of significant fees or royalties.</w:t>
      </w:r>
    </w:p>
    <w:p>
      <w:pPr>
        <w:spacing w:after="0" w:line="47"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9"/>
          <w:szCs w:val="19"/>
          <w:color w:val="auto"/>
        </w:rPr>
        <w:t>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71" w:lineRule="exact"/>
        <w:rPr>
          <w:sz w:val="20"/>
          <w:szCs w:val="20"/>
          <w:color w:val="auto"/>
        </w:rPr>
      </w:pPr>
    </w:p>
    <w:p>
      <w:pPr>
        <w:ind w:right="260" w:firstLine="480"/>
        <w:spacing w:after="0" w:line="270" w:lineRule="auto"/>
        <w:rPr>
          <w:sz w:val="20"/>
          <w:szCs w:val="20"/>
          <w:color w:val="auto"/>
        </w:rPr>
      </w:pPr>
      <w:r>
        <w:rPr>
          <w:rFonts w:ascii="Times New Roman" w:cs="Times New Roman" w:eastAsia="Times New Roman" w:hAnsi="Times New Roman"/>
          <w:sz w:val="19"/>
          <w:szCs w:val="19"/>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spacing w:after="0" w:line="65"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9"/>
          <w:szCs w:val="19"/>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In July 2025, we received notice from Granules that it has filed with FDA an ANDA for a generic version of Xywav, which notice included a paragraph IV certification with respect to fourteen of our patents listed in FDA’s Orange Book for Xywav on the date of the receipt of the notice. In January 2026, we received notices from Tris Pharma that it had filed with FDA a Section 505(b)(2) NDA seeking approval for generic versions of Xyrem and Xywav, which notices included a paragraph IV certification with respect to seven patents listed in FDA’s Orange Book for Xyrem and fifteen patents listed in FDA’s Orange Book for Xywav, respectively. For additional information on litigation involving these matters, see Note 13, Commitments and Contingencies—Legal Proceedings of the Notes to Consolidated Financial Statements, included in Part IV of this Annual Report on Form 10-</w:t>
      </w:r>
      <w:r>
        <w:rPr>
          <w:rFonts w:ascii="PMingLiU" w:cs="PMingLiU" w:eastAsia="PMingLiU" w:hAnsi="PMingLiU"/>
          <w:sz w:val="19"/>
          <w:szCs w:val="19"/>
          <w:color w:val="auto"/>
        </w:rPr>
        <w:t>.</w:t>
      </w:r>
    </w:p>
    <w:p>
      <w:pPr>
        <w:spacing w:after="0" w:line="86"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9"/>
          <w:szCs w:val="19"/>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52070</wp:posOffset>
            </wp:positionV>
            <wp:extent cx="259080" cy="2546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52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01"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57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57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52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81" w:name="page182"/>
    <w:bookmarkEnd w:id="181"/>
    <w:p>
      <w:pPr>
        <w:ind w:left="60" w:right="20"/>
        <w:spacing w:after="0" w:line="258" w:lineRule="auto"/>
        <w:rPr>
          <w:sz w:val="20"/>
          <w:szCs w:val="20"/>
          <w:color w:val="auto"/>
        </w:rPr>
      </w:pPr>
      <w:r>
        <w:rPr>
          <w:rFonts w:ascii="Times New Roman" w:cs="Times New Roman" w:eastAsia="Times New Roman" w:hAnsi="Times New Roman"/>
          <w:sz w:val="19"/>
          <w:szCs w:val="19"/>
          <w:color w:val="auto"/>
        </w:rPr>
        <w:t>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86" w:lineRule="exact"/>
        <w:rPr>
          <w:sz w:val="20"/>
          <w:szCs w:val="20"/>
          <w:color w:val="auto"/>
        </w:rPr>
      </w:pPr>
    </w:p>
    <w:p>
      <w:pPr>
        <w:ind w:left="60" w:right="380" w:firstLine="480"/>
        <w:spacing w:after="0" w:line="277" w:lineRule="auto"/>
        <w:rPr>
          <w:sz w:val="20"/>
          <w:szCs w:val="20"/>
          <w:color w:val="auto"/>
        </w:rPr>
      </w:pPr>
      <w:r>
        <w:rPr>
          <w:rFonts w:ascii="Times New Roman" w:cs="Times New Roman" w:eastAsia="Times New Roman" w:hAnsi="Times New Roman"/>
          <w:sz w:val="19"/>
          <w:szCs w:val="19"/>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58" w:lineRule="exact"/>
        <w:rPr>
          <w:sz w:val="20"/>
          <w:szCs w:val="20"/>
          <w:color w:val="auto"/>
        </w:rPr>
      </w:pPr>
    </w:p>
    <w:p>
      <w:pPr>
        <w:ind w:left="60" w:right="100" w:firstLine="480"/>
        <w:spacing w:after="0" w:line="263" w:lineRule="auto"/>
        <w:rPr>
          <w:sz w:val="20"/>
          <w:szCs w:val="20"/>
          <w:color w:val="auto"/>
        </w:rPr>
      </w:pPr>
      <w:r>
        <w:rPr>
          <w:rFonts w:ascii="Times New Roman" w:cs="Times New Roman" w:eastAsia="Times New Roman" w:hAnsi="Times New Roman"/>
          <w:sz w:val="19"/>
          <w:szCs w:val="19"/>
          <w:color w:val="auto"/>
        </w:rPr>
        <w:t>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Notwithstanding our patents listed in FDA’s Orange Book for Epidiolex and settlement agreements, additional third parties may also attempt to introduce generic versions of Epidiolex that design around our patents or assert that our patents are invalid or otherwise unenforceable.</w:t>
      </w:r>
    </w:p>
    <w:p>
      <w:pPr>
        <w:spacing w:after="0" w:line="70" w:lineRule="exact"/>
        <w:rPr>
          <w:sz w:val="20"/>
          <w:szCs w:val="20"/>
          <w:color w:val="auto"/>
        </w:rPr>
      </w:pPr>
    </w:p>
    <w:p>
      <w:pPr>
        <w:ind w:left="60" w:right="100" w:firstLine="480"/>
        <w:spacing w:after="0" w:line="265" w:lineRule="auto"/>
        <w:rPr>
          <w:sz w:val="20"/>
          <w:szCs w:val="20"/>
          <w:color w:val="auto"/>
        </w:rPr>
      </w:pPr>
      <w:r>
        <w:rPr>
          <w:rFonts w:ascii="Times New Roman" w:cs="Times New Roman" w:eastAsia="Times New Roman" w:hAnsi="Times New Roman"/>
          <w:sz w:val="19"/>
          <w:szCs w:val="19"/>
          <w:color w:val="auto"/>
        </w:rPr>
        <w:t>In March 2025, we received a notice from Almaject that it had filed with FDA an ANDA for a generic version of Defitelio. The notice from Almaject included a paragraph IV certification with respect to certain of our patents listed in FDA’s Orange Book for Defitelio. The listed patents relate generally to the Defitelio drug product and its approved use. In</w:t>
      </w:r>
    </w:p>
    <w:p>
      <w:pPr>
        <w:ind w:left="60" w:right="120"/>
        <w:spacing w:after="0" w:line="275" w:lineRule="auto"/>
        <w:rPr>
          <w:sz w:val="20"/>
          <w:szCs w:val="20"/>
          <w:color w:val="auto"/>
        </w:rPr>
      </w:pPr>
      <w:r>
        <w:rPr>
          <w:rFonts w:ascii="Times New Roman" w:cs="Times New Roman" w:eastAsia="Times New Roman" w:hAnsi="Times New Roman"/>
          <w:sz w:val="18"/>
          <w:szCs w:val="18"/>
          <w:color w:val="auto"/>
        </w:rPr>
        <w:t>April 2025, we filed a patent infringement lawsuit against Almaject. For additional information on litigation involving this matter, see Note 13, Commitments and Contingencies—Legal Proceedings of the Notes to Consolidated Financial Statements, included in Part IV of this Annual Report on Form 10-</w:t>
      </w:r>
      <w:r>
        <w:rPr>
          <w:rFonts w:ascii="PMingLiU" w:cs="PMingLiU" w:eastAsia="PMingLiU" w:hAnsi="PMingLiU"/>
          <w:sz w:val="18"/>
          <w:szCs w:val="18"/>
          <w:color w:val="auto"/>
        </w:rPr>
        <w:t>.$VDUHVXOWRIWKLVODZVXLWZHH[SHFWWKDWDVWD\RIDSSURYDORIXSWR</w:t>
      </w:r>
      <w:r>
        <w:rPr>
          <w:rFonts w:ascii="Times New Roman" w:cs="Times New Roman" w:eastAsia="Times New Roman" w:hAnsi="Times New Roman"/>
          <w:sz w:val="18"/>
          <w:szCs w:val="18"/>
          <w:color w:val="auto"/>
        </w:rPr>
        <w:t xml:space="preserve"> 30 months will be imposed by FDA on Almaject’s ANDA.</w:t>
      </w:r>
    </w:p>
    <w:p>
      <w:pPr>
        <w:spacing w:after="0" w:line="60" w:lineRule="exact"/>
        <w:rPr>
          <w:sz w:val="20"/>
          <w:szCs w:val="20"/>
          <w:color w:val="auto"/>
        </w:rPr>
      </w:pPr>
    </w:p>
    <w:p>
      <w:pPr>
        <w:ind w:left="60" w:right="320" w:firstLine="479"/>
        <w:spacing w:after="0" w:line="259" w:lineRule="auto"/>
        <w:rPr>
          <w:sz w:val="20"/>
          <w:szCs w:val="20"/>
          <w:color w:val="auto"/>
        </w:rPr>
      </w:pPr>
      <w:r>
        <w:rPr>
          <w:rFonts w:ascii="Times New Roman" w:cs="Times New Roman" w:eastAsia="Times New Roman" w:hAnsi="Times New Roman"/>
          <w:sz w:val="19"/>
          <w:szCs w:val="19"/>
          <w:color w:val="auto"/>
        </w:rPr>
        <w:t>We have entered into a settlement agreement with Avadel, which as of February 2026, is a subsidiary of Alkermes, involving, among other matters, our patent infringement suit against Avadel and several of its corporate affiliates in the U.S. District Court for the District of Delaware. For additional information on litigation involving this matter, see “</w:t>
      </w:r>
      <w:r>
        <w:rPr>
          <w:rFonts w:ascii="PMingLiU" w:cs="PMingLiU" w:eastAsia="PMingLiU" w:hAnsi="PMingLiU"/>
          <w:sz w:val="19"/>
          <w:szCs w:val="19"/>
          <w:i w:val="1"/>
          <w:iCs w:val="1"/>
          <w:color w:val="auto"/>
        </w:rPr>
        <w:t>$YDGHO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Litigation</w:t>
      </w:r>
      <w:r>
        <w:rPr>
          <w:rFonts w:ascii="Times New Roman" w:cs="Times New Roman" w:eastAsia="Times New Roman" w:hAnsi="Times New Roman"/>
          <w:sz w:val="19"/>
          <w:szCs w:val="19"/>
          <w:color w:val="auto"/>
        </w:rPr>
        <w:t>” in Note 13, Commitments and Contingencies—Legal Proceedings of the Notes to Consolidated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Statements, included in Part IV of this Annual Report on Form 10-</w:t>
      </w:r>
      <w:r>
        <w:rPr>
          <w:rFonts w:ascii="PMingLiU" w:cs="PMingLiU" w:eastAsia="PMingLiU" w:hAnsi="PMingLiU"/>
          <w:sz w:val="19"/>
          <w:szCs w:val="19"/>
          <w:color w:val="auto"/>
        </w:rPr>
        <w:t>.</w:t>
      </w:r>
    </w:p>
    <w:p>
      <w:pPr>
        <w:spacing w:after="0" w:line="74"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In July and August 2024, Zepzelca ANDA filers sent us notices that they had filed ANDAs seeking approval to market a generic version of Zepzelca, which notices each included a paragraph IV certification with respect to our Orange Book listed patent for Zepzelca. In September 2024, we filed patent infringement suits against these ANDA filers. In September 2025, we filed an additional lawsuit against each of the Zepzelca ANDA Filers, alleging that, by filing its ANDA, each party infringed the newly-issued patent related to a method of treatment using Zepzelca. For additional information on litigation involving this matter, see “</w:t>
      </w:r>
      <w:r>
        <w:rPr>
          <w:rFonts w:ascii="PMingLiU" w:cs="PMingLiU" w:eastAsia="PMingLiU" w:hAnsi="PMingLiU"/>
          <w:sz w:val="19"/>
          <w:szCs w:val="19"/>
          <w:i w:val="1"/>
          <w:iCs w:val="1"/>
          <w:color w:val="auto"/>
        </w:rPr>
        <w:t>=HS]HOFD3DWHQW/LWLJDWLRQ</w:t>
      </w:r>
      <w:r>
        <w:rPr>
          <w:rFonts w:ascii="Times New Roman" w:cs="Times New Roman" w:eastAsia="Times New Roman" w:hAnsi="Times New Roman"/>
          <w:sz w:val="19"/>
          <w:szCs w:val="19"/>
          <w:color w:val="auto"/>
        </w:rPr>
        <w:t>” in Note 13, Commitments and Contingencies—Legal Proceedings of the Notes to Consolidated Financial Statements, included in Part IV of this Annual Report on Form 10-</w:t>
      </w:r>
      <w:r>
        <w:rPr>
          <w:rFonts w:ascii="PMingLiU" w:cs="PMingLiU" w:eastAsia="PMingLiU" w:hAnsi="PMingLiU"/>
          <w:sz w:val="19"/>
          <w:szCs w:val="19"/>
          <w:color w:val="auto"/>
        </w:rPr>
        <w:t>.</w:t>
      </w:r>
    </w:p>
    <w:p>
      <w:pPr>
        <w:spacing w:after="0" w:line="75"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360045</wp:posOffset>
            </wp:positionV>
            <wp:extent cx="259080" cy="2546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52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58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52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82" w:name="page183"/>
    <w:bookmarkEnd w:id="182"/>
    <w:p>
      <w:pPr>
        <w:ind w:right="4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9"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For example, we are pursuing patent infringement proceedings in Germany initiated by Chimerix against a supplier in contravention of certain patents acquired in connection with the Chimerix Acquisition. These lawsuits and administrative proceedings are expensive and consume time and other resources, and we may not be successful in these proceedings or in stopping infringement. In addition, the IPR or a post-grant review process under the Leahy-Smith America Invents Act permits any person, whether they are accused of infringing the patent at issue or not, to challenge the validity of certain patents through a proceeding before the PTAB.</w:t>
      </w:r>
    </w:p>
    <w:p>
      <w:pPr>
        <w:spacing w:after="0" w:line="314"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that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71" w:lineRule="exact"/>
        <w:rPr>
          <w:sz w:val="20"/>
          <w:szCs w:val="20"/>
          <w:color w:val="auto"/>
        </w:rPr>
      </w:pPr>
    </w:p>
    <w:p>
      <w:pPr>
        <w:ind w:right="60" w:firstLine="480"/>
        <w:spacing w:after="0" w:line="256" w:lineRule="auto"/>
        <w:rPr>
          <w:sz w:val="20"/>
          <w:szCs w:val="20"/>
          <w:color w:val="auto"/>
        </w:rPr>
      </w:pPr>
      <w:r>
        <w:rPr>
          <w:rFonts w:ascii="Times New Roman" w:cs="Times New Roman" w:eastAsia="Times New Roman" w:hAnsi="Times New Roman"/>
          <w:sz w:val="19"/>
          <w:szCs w:val="19"/>
          <w:color w:val="auto"/>
        </w:rPr>
        <w:t>Litigation involving patent matters is frequently settled between the parties, rather than continuing to a court ruling.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several lawsuits were filed on behalf of purported direct and indirect Xyrem purchasers, alleging that the patent litigation settlement agreements we entered with Hikma and other ANDA filers violate state and federal antitrust and consumer protection laws. As of October 2025, we have resolved the entirety of the Xyrem Antitrust Litigation. For additional information on these lawsuits, as well as a class settlement agreement with respect thereto, see "</w:t>
      </w:r>
      <w:r>
        <w:rPr>
          <w:rFonts w:ascii="PMingLiU" w:cs="PMingLiU" w:eastAsia="PMingLiU" w:hAnsi="PMingLiU"/>
          <w:sz w:val="19"/>
          <w:szCs w:val="19"/>
          <w:i w:val="1"/>
          <w:iCs w:val="1"/>
          <w:color w:val="auto"/>
        </w:rPr>
        <w:t>;\UHP$QWLWUXVW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Litigation</w:t>
      </w:r>
      <w:r>
        <w:rPr>
          <w:rFonts w:ascii="Times New Roman" w:cs="Times New Roman" w:eastAsia="Times New Roman" w:hAnsi="Times New Roman"/>
          <w:sz w:val="19"/>
          <w:szCs w:val="19"/>
          <w:color w:val="auto"/>
        </w:rPr>
        <w:t>" in Note 13, Commitments and Contingencies—Legal Proceedings of the Notes to Consolidated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Statements, included in Part IV of this Annual Report on Form 10-</w:t>
      </w:r>
      <w:r>
        <w:rPr>
          <w:rFonts w:ascii="PMingLiU" w:cs="PMingLiU" w:eastAsia="PMingLiU" w:hAnsi="PMingLiU"/>
          <w:sz w:val="19"/>
          <w:szCs w:val="19"/>
          <w:color w:val="auto"/>
        </w:rPr>
        <w:t>.,WLVSRVVLEOHWKDWDGGLWLRQDOODZVXLWVZLOOEHILOHGDJDLQVW</w:t>
      </w:r>
      <w:r>
        <w:rPr>
          <w:rFonts w:ascii="Times New Roman" w:cs="Times New Roman" w:eastAsia="Times New Roman" w:hAnsi="Times New Roman"/>
          <w:sz w:val="19"/>
          <w:szCs w:val="19"/>
          <w:color w:val="auto"/>
        </w:rPr>
        <w:t xml:space="preserve"> us making similar or related allegations. We cannot predict the outcome of any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4"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Parties to such settlement agreements in the U.S. are required by law to file the agreements with the FTC and the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have a material adverse effect on our business, financial condition, results of operations and growth prospects.</w:t>
      </w:r>
    </w:p>
    <w:p>
      <w:pPr>
        <w:spacing w:after="0" w:line="70"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9"/>
          <w:szCs w:val="19"/>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135255</wp:posOffset>
            </wp:positionV>
            <wp:extent cx="259080" cy="2546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52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3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59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59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53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41" w:right="919" w:bottom="0" w:gutter="0" w:footer="0" w:header="0"/>
        </w:sectPr>
      </w:pPr>
    </w:p>
    <w:bookmarkStart w:id="183" w:name="page184"/>
    <w:bookmarkEnd w:id="183"/>
    <w:p>
      <w:pPr>
        <w:ind w:left="60" w:right="80" w:firstLine="480"/>
        <w:spacing w:after="0" w:line="263" w:lineRule="auto"/>
        <w:rPr>
          <w:sz w:val="20"/>
          <w:szCs w:val="20"/>
          <w:color w:val="auto"/>
        </w:rPr>
      </w:pPr>
      <w:r>
        <w:rPr>
          <w:rFonts w:ascii="Times New Roman" w:cs="Times New Roman" w:eastAsia="Times New Roman" w:hAnsi="Times New Roman"/>
          <w:sz w:val="19"/>
          <w:szCs w:val="19"/>
          <w:color w:val="auto"/>
        </w:rPr>
        <w:t>If we were found to infringe upon a patent or other intellectual property right,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w:t>
      </w:r>
    </w:p>
    <w:p>
      <w:pPr>
        <w:spacing w:after="0" w:line="70" w:lineRule="exact"/>
        <w:rPr>
          <w:sz w:val="20"/>
          <w:szCs w:val="20"/>
          <w:color w:val="auto"/>
        </w:rPr>
      </w:pPr>
    </w:p>
    <w:p>
      <w:pPr>
        <w:ind w:left="60" w:right="260" w:firstLine="480"/>
        <w:spacing w:after="0" w:line="299" w:lineRule="auto"/>
        <w:rPr>
          <w:sz w:val="20"/>
          <w:szCs w:val="20"/>
          <w:color w:val="auto"/>
        </w:rPr>
      </w:pPr>
      <w:r>
        <w:rPr>
          <w:rFonts w:ascii="Times New Roman" w:cs="Times New Roman" w:eastAsia="Times New Roman" w:hAnsi="Times New Roman"/>
          <w:sz w:val="19"/>
          <w:szCs w:val="19"/>
          <w:color w:val="auto"/>
        </w:rPr>
        <w:t>Litigation, whether filed by us or against us, can be expensive and time consuming to defend and divert management’s attention and resources. Our competitive position could suffer as a result.</w:t>
      </w:r>
    </w:p>
    <w:p>
      <w:pPr>
        <w:spacing w:after="0" w:line="40" w:lineRule="exact"/>
        <w:rPr>
          <w:sz w:val="20"/>
          <w:szCs w:val="20"/>
          <w:color w:val="auto"/>
        </w:rPr>
      </w:pPr>
    </w:p>
    <w:p>
      <w:pPr>
        <w:ind w:left="60" w:right="3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39" w:lineRule="exact"/>
        <w:rPr>
          <w:sz w:val="20"/>
          <w:szCs w:val="20"/>
          <w:color w:val="auto"/>
        </w:rPr>
      </w:pPr>
    </w:p>
    <w:p>
      <w:pPr>
        <w:ind w:left="60" w:firstLine="480"/>
        <w:spacing w:after="0" w:line="255" w:lineRule="auto"/>
        <w:rPr>
          <w:sz w:val="20"/>
          <w:szCs w:val="20"/>
          <w:color w:val="auto"/>
        </w:rPr>
      </w:pPr>
      <w:r>
        <w:rPr>
          <w:rFonts w:ascii="Times New Roman" w:cs="Times New Roman" w:eastAsia="Times New Roman" w:hAnsi="Times New Roman"/>
          <w:sz w:val="19"/>
          <w:szCs w:val="19"/>
          <w:color w:val="auto"/>
        </w:rPr>
        <w:t>The first NDA applicant with an orphan drug designation for a particular active moiety to treat a specific rare disease or condition that receives FDA approval is usually entitled to a seven-year exclusive marketing period in the U.S. for that drug, for that indication. We rely, in part, on this ODE and other regulatory exclusivities to protect Xywav, Epidiolex, Zepzelca, Ziihera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for certain new drugs that become controlled substances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ODE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According to FDA, the limited circumstances include a showing that the second drug is clinically superior to the drug with marketing exclusivity through a demonstration of superior safety or efficacy or that it makes a major contribution to patient care. For example, FDA recognized seven years of ODE for Xywav in narcolepsy through July 21, 2027 (which was subsequently extended to January 21, 2028 by pediatric exclusivity), stating that Xywav is clinically superior to Xyrem by means of greater safety due to reduced chronic sodium burden. Even though FDA granted seven-year ODE to Xywav in narcolepsy, FDA also approved Lumryz and granted Lumryz seven-year ODE based on FDA’s finding that Lumryz makes a major contribution to patient care and is therefore clinically superior to Xywav and Xyrem. Similarly, even though FDA also granted seven-year ODE to Xywav in IH, FDA also granted Lumryz ODD based on the plausible hypothesis that Lumryz may be clinically superior to Xywav and Xyrem because Lumryz may provide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Furthermore,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including from us, to aspects of FDA’s regulations and policies concerning the exclusivity provisions of the Orphan Drug Act, including whether two drugs are the same drug product, and our and future challenges could lead to changes that affect the protections potentially afforded our products in ways that are difficult to predict. Moreover, in the future, there is the potential for legislative changes or additional legal challenges to FDA’s orphan drug regulations and policies, and it is uncertain how such challenges might affect our business.</w:t>
      </w:r>
      <w:r>
        <w:rPr>
          <w:rFonts w:ascii="PMingLiU" w:cs="PMingLiU" w:eastAsia="PMingLiU" w:hAnsi="PMingLiU"/>
          <w:sz w:val="23"/>
          <w:szCs w:val="23"/>
          <w:color w:val="auto"/>
        </w:rPr>
        <w:t/>
      </w:r>
    </w:p>
    <w:p>
      <w:pPr>
        <w:spacing w:after="0" w:line="306" w:lineRule="exact"/>
        <w:rPr>
          <w:sz w:val="20"/>
          <w:szCs w:val="20"/>
          <w:color w:val="auto"/>
        </w:rPr>
      </w:pPr>
    </w:p>
    <w:p>
      <w:pPr>
        <w:ind w:left="60" w:right="260" w:firstLine="480"/>
        <w:spacing w:after="0" w:line="264" w:lineRule="auto"/>
        <w:rPr>
          <w:sz w:val="20"/>
          <w:szCs w:val="20"/>
          <w:color w:val="auto"/>
        </w:rPr>
      </w:pPr>
      <w:r>
        <w:rPr>
          <w:rFonts w:ascii="Times New Roman" w:cs="Times New Roman" w:eastAsia="Times New Roman" w:hAnsi="Times New Roman"/>
          <w:sz w:val="19"/>
          <w:szCs w:val="19"/>
          <w:color w:val="auto"/>
        </w:rPr>
        <w:t>In the EU, if a marketing authorization is granted for a medicinal product designated as an orphan drug, that product is currently entitled to ten years of marketing exclusivity. We rely in part on this orphan drug exclusivity and other regulatory exclusivities to protect Epidyolex, Ziihera and Vyxeos.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w:t>
      </w:r>
    </w:p>
    <w:p>
      <w:pPr>
        <w:spacing w:after="0" w:line="71" w:lineRule="exact"/>
        <w:rPr>
          <w:sz w:val="20"/>
          <w:szCs w:val="20"/>
          <w:color w:val="auto"/>
        </w:rPr>
      </w:pPr>
    </w:p>
    <w:p>
      <w:pPr>
        <w:ind w:left="60" w:firstLine="480"/>
        <w:spacing w:after="0" w:line="266" w:lineRule="auto"/>
        <w:rPr>
          <w:sz w:val="20"/>
          <w:szCs w:val="20"/>
          <w:color w:val="auto"/>
        </w:rPr>
      </w:pPr>
      <w:r>
        <w:rPr>
          <w:rFonts w:ascii="Times New Roman" w:cs="Times New Roman" w:eastAsia="Times New Roman" w:hAnsi="Times New Roman"/>
          <w:sz w:val="19"/>
          <w:szCs w:val="19"/>
          <w:color w:val="auto"/>
        </w:rPr>
        <w:t>In December 2025, the European Parliament and the Council of the EU reached a provisional agreement on the revision of the existing EU pharmaceutical legislation, including the pediatric and orphan regulations. Under new legislation, there are some changes to the regulatory exclusivity periods. The provisional agreement is still pending formal approval by the European Parliament and the Council of the EU and subsequent publication in the Official Journal of the EU. Dependent on the final version of the text, the new legislation could impact our ability to secure orphan designation for future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133350</wp:posOffset>
            </wp:positionV>
            <wp:extent cx="259080" cy="2546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53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60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53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84" w:name="page185"/>
    <w:bookmarkEnd w:id="184"/>
    <w:p>
      <w:pPr>
        <w:ind w:right="380"/>
        <w:spacing w:after="0" w:line="277" w:lineRule="auto"/>
        <w:rPr>
          <w:sz w:val="20"/>
          <w:szCs w:val="20"/>
          <w:color w:val="auto"/>
        </w:rPr>
      </w:pPr>
      <w:r>
        <w:rPr>
          <w:rFonts w:ascii="Times New Roman" w:cs="Times New Roman" w:eastAsia="Times New Roman" w:hAnsi="Times New Roman"/>
          <w:sz w:val="19"/>
          <w:szCs w:val="19"/>
          <w:color w:val="auto"/>
        </w:rPr>
        <w:t>would impact the scope and duration of market and orphan exclusivities in the EU. The new legislation could impact our ability to maintain marketing exclusivity for future products in all EU member states if we are unable to meet certain access obligations or if we are unable to supply sufficient quantities of our product in all member states.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Risks Related to Our Business and Industry</w:t>
      </w:r>
    </w:p>
    <w:p>
      <w:pPr>
        <w:spacing w:after="0" w:line="13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39" w:lineRule="exact"/>
        <w:rPr>
          <w:sz w:val="20"/>
          <w:szCs w:val="20"/>
          <w:color w:val="auto"/>
        </w:rPr>
      </w:pPr>
    </w:p>
    <w:p>
      <w:pPr>
        <w:ind w:right="180" w:firstLine="480"/>
        <w:spacing w:after="0" w:line="319" w:lineRule="auto"/>
        <w:rPr>
          <w:sz w:val="20"/>
          <w:szCs w:val="20"/>
          <w:color w:val="auto"/>
        </w:rPr>
      </w:pPr>
      <w:r>
        <w:rPr>
          <w:rFonts w:ascii="PMingLiU" w:cs="PMingLiU" w:eastAsia="PMingLiU" w:hAnsi="PMingLiU"/>
          <w:sz w:val="16"/>
          <w:szCs w:val="16"/>
          <w:color w:val="auto"/>
        </w:rPr>
        <w:t xml:space="preserve">:HDUHKHDGTXDUWHUHGLQ'XEOLQ,UHODQGDQGKDYHRIILFHVLQPXOWLSOHORFDWLRQVLQFOXGLQJWKH86WKH8.DQGNH\ </w:t>
      </w:r>
      <w:r>
        <w:rPr>
          <w:rFonts w:ascii="Times New Roman" w:cs="Times New Roman" w:eastAsia="Times New Roman" w:hAnsi="Times New Roman"/>
          <w:sz w:val="16"/>
          <w:szCs w:val="16"/>
          <w:color w:val="auto"/>
        </w:rPr>
        <w:t>markets across Europe, Canada, Australia and Japan and manage clinical trial sites in multiple locations around the world.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32" w:lineRule="exact"/>
        <w:rPr>
          <w:sz w:val="20"/>
          <w:szCs w:val="20"/>
          <w:color w:val="auto"/>
        </w:rPr>
      </w:pPr>
    </w:p>
    <w:p>
      <w:pPr>
        <w:ind w:left="700" w:right="74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diverse regulatory, compliance, financial and legal requirements in the countries where we are located or do business, and any changes to those requirements;</w:t>
      </w:r>
    </w:p>
    <w:p>
      <w:pPr>
        <w:spacing w:after="0" w:line="46" w:lineRule="exact"/>
        <w:rPr>
          <w:sz w:val="20"/>
          <w:szCs w:val="20"/>
          <w:color w:val="auto"/>
        </w:rPr>
      </w:pPr>
    </w:p>
    <w:p>
      <w:pPr>
        <w:jc w:val="both"/>
        <w:ind w:left="700" w:right="28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costs of, and liabilities for, our international operations, including clinical trials, products or product candidates;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additional exposure to foreign currency exchange risk from non-U.S. operations;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political and economic instability, such as the instability caused by Russia’s invasion of Ukraine;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escalating trade tensions;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public health risks and potential related effects on supply chain, travel and employee health and availability.</w:t>
      </w:r>
    </w:p>
    <w:p>
      <w:pPr>
        <w:spacing w:after="0" w:line="119" w:lineRule="exact"/>
        <w:rPr>
          <w:sz w:val="20"/>
          <w:szCs w:val="20"/>
          <w:color w:val="auto"/>
        </w:rPr>
      </w:pPr>
    </w:p>
    <w:p>
      <w:pPr>
        <w:jc w:val="both"/>
        <w:ind w:right="200" w:firstLine="480"/>
        <w:spacing w:after="0" w:line="277" w:lineRule="auto"/>
        <w:rPr>
          <w:sz w:val="20"/>
          <w:szCs w:val="20"/>
          <w:color w:val="auto"/>
        </w:rPr>
      </w:pPr>
      <w:r>
        <w:rPr>
          <w:rFonts w:ascii="Times New Roman" w:cs="Times New Roman" w:eastAsia="Times New Roman" w:hAnsi="Times New Roman"/>
          <w:sz w:val="19"/>
          <w:szCs w:val="19"/>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Significant disruptions of information technology systems or data security incidents could adversely affect our business.</w:t>
      </w:r>
    </w:p>
    <w:p>
      <w:pPr>
        <w:spacing w:after="0" w:line="129"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9"/>
          <w:szCs w:val="19"/>
          <w:color w:val="auto"/>
        </w:rPr>
        <w:t>In the ordinary course of our business, we and the third parties upon which we rely collect, store, process and transmit, or collectively, process large amounts of sensitive, proprietary, and/or confidential information, including intellectual property, business information, personal data, and clinical trial data, or collectively, sensitive data. We outsource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 We rely on third party vendors and services to support various aspects of our business operations. However, these third parties may pose risks related to data security compliance and contractual obligations. An incident or failure by a third party to adequately protect our data could have adverse consequences for our business and reputation.</w:t>
      </w:r>
    </w:p>
    <w:p>
      <w:pPr>
        <w:spacing w:after="0" w:line="311"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19"/>
          <w:szCs w:val="19"/>
          <w:color w:val="auto"/>
        </w:rPr>
        <w:t>Our information technology systems, and those of our vendors, are large and complex and store large amounts of sensitive data. We and the third parties upon which we rely face a variety of evolving threats that could impact the availability of our sensitive data and information technology systems and cause security incidents from inadvertent or intentional actions by our employees, third party vendors and/or business partners, or from cyber-attacks and malicious third parties.</w:t>
      </w:r>
    </w:p>
    <w:p>
      <w:pPr>
        <w:spacing w:after="0" w:line="64" w:lineRule="exact"/>
        <w:rPr>
          <w:sz w:val="20"/>
          <w:szCs w:val="20"/>
          <w:color w:val="auto"/>
        </w:rPr>
      </w:pPr>
    </w:p>
    <w:p>
      <w:pPr>
        <w:ind w:right="240" w:firstLine="480"/>
        <w:spacing w:after="0" w:line="266" w:lineRule="auto"/>
        <w:rPr>
          <w:sz w:val="20"/>
          <w:szCs w:val="20"/>
          <w:color w:val="auto"/>
        </w:rPr>
      </w:pPr>
      <w:r>
        <w:rPr>
          <w:rFonts w:ascii="Times New Roman" w:cs="Times New Roman" w:eastAsia="Times New Roman" w:hAnsi="Times New Roman"/>
          <w:sz w:val="19"/>
          <w:szCs w:val="19"/>
          <w:color w:val="auto"/>
        </w:rPr>
        <w:t>Threats of this nature are prevalent, are increasing in frequency, persistence, sophistication and intensity, are being conducted by sophisticated and organized groups and individuals, are increasingly difficult to detect, and come from a variety of sources and with a wide range of motives (including, but not limited to, industrial espionage) and expertise, including organized criminal groups, “hacktivists,” traditional computer “hackers,” threat actors, personnel (such as through theft or misuse), nation states, nation-state-supported actors, and others.</w:t>
      </w:r>
    </w:p>
    <w:p>
      <w:pPr>
        <w:spacing w:after="0" w:line="70"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In addition to the extraction of important information, such threats could include the deployment of harmful malware, ransomware, denial-of-service attacks, social engineering, malicious code, credential harvesting, personnel misconduct or error, supply-chain attacks, software bugs, server malfunctions, software or hardware failures, loss of data or other information technology assets, adware, attacks enhanced or facilitated by AI, and other threats that affect service reliability and threaten the confidentiality, integrity and availability of our information technology systems and sensitive data. In addition, supply-chain attacks have increased in frequency and severity, and we cannot guarantee that third parties’ infrastructure in our supply chain or our third-party partners’ supply chains have not been compromised.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207010</wp:posOffset>
            </wp:positionV>
            <wp:extent cx="259080" cy="2546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53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45"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61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61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53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85" w:name="page186"/>
    <w:bookmarkEnd w:id="185"/>
    <w:p>
      <w:pPr>
        <w:ind w:left="60" w:right="20" w:firstLine="480"/>
        <w:spacing w:after="0" w:line="259" w:lineRule="auto"/>
        <w:rPr>
          <w:sz w:val="20"/>
          <w:szCs w:val="20"/>
          <w:color w:val="auto"/>
        </w:rPr>
      </w:pPr>
      <w:r>
        <w:rPr>
          <w:rFonts w:ascii="Times New Roman" w:cs="Times New Roman" w:eastAsia="Times New Roman" w:hAnsi="Times New Roman"/>
          <w:sz w:val="19"/>
          <w:szCs w:val="19"/>
          <w:color w:val="auto"/>
        </w:rPr>
        <w:t>If we (or a third party upon whom we rely) experience a security incident or are perceived to have experienced a security incident, or otherwise experience significant disruptions of our, our third party vendors’ and/or business partners’ information technology systems or security incidents, including in our remote work environment, such occurrence could adversely affect our business operations and/or result in the loss, misappropriation, and/or unauthorized access, use or disclosure of, or the prevention of access to, sensitive data, and could result in adverse consequences to us such as government enforcement actions, additional reporting requirements and/or oversight, restrictions on processing sensitive data, litigation, indemnification obligations, negative publicity, reputational harm, monetary fund diversions, diversion of management attention, interruptions in our operations, financial loss, and other similar harms. Any such event that leads to unauthorized access, use or disclosure of personal data, including personal data regarding our patients or employees, could harm our reputation, compel us to comply with federal and/or state breach notification laws and foreign law equivalents, notify relevant stakeholders,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incidents and other inappropriate access can be difficult to detect, and any delay in identifying them may further harm us.</w:t>
      </w:r>
    </w:p>
    <w:p>
      <w:pPr>
        <w:spacing w:after="0" w:line="75" w:lineRule="exact"/>
        <w:rPr>
          <w:sz w:val="20"/>
          <w:szCs w:val="20"/>
          <w:color w:val="auto"/>
        </w:rPr>
      </w:pPr>
    </w:p>
    <w:p>
      <w:pPr>
        <w:ind w:left="60" w:right="300" w:firstLine="480"/>
        <w:spacing w:after="0" w:line="264" w:lineRule="auto"/>
        <w:rPr>
          <w:sz w:val="20"/>
          <w:szCs w:val="20"/>
          <w:color w:val="auto"/>
        </w:rPr>
      </w:pPr>
      <w:r>
        <w:rPr>
          <w:rFonts w:ascii="Times New Roman" w:cs="Times New Roman" w:eastAsia="Times New Roman" w:hAnsi="Times New Roman"/>
          <w:sz w:val="19"/>
          <w:szCs w:val="19"/>
          <w:color w:val="auto"/>
        </w:rPr>
        <w:t>While we have implemented security measures to protect our information technology systems and infrastructure and sensitive data, there can be no assurance that such measures will be effective or prevent service interruptions or security incidents that could adversely affect our business. We may expend significant resources to implement and maintain security measures to try to protect against security incidents. In addition, failure to maintain effective internal accounting controls related to security incidents and cybersecurity in general could impact our ability to produce timely and accurate financial statements and subject us to regulatory scrutiny.</w:t>
      </w:r>
    </w:p>
    <w:p>
      <w:pPr>
        <w:spacing w:after="0" w:line="71" w:lineRule="exact"/>
        <w:rPr>
          <w:sz w:val="20"/>
          <w:szCs w:val="20"/>
          <w:color w:val="auto"/>
        </w:rPr>
      </w:pPr>
    </w:p>
    <w:p>
      <w:pPr>
        <w:jc w:val="both"/>
        <w:ind w:left="60" w:right="340" w:firstLine="480"/>
        <w:spacing w:after="0" w:line="277" w:lineRule="auto"/>
        <w:rPr>
          <w:sz w:val="20"/>
          <w:szCs w:val="20"/>
          <w:color w:val="auto"/>
        </w:rPr>
      </w:pPr>
      <w:r>
        <w:rPr>
          <w:rFonts w:ascii="Times New Roman" w:cs="Times New Roman" w:eastAsia="Times New Roman" w:hAnsi="Times New Roman"/>
          <w:sz w:val="19"/>
          <w:szCs w:val="19"/>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Our adoption of AI technologies introduces new risks and uncertainties.</w:t>
      </w:r>
    </w:p>
    <w:p>
      <w:pPr>
        <w:spacing w:after="0" w:line="119" w:lineRule="exact"/>
        <w:rPr>
          <w:sz w:val="20"/>
          <w:szCs w:val="20"/>
          <w:color w:val="auto"/>
        </w:rPr>
      </w:pPr>
    </w:p>
    <w:p>
      <w:pPr>
        <w:ind w:left="60" w:right="40" w:firstLine="480"/>
        <w:spacing w:after="0" w:line="259" w:lineRule="auto"/>
        <w:rPr>
          <w:sz w:val="20"/>
          <w:szCs w:val="20"/>
          <w:color w:val="auto"/>
        </w:rPr>
      </w:pPr>
      <w:r>
        <w:rPr>
          <w:rFonts w:ascii="Times New Roman" w:cs="Times New Roman" w:eastAsia="Times New Roman" w:hAnsi="Times New Roman"/>
          <w:sz w:val="19"/>
          <w:szCs w:val="19"/>
          <w:color w:val="auto"/>
        </w:rPr>
        <w:t>We are adopting and exploring the use of AI technologies in our business, which introduces new risks and uncertainties. These include potential inaccuracies or biases in AI outputs, cybersecurity vulnerabilities, and evolving global regulatory requirements governing AI use.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employees or contractors on the safe and proper use of AI, or if our employees or contractors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Further, several governments and regulatory authorities have proposed or passed laws and regulations governing the use of AI. For example, in March 2024, the European Parliament adopted the AI Act that provides for EU-wide rules on data quality, transparency, human oversight and accountability with respect to the use of AI. In April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spacing w:after="0" w:line="77" w:lineRule="exact"/>
        <w:rPr>
          <w:sz w:val="20"/>
          <w:szCs w:val="20"/>
          <w:color w:val="auto"/>
        </w:rPr>
      </w:pPr>
    </w:p>
    <w:p>
      <w:pPr>
        <w:ind w:left="60" w:right="70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63"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)'$DQG(TXLYDOHQW1RQ</w:t>
      </w: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865HJXODWRU\$XWKRULWLHV</w:t>
      </w:r>
    </w:p>
    <w:p>
      <w:pPr>
        <w:spacing w:after="0" w:line="114" w:lineRule="exact"/>
        <w:rPr>
          <w:sz w:val="20"/>
          <w:szCs w:val="20"/>
          <w:color w:val="auto"/>
        </w:rPr>
      </w:pPr>
    </w:p>
    <w:p>
      <w:pPr>
        <w:ind w:left="60" w:firstLine="480"/>
        <w:spacing w:after="0" w:line="259" w:lineRule="auto"/>
        <w:rPr>
          <w:sz w:val="20"/>
          <w:szCs w:val="20"/>
          <w:color w:val="auto"/>
        </w:rPr>
      </w:pPr>
      <w:r>
        <w:rPr>
          <w:rFonts w:ascii="Times New Roman" w:cs="Times New Roman" w:eastAsia="Times New Roman" w:hAnsi="Times New Roman"/>
          <w:sz w:val="19"/>
          <w:szCs w:val="19"/>
          <w:color w:val="auto"/>
        </w:rPr>
        <w:t>Our activities are subject to extensive regulation encompassing the entire life cycle of our products, from R&amp;D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debarment, suspension of licenses, import detentions and bans,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144145</wp:posOffset>
            </wp:positionV>
            <wp:extent cx="259080" cy="2546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53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62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53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86" w:name="page187"/>
    <w:bookmarkEnd w:id="186"/>
    <w:p>
      <w:pPr>
        <w:ind w:right="140" w:firstLine="480"/>
        <w:spacing w:after="0" w:line="259" w:lineRule="auto"/>
        <w:rPr>
          <w:sz w:val="20"/>
          <w:szCs w:val="20"/>
          <w:color w:val="auto"/>
        </w:rPr>
      </w:pPr>
      <w:r>
        <w:rPr>
          <w:rFonts w:ascii="Times New Roman" w:cs="Times New Roman" w:eastAsia="Times New Roman" w:hAnsi="Times New Roman"/>
          <w:sz w:val="19"/>
          <w:szCs w:val="19"/>
          <w:color w:val="auto"/>
        </w:rPr>
        <w:t>We monitor adverse events resulting from the use of our products, as do the related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EMA, and the competent authorities of other European countries, also periodically inspect our records related to safety reporting. EMA’s Pharmacovigilance Risk Assessment Committee may propose to the CHMP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314"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9"/>
          <w:szCs w:val="19"/>
          <w:color w:val="auto"/>
        </w:rPr>
        <w:t>Epidyolex, Rylaze, Ziihera, Modeyso, Vyxeos and Defitelio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r>
        <w:rPr>
          <w:rFonts w:ascii="PMingLiU" w:cs="PMingLiU" w:eastAsia="PMingLiU" w:hAnsi="PMingLiU"/>
          <w:sz w:val="21"/>
          <w:szCs w:val="21"/>
          <w:color w:val="auto"/>
        </w:rPr>
        <w:t/>
      </w:r>
    </w:p>
    <w:p>
      <w:pPr>
        <w:spacing w:after="0" w:line="69" w:lineRule="exact"/>
        <w:rPr>
          <w:sz w:val="20"/>
          <w:szCs w:val="20"/>
          <w:color w:val="auto"/>
        </w:rPr>
      </w:pPr>
    </w:p>
    <w:p>
      <w:pPr>
        <w:ind w:right="240" w:firstLine="480"/>
        <w:spacing w:after="0" w:line="259" w:lineRule="auto"/>
        <w:rPr>
          <w:sz w:val="20"/>
          <w:szCs w:val="20"/>
          <w:color w:val="auto"/>
        </w:rPr>
      </w:pPr>
      <w:r>
        <w:rPr>
          <w:rFonts w:ascii="Times New Roman" w:cs="Times New Roman" w:eastAsia="Times New Roman" w:hAnsi="Times New Roman"/>
          <w:sz w:val="19"/>
          <w:szCs w:val="19"/>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79"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2WKHU5HJXODWRU\$XWKRULWLHV</w:t>
      </w:r>
    </w:p>
    <w:p>
      <w:pPr>
        <w:spacing w:after="0" w:line="117" w:lineRule="exact"/>
        <w:rPr>
          <w:sz w:val="20"/>
          <w:szCs w:val="20"/>
          <w:color w:val="auto"/>
        </w:rPr>
      </w:pPr>
    </w:p>
    <w:p>
      <w:pPr>
        <w:jc w:val="both"/>
        <w:ind w:right="260" w:firstLine="480"/>
        <w:spacing w:after="0" w:line="277" w:lineRule="auto"/>
        <w:rPr>
          <w:sz w:val="20"/>
          <w:szCs w:val="20"/>
          <w:color w:val="auto"/>
        </w:rPr>
      </w:pPr>
      <w:r>
        <w:rPr>
          <w:rFonts w:ascii="Times New Roman" w:cs="Times New Roman" w:eastAsia="Times New Roman" w:hAnsi="Times New Roman"/>
          <w:sz w:val="19"/>
          <w:szCs w:val="19"/>
          <w:color w:val="auto"/>
        </w:rPr>
        <w:t>We are also subject to regulation by other regional, national, state and local agencies, including the DEA, the DOJ, the FTC, the U.S. Department of Commerce, the OIG, and other regulatory bodies, as well as similar governmental authorities in those non-U.S. countries in which we commercialize our products.</w:t>
      </w:r>
    </w:p>
    <w:p>
      <w:pPr>
        <w:spacing w:after="0" w:line="58"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19"/>
          <w:szCs w:val="19"/>
          <w:color w:val="auto"/>
        </w:rPr>
        <w:t xml:space="preserve">We are subject to numerous fraud and abuse laws and regulations globally and our sales, marketing, patient support and medical activities may be subject to scrutiny under these laws and regulations. These laws are described in “Business— Government Regulation” in Part I, Item 1 of this Annual Report on Form </w:t>
      </w:r>
      <w:r>
        <w:rPr>
          <w:rFonts w:ascii="PMingLiU" w:cs="PMingLiU" w:eastAsia="PMingLiU" w:hAnsi="PMingLiU"/>
          <w:sz w:val="19"/>
          <w:szCs w:val="19"/>
          <w:color w:val="auto"/>
        </w:rPr>
        <w:t> .:KLOHZHPDLQWDLQDFRPSUHKHQVLYH</w:t>
      </w:r>
      <w:r>
        <w:rPr>
          <w:rFonts w:ascii="Times New Roman" w:cs="Times New Roman" w:eastAsia="Times New Roman" w:hAnsi="Times New Roman"/>
          <w:sz w:val="19"/>
          <w:szCs w:val="19"/>
          <w:color w:val="auto"/>
        </w:rPr>
        <w:t xml:space="preserve"> compliance program to try to ensure that our practices and the activities of our third 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OIG issued a Special Fraud Alert to highlight certain inherent risks of remuneration related to speaker programs sponsored by drug and medical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the OIG.</w:t>
      </w:r>
    </w:p>
    <w:p>
      <w:pPr>
        <w:spacing w:after="0" w:line="78"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 xml:space="preserve">Many companies have faced government investigations or lawsuits by whistleblowers who bring a </w:t>
      </w:r>
      <w:r>
        <w:rPr>
          <w:rFonts w:ascii="PMingLiU" w:cs="PMingLiU" w:eastAsia="PMingLiU" w:hAnsi="PMingLiU"/>
          <w:sz w:val="19"/>
          <w:szCs w:val="19"/>
          <w:i w:val="1"/>
          <w:iCs w:val="1"/>
          <w:color w:val="auto"/>
        </w:rPr>
        <w:t>TXLWDP</w:t>
      </w:r>
      <w:r>
        <w:rPr>
          <w:rFonts w:ascii="Times New Roman" w:cs="Times New Roman" w:eastAsia="Times New Roman" w:hAnsi="Times New Roman"/>
          <w:sz w:val="19"/>
          <w:szCs w:val="19"/>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For example, we were subject to a qui tam whistleblower lawsuit originally filed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62230</wp:posOffset>
            </wp:positionV>
            <wp:extent cx="259080" cy="2546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53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1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63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63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53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87" w:name="page188"/>
    <w:bookmarkEnd w:id="187"/>
    <w:p>
      <w:pPr>
        <w:ind w:left="60" w:right="40"/>
        <w:spacing w:after="0" w:line="260" w:lineRule="auto"/>
        <w:rPr>
          <w:sz w:val="20"/>
          <w:szCs w:val="20"/>
          <w:color w:val="auto"/>
        </w:rPr>
      </w:pPr>
      <w:r>
        <w:rPr>
          <w:rFonts w:ascii="Times New Roman" w:cs="Times New Roman" w:eastAsia="Times New Roman" w:hAnsi="Times New Roman"/>
          <w:sz w:val="19"/>
          <w:szCs w:val="19"/>
          <w:color w:val="auto"/>
        </w:rPr>
        <w:t>seal on May 27, 2021. For additional information see “</w:t>
      </w:r>
      <w:r>
        <w:rPr>
          <w:rFonts w:ascii="Times New Roman" w:cs="Times New Roman" w:eastAsia="Times New Roman" w:hAnsi="Times New Roman"/>
          <w:sz w:val="19"/>
          <w:szCs w:val="19"/>
          <w:i w:val="1"/>
          <w:iCs w:val="1"/>
          <w:color w:val="auto"/>
        </w:rPr>
        <w:t>Qui Tam Matters</w:t>
      </w:r>
      <w:r>
        <w:rPr>
          <w:rFonts w:ascii="Times New Roman" w:cs="Times New Roman" w:eastAsia="Times New Roman" w:hAnsi="Times New Roman"/>
          <w:sz w:val="19"/>
          <w:szCs w:val="19"/>
          <w:color w:val="auto"/>
        </w:rPr>
        <w:t>” in Note 13, Commitments and Contingencies—Legal Proceedings of the Notes to Consolidated Financial Statements, included in Part IV of this Annual Report on Form 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75" w:lineRule="exact"/>
        <w:rPr>
          <w:sz w:val="20"/>
          <w:szCs w:val="20"/>
          <w:color w:val="auto"/>
        </w:rPr>
      </w:pPr>
    </w:p>
    <w:p>
      <w:pPr>
        <w:ind w:left="60" w:right="60" w:firstLine="480"/>
        <w:spacing w:after="0" w:line="266" w:lineRule="auto"/>
        <w:rPr>
          <w:sz w:val="20"/>
          <w:szCs w:val="20"/>
          <w:color w:val="auto"/>
        </w:rPr>
      </w:pPr>
      <w:r>
        <w:rPr>
          <w:rFonts w:ascii="Times New Roman" w:cs="Times New Roman" w:eastAsia="Times New Roman" w:hAnsi="Times New Roman"/>
          <w:sz w:val="19"/>
          <w:szCs w:val="19"/>
          <w:color w:val="auto"/>
        </w:rPr>
        <w:t>Any investigations or litigation may result in damages, fines, penalties or administrative sanctions against us, negative publicity or other negative actions that could harm our reputation, reduce demand for our products and/or reduce coverage of our products, including by federal health care programs and state health care programs. If we are found to have violated one of these laws, we could be excluded from participation in federal health care programs. If any or all of these events occur, our business and stock price could be materially and adversely affected.</w:t>
      </w:r>
    </w:p>
    <w:p>
      <w:pPr>
        <w:spacing w:after="0" w:line="70" w:lineRule="exact"/>
        <w:rPr>
          <w:sz w:val="20"/>
          <w:szCs w:val="20"/>
          <w:color w:val="auto"/>
        </w:rPr>
      </w:pPr>
    </w:p>
    <w:p>
      <w:pPr>
        <w:ind w:left="60" w:right="80" w:firstLine="480"/>
        <w:spacing w:after="0" w:line="259" w:lineRule="auto"/>
        <w:rPr>
          <w:sz w:val="20"/>
          <w:szCs w:val="20"/>
          <w:color w:val="auto"/>
        </w:rPr>
      </w:pPr>
      <w:r>
        <w:rPr>
          <w:rFonts w:ascii="Times New Roman" w:cs="Times New Roman" w:eastAsia="Times New Roman" w:hAnsi="Times New Roman"/>
          <w:sz w:val="19"/>
          <w:szCs w:val="19"/>
          <w:color w:val="auto"/>
        </w:rPr>
        <w:t xml:space="preserve">Public reporting under the Sunshine provisions, and other similar state laws, the requirements of which are discussed in “Business—Government Regulation” in Part I, Item 1 of this Annual Report on Form </w:t>
      </w:r>
      <w:r>
        <w:rPr>
          <w:rFonts w:ascii="PMingLiU" w:cs="PMingLiU" w:eastAsia="PMingLiU" w:hAnsi="PMingLiU"/>
          <w:sz w:val="19"/>
          <w:szCs w:val="19"/>
          <w:color w:val="auto"/>
        </w:rPr>
        <w:t> .KDVUHVXOWHGLQLQFUHDVHGVFUXWLQ\</w:t>
      </w:r>
      <w:r>
        <w:rPr>
          <w:rFonts w:ascii="Times New Roman" w:cs="Times New Roman" w:eastAsia="Times New Roman" w:hAnsi="Times New Roman"/>
          <w:sz w:val="19"/>
          <w:szCs w:val="19"/>
          <w:color w:val="auto"/>
        </w:rPr>
        <w:t xml:space="preserve">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76" w:lineRule="exact"/>
        <w:rPr>
          <w:sz w:val="20"/>
          <w:szCs w:val="20"/>
          <w:color w:val="auto"/>
        </w:rPr>
      </w:pPr>
    </w:p>
    <w:p>
      <w:pPr>
        <w:ind w:left="60" w:firstLine="480"/>
        <w:spacing w:after="0" w:line="270" w:lineRule="auto"/>
        <w:rPr>
          <w:sz w:val="20"/>
          <w:szCs w:val="20"/>
          <w:color w:val="auto"/>
        </w:rPr>
      </w:pPr>
      <w:r>
        <w:rPr>
          <w:rFonts w:ascii="Times New Roman" w:cs="Times New Roman" w:eastAsia="Times New Roman" w:hAnsi="Times New Roman"/>
          <w:sz w:val="18"/>
          <w:szCs w:val="18"/>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w:t>
      </w:r>
      <w:r>
        <w:rPr>
          <w:rFonts w:ascii="PMingLiU" w:cs="PMingLiU" w:eastAsia="PMingLiU" w:hAnsi="PMingLiU"/>
          <w:sz w:val="18"/>
          <w:szCs w:val="18"/>
          <w:color w:val="auto"/>
        </w:rPr>
        <w:t>.LFNEDFN6WDWXWHDQGRWKHUODZVLIWKH\GRQRWWDNHDSSURSULDWHVWHSVWRH[FOXGH</w:t>
      </w:r>
      <w:r>
        <w:rPr>
          <w:rFonts w:ascii="Times New Roman" w:cs="Times New Roman" w:eastAsia="Times New Roman" w:hAnsi="Times New Roman"/>
          <w:sz w:val="18"/>
          <w:szCs w:val="18"/>
          <w:color w:val="auto"/>
        </w:rPr>
        <w:t xml:space="preserv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r>
        <w:rPr>
          <w:rFonts w:ascii="PMingLiU" w:cs="PMingLiU" w:eastAsia="PMingLiU" w:hAnsi="PMingLiU"/>
          <w:sz w:val="20"/>
          <w:szCs w:val="20"/>
          <w:color w:val="auto"/>
        </w:rPr>
        <w:t/>
      </w:r>
    </w:p>
    <w:p>
      <w:pPr>
        <w:spacing w:after="0" w:line="61" w:lineRule="exact"/>
        <w:rPr>
          <w:sz w:val="20"/>
          <w:szCs w:val="20"/>
          <w:color w:val="auto"/>
        </w:rPr>
      </w:pPr>
    </w:p>
    <w:p>
      <w:pPr>
        <w:ind w:left="60" w:right="60" w:firstLine="480"/>
        <w:spacing w:after="0" w:line="258" w:lineRule="auto"/>
        <w:rPr>
          <w:sz w:val="20"/>
          <w:szCs w:val="20"/>
          <w:color w:val="auto"/>
        </w:rPr>
      </w:pPr>
      <w:r>
        <w:rPr>
          <w:rFonts w:ascii="Times New Roman" w:cs="Times New Roman" w:eastAsia="Times New Roman" w:hAnsi="Times New Roman"/>
          <w:sz w:val="19"/>
          <w:szCs w:val="19"/>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PMingLiU" w:cs="PMingLiU" w:eastAsia="PMingLiU" w:hAnsi="PMingLiU"/>
          <w:sz w:val="19"/>
          <w:szCs w:val="19"/>
          <w:i w:val="1"/>
          <w:iCs w:val="1"/>
          <w:color w:val="auto"/>
        </w:rPr>
        <w:t>ERQDILGH</w:t>
      </w:r>
      <w:r>
        <w:rPr>
          <w:rFonts w:ascii="Times New Roman" w:cs="Times New Roman" w:eastAsia="Times New Roman" w:hAnsi="Times New Roman"/>
          <w:sz w:val="19"/>
          <w:szCs w:val="19"/>
          <w:color w:val="auto"/>
        </w:rPr>
        <w:t xml:space="preserve"> charities, are entirely independent of and not controlled by the manufacturer, provide aid to applicants on a first-come basis according to consistent financial criteria, and do not link aid to use of a donor’s product. As of August 2024, we have fulfilled the terms and the OIG closed out our corporate integrity agreement that required us to maintain our ongoing corporate compliance program. Although we are continuing to implement our corporate compliance program and have structured our programs to follow available guidance,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Our business activities outside of the U.S. are subject to the FCPA, and similar anti-bribery or anti-corruption laws,</w:t>
      </w:r>
    </w:p>
    <w:p>
      <w:pPr>
        <w:spacing w:after="0" w:line="40" w:lineRule="exact"/>
        <w:rPr>
          <w:sz w:val="20"/>
          <w:szCs w:val="20"/>
          <w:color w:val="auto"/>
        </w:rPr>
      </w:pPr>
    </w:p>
    <w:p>
      <w:pPr>
        <w:ind w:left="60" w:right="20"/>
        <w:spacing w:after="0" w:line="384" w:lineRule="auto"/>
        <w:rPr>
          <w:sz w:val="20"/>
          <w:szCs w:val="20"/>
          <w:color w:val="auto"/>
        </w:rPr>
      </w:pPr>
      <w:r>
        <w:rPr>
          <w:rFonts w:ascii="PMingLiU" w:cs="PMingLiU" w:eastAsia="PMingLiU" w:hAnsi="PMingLiU"/>
          <w:sz w:val="15"/>
          <w:szCs w:val="15"/>
          <w:color w:val="auto"/>
        </w:rPr>
        <w:t>UHJXODWLRQVRUUXOHVRIRWKHUFRXQWULHVLQZKLFKZHRSHUDWHLQFOXGLQJWKH8.%ULEHU\$FW,QFHUWDLQFRXQWULHVWKHKHDOW</w:t>
      </w:r>
      <w:r>
        <w:rPr>
          <w:rFonts w:ascii="Times New Roman" w:cs="Times New Roman" w:eastAsia="Times New Roman" w:hAnsi="Times New Roman"/>
          <w:sz w:val="15"/>
          <w:szCs w:val="15"/>
          <w:color w:val="auto"/>
        </w:rPr>
        <w:t>h care</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 xml:space="preserve">providers who prescribe pharmaceuticals are employed by their government and the purchasers of pharmaceuticals are government entities; therefore, our dealings with these prescribers and purchasers may be subject to regulation under the FCPA, </w:t>
      </w:r>
      <w:r>
        <w:rPr>
          <w:rFonts w:ascii="PMingLiU" w:cs="PMingLiU" w:eastAsia="PMingLiU" w:hAnsi="PMingLiU"/>
          <w:sz w:val="15"/>
          <w:szCs w:val="15"/>
          <w:color w:val="auto"/>
        </w:rPr>
        <w:t>WKH8.%ULEHU\$FWDQGHTXLYDOHQWQDWLRQDOODZVLQRWKHUFRXQWULHV9LRODWLRQRIWKHVHODZVE\XVRURXUVXSSOLHUVDQGRWK</w:t>
      </w:r>
      <w:r>
        <w:rPr>
          <w:rFonts w:ascii="Times New Roman" w:cs="Times New Roman" w:eastAsia="Times New Roman" w:hAnsi="Times New Roman"/>
          <w:sz w:val="15"/>
          <w:szCs w:val="15"/>
          <w:color w:val="auto"/>
        </w:rPr>
        <w:t>er</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1" w:lineRule="exact"/>
        <w:rPr>
          <w:sz w:val="20"/>
          <w:szCs w:val="20"/>
          <w:color w:val="auto"/>
        </w:rPr>
      </w:pPr>
    </w:p>
    <w:p>
      <w:pPr>
        <w:ind w:left="60" w:firstLine="480"/>
        <w:spacing w:after="0" w:line="299" w:lineRule="auto"/>
        <w:rPr>
          <w:sz w:val="20"/>
          <w:szCs w:val="20"/>
          <w:color w:val="auto"/>
        </w:rPr>
      </w:pPr>
      <w:r>
        <w:rPr>
          <w:rFonts w:ascii="Times New Roman" w:cs="Times New Roman" w:eastAsia="Times New Roman" w:hAnsi="Times New Roman"/>
          <w:sz w:val="19"/>
          <w:szCs w:val="19"/>
          <w:color w:val="auto"/>
        </w:rPr>
        <w:t>Outside the U.S., interactions between pharmaceutical companies and physicians are also governed by strict laws, such as national anti-bribery laws of European countries, national sunshine rules, regulations, industry self-regulation codes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186690</wp:posOffset>
            </wp:positionV>
            <wp:extent cx="259080" cy="2546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53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64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54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88" w:name="page189"/>
    <w:bookmarkEnd w:id="188"/>
    <w:p>
      <w:pPr>
        <w:ind w:right="480"/>
        <w:spacing w:after="0" w:line="299" w:lineRule="auto"/>
        <w:rPr>
          <w:sz w:val="20"/>
          <w:szCs w:val="20"/>
          <w:color w:val="auto"/>
        </w:rPr>
      </w:pPr>
      <w:r>
        <w:rPr>
          <w:rFonts w:ascii="Times New Roman" w:cs="Times New Roman" w:eastAsia="Times New Roman" w:hAnsi="Times New Roman"/>
          <w:sz w:val="19"/>
          <w:szCs w:val="19"/>
          <w:color w:val="auto"/>
        </w:rPr>
        <w:t>and physicians’ codes of professional conduct. Failure to comply with these requirements could result in reputational risk, public reprimands, administrative penalties, fines or imprisonment.</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are also subject to federal, state, national and international laws and regulations governing the privacy and security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health-related and other personal data we collect and maintain, including, but not limited to, Section 5 of the Federal Trade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Commission Act, the Health Breach Notification Rule, the DOJ’s Bulk Sensitive Data Transfer Rule, HIPAA, the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Consumer Privacy Act, as amended by the California Privacy Rights Act, as well as other similar state privacy laws.</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5"/>
          <w:szCs w:val="15"/>
          <w:color w:val="auto"/>
        </w:rPr>
        <w:t>$GGLWLRQDOO\WKH(8¶VDQG8.¶V*'35LPSRVHVUHVWULFWLRQVRQWKHSURFHVVLQJHJFROOHFWLRQXVHDQGGLVFORVXUHRISHUVR</w:t>
      </w:r>
      <w:r>
        <w:rPr>
          <w:rFonts w:ascii="Times New Roman" w:cs="Times New Roman" w:eastAsia="Times New Roman" w:hAnsi="Times New Roman"/>
          <w:sz w:val="15"/>
          <w:szCs w:val="15"/>
          <w:color w:val="auto"/>
        </w:rPr>
        <w:t>nal</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5"/>
          <w:szCs w:val="15"/>
          <w:color w:val="auto"/>
        </w:rPr>
        <w:t>GDWDLQWKH(8DQGWKH8.DQGDOVRLPSRVHVVWULFWUHVWULFWLRQVRQWKHWUDQVIHURISHUVRQDOGDWDRXWRIWKH(8WRWKH86</w:t>
      </w:r>
      <w:r>
        <w:rPr>
          <w:rFonts w:ascii="Times New Roman" w:cs="Times New Roman" w:eastAsia="Times New Roman" w:hAnsi="Times New Roman"/>
          <w:sz w:val="15"/>
          <w:szCs w:val="15"/>
          <w:color w:val="auto"/>
        </w:rPr>
        <w:t>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GDPR imposes penalties of up to 20 million Euros or up to 4% of annual global revenue. HIPAA imposes privacy and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obligations on covered entity health care providers, health plans, and health care clearinghouses, as well as their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associates” – certain persons or entities that create, receive, maintain, or transmit protected health information in connection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providing a specified service or performing a function for or on behalf of a covered entity. Although we are not generally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HIPAA, we could potentially be subject to criminal penalties if we, our affiliates, or our agents knowingly receive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individually identifiable health information maintained by a HIPAA-covered entity in a manner that is not authorized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by HIPAA. The FTC also sets expectations for failing to take appropriate steps to keep consumers’ personal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secure or failing to provide a level of security commensurate to promises made to an individual about the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their personal information (such as in a privacy notice); such failures may constitute unfair or deceptive acts or practices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violation of Section 5(a) of the Federal Trade Commission Act. The FTC expects a company’s data privacy and security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measures to be reasonable and appropriate in light of the sensitivity and volume of consumer information it holds, the size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complexity of its business, and the cost of available tools to improve security and reduce vulnerabilities. Additionally, DOJ’s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Bulk Sensitive Data Transfer Rule restricts cross-border access to bulk sensitive personal data, which includes personal health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data, by specific foreign governments and related covered persons. The Rule governs specific types of transactions identified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Rule. Failure to comply with the DOJ Rule may result in civil and criminal penalties. Compliance with these laws requires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flexible privacy framework and substantial resources, and compliance efforts will likely be an increasing and substantial cost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future.</w:t>
      </w:r>
    </w:p>
    <w:p>
      <w:pPr>
        <w:spacing w:after="0" w:line="105"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9"/>
          <w:szCs w:val="19"/>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78"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19"/>
          <w:szCs w:val="19"/>
          <w:color w:val="auto"/>
        </w:rPr>
        <w:t>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Disruptions at FDA, the SEC and other government agencies and regulatory authorities including due to a reduction in such agencies’ workforces, inadequate funding or the current and potential future government shutdowns, could prevent those agencies from performing normal functions on which our business relies, which could negatively impact our business.</w:t>
      </w:r>
      <w:r>
        <w:rPr>
          <w:rFonts w:ascii="PMingLiU" w:cs="PMingLiU" w:eastAsia="PMingLiU" w:hAnsi="PMingLiU"/>
          <w:sz w:val="23"/>
          <w:szCs w:val="23"/>
          <w:color w:val="auto"/>
        </w:rPr>
        <w:t/>
      </w:r>
    </w:p>
    <w:p>
      <w:pPr>
        <w:spacing w:after="0" w:line="66"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9"/>
          <w:szCs w:val="19"/>
          <w:color w:val="auto"/>
        </w:rPr>
        <w:t xml:space="preserve">The ability of FDA to review and approve new products or review other regulatory submissions can be affected by a variety of factors, including statutory, regulatory and policy changes, inadequate government budget and funding levels, government shutdowns,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the SEC and other government agencies and regulatory authorities on which our operations may rely. For example, in October 2025, the U.S. government shut down for 43 days and certain regulatory agencies, including FDA, had to furlough critical employees and stop critical activities. If a prolonged government shutdown occurs again in the future, it could significantly impact the ability of FDA to review and process our regulatory submissions, which could have a material adverse effect on our business. It is unclear how these executive actions or other potential actions by the Trump Administration or other parts of the federal government will impact FDA, the SEC or other regulatory authorities that oversee our business. The reductions in FDA’s workforce and budgetary pressures could significantly impact the ability of FDA to timely review and process our regulatory submissions or take other actions critical to the marketing of our products which could have a material adverse effect on our business. </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284480</wp:posOffset>
            </wp:positionV>
            <wp:extent cx="259080" cy="2546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54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65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65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54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89" w:name="page190"/>
    <w:bookmarkEnd w:id="189"/>
    <w:p>
      <w:pPr>
        <w:ind w:left="60" w:right="3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6" w:lineRule="exact"/>
        <w:rPr>
          <w:sz w:val="20"/>
          <w:szCs w:val="20"/>
          <w:color w:val="auto"/>
        </w:rPr>
      </w:pPr>
    </w:p>
    <w:p>
      <w:pPr>
        <w:ind w:left="60" w:firstLine="480"/>
        <w:spacing w:after="0" w:line="273" w:lineRule="auto"/>
        <w:rPr>
          <w:sz w:val="20"/>
          <w:szCs w:val="20"/>
          <w:color w:val="auto"/>
        </w:rPr>
      </w:pPr>
      <w:r>
        <w:rPr>
          <w:rFonts w:ascii="Times New Roman" w:cs="Times New Roman" w:eastAsia="Times New Roman" w:hAnsi="Times New Roman"/>
          <w:sz w:val="18"/>
          <w:szCs w:val="18"/>
          <w:color w:val="auto"/>
        </w:rPr>
        <w:t xml:space="preserve">We participate in the Medicaid Drug Rebate Program, the 340B program, the VA’s FSS pricing program, and Tricare program, and have obligations to report the ASP for certain of our drugs to the Medicare program. All of these programs are described in more detail under the heading “Business—Pharmaceutical Pricing, Reimbursement by Government and Private Payors and Patient Access” in Part I, Item 1 of this Annual Report on Form </w:t>
      </w:r>
      <w:r>
        <w:rPr>
          <w:rFonts w:ascii="PMingLiU" w:cs="PMingLiU" w:eastAsia="PMingLiU" w:hAnsi="PMingLiU"/>
          <w:sz w:val="18"/>
          <w:szCs w:val="18"/>
          <w:color w:val="auto"/>
        </w:rPr>
        <w:t> .0DQXIDFWXUHUVDUHUHTXLUHGWRUHSRUWWKH$63</w:t>
      </w:r>
      <w:r>
        <w:rPr>
          <w:rFonts w:ascii="Times New Roman" w:cs="Times New Roman" w:eastAsia="Times New Roman" w:hAnsi="Times New Roman"/>
          <w:sz w:val="18"/>
          <w:szCs w:val="18"/>
          <w:color w:val="auto"/>
        </w:rPr>
        <w:t xml:space="preserve"> for drugs under the Medicare program regardless of whether they are enrolled in the Medicaid Drug Rebate Program. In addition,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CMS could affect the ASP calculations for our products and the resulting Medicare payment rate and could negatively impact our results of operations. Further, the IRA established a Medicare Part B inflation rebate scheme, under which, generally speaking, manufacturers will owe rebates if the ASP of a Part B drug increases faster than the pace of inflation. Failure to timely pay a Part B inflation rebate is subject to a civil monetary penalty.</w:t>
      </w:r>
    </w:p>
    <w:p>
      <w:pPr>
        <w:spacing w:after="0" w:line="71" w:lineRule="exact"/>
        <w:rPr>
          <w:sz w:val="20"/>
          <w:szCs w:val="20"/>
          <w:color w:val="auto"/>
        </w:rPr>
      </w:pPr>
    </w:p>
    <w:p>
      <w:pPr>
        <w:ind w:left="60" w:right="40" w:firstLine="480"/>
        <w:spacing w:after="0" w:line="261" w:lineRule="auto"/>
        <w:rPr>
          <w:sz w:val="20"/>
          <w:szCs w:val="20"/>
          <w:color w:val="auto"/>
        </w:rPr>
      </w:pPr>
      <w:r>
        <w:rPr>
          <w:rFonts w:ascii="Times New Roman" w:cs="Times New Roman" w:eastAsia="Times New Roman" w:hAnsi="Times New Roman"/>
          <w:sz w:val="19"/>
          <w:szCs w:val="19"/>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311" w:lineRule="exact"/>
        <w:rPr>
          <w:sz w:val="20"/>
          <w:szCs w:val="20"/>
          <w:color w:val="auto"/>
        </w:rPr>
      </w:pPr>
    </w:p>
    <w:p>
      <w:pPr>
        <w:ind w:left="60" w:right="80" w:firstLine="480"/>
        <w:spacing w:after="0" w:line="261" w:lineRule="auto"/>
        <w:rPr>
          <w:sz w:val="20"/>
          <w:szCs w:val="20"/>
          <w:color w:val="auto"/>
        </w:rPr>
      </w:pPr>
      <w:r>
        <w:rPr>
          <w:rFonts w:ascii="Times New Roman" w:cs="Times New Roman" w:eastAsia="Times New Roman" w:hAnsi="Times New Roman"/>
          <w:sz w:val="19"/>
          <w:szCs w:val="19"/>
          <w:color w:val="auto"/>
        </w:rPr>
        <w:t>Civil monetary penalties can be applied if we are found to have knowingly submitted any false price or product information to the government, if we are found to have made a misrepresentation in the reporting of our ASP, if we fail to timely pay a required rebate,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be certain that our submissions will not be found by CMS to be incomplete or incorrect. Moreover, failure to pay refunds for units of discarded drug under the discarded drug refund program could subject us to civil monetary penalties of 125 percent of the refund amount.</w:t>
      </w:r>
    </w:p>
    <w:p>
      <w:pPr>
        <w:spacing w:after="0" w:line="78" w:lineRule="exact"/>
        <w:rPr>
          <w:sz w:val="20"/>
          <w:szCs w:val="20"/>
          <w:color w:val="auto"/>
        </w:rPr>
      </w:pPr>
    </w:p>
    <w:p>
      <w:pPr>
        <w:ind w:left="60" w:right="300" w:firstLine="480"/>
        <w:spacing w:after="0" w:line="269" w:lineRule="auto"/>
        <w:rPr>
          <w:sz w:val="20"/>
          <w:szCs w:val="20"/>
          <w:color w:val="auto"/>
        </w:rPr>
      </w:pPr>
      <w:r>
        <w:rPr>
          <w:rFonts w:ascii="Times New Roman" w:cs="Times New Roman" w:eastAsia="Times New Roman" w:hAnsi="Times New Roman"/>
          <w:sz w:val="19"/>
          <w:szCs w:val="19"/>
          <w:color w:val="auto"/>
        </w:rPr>
        <w:t>Our failure to comply with our reporting and payment obligations under the Medicaid Drug Rebate Program and other governmental programs could negatively impact our financial results. CMS issued a final rule that modified prior Medicaid</w:t>
      </w:r>
    </w:p>
    <w:p>
      <w:pPr>
        <w:spacing w:after="0" w:line="1" w:lineRule="exact"/>
        <w:rPr>
          <w:sz w:val="20"/>
          <w:szCs w:val="20"/>
          <w:color w:val="auto"/>
        </w:rPr>
      </w:pPr>
    </w:p>
    <w:p>
      <w:pPr>
        <w:ind w:left="60" w:right="20" w:firstLine="1"/>
        <w:spacing w:after="0" w:line="270" w:lineRule="auto"/>
        <w:rPr>
          <w:sz w:val="20"/>
          <w:szCs w:val="20"/>
          <w:color w:val="auto"/>
        </w:rPr>
      </w:pPr>
      <w:r>
        <w:rPr>
          <w:rFonts w:ascii="PMingLiU" w:cs="PMingLiU" w:eastAsia="PMingLiU" w:hAnsi="PMingLiU"/>
          <w:sz w:val="18"/>
          <w:szCs w:val="18"/>
          <w:color w:val="auto"/>
        </w:rPr>
        <w:t xml:space="preserve">'UXJ5HEDWH3URJUDPUHJXODWLRQVWRSHUPLWUHSRUWLQJPXOWLSOHEHVWSULFHILJXUHVZLWKUHJDUGWRYDOXH EDVHGSXUFKDVLQJ </w:t>
      </w:r>
      <w:r>
        <w:rPr>
          <w:rFonts w:ascii="Times New Roman" w:cs="Times New Roman" w:eastAsia="Times New Roman" w:hAnsi="Times New Roman"/>
          <w:sz w:val="18"/>
          <w:szCs w:val="18"/>
          <w:color w:val="auto"/>
        </w:rPr>
        <w:t>arrangements; and to provide definitions for “line extension,” “new formulation,” and related terms, with the practical effect of expanding the scope of drugs considered to be line extensions that are subject to an alternative rebate formula. While the regulatory modifications that purported to affect the applicability of the best price and average manufacturer price exclusions of manufacturer-sponsored patient benefit programs, in the context of PBM “accumulator” programs were invalidated by a court and rescinded, such programs may continue to negatively affect us in other ways. Our failure to comply with these price reporting and rebate payment options could negatively impact our financial results. In addition, on September 26, 2024, CMS finalized a rule modifying the regulations implementing the Medicaid Drug Rebate Program in ways that could increase the costs and complexity of compliance and that could increase manufacturer rebate liability, given that the final rule clarified certain aspects of the definition of covered outpatient drugs subject to these rebates, which could expand the number of units of drugs that qualify for this definition, among other changes.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no longer subject to a cap on the rebate amount, which negatively impacts our rebate liability.</w:t>
      </w:r>
    </w:p>
    <w:p>
      <w:pPr>
        <w:spacing w:after="0" w:line="300" w:lineRule="exact"/>
        <w:rPr>
          <w:sz w:val="20"/>
          <w:szCs w:val="20"/>
          <w:color w:val="auto"/>
        </w:rPr>
      </w:pPr>
    </w:p>
    <w:p>
      <w:pPr>
        <w:ind w:left="60" w:right="60" w:firstLine="480"/>
        <w:spacing w:after="0" w:line="266" w:lineRule="auto"/>
        <w:rPr>
          <w:sz w:val="20"/>
          <w:szCs w:val="20"/>
          <w:color w:val="auto"/>
        </w:rPr>
      </w:pPr>
      <w:r>
        <w:rPr>
          <w:rFonts w:ascii="Times New Roman" w:cs="Times New Roman" w:eastAsia="Times New Roman" w:hAnsi="Times New Roman"/>
          <w:sz w:val="19"/>
          <w:szCs w:val="19"/>
          <w:color w:val="auto"/>
        </w:rPr>
        <w:t>HRSA issued a final regulation regarding the calculation of the 340B ceiling price and the imposition of civil monetary penalties on manufacturers that knowingly and intentionally overcharge covered entities.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If we are found to have knowingly and intentionally charged 340B covered entities more than the statutorily mandated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132715</wp:posOffset>
            </wp:positionV>
            <wp:extent cx="259080" cy="2546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54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66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54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41" w:right="959" w:bottom="0" w:gutter="0" w:footer="0" w:header="0"/>
        </w:sectPr>
      </w:pPr>
    </w:p>
    <w:bookmarkStart w:id="190" w:name="page191"/>
    <w:bookmarkEnd w:id="190"/>
    <w:p>
      <w:pPr>
        <w:ind w:right="140"/>
        <w:spacing w:after="0" w:line="259" w:lineRule="auto"/>
        <w:rPr>
          <w:sz w:val="20"/>
          <w:szCs w:val="20"/>
          <w:color w:val="auto"/>
        </w:rPr>
      </w:pPr>
      <w:r>
        <w:rPr>
          <w:rFonts w:ascii="Times New Roman" w:cs="Times New Roman" w:eastAsia="Times New Roman" w:hAnsi="Times New Roman"/>
          <w:sz w:val="19"/>
          <w:szCs w:val="19"/>
          <w:color w:val="auto"/>
        </w:rPr>
        <w:t>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 which would have a material adverse effect on our business, financial condition, results of operations and growth prospects, including our ability to acquire, in-license or develop new products to grow our business. Moreover, HRSA established an ADR process under a final regulation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may be appealed to a federal court. An ADR proceeding could potentially subject us to discovery by covered entities and other onerous procedural requirements and could result in additional liability. Additionally, HRSA issued a final rule that changes aspects of the ADR process effective June 2024, which could negatively affect us. In addition, HRSA could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75" w:lineRule="exact"/>
        <w:rPr>
          <w:sz w:val="20"/>
          <w:szCs w:val="20"/>
          <w:color w:val="auto"/>
        </w:rPr>
      </w:pPr>
    </w:p>
    <w:p>
      <w:pPr>
        <w:ind w:right="160" w:firstLine="480"/>
        <w:spacing w:after="0" w:line="299" w:lineRule="auto"/>
        <w:rPr>
          <w:sz w:val="20"/>
          <w:szCs w:val="20"/>
          <w:color w:val="auto"/>
        </w:rPr>
      </w:pPr>
      <w:r>
        <w:rPr>
          <w:rFonts w:ascii="Times New Roman" w:cs="Times New Roman" w:eastAsia="Times New Roman" w:hAnsi="Times New Roman"/>
          <w:sz w:val="19"/>
          <w:szCs w:val="19"/>
          <w:color w:val="auto"/>
        </w:rPr>
        <w:t>Further, legislation may be introduced at the state or Federal level that, if passed, would, among other things, modify the requirements of the 340B program.</w:t>
      </w:r>
    </w:p>
    <w:p>
      <w:pPr>
        <w:spacing w:after="0" w:line="3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9"/>
          <w:szCs w:val="19"/>
          <w:color w:val="auto"/>
        </w:rPr>
        <w:t>Medicare Part D generally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The IRA ended the coverage gap discount program, under which manufacturers agreed to offer point-of-sale discounts off negotiated prices of applicable brand drugs to eligible beneficiaries during the coverage gap period, starting in 2025 and replaced it with a new manufacturer discount program, under which manufacturers are, in general, required to provide a 10% discount on a covered Part D drug where a beneficiary is in the initial phase of Part D coverage and a 20% discount where a beneficiary is in the catastrophic phase of Part D coverage.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78" w:lineRule="exact"/>
        <w:rPr>
          <w:sz w:val="20"/>
          <w:szCs w:val="20"/>
          <w:color w:val="auto"/>
        </w:rPr>
      </w:pPr>
    </w:p>
    <w:p>
      <w:pPr>
        <w:ind w:right="60" w:firstLine="480"/>
        <w:spacing w:after="0" w:line="265" w:lineRule="auto"/>
        <w:rPr>
          <w:sz w:val="20"/>
          <w:szCs w:val="20"/>
          <w:color w:val="auto"/>
        </w:rPr>
      </w:pPr>
      <w:r>
        <w:rPr>
          <w:rFonts w:ascii="Times New Roman" w:cs="Times New Roman" w:eastAsia="Times New Roman" w:hAnsi="Times New Roman"/>
          <w:sz w:val="19"/>
          <w:szCs w:val="19"/>
          <w:color w:val="auto"/>
        </w:rPr>
        <w:t>The IRA also created a drug price negotiation program under which the prices for Medicare units of certain high Medicare spend drugs and biologicals without generic or biosimilar competition will be capped by reference to, among other things, a specified Non-FAMP starting in 2026. Failure to comply with requirements under the drug price negotiation program is subject to an excise tax and/or a civil monetary penalty. This or any other legislative change could impact the market conditions for our products. We further expect continued scrutiny on government price reporting from U.S. Congress, agencies, and other bodies.</w:t>
      </w:r>
    </w:p>
    <w:p>
      <w:pPr>
        <w:spacing w:after="0" w:line="307"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9"/>
          <w:szCs w:val="19"/>
          <w:color w:val="auto"/>
        </w:rPr>
        <w:t>Pursuant to applicable law, knowing provision of false information in connection with price reporting under the VA,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Product liability and product recalls could harm our business.</w:t>
      </w:r>
    </w:p>
    <w:p>
      <w:pPr>
        <w:spacing w:after="0" w:line="129"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9"/>
          <w:szCs w:val="19"/>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71" w:lineRule="exact"/>
        <w:rPr>
          <w:sz w:val="20"/>
          <w:szCs w:val="20"/>
          <w:color w:val="auto"/>
        </w:rPr>
      </w:pPr>
    </w:p>
    <w:p>
      <w:pPr>
        <w:ind w:right="80" w:firstLine="480"/>
        <w:spacing w:after="0" w:line="266" w:lineRule="auto"/>
        <w:rPr>
          <w:sz w:val="20"/>
          <w:szCs w:val="20"/>
          <w:color w:val="auto"/>
        </w:rPr>
      </w:pPr>
      <w:r>
        <w:rPr>
          <w:rFonts w:ascii="Times New Roman" w:cs="Times New Roman" w:eastAsia="Times New Roman" w:hAnsi="Times New Roman"/>
          <w:sz w:val="19"/>
          <w:szCs w:val="19"/>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132715</wp:posOffset>
            </wp:positionV>
            <wp:extent cx="259080" cy="2546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54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8"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67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67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54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91" w:name="page192"/>
    <w:bookmarkEnd w:id="191"/>
    <w:p>
      <w:pPr>
        <w:ind w:left="60"/>
        <w:spacing w:after="0" w:line="270" w:lineRule="auto"/>
        <w:rPr>
          <w:sz w:val="20"/>
          <w:szCs w:val="20"/>
          <w:color w:val="auto"/>
        </w:rPr>
      </w:pPr>
      <w:r>
        <w:rPr>
          <w:rFonts w:ascii="Times New Roman" w:cs="Times New Roman" w:eastAsia="Times New Roman" w:hAnsi="Times New Roman"/>
          <w:sz w:val="19"/>
          <w:szCs w:val="19"/>
          <w:color w:val="auto"/>
        </w:rPr>
        <w:t>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64" w:lineRule="exact"/>
        <w:rPr>
          <w:sz w:val="20"/>
          <w:szCs w:val="20"/>
          <w:color w:val="auto"/>
        </w:rPr>
      </w:pPr>
    </w:p>
    <w:p>
      <w:pPr>
        <w:ind w:left="60" w:right="80" w:firstLine="480"/>
        <w:spacing w:after="0" w:line="264" w:lineRule="auto"/>
        <w:rPr>
          <w:sz w:val="20"/>
          <w:szCs w:val="20"/>
          <w:color w:val="auto"/>
        </w:rPr>
      </w:pPr>
      <w:r>
        <w:rPr>
          <w:rFonts w:ascii="Times New Roman" w:cs="Times New Roman" w:eastAsia="Times New Roman" w:hAnsi="Times New Roman"/>
          <w:sz w:val="19"/>
          <w:szCs w:val="19"/>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73" w:lineRule="exact"/>
        <w:rPr>
          <w:sz w:val="20"/>
          <w:szCs w:val="20"/>
          <w:color w:val="auto"/>
        </w:rPr>
      </w:pPr>
    </w:p>
    <w:p>
      <w:pPr>
        <w:jc w:val="both"/>
        <w:ind w:left="60" w:right="4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We and our Third-Party Manufacturers or Suppliers use hazardous materials in our manufacturing facilities, and any claims relating to the improper handling, storage, release or disposal of these materials could be time-consuming and expensive.</w:t>
      </w:r>
    </w:p>
    <w:p>
      <w:pPr>
        <w:spacing w:after="0" w:line="59" w:lineRule="exact"/>
        <w:rPr>
          <w:sz w:val="20"/>
          <w:szCs w:val="20"/>
          <w:color w:val="auto"/>
        </w:rPr>
      </w:pPr>
    </w:p>
    <w:p>
      <w:pPr>
        <w:ind w:left="60" w:right="120" w:firstLine="480"/>
        <w:spacing w:after="0" w:line="373" w:lineRule="auto"/>
        <w:rPr>
          <w:sz w:val="20"/>
          <w:szCs w:val="20"/>
          <w:color w:val="auto"/>
        </w:rPr>
      </w:pPr>
      <w:r>
        <w:rPr>
          <w:rFonts w:ascii="Times New Roman" w:cs="Times New Roman" w:eastAsia="Times New Roman" w:hAnsi="Times New Roman"/>
          <w:sz w:val="15"/>
          <w:szCs w:val="15"/>
          <w:color w:val="auto"/>
        </w:rPr>
        <w:t xml:space="preserve">Our and any of our third-party manufacturers’ or suppliers’ operations are subject to complex and increasingly stringent environmental, health and safety laws and regulations in the countries where we, our manufacturers and our suppliers operate </w:t>
      </w:r>
      <w:r>
        <w:rPr>
          <w:rFonts w:ascii="PMingLiU" w:cs="PMingLiU" w:eastAsia="PMingLiU" w:hAnsi="PMingLiU"/>
          <w:sz w:val="15"/>
          <w:szCs w:val="15"/>
          <w:color w:val="auto"/>
        </w:rPr>
        <w:t xml:space="preserve">DQGLQSDUWLFXODULQ,UHODQGWKH8.DQG,WDO\ZKHUHZHKDYHPDQXIDFWXULQJIDFLOLWLHV,IDQDFFLGHQWRUFRQWDPLQDWLRQ </w:t>
      </w:r>
      <w:r>
        <w:rPr>
          <w:rFonts w:ascii="Times New Roman" w:cs="Times New Roman" w:eastAsia="Times New Roman" w:hAnsi="Times New Roman"/>
          <w:sz w:val="15"/>
          <w:szCs w:val="15"/>
          <w:color w:val="auto"/>
        </w:rPr>
        <w:t>involving pollutants or hazardous substances occurs, an injured party could seek to hold us, our manufacturers or our suppliers liable for any damages that result and any liability could exceed the limits or fall outside the coverage of our insurance. We, our manufacturers, and/or suppliers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1" w:lineRule="exact"/>
        <w:rPr>
          <w:sz w:val="20"/>
          <w:szCs w:val="20"/>
          <w:color w:val="auto"/>
        </w:rPr>
      </w:pPr>
    </w:p>
    <w:p>
      <w:pPr>
        <w:ind w:left="60" w:right="20" w:firstLine="529"/>
        <w:spacing w:after="0" w:line="266" w:lineRule="auto"/>
        <w:rPr>
          <w:sz w:val="20"/>
          <w:szCs w:val="20"/>
          <w:color w:val="auto"/>
        </w:rPr>
      </w:pPr>
      <w:r>
        <w:rPr>
          <w:rFonts w:ascii="Times New Roman" w:cs="Times New Roman" w:eastAsia="Times New Roman" w:hAnsi="Times New Roman"/>
          <w:sz w:val="19"/>
          <w:szCs w:val="19"/>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Risks Related to Controlled Substances</w:t>
      </w:r>
    </w:p>
    <w:p>
      <w:pPr>
        <w:spacing w:after="0" w:line="134" w:lineRule="exact"/>
        <w:rPr>
          <w:sz w:val="20"/>
          <w:szCs w:val="20"/>
          <w:color w:val="auto"/>
        </w:rPr>
      </w:pPr>
    </w:p>
    <w:p>
      <w:pPr>
        <w:ind w:left="60" w:right="2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66" w:lineRule="exact"/>
        <w:rPr>
          <w:sz w:val="20"/>
          <w:szCs w:val="20"/>
          <w:color w:val="auto"/>
        </w:rPr>
      </w:pPr>
    </w:p>
    <w:p>
      <w:pPr>
        <w:ind w:left="60" w:right="100" w:firstLine="480"/>
        <w:spacing w:after="0" w:line="259" w:lineRule="auto"/>
        <w:rPr>
          <w:sz w:val="20"/>
          <w:szCs w:val="20"/>
          <w:color w:val="auto"/>
        </w:rPr>
      </w:pPr>
      <w:r>
        <w:rPr>
          <w:rFonts w:ascii="Times New Roman" w:cs="Times New Roman" w:eastAsia="Times New Roman" w:hAnsi="Times New Roman"/>
          <w:sz w:val="19"/>
          <w:szCs w:val="19"/>
          <w:color w:val="auto"/>
        </w:rPr>
        <w:t>Xyrem and Xywav and certain product candidates we are developing contain controlled substances as defined by state law and the federal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subject to additional requirements. For example, they may not be refilled without a new prescription.</w:t>
      </w:r>
    </w:p>
    <w:p>
      <w:pPr>
        <w:spacing w:after="0" w:line="81" w:lineRule="exact"/>
        <w:rPr>
          <w:sz w:val="20"/>
          <w:szCs w:val="20"/>
          <w:color w:val="auto"/>
        </w:rPr>
      </w:pPr>
    </w:p>
    <w:p>
      <w:pPr>
        <w:ind w:left="60" w:right="60" w:firstLine="480"/>
        <w:spacing w:after="0" w:line="277" w:lineRule="auto"/>
        <w:rPr>
          <w:sz w:val="20"/>
          <w:szCs w:val="20"/>
          <w:color w:val="auto"/>
        </w:rPr>
      </w:pPr>
      <w:r>
        <w:rPr>
          <w:rFonts w:ascii="Times New Roman" w:cs="Times New Roman" w:eastAsia="Times New Roman" w:hAnsi="Times New Roman"/>
          <w:sz w:val="19"/>
          <w:szCs w:val="19"/>
          <w:color w:val="auto"/>
        </w:rPr>
        <w:t>Drug products approved for medical use by FDA that contain cannabis or cannabis extracts may be controlled substances and, if so, will be rescheduled to Schedules II-V after approval, or, like Epidiolex, removed completely from the schedules by operation of other laws.</w:t>
      </w:r>
    </w:p>
    <w:p>
      <w:pPr>
        <w:spacing w:after="0" w:line="58" w:lineRule="exact"/>
        <w:rPr>
          <w:sz w:val="20"/>
          <w:szCs w:val="20"/>
          <w:color w:val="auto"/>
        </w:rPr>
      </w:pPr>
    </w:p>
    <w:p>
      <w:pPr>
        <w:ind w:left="60" w:right="80" w:firstLine="480"/>
        <w:spacing w:after="0" w:line="265" w:lineRule="auto"/>
        <w:rPr>
          <w:sz w:val="20"/>
          <w:szCs w:val="20"/>
          <w:color w:val="auto"/>
        </w:rPr>
      </w:pPr>
      <w:r>
        <w:rPr>
          <w:rFonts w:ascii="Times New Roman" w:cs="Times New Roman" w:eastAsia="Times New Roman" w:hAnsi="Times New Roman"/>
          <w:sz w:val="19"/>
          <w:szCs w:val="19"/>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283845</wp:posOffset>
            </wp:positionV>
            <wp:extent cx="259080" cy="2546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54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68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54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92" w:name="page193"/>
    <w:bookmarkEnd w:id="192"/>
    <w:p>
      <w:pPr>
        <w:ind w:right="240" w:firstLine="480"/>
        <w:spacing w:after="0" w:line="260" w:lineRule="auto"/>
        <w:rPr>
          <w:sz w:val="20"/>
          <w:szCs w:val="20"/>
          <w:color w:val="auto"/>
        </w:rPr>
      </w:pPr>
      <w:r>
        <w:rPr>
          <w:rFonts w:ascii="Times New Roman" w:cs="Times New Roman" w:eastAsia="Times New Roman" w:hAnsi="Times New Roman"/>
          <w:sz w:val="19"/>
          <w:szCs w:val="19"/>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74"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7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ability to research, develop and commercialize Epidiolex/Epidyolex is dependent on our ability to maintain licenses relating to the cultivation, possession and supply of botanical cannabis, a controlled substance.</w:t>
      </w:r>
    </w:p>
    <w:p>
      <w:pPr>
        <w:spacing w:after="0" w:line="39" w:lineRule="exact"/>
        <w:rPr>
          <w:sz w:val="20"/>
          <w:szCs w:val="20"/>
          <w:color w:val="auto"/>
        </w:rPr>
      </w:pPr>
    </w:p>
    <w:p>
      <w:pPr>
        <w:ind w:right="60" w:firstLine="480"/>
        <w:spacing w:after="0" w:line="347" w:lineRule="auto"/>
        <w:rPr>
          <w:sz w:val="20"/>
          <w:szCs w:val="20"/>
          <w:color w:val="auto"/>
        </w:rPr>
      </w:pPr>
      <w:r>
        <w:rPr>
          <w:rFonts w:ascii="PMingLiU" w:cs="PMingLiU" w:eastAsia="PMingLiU" w:hAnsi="PMingLiU"/>
          <w:sz w:val="14"/>
          <w:szCs w:val="14"/>
          <w:color w:val="auto"/>
        </w:rPr>
        <w:t xml:space="preserve">2XUFDQQDELQRLGUHVHDUFKDQGPDQXIDFWXULQJIDFLOLWLHVDUHORFDWHGSUHGRPLQDQWO\LQWKH8.,QWKH8.OLFHQVHVWR FXOWLYDWHSRVVHVVDQGVXSSO\FDQQDELVIRUPHGLFDOUHVHDUFKDUHJUDQWHGE\WKH8.JRYHUQPHQWRQDQDQQXDOEDVLV$OWKRXJK </w:t>
      </w:r>
      <w:r>
        <w:rPr>
          <w:rFonts w:ascii="Times New Roman" w:cs="Times New Roman" w:eastAsia="Times New Roman" w:hAnsi="Times New Roman"/>
          <w:sz w:val="14"/>
          <w:szCs w:val="14"/>
          <w:color w:val="auto"/>
        </w:rPr>
        <w:t xml:space="preserve">our licenses have been renewed each year since 1998, they may not be in the future, in which case we may not be able to carry </w:t>
      </w:r>
      <w:r>
        <w:rPr>
          <w:rFonts w:ascii="PMingLiU" w:cs="PMingLiU" w:eastAsia="PMingLiU" w:hAnsi="PMingLiU"/>
          <w:sz w:val="14"/>
          <w:szCs w:val="14"/>
          <w:color w:val="auto"/>
        </w:rPr>
        <w:t>RQRXU5 'SURJUDPLQWKH8.,QDGGLWLRQZHDUHUHTXLUHGWRPDLQWDLQRXUH[LVWLQJFRPPHUFLDOOLFHQVHVWRFXOWLYDWH SURGXFHDQGVXSSO\FDQQDELV+RZHYHULIWKH8.JRYHUQPHQWZHUHQRWSUHSDUHGWRUHQHZVXFKOLFHQVHVZHZRXOGEHXQDEOH WRPDQXIDFWXUHDQGGLVWULEXWHRXUSURGXFWVRQDFRPPHUFLDOEDVLVLQWKH8.RUEH\RQG,QRUGHUWRFDUU\RXWUHVHDUFKLQ FRXQWULHVRWKHUWKDQWKH8.VLPLODUOLFHQVHVWRWKRVHRXWOLQHGDERYHDUHUHTXLUHGWREHLVVXHGE\WKHUHOHYDQWDXWKRULW\L</w:t>
      </w:r>
      <w:r>
        <w:rPr>
          <w:rFonts w:ascii="Times New Roman" w:cs="Times New Roman" w:eastAsia="Times New Roman" w:hAnsi="Times New Roman"/>
          <w:sz w:val="14"/>
          <w:szCs w:val="14"/>
          <w:color w:val="auto"/>
        </w:rPr>
        <w:t>n each</w:t>
      </w:r>
      <w:r>
        <w:rPr>
          <w:rFonts w:ascii="PMingLiU" w:cs="PMingLiU" w:eastAsia="PMingLiU" w:hAnsi="PMingLiU"/>
          <w:sz w:val="14"/>
          <w:szCs w:val="14"/>
          <w:color w:val="auto"/>
        </w:rPr>
        <w:t xml:space="preserve"> FRXQWU\,QDGGLWLRQZHZLOOEHUHTXLUHGWRREWDLQOLFHQVHVWRH[SRUWIURPWKH8.DQGWRLPSRUWLQWRWKHUHFLSLHQWFRXQWU</w:t>
      </w:r>
      <w:r>
        <w:rPr>
          <w:rFonts w:ascii="Times New Roman" w:cs="Times New Roman" w:eastAsia="Times New Roman" w:hAnsi="Times New Roman"/>
          <w:sz w:val="14"/>
          <w:szCs w:val="14"/>
          <w:color w:val="auto"/>
        </w:rPr>
        <w:t>y. To</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258"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Controlled substance legislation differs between countries and legislation in certain countries may restrict or limit our ability to sell Epidyolex.</w:t>
      </w:r>
    </w:p>
    <w:p>
      <w:pPr>
        <w:spacing w:after="0" w:line="39" w:lineRule="exact"/>
        <w:rPr>
          <w:sz w:val="20"/>
          <w:szCs w:val="20"/>
          <w:color w:val="auto"/>
        </w:rPr>
      </w:pPr>
    </w:p>
    <w:p>
      <w:pPr>
        <w:ind w:right="320" w:firstLine="480"/>
        <w:spacing w:after="0" w:line="266" w:lineRule="auto"/>
        <w:rPr>
          <w:sz w:val="20"/>
          <w:szCs w:val="20"/>
          <w:color w:val="auto"/>
        </w:rPr>
      </w:pPr>
      <w:r>
        <w:rPr>
          <w:rFonts w:ascii="Times New Roman" w:cs="Times New Roman" w:eastAsia="Times New Roman" w:hAnsi="Times New Roman"/>
          <w:sz w:val="19"/>
          <w:szCs w:val="19"/>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for us to obtain regulatory approval for Epidyolex in those countries. These countries may not be willing or able to amend or otherwise modify their laws and regulations to permit Epidyolex to be marketed, or achieving such amendments to the laws and regulations may take a prolonged period of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Financial Condition and Results</w:t>
      </w:r>
    </w:p>
    <w:p>
      <w:pPr>
        <w:spacing w:after="0" w:line="135"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As of December 31, 2025, we had total indebtedness of approximately $5.4 billion. Our substantial indebtedness may:</w:t>
      </w:r>
      <w:r>
        <w:rPr>
          <w:rFonts w:ascii="PMingLiU" w:cs="PMingLiU" w:eastAsia="PMingLiU" w:hAnsi="PMingLiU"/>
          <w:sz w:val="21"/>
          <w:szCs w:val="21"/>
          <w:color w:val="auto"/>
        </w:rPr>
        <w:t/>
      </w:r>
    </w:p>
    <w:p>
      <w:pPr>
        <w:spacing w:after="0" w:line="112" w:lineRule="exact"/>
        <w:rPr>
          <w:sz w:val="20"/>
          <w:szCs w:val="20"/>
          <w:color w:val="auto"/>
        </w:rPr>
      </w:pPr>
    </w:p>
    <w:p>
      <w:pPr>
        <w:ind w:left="700" w:right="18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limit our ability to use our cash flow or borrow additional funds for working capital, capital expenditures, acquisitions, investments or other general business purposes;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require us to use a substantial portion of our cash flow from operations to make debt service payments;</w:t>
      </w:r>
    </w:p>
    <w:p>
      <w:pPr>
        <w:spacing w:after="0" w:line="118" w:lineRule="exact"/>
        <w:rPr>
          <w:sz w:val="20"/>
          <w:szCs w:val="20"/>
          <w:color w:val="auto"/>
        </w:rPr>
      </w:pPr>
    </w:p>
    <w:p>
      <w:pPr>
        <w:ind w:left="700" w:right="20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limit our flexibility to plan for, or react to, changes in our business and industry, or our ability to take specified actions to take advantage of certain business opportunities that may be presented to us;</w:t>
      </w:r>
    </w:p>
    <w:p>
      <w:pPr>
        <w:spacing w:after="0" w:line="46" w:lineRule="exact"/>
        <w:rPr>
          <w:sz w:val="20"/>
          <w:szCs w:val="20"/>
          <w:color w:val="auto"/>
        </w:rPr>
      </w:pPr>
    </w:p>
    <w:p>
      <w:pPr>
        <w:ind w:left="700" w:right="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expose us to the risk of increased interest rates as certain of our borrowings, including a portion of borrowings under the Amended Credit Agreement, are at variable rates of interest;</w:t>
      </w:r>
    </w:p>
    <w:p>
      <w:pPr>
        <w:spacing w:after="0" w:line="46" w:lineRule="exact"/>
        <w:rPr>
          <w:sz w:val="20"/>
          <w:szCs w:val="20"/>
          <w:color w:val="auto"/>
        </w:rPr>
      </w:pPr>
    </w:p>
    <w:p>
      <w:pPr>
        <w:ind w:left="700" w:right="460" w:hanging="348"/>
        <w:spacing w:after="0" w:line="299"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result in dilution to our existing shareholders to the extent that the remainder, if any, of the exchange obligation in excess of our Exchangeable Senior Notes are settled in our ordinary shares upon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408940</wp:posOffset>
            </wp:positionV>
            <wp:extent cx="259080" cy="2546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54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69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69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55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93" w:name="page194"/>
    <w:bookmarkEnd w:id="193"/>
    <w:p>
      <w:pPr>
        <w:ind w:left="420" w:right="2520"/>
        <w:spacing w:after="0" w:line="373"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place us at a competitive disadvantage compared to our less leveraged competitors; and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increase our vulnerability to the impact of adverse economic and industry conditions.</w:t>
      </w: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the Amended Credit Agreement or Secured Notes, the Amended Credit Agreement lenders and note holders could proceed against the collateral granted to them to secure that debt, which would seriously harm our business.</w:t>
      </w:r>
    </w:p>
    <w:p>
      <w:pPr>
        <w:spacing w:after="0" w:line="72" w:lineRule="exact"/>
        <w:rPr>
          <w:sz w:val="20"/>
          <w:szCs w:val="20"/>
          <w:color w:val="auto"/>
        </w:rPr>
      </w:pPr>
    </w:p>
    <w:p>
      <w:pPr>
        <w:jc w:val="both"/>
        <w:ind w:left="60" w:right="74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Covenants in the Amended Credit Agreement and indenture governing our Secured Notes restrict our business and operations in many ways and if we do not effectively manage our covenants, our financial conditions and results of operations could be adversely affected.</w:t>
      </w:r>
    </w:p>
    <w:p>
      <w:pPr>
        <w:spacing w:after="0" w:line="59" w:lineRule="exact"/>
        <w:rPr>
          <w:sz w:val="20"/>
          <w:szCs w:val="20"/>
          <w:color w:val="auto"/>
        </w:rPr>
      </w:pPr>
    </w:p>
    <w:p>
      <w:pPr>
        <w:ind w:left="60" w:right="180" w:firstLine="480"/>
        <w:spacing w:after="0" w:line="299" w:lineRule="auto"/>
        <w:rPr>
          <w:sz w:val="20"/>
          <w:szCs w:val="20"/>
          <w:color w:val="auto"/>
        </w:rPr>
      </w:pPr>
      <w:r>
        <w:rPr>
          <w:rFonts w:ascii="Times New Roman" w:cs="Times New Roman" w:eastAsia="Times New Roman" w:hAnsi="Times New Roman"/>
          <w:sz w:val="19"/>
          <w:szCs w:val="19"/>
          <w:color w:val="auto"/>
        </w:rPr>
        <w:t>The Amended Credit Agreement and the indenture governing our Secured Notes contain various covenants that, among other things, limit our ability and/or our restricted subsidiaries’ ability to:</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incur or assume liens or additional debt or provide guarantees in respect of obligations of other persons;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pay dividends or distributions or redeem or repurchase capital stock;</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prepay, redeem or repurchase certain debt;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make loans, investments, acquisitions (including certain acquisitions of exclusive licenses) and capital expenditures;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enter into agreements that restrict distributions from our subsidiaries;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enter into transactions with affiliates;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enter into sale and lease-back transactions;</w:t>
      </w:r>
    </w:p>
    <w:p>
      <w:pPr>
        <w:spacing w:after="0" w:line="118" w:lineRule="exact"/>
        <w:rPr>
          <w:sz w:val="20"/>
          <w:szCs w:val="20"/>
          <w:color w:val="auto"/>
        </w:rPr>
      </w:pPr>
    </w:p>
    <w:p>
      <w:pPr>
        <w:ind w:left="760" w:right="52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sell, transfer or exclusively license certain assets, including material intellectual property, and capital stock of our subsidiaries; and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consolidate or merge with or into, or sell substantially all of our assets to, another person.</w:t>
      </w:r>
    </w:p>
    <w:p>
      <w:pPr>
        <w:spacing w:after="0" w:line="119" w:lineRule="exact"/>
        <w:rPr>
          <w:sz w:val="20"/>
          <w:szCs w:val="20"/>
          <w:color w:val="auto"/>
        </w:rPr>
      </w:pPr>
    </w:p>
    <w:p>
      <w:pPr>
        <w:ind w:left="60" w:right="100" w:firstLine="480"/>
        <w:spacing w:after="0" w:line="270" w:lineRule="auto"/>
        <w:rPr>
          <w:sz w:val="20"/>
          <w:szCs w:val="20"/>
          <w:color w:val="auto"/>
        </w:rPr>
      </w:pPr>
      <w:r>
        <w:rPr>
          <w:rFonts w:ascii="Times New Roman" w:cs="Times New Roman" w:eastAsia="Times New Roman" w:hAnsi="Times New Roman"/>
          <w:sz w:val="19"/>
          <w:szCs w:val="19"/>
          <w:color w:val="auto"/>
        </w:rPr>
        <w:t>If we undergo a change of control triggering event, we would be required to make an offer to purchase all of the Secured Notes at a purchase price in cash equal to 101% of their principal amount, plus accrued and unpaid interest, subject to certain exceptions. If we engage in certain asset sales, we will be required under certain circumstances to make an offer to purchase the Secured Notes at 100% of the principal amount, plus accrued and unpaid interest.</w:t>
      </w:r>
    </w:p>
    <w:p>
      <w:pPr>
        <w:spacing w:after="0" w:line="64" w:lineRule="exact"/>
        <w:rPr>
          <w:sz w:val="20"/>
          <w:szCs w:val="20"/>
          <w:color w:val="auto"/>
        </w:rPr>
      </w:pPr>
    </w:p>
    <w:p>
      <w:pPr>
        <w:ind w:left="60" w:right="40" w:firstLine="480"/>
        <w:spacing w:after="0" w:line="259" w:lineRule="auto"/>
        <w:rPr>
          <w:sz w:val="20"/>
          <w:szCs w:val="20"/>
          <w:color w:val="auto"/>
        </w:rPr>
      </w:pPr>
      <w:r>
        <w:rPr>
          <w:rFonts w:ascii="Times New Roman" w:cs="Times New Roman" w:eastAsia="Times New Roman" w:hAnsi="Times New Roman"/>
          <w:sz w:val="19"/>
          <w:szCs w:val="19"/>
          <w:color w:val="auto"/>
        </w:rPr>
        <w:t xml:space="preserve">The Amended Credit Agreement also includes certain financial covenants that require us to maintain a maximum secured leverage ratio and a minimum interest coverage ratio as long as we have drawn funds under the Amended Revolving Credit Facility (or letters of credit in excess of $50 million have been issued and remain undrawn). </w:t>
      </w:r>
      <w:r>
        <w:rPr>
          <w:rFonts w:ascii="PMingLiU" w:cs="PMingLiU" w:eastAsia="PMingLiU" w:hAnsi="PMingLiU"/>
          <w:sz w:val="21"/>
          <w:szCs w:val="21"/>
          <w:color w:val="auto"/>
        </w:rPr>
        <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As a result of these restrictions, we may be: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limited in how we conduct our business;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unable to raise additional debt or equity financing to operate during general economic or business downturns; or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unable to compete effectively, take advantage of new business opportunities or grow in accordance with our plans.</w:t>
      </w:r>
    </w:p>
    <w:p>
      <w:pPr>
        <w:spacing w:after="0" w:line="119" w:lineRule="exact"/>
        <w:rPr>
          <w:sz w:val="20"/>
          <w:szCs w:val="20"/>
          <w:color w:val="auto"/>
        </w:rPr>
      </w:pPr>
    </w:p>
    <w:p>
      <w:pPr>
        <w:ind w:left="60" w:right="40" w:firstLine="480"/>
        <w:spacing w:after="0" w:line="259" w:lineRule="auto"/>
        <w:rPr>
          <w:sz w:val="20"/>
          <w:szCs w:val="20"/>
          <w:color w:val="auto"/>
        </w:rPr>
      </w:pPr>
      <w:r>
        <w:rPr>
          <w:rFonts w:ascii="Times New Roman" w:cs="Times New Roman" w:eastAsia="Times New Roman" w:hAnsi="Times New Roman"/>
          <w:sz w:val="19"/>
          <w:szCs w:val="19"/>
          <w:color w:val="auto"/>
        </w:rPr>
        <w:t>Our failure to comply with any of the covenants could result in a default under the Amended Credit Agreement and the indenture governing our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Amended Credit Agreement may permit the lenders to refuse to permit additional borrowings under the Amended Revolving Credit Facility or to terminate all commitments to extend further credit under the Amended Revolving Credit Facility. Furthermore, if we are unable to repay the amounts due and payable under the Amended Credit Agreement or the Secured Notes, as the case may be, the lenders and note holders thereof may be able to proceed against the collateral granted to them to secure that indebtedness. In the event our lenders or note holders, as the case may be, accelerate the repayment of such borrowings, we cannot assure you that we will have sufficient assets to repay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361950</wp:posOffset>
            </wp:positionV>
            <wp:extent cx="259080" cy="2546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55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70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55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8" w:right="979" w:bottom="0" w:gutter="0" w:footer="0" w:header="0"/>
        </w:sectPr>
      </w:pPr>
    </w:p>
    <w:bookmarkStart w:id="194" w:name="page195"/>
    <w:bookmarkEnd w:id="194"/>
    <w:p>
      <w:pPr>
        <w:ind w:right="200" w:firstLine="480"/>
        <w:spacing w:after="0" w:line="270" w:lineRule="auto"/>
        <w:rPr>
          <w:sz w:val="20"/>
          <w:szCs w:val="20"/>
          <w:color w:val="auto"/>
        </w:rPr>
      </w:pPr>
      <w:r>
        <w:rPr>
          <w:rFonts w:ascii="Times New Roman" w:cs="Times New Roman" w:eastAsia="Times New Roman" w:hAnsi="Times New Roman"/>
          <w:sz w:val="19"/>
          <w:szCs w:val="19"/>
          <w:color w:val="auto"/>
        </w:rPr>
        <w:t>A default under the indentures governing our Exchangeable Senior Notes could also lead to a default under other debt agreements or obligations, including the Amended Credit Agreement and indenture governing the Secured Notes. Likewise, a default under the Amended Credit Agreement or the Secured Notes could lead to a default under other debt agreements or obligations, including the indentures governing our Exchangeable Senior Notes.</w:t>
      </w:r>
    </w:p>
    <w:p>
      <w:pPr>
        <w:spacing w:after="0" w:line="66"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39"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9"/>
          <w:szCs w:val="19"/>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In addition, under Irish law we must have authority from our shareholders to issue any ordinary shares, including ordinary shares that are part of our authorized but unissued share capital, and our current share issuance authority is due to expire in July 2026.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 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share issuance and pre-emption authorities from our shareholders in the future, or otherwise continue to be limited by the terms of new share issuance and pre-emption authorities approved by our shareholders in the future, our ability to use our unissued share capital to fund in-licensing, acquisition or other business opportunities, or to otherwise raise capital, could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93"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have significant intangible assets and goodwill. Consequently, the future impairment of our intangible assets and goodwill may significantly impact our profitability.</w:t>
      </w:r>
    </w:p>
    <w:p>
      <w:pPr>
        <w:spacing w:after="0" w:line="39" w:lineRule="exact"/>
        <w:rPr>
          <w:sz w:val="20"/>
          <w:szCs w:val="20"/>
          <w:color w:val="auto"/>
        </w:rPr>
      </w:pPr>
    </w:p>
    <w:p>
      <w:pPr>
        <w:ind w:right="180" w:firstLine="480"/>
        <w:spacing w:after="0" w:line="266" w:lineRule="auto"/>
        <w:rPr>
          <w:sz w:val="20"/>
          <w:szCs w:val="20"/>
          <w:color w:val="auto"/>
        </w:rPr>
      </w:pPr>
      <w:r>
        <w:rPr>
          <w:rFonts w:ascii="Times New Roman" w:cs="Times New Roman" w:eastAsia="Times New Roman" w:hAnsi="Times New Roman"/>
          <w:sz w:val="19"/>
          <w:szCs w:val="19"/>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w:t>
      </w:r>
    </w:p>
    <w:p>
      <w:pPr>
        <w:spacing w:after="0" w:line="7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i w:val="1"/>
          <w:iCs w:val="1"/>
          <w:color w:val="auto"/>
        </w:rPr>
        <w:t>Our financial results have been and may continue to be adversely affected by foreign currency exchange rate fluctuations.</w:t>
      </w:r>
    </w:p>
    <w:p>
      <w:pPr>
        <w:spacing w:after="0" w:line="129"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9"/>
          <w:szCs w:val="19"/>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75"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in our effective tax rates could adversely affect our business and financial condition, results of operations and growth prospects.</w:t>
      </w:r>
    </w:p>
    <w:p>
      <w:pPr>
        <w:spacing w:after="0" w:line="39" w:lineRule="exact"/>
        <w:rPr>
          <w:sz w:val="20"/>
          <w:szCs w:val="20"/>
          <w:color w:val="auto"/>
        </w:rPr>
      </w:pPr>
    </w:p>
    <w:p>
      <w:pPr>
        <w:ind w:right="120" w:firstLine="480"/>
        <w:spacing w:after="0" w:line="407" w:lineRule="auto"/>
        <w:rPr>
          <w:sz w:val="20"/>
          <w:szCs w:val="20"/>
          <w:color w:val="auto"/>
        </w:rPr>
      </w:pPr>
      <w:r>
        <w:rPr>
          <w:rFonts w:ascii="PMingLiU" w:cs="PMingLiU" w:eastAsia="PMingLiU" w:hAnsi="PMingLiU"/>
          <w:sz w:val="16"/>
          <w:szCs w:val="16"/>
          <w:color w:val="auto"/>
        </w:rPr>
        <w:t xml:space="preserve">:HDUHLQFRUSRUDWHGLQ,UHODQGDQGPDLQWDLQVXEVLGLDULHVLQ1RUWK$PHULFDWKH8.DQGDQXPEHURIRWKHUIRUHLJQ </w:t>
      </w:r>
      <w:r>
        <w:rPr>
          <w:rFonts w:ascii="Times New Roman" w:cs="Times New Roman" w:eastAsia="Times New Roman" w:hAnsi="Times New Roman"/>
          <w:sz w:val="16"/>
          <w:szCs w:val="16"/>
          <w:color w:val="auto"/>
        </w:rPr>
        <w:t>jurisdictions. As a result, our effective tax rate is derived from a combination of applicable tax rates in the various jurisdictions where we operate. Our effective tax rate may fluctuate depending on a number of factors, including, but not limited to, the allocation of our profits or losses between the jurisdictions where we operate and changes to or differences in interpretation of tax laws.</w:t>
      </w:r>
    </w:p>
    <w:p>
      <w:pPr>
        <w:spacing w:after="0" w:line="1" w:lineRule="exact"/>
        <w:rPr>
          <w:sz w:val="20"/>
          <w:szCs w:val="20"/>
          <w:color w:val="auto"/>
        </w:rPr>
      </w:pPr>
    </w:p>
    <w:p>
      <w:pPr>
        <w:ind w:right="500" w:firstLine="480"/>
        <w:spacing w:after="0" w:line="299" w:lineRule="auto"/>
        <w:rPr>
          <w:sz w:val="20"/>
          <w:szCs w:val="20"/>
          <w:color w:val="auto"/>
        </w:rPr>
      </w:pPr>
      <w:r>
        <w:rPr>
          <w:rFonts w:ascii="Times New Roman" w:cs="Times New Roman" w:eastAsia="Times New Roman" w:hAnsi="Times New Roman"/>
          <w:sz w:val="19"/>
          <w:szCs w:val="19"/>
          <w:color w:val="auto"/>
        </w:rPr>
        <w:t>We are subject to reviews and audits by the IRS, and other taxing authorities from time to time, and the IRS or other taxing authority may challenge our structure, transfer pricing arrangements and tax positions through an audit or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113030</wp:posOffset>
            </wp:positionV>
            <wp:extent cx="259080" cy="2546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55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9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71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71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55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95" w:name="page196"/>
    <w:bookmarkEnd w:id="195"/>
    <w:p>
      <w:pPr>
        <w:ind w:left="60" w:right="40"/>
        <w:spacing w:after="0" w:line="266" w:lineRule="auto"/>
        <w:rPr>
          <w:sz w:val="20"/>
          <w:szCs w:val="20"/>
          <w:color w:val="auto"/>
        </w:rPr>
      </w:pPr>
      <w:r>
        <w:rPr>
          <w:rFonts w:ascii="Times New Roman" w:cs="Times New Roman" w:eastAsia="Times New Roman" w:hAnsi="Times New Roman"/>
          <w:sz w:val="19"/>
          <w:szCs w:val="19"/>
          <w:color w:val="auto"/>
        </w:rPr>
        <w:t>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Changes to tax laws relating to multinational corporations could adversely affect us.</w:t>
      </w:r>
    </w:p>
    <w:p>
      <w:pPr>
        <w:spacing w:after="0" w:line="129" w:lineRule="exact"/>
        <w:rPr>
          <w:sz w:val="20"/>
          <w:szCs w:val="20"/>
          <w:color w:val="auto"/>
        </w:rPr>
      </w:pPr>
    </w:p>
    <w:p>
      <w:pPr>
        <w:ind w:left="60" w:right="40" w:firstLine="480"/>
        <w:spacing w:after="0" w:line="270" w:lineRule="auto"/>
        <w:rPr>
          <w:sz w:val="20"/>
          <w:szCs w:val="20"/>
          <w:color w:val="auto"/>
        </w:rPr>
      </w:pPr>
      <w:r>
        <w:rPr>
          <w:rFonts w:ascii="Times New Roman" w:cs="Times New Roman" w:eastAsia="Times New Roman" w:hAnsi="Times New Roman"/>
          <w:sz w:val="19"/>
          <w:szCs w:val="19"/>
          <w:color w:val="auto"/>
        </w:rPr>
        <w:t>The U.S. Congress, the EU, the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64"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One example is the OECD’s initiative in the area of “base erosion and profit shifting,” including the 15% global minimum tax under Pillar Two. Ireland adopted legislation implementing Pillar Two with effect from the beginning of 2024, and a number of other jurisdictions in which we do business have adopted legislation implementing certain key aspects of Pillar Two, with further provisions expected to be enacted in the future. The OECD has issued (and is expected to continue to issue further) administrative guidance providing transition and safe harbor rules in relation to the implementation of the Pillar Two proposal. For example, on January 5, 2026, the OECD published a package of administrative guidance providing for, among other things, the extension of the application of certain existing transitional safe harbor rules and the introduction of additional safe harbors. We are monitoring developments and evaluating the potential impacts of the Pillar Two rules, including on our effective tax rates, and considering our eligibility to qualify for the relevant safe harbor rules. Any further Pillar Two legislation or guidance could have an adverse impact on our effective tax rate, tax liabilities, and cash tax and may increase our compliance costs.</w:t>
      </w:r>
    </w:p>
    <w:p>
      <w:pPr>
        <w:spacing w:after="0" w:line="310" w:lineRule="exact"/>
        <w:rPr>
          <w:sz w:val="20"/>
          <w:szCs w:val="20"/>
          <w:color w:val="auto"/>
        </w:rPr>
      </w:pPr>
    </w:p>
    <w:p>
      <w:pPr>
        <w:ind w:left="60" w:right="40" w:firstLine="480"/>
        <w:spacing w:after="0" w:line="270" w:lineRule="auto"/>
        <w:rPr>
          <w:sz w:val="20"/>
          <w:szCs w:val="20"/>
          <w:color w:val="auto"/>
        </w:rPr>
      </w:pPr>
      <w:r>
        <w:rPr>
          <w:rFonts w:ascii="Times New Roman" w:cs="Times New Roman" w:eastAsia="Times New Roman" w:hAnsi="Times New Roman"/>
          <w:sz w:val="19"/>
          <w:szCs w:val="19"/>
          <w:color w:val="auto"/>
        </w:rPr>
        <w:t>Further, the IRA, among other things, introduced new tax provisions, including a 15% corporate alternative minimum tax for certain large corporations. These provisions became effective in 2023. The IRS has issued limited guidance on the corporate alternative minimum tax and the other tax provisions in the IRA, and much of this guidance has yet to be finalized. Final guidance under the IRA could adversely affect our tax provision, cash tax liability and effective tax rate.</w:t>
      </w:r>
    </w:p>
    <w:p>
      <w:pPr>
        <w:spacing w:after="0" w:line="64" w:lineRule="exact"/>
        <w:rPr>
          <w:sz w:val="20"/>
          <w:szCs w:val="20"/>
          <w:color w:val="auto"/>
        </w:rPr>
      </w:pPr>
    </w:p>
    <w:p>
      <w:pPr>
        <w:ind w:left="60" w:right="60" w:firstLine="480"/>
        <w:spacing w:after="0" w:line="263" w:lineRule="auto"/>
        <w:rPr>
          <w:sz w:val="20"/>
          <w:szCs w:val="20"/>
          <w:color w:val="auto"/>
        </w:rPr>
      </w:pPr>
      <w:r>
        <w:rPr>
          <w:rFonts w:ascii="Times New Roman" w:cs="Times New Roman" w:eastAsia="Times New Roman" w:hAnsi="Times New Roman"/>
          <w:sz w:val="19"/>
          <w:szCs w:val="19"/>
          <w:color w:val="auto"/>
        </w:rPr>
        <w:t>The U.S. and other jurisdictions in which we operate continue to consider other changes in tax laws and regulations that apply to multinationals, including proposed legislation and guidance with respect to R&amp;D expenditures and other guidance under the 2017 Tax Cuts and Jobs Act. On July 4, 2025, the U.S. adopted legislation that extended certain provisions of the 2017 Tax Cuts and Jobs Act, which would otherwise have expired on December 31, 2025, and introduced a number of other changes to U.S. tax laws, including immediate expensing of domestic research and experimentation expenditures. The new legislation also introduced certain amendments to the foreign-derived intangible income provisions, with effect as of 2026. We are still evaluating the effect of the new legislation on our tax provision, cash tax liability and effective tax rate.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IRS may not agree with the conclusion that we should be treated as a foreign corporation for U.S. federal tax purposes.</w:t>
      </w:r>
    </w:p>
    <w:p>
      <w:pPr>
        <w:spacing w:after="0" w:line="129" w:lineRule="exact"/>
        <w:rPr>
          <w:sz w:val="20"/>
          <w:szCs w:val="20"/>
          <w:color w:val="auto"/>
        </w:rPr>
      </w:pPr>
    </w:p>
    <w:p>
      <w:pPr>
        <w:ind w:left="60" w:right="160" w:firstLine="480"/>
        <w:spacing w:after="0" w:line="259" w:lineRule="auto"/>
        <w:rPr>
          <w:sz w:val="20"/>
          <w:szCs w:val="20"/>
          <w:color w:val="auto"/>
        </w:rPr>
      </w:pPr>
      <w:r>
        <w:rPr>
          <w:rFonts w:ascii="Times New Roman" w:cs="Times New Roman" w:eastAsia="Times New Roman" w:hAnsi="Times New Roman"/>
          <w:sz w:val="19"/>
          <w:szCs w:val="19"/>
          <w:color w:val="auto"/>
        </w:rPr>
        <w:t>Although we are incorporated in Ireland, the IRS may assert that we should be treated as a U.S. corporation (and, therefore, a U.S. tax resident) for U.S. federal tax purposes pursuant to Section 7874 of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were combined in the Azur Merger, the IRS could assert that we should be treated as a U.S. corporation for U.S. federal tax purposes under Section 7874. Moreover,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1618615</wp:posOffset>
            </wp:positionV>
            <wp:extent cx="259080" cy="2546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55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72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55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196" w:name="page197"/>
    <w:bookmarkEnd w:id="196"/>
    <w:p>
      <w:pPr>
        <w:ind w:right="2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Our ability to use NOLs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ability to use NOLs to offset potential future taxable income and related income taxes that would otherwise be due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also depends on our ability to generate future income that is taxable in the U.S. before the NOLs expire. We cannot predict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certainty when, or whether, our U.S. affiliates will generate sufficient taxable income to use all of the NOLs. In addition,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use of NOLs to offset potential future taxable income and related income taxes that would otherwise be due is subject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limitations under the “ownership change” provisions of Sections 382 and 383 of the Code and similar state provisions.</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5"/>
          <w:szCs w:val="15"/>
          <w:color w:val="auto"/>
        </w:rPr>
        <w:t>$GGLWLRQDOO\8.FDUU\IRUZDUGWD[ORVVHVPD\EHFRPHVXEMHFWWROLPLWDWLRQVLQWKHHYHQWRIFHUWDLQFKDQJHVLQWKHRZQHUVKLS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of significant shareholders where there is also a major change in the nature of conduct of a trade or business within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specified period of time. These limitations may cause us to lose or forfeit additional NOLs or carryforward tax losses before we</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5"/>
          <w:szCs w:val="15"/>
          <w:color w:val="auto"/>
        </w:rPr>
        <w:t>FDQXVHWKHVHDWWULEXWHV6XEVHTXHQWRZQHUVKLSFKDQJHVDQGFKDQJHVWRWKH86IHGHUDORUVWDWHRU8.WD[UXOHVZLWKUHVSH</w:t>
      </w:r>
      <w:r>
        <w:rPr>
          <w:rFonts w:ascii="Times New Roman" w:cs="Times New Roman" w:eastAsia="Times New Roman" w:hAnsi="Times New Roman"/>
          <w:sz w:val="15"/>
          <w:szCs w:val="15"/>
          <w:color w:val="auto"/>
        </w:rPr>
        <w:t>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use of NOLs and carryforward tax losses may further affect our ability to use these losses in future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Ordinary Shares</w:t>
      </w:r>
    </w:p>
    <w:p>
      <w:pPr>
        <w:spacing w:after="0" w:line="13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market price of our ordinary shares has been volatile and is likely to continue to be volatile in the future, and the value of your investment could decline significantly.</w:t>
      </w:r>
    </w:p>
    <w:p>
      <w:pPr>
        <w:spacing w:after="0" w:line="39"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9"/>
          <w:szCs w:val="19"/>
          <w:color w:val="auto"/>
        </w:rPr>
        <w:t xml:space="preserve">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 </w:t>
      </w:r>
      <w:r>
        <w:rPr>
          <w:rFonts w:ascii="PMingLiU" w:cs="PMingLiU" w:eastAsia="PMingLiU" w:hAnsi="PMingLiU"/>
          <w:sz w:val="21"/>
          <w:szCs w:val="21"/>
          <w:color w:val="auto"/>
        </w:rPr>
        <w:t/>
      </w:r>
    </w:p>
    <w:p>
      <w:pPr>
        <w:spacing w:after="0" w:line="69" w:lineRule="exact"/>
        <w:rPr>
          <w:sz w:val="20"/>
          <w:szCs w:val="20"/>
          <w:color w:val="auto"/>
        </w:rPr>
      </w:pPr>
    </w:p>
    <w:p>
      <w:pPr>
        <w:ind w:right="80" w:firstLine="480"/>
        <w:spacing w:after="0" w:line="268" w:lineRule="auto"/>
        <w:rPr>
          <w:sz w:val="20"/>
          <w:szCs w:val="20"/>
          <w:color w:val="auto"/>
        </w:rPr>
      </w:pPr>
      <w:r>
        <w:rPr>
          <w:rFonts w:ascii="Times New Roman" w:cs="Times New Roman" w:eastAsia="Times New Roman" w:hAnsi="Times New Roman"/>
          <w:sz w:val="19"/>
          <w:szCs w:val="19"/>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305" w:lineRule="exact"/>
        <w:rPr>
          <w:sz w:val="20"/>
          <w:szCs w:val="20"/>
          <w:color w:val="auto"/>
        </w:rPr>
      </w:pPr>
    </w:p>
    <w:p>
      <w:pPr>
        <w:ind w:right="80" w:firstLine="480"/>
        <w:spacing w:after="0" w:line="266" w:lineRule="auto"/>
        <w:rPr>
          <w:sz w:val="20"/>
          <w:szCs w:val="20"/>
          <w:color w:val="auto"/>
        </w:rPr>
      </w:pPr>
      <w:r>
        <w:rPr>
          <w:rFonts w:ascii="Times New Roman" w:cs="Times New Roman" w:eastAsia="Times New Roman" w:hAnsi="Times New Roman"/>
          <w:sz w:val="19"/>
          <w:szCs w:val="19"/>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7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are subject to Irish law, which differs from the laws in effect in the U.S. and may afford less protection to holders of our securities.</w:t>
      </w:r>
    </w:p>
    <w:p>
      <w:pPr>
        <w:spacing w:after="0" w:line="39"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9"/>
          <w:szCs w:val="19"/>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78"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9"/>
          <w:szCs w:val="19"/>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724535</wp:posOffset>
            </wp:positionV>
            <wp:extent cx="259080" cy="2546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55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73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73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55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41" w:right="919" w:bottom="0" w:gutter="0" w:footer="0" w:header="0"/>
        </w:sectPr>
      </w:pPr>
    </w:p>
    <w:bookmarkStart w:id="197" w:name="page198"/>
    <w:bookmarkEnd w:id="197"/>
    <w:p>
      <w:pPr>
        <w:ind w:left="60"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articles of association, Irish law, the Amended Credit Agreement and the indentures governing our Secured Notes and Exchangeable Senior Notes contain provisions that could delay or prevent a takeover of us by a third party.</w:t>
      </w:r>
    </w:p>
    <w:p>
      <w:pPr>
        <w:spacing w:after="0" w:line="39" w:lineRule="exact"/>
        <w:rPr>
          <w:sz w:val="20"/>
          <w:szCs w:val="20"/>
          <w:color w:val="auto"/>
        </w:rPr>
      </w:pPr>
    </w:p>
    <w:p>
      <w:pPr>
        <w:ind w:left="60" w:right="40" w:firstLine="480"/>
        <w:spacing w:after="0" w:line="261" w:lineRule="auto"/>
        <w:rPr>
          <w:sz w:val="20"/>
          <w:szCs w:val="20"/>
          <w:color w:val="auto"/>
        </w:rPr>
      </w:pPr>
      <w:r>
        <w:rPr>
          <w:rFonts w:ascii="Times New Roman" w:cs="Times New Roman" w:eastAsia="Times New Roman" w:hAnsi="Times New Roman"/>
          <w:sz w:val="19"/>
          <w:szCs w:val="19"/>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a takeover of us may trigger a default under the Amended Credit Agreement or the requirement that we offer to purchase our Secured Notes or Exchangeable Senior Notes and/or increase the exchange rate applicable to our Exchangeable Senior Notes, which could make it more costly for a potential acquirer to engage in a business combination transaction with us.</w:t>
      </w:r>
    </w:p>
    <w:p>
      <w:pPr>
        <w:spacing w:after="0" w:line="78" w:lineRule="exact"/>
        <w:rPr>
          <w:sz w:val="20"/>
          <w:szCs w:val="20"/>
          <w:color w:val="auto"/>
        </w:rPr>
      </w:pPr>
    </w:p>
    <w:p>
      <w:pPr>
        <w:ind w:left="60" w:right="20" w:firstLine="480"/>
        <w:spacing w:after="0" w:line="270" w:lineRule="auto"/>
        <w:rPr>
          <w:sz w:val="20"/>
          <w:szCs w:val="20"/>
          <w:color w:val="auto"/>
        </w:rPr>
      </w:pPr>
      <w:r>
        <w:rPr>
          <w:rFonts w:ascii="Times New Roman" w:cs="Times New Roman" w:eastAsia="Times New Roman" w:hAnsi="Times New Roman"/>
          <w:sz w:val="19"/>
          <w:szCs w:val="19"/>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67" w:lineRule="exact"/>
        <w:rPr>
          <w:sz w:val="20"/>
          <w:szCs w:val="20"/>
          <w:color w:val="auto"/>
        </w:rPr>
      </w:pPr>
    </w:p>
    <w:p>
      <w:pPr>
        <w:ind w:left="60" w:right="300"/>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Future sales and issuances of our ordinary shares, securities convertible into or exercisable or exchangeable for our ordinary shares or rights to purchase ordinary shares or convertible or exchangeable securities could result in additional dilution of the percentage ownership of our shareholders and could cause our share price to decline.</w:t>
      </w:r>
      <w:r>
        <w:rPr>
          <w:rFonts w:ascii="PMingLiU" w:cs="PMingLiU" w:eastAsia="PMingLiU" w:hAnsi="PMingLiU"/>
          <w:sz w:val="23"/>
          <w:szCs w:val="23"/>
          <w:color w:val="auto"/>
        </w:rPr>
        <w:t/>
      </w:r>
    </w:p>
    <w:p>
      <w:pPr>
        <w:spacing w:after="0" w:line="66" w:lineRule="exact"/>
        <w:rPr>
          <w:sz w:val="20"/>
          <w:szCs w:val="20"/>
          <w:color w:val="auto"/>
        </w:rPr>
      </w:pPr>
    </w:p>
    <w:p>
      <w:pPr>
        <w:ind w:left="60" w:right="20" w:firstLine="480"/>
        <w:spacing w:after="0" w:line="263" w:lineRule="auto"/>
        <w:rPr>
          <w:sz w:val="20"/>
          <w:szCs w:val="20"/>
          <w:color w:val="auto"/>
        </w:rPr>
      </w:pPr>
      <w:r>
        <w:rPr>
          <w:rFonts w:ascii="Times New Roman" w:cs="Times New Roman" w:eastAsia="Times New Roman" w:hAnsi="Times New Roman"/>
          <w:sz w:val="19"/>
          <w:szCs w:val="19"/>
          <w:color w:val="121212"/>
        </w:rPr>
        <w:t xml:space="preserve">We expect to continue to opportunistically seek access to additional capital to license or acquire additional products, product candidates or companies to expand our operations, </w:t>
      </w:r>
      <w:r>
        <w:rPr>
          <w:rFonts w:ascii="Times New Roman" w:cs="Times New Roman" w:eastAsia="Times New Roman" w:hAnsi="Times New Roman"/>
          <w:sz w:val="19"/>
          <w:szCs w:val="19"/>
          <w:color w:val="000000"/>
        </w:rPr>
        <w:t>to restructure or refinance our debt</w:t>
      </w:r>
      <w:r>
        <w:rPr>
          <w:rFonts w:ascii="Times New Roman" w:cs="Times New Roman" w:eastAsia="Times New Roman" w:hAnsi="Times New Roman"/>
          <w:sz w:val="19"/>
          <w:szCs w:val="19"/>
          <w:color w:val="121212"/>
        </w:rPr>
        <w:t xml:space="preserve"> or for general corporate purposes. </w:t>
      </w:r>
      <w:r>
        <w:rPr>
          <w:rFonts w:ascii="Times New Roman" w:cs="Times New Roman" w:eastAsia="Times New Roman" w:hAnsi="Times New Roman"/>
          <w:sz w:val="19"/>
          <w:szCs w:val="19"/>
          <w:color w:val="000000"/>
        </w:rPr>
        <w:t>To the extent we raise additional capital by issuing equity securities or securities convertible into or exchangeable for</w:t>
      </w:r>
      <w:r>
        <w:rPr>
          <w:rFonts w:ascii="Times New Roman" w:cs="Times New Roman" w:eastAsia="Times New Roman" w:hAnsi="Times New Roman"/>
          <w:sz w:val="19"/>
          <w:szCs w:val="19"/>
          <w:color w:val="121212"/>
        </w:rPr>
        <w:t xml:space="preserve"> </w:t>
      </w:r>
      <w:r>
        <w:rPr>
          <w:rFonts w:ascii="Times New Roman" w:cs="Times New Roman" w:eastAsia="Times New Roman" w:hAnsi="Times New Roman"/>
          <w:sz w:val="19"/>
          <w:szCs w:val="19"/>
          <w:color w:val="000000"/>
        </w:rPr>
        <w:t>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72" w:lineRule="exact"/>
        <w:rPr>
          <w:sz w:val="20"/>
          <w:szCs w:val="20"/>
          <w:color w:val="auto"/>
        </w:rPr>
      </w:pPr>
    </w:p>
    <w:p>
      <w:pPr>
        <w:ind w:left="60" w:right="1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have never declared or paid dividends on our capital stock and we do not anticipate paying dividends in the foreseeable future.</w:t>
      </w:r>
    </w:p>
    <w:p>
      <w:pPr>
        <w:spacing w:after="0" w:line="39" w:lineRule="exact"/>
        <w:rPr>
          <w:sz w:val="20"/>
          <w:szCs w:val="20"/>
          <w:color w:val="auto"/>
        </w:rPr>
      </w:pPr>
    </w:p>
    <w:p>
      <w:pPr>
        <w:ind w:left="60" w:right="100" w:firstLine="480"/>
        <w:spacing w:after="0" w:line="262" w:lineRule="auto"/>
        <w:rPr>
          <w:sz w:val="20"/>
          <w:szCs w:val="20"/>
          <w:color w:val="auto"/>
        </w:rPr>
      </w:pPr>
      <w:r>
        <w:rPr>
          <w:rFonts w:ascii="Times New Roman" w:cs="Times New Roman" w:eastAsia="Times New Roman" w:hAnsi="Times New Roman"/>
          <w:sz w:val="19"/>
          <w:szCs w:val="19"/>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the indenture governing our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35" w:lineRule="exact"/>
        <w:rPr>
          <w:sz w:val="20"/>
          <w:szCs w:val="20"/>
          <w:color w:val="auto"/>
        </w:rPr>
      </w:pPr>
    </w:p>
    <w:p>
      <w:pPr>
        <w:ind w:left="60" w:right="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If we fail to attract, retain and motivate members of our executive management team and key personnel, our operations and our future growth may be adversely affected.</w:t>
      </w:r>
    </w:p>
    <w:p>
      <w:pPr>
        <w:spacing w:after="0" w:line="39" w:lineRule="exact"/>
        <w:rPr>
          <w:sz w:val="20"/>
          <w:szCs w:val="20"/>
          <w:color w:val="auto"/>
        </w:rPr>
      </w:pPr>
    </w:p>
    <w:p>
      <w:pPr>
        <w:ind w:left="60" w:right="40" w:firstLine="480"/>
        <w:spacing w:after="0" w:line="260" w:lineRule="auto"/>
        <w:rPr>
          <w:sz w:val="20"/>
          <w:szCs w:val="20"/>
          <w:color w:val="auto"/>
        </w:rPr>
      </w:pPr>
      <w:r>
        <w:rPr>
          <w:rFonts w:ascii="Times New Roman" w:cs="Times New Roman" w:eastAsia="Times New Roman" w:hAnsi="Times New Roman"/>
          <w:sz w:val="19"/>
          <w:szCs w:val="19"/>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Moreover, the loss of services and institutional knowledge of one or more members of our executive management team or other key personnel could delay or prevent the successful completion of some of our vital activities and may negatively impact our operations and future growth. We do not carry “key person” insurance.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6" w:lineRule="exact"/>
        <w:rPr>
          <w:sz w:val="20"/>
          <w:szCs w:val="20"/>
          <w:color w:val="auto"/>
        </w:rPr>
      </w:pPr>
    </w:p>
    <w:p>
      <w:pPr>
        <w:ind w:left="60" w:right="3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workforce initiatives could expose us to the risk of litigation or investigations, resulting in injunctions, penalties, or reputational harm.</w:t>
      </w:r>
    </w:p>
    <w:p>
      <w:pPr>
        <w:spacing w:after="0" w:line="39" w:lineRule="exact"/>
        <w:rPr>
          <w:sz w:val="20"/>
          <w:szCs w:val="20"/>
          <w:color w:val="auto"/>
        </w:rPr>
      </w:pPr>
    </w:p>
    <w:p>
      <w:pPr>
        <w:ind w:left="60" w:firstLine="480"/>
        <w:spacing w:after="0" w:line="277" w:lineRule="auto"/>
        <w:rPr>
          <w:sz w:val="20"/>
          <w:szCs w:val="20"/>
          <w:color w:val="auto"/>
        </w:rPr>
      </w:pPr>
      <w:r>
        <w:rPr>
          <w:rFonts w:ascii="Times New Roman" w:cs="Times New Roman" w:eastAsia="Times New Roman" w:hAnsi="Times New Roman"/>
          <w:sz w:val="19"/>
          <w:szCs w:val="19"/>
          <w:color w:val="auto"/>
        </w:rPr>
        <w:t>We have talent management efforts designed to build and maintain an inclusive environment with diverse thought, backgrounds, experiences and skillsets throughout our organization. However, there has been increasing scrutiny on these types of initiatives, including from activists and policymakers challenging how such initiatives comply with civil rights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125730</wp:posOffset>
            </wp:positionV>
            <wp:extent cx="259080" cy="2546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55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74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56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41" w:right="959" w:bottom="0" w:gutter="0" w:footer="0" w:header="0"/>
        </w:sectPr>
      </w:pPr>
    </w:p>
    <w:bookmarkStart w:id="198" w:name="page199"/>
    <w:bookmarkEnd w:id="198"/>
    <w:p>
      <w:pPr>
        <w:ind w:right="40"/>
        <w:spacing w:after="0" w:line="270" w:lineRule="auto"/>
        <w:rPr>
          <w:sz w:val="20"/>
          <w:szCs w:val="20"/>
          <w:color w:val="auto"/>
        </w:rPr>
      </w:pPr>
      <w:r>
        <w:rPr>
          <w:rFonts w:ascii="Times New Roman" w:cs="Times New Roman" w:eastAsia="Times New Roman" w:hAnsi="Times New Roman"/>
          <w:sz w:val="19"/>
          <w:szCs w:val="19"/>
          <w:color w:val="auto"/>
        </w:rPr>
        <w:t>Such scrutiny could expose us to the risk of litigation or investigations, resulting in injunctions, penalties, or reputational harm. In addition, if we become unable to (or are perceived not to) successfully implement certain of our workforce initiatives, including in keeping with current or potential future laws or interpretations thereof, our ability to recruit, attract and retain talent may be adversely impacted.</w:t>
      </w:r>
    </w:p>
    <w:p>
      <w:pPr>
        <w:spacing w:after="0" w:line="6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39"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1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1B.</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21" w:lineRule="exact"/>
        <w:rPr>
          <w:sz w:val="20"/>
          <w:szCs w:val="20"/>
          <w:color w:val="auto"/>
        </w:rPr>
      </w:pPr>
    </w:p>
    <w:p>
      <w:pPr>
        <w:ind w:right="300" w:firstLine="480"/>
        <w:spacing w:after="0" w:line="299" w:lineRule="auto"/>
        <w:rPr>
          <w:sz w:val="20"/>
          <w:szCs w:val="20"/>
          <w:color w:val="auto"/>
        </w:rPr>
      </w:pPr>
      <w:r>
        <w:rPr>
          <w:rFonts w:ascii="Times New Roman" w:cs="Times New Roman" w:eastAsia="Times New Roman" w:hAnsi="Times New Roman"/>
          <w:sz w:val="19"/>
          <w:szCs w:val="19"/>
          <w:color w:val="auto"/>
        </w:rPr>
        <w:t>There are no material unresolved written comments that were received from the SEC staff 180 days or more before the end of our 2025 fiscal year relating to our periodic or current reports under the Exchange Act.</w:t>
      </w:r>
    </w:p>
    <w:p>
      <w:pPr>
        <w:spacing w:after="0" w:line="200" w:lineRule="exact"/>
        <w:rPr>
          <w:sz w:val="20"/>
          <w:szCs w:val="20"/>
          <w:color w:val="auto"/>
        </w:rPr>
      </w:pPr>
    </w:p>
    <w:p>
      <w:pPr>
        <w:spacing w:after="0" w:line="24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1C.</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Risk management and strategy</w:t>
      </w:r>
    </w:p>
    <w:p>
      <w:pPr>
        <w:spacing w:after="0" w:line="129"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19"/>
          <w:szCs w:val="19"/>
          <w:color w:val="auto"/>
        </w:rPr>
        <w:t>We have implemented and maintain an information security program designed to identify, assess, and manage material risks from cybersecurity threats to our critical computer networks, third party hosted services, communications systems, hardware and software, and our critical data including intellectual property, clinical trial participant and patient-related data, and confidential information that is proprietary, strategic or competitive in nature, or collectively, Information Systems and Data.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cybersecurity threat risk management processes include the following, among others:</w:t>
      </w:r>
    </w:p>
    <w:p>
      <w:pPr>
        <w:spacing w:after="0" w:line="130" w:lineRule="exact"/>
        <w:rPr>
          <w:sz w:val="20"/>
          <w:szCs w:val="20"/>
          <w:color w:val="auto"/>
        </w:rPr>
      </w:pPr>
    </w:p>
    <w:p>
      <w:pPr>
        <w:ind w:left="700" w:right="120" w:hanging="348"/>
        <w:spacing w:after="0" w:line="266"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Our information security department identifies and assesses risks from cybersecurity threats by monitoring and evaluating our threat environment and risk profile using various methods including, for example, manual methods and automated tools, conducting scans of the threat environment, conducting threat assessments, performing vulnerability assessments, use of external intelligence feeds, and through third-party-conducted red/blue team testing and tabletop incident response exercises.</w:t>
      </w:r>
    </w:p>
    <w:p>
      <w:pPr>
        <w:spacing w:after="0" w:line="70" w:lineRule="exact"/>
        <w:rPr>
          <w:sz w:val="20"/>
          <w:szCs w:val="20"/>
          <w:color w:val="auto"/>
        </w:rPr>
      </w:pPr>
    </w:p>
    <w:p>
      <w:pPr>
        <w:ind w:left="700" w:right="80" w:hanging="348"/>
        <w:spacing w:after="0" w:line="263"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information security policies and standards governing access control, network and device security, encryption standards, incident response plans, disaster recovery plans, risk management, vulnerability detection and management and security awareness training requirements as well as security tools such as firewalls, malware protection tools, secure authentication tools, centralized logging and monitoring tools, threat intelligence tools, and data protection tools.</w:t>
      </w:r>
    </w:p>
    <w:p>
      <w:pPr>
        <w:spacing w:after="0" w:line="70" w:lineRule="exact"/>
        <w:rPr>
          <w:sz w:val="20"/>
          <w:szCs w:val="20"/>
          <w:color w:val="auto"/>
        </w:rPr>
      </w:pPr>
    </w:p>
    <w:p>
      <w:pPr>
        <w:ind w:left="700" w:right="180" w:hanging="348"/>
        <w:spacing w:after="0" w:line="263"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Our overall risk assessment and management processes address cybersecurity threats that may have a material impact on our business. Our information security department maintains a risk register of individual risks from cybersecurity threats. Our CISO and CDO periodically review the area of cybersecurity risk management within our overall enterprise risk management program and work with our executive director of internal audit and enterprise risk management to incorporate the aggregate risks from the cybersecurity threat risk register into the overall enterprise risk management program risk register. In addition, our CISO and CDO report significant increases to our threat profile to the Information Security Governance Committee (described below).</w:t>
      </w:r>
    </w:p>
    <w:p>
      <w:pPr>
        <w:spacing w:after="0" w:line="70" w:lineRule="exact"/>
        <w:rPr>
          <w:sz w:val="20"/>
          <w:szCs w:val="20"/>
          <w:color w:val="auto"/>
        </w:rPr>
      </w:pPr>
    </w:p>
    <w:p>
      <w:pPr>
        <w:ind w:left="700" w:right="80" w:hanging="348"/>
        <w:spacing w:after="0" w:line="266"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We use third parties, including professional services, incident response and managed security firms (including some that we have on a pre-paid retainer basis), to assist us from time to time to identify, assess, and manage cybersecurity risks, perform threat assessments relating to our Information Systems and Data by reviewing our business and industry vertical threat profiles and applying those to the overall threat landscape, perform penetration tests, conduct cybersecurity readiness exercises, assess program maturity, and to assist in the event of a cybersecurity incident.</w:t>
      </w:r>
    </w:p>
    <w:p>
      <w:pPr>
        <w:spacing w:after="0" w:line="70" w:lineRule="exact"/>
        <w:rPr>
          <w:sz w:val="20"/>
          <w:szCs w:val="20"/>
          <w:color w:val="auto"/>
        </w:rPr>
      </w:pPr>
    </w:p>
    <w:p>
      <w:pPr>
        <w:ind w:left="700" w:right="220" w:hanging="348"/>
        <w:spacing w:after="0" w:line="299" w:lineRule="auto"/>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We have third-party vendor management processes designed to help us identify, assess and manage risks from cybersecurity threats to our Information Systems and Data that may arise out of our use of third-party vendors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113030</wp:posOffset>
            </wp:positionV>
            <wp:extent cx="259080" cy="2546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56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97"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75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75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56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199" w:name="page200"/>
    <w:bookmarkEnd w:id="199"/>
    <w:p>
      <w:pPr>
        <w:ind w:left="760" w:right="400"/>
        <w:spacing w:after="0" w:line="270" w:lineRule="auto"/>
        <w:rPr>
          <w:sz w:val="20"/>
          <w:szCs w:val="20"/>
          <w:color w:val="auto"/>
        </w:rPr>
      </w:pPr>
      <w:r>
        <w:rPr>
          <w:rFonts w:ascii="Times New Roman" w:cs="Times New Roman" w:eastAsia="Times New Roman" w:hAnsi="Times New Roman"/>
          <w:sz w:val="19"/>
          <w:szCs w:val="19"/>
          <w:color w:val="auto"/>
        </w:rPr>
        <w:t>our business, including, among others, application providers, hosting companies, contract research organizations, contract manufacturing organizations, distributors, and supply chain resources. Depending on the nature of the services and the service provider, our vendor management processes may include assessment of the cybersecurity practices of such vendors and contractually imposing obligations on the provider.</w:t>
      </w:r>
    </w:p>
    <w:p>
      <w:pPr>
        <w:spacing w:after="0" w:line="64" w:lineRule="exact"/>
        <w:rPr>
          <w:sz w:val="20"/>
          <w:szCs w:val="20"/>
          <w:color w:val="auto"/>
        </w:rPr>
      </w:pPr>
    </w:p>
    <w:p>
      <w:pPr>
        <w:jc w:val="both"/>
        <w:ind w:left="60" w:right="100" w:firstLine="480"/>
        <w:spacing w:after="0" w:line="390" w:lineRule="auto"/>
        <w:rPr>
          <w:sz w:val="20"/>
          <w:szCs w:val="20"/>
          <w:color w:val="auto"/>
        </w:rPr>
      </w:pPr>
      <w:r>
        <w:rPr>
          <w:rFonts w:ascii="Times New Roman" w:cs="Times New Roman" w:eastAsia="Times New Roman" w:hAnsi="Times New Roman"/>
          <w:sz w:val="14"/>
          <w:szCs w:val="14"/>
          <w:color w:val="auto"/>
        </w:rPr>
        <w:t>For a description of the risks from cybersecurity threats that may materially affect us and how those risks may affect us see “</w:t>
      </w:r>
      <w:r>
        <w:rPr>
          <w:rFonts w:ascii="PMingLiU" w:cs="PMingLiU" w:eastAsia="PMingLiU" w:hAnsi="PMingLiU"/>
          <w:sz w:val="14"/>
          <w:szCs w:val="14"/>
          <w:i w:val="1"/>
          <w:iCs w:val="1"/>
          <w:color w:val="auto"/>
        </w:rPr>
        <w:t>6LJQLILFDQWGLVUXSWLRQVRILQIRUPDWLRQWHFKQRORJ\V\VWHPVRUGDWDVHFXULW\LQFLGHQWVFRXOGDGYHUVHO\DIIHFWRXUEXVLQHVV´</w:t>
      </w:r>
      <w:r>
        <w:rPr>
          <w:rFonts w:ascii="Times New Roman" w:cs="Times New Roman" w:eastAsia="Times New Roman" w:hAnsi="Times New Roman"/>
          <w:sz w:val="14"/>
          <w:szCs w:val="14"/>
          <w:color w:val="auto"/>
        </w:rPr>
        <w:t xml:space="preserve"> under Part I, Item 1A. Risk Factors in this Annual Report on Form 10-</w:t>
      </w:r>
      <w:r>
        <w:rPr>
          <w:rFonts w:ascii="PMingLiU" w:cs="PMingLiU" w:eastAsia="PMingLiU" w:hAnsi="PMingLiU"/>
          <w:sz w:val="14"/>
          <w:szCs w:val="14"/>
          <w:color w:val="auto"/>
        </w:rPr>
        <w:t>.</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i w:val="1"/>
          <w:iCs w:val="1"/>
          <w:color w:val="auto"/>
        </w:rPr>
        <w:t>Governance</w:t>
      </w:r>
    </w:p>
    <w:p>
      <w:pPr>
        <w:spacing w:after="0" w:line="128" w:lineRule="exact"/>
        <w:rPr>
          <w:sz w:val="20"/>
          <w:szCs w:val="20"/>
          <w:color w:val="auto"/>
        </w:rPr>
      </w:pPr>
    </w:p>
    <w:p>
      <w:pPr>
        <w:ind w:left="760" w:right="380" w:hanging="348"/>
        <w:spacing w:after="0" w:line="277" w:lineRule="auto"/>
        <w:tabs>
          <w:tab w:leader="none" w:pos="74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Our board of directors addresses our cybersecurity risk management as part of its general oversight function. The Audit Committee helps oversee our cybersecurity risk management processes, including oversight of risks from cybersecurity threats.</w:t>
      </w:r>
    </w:p>
    <w:p>
      <w:pPr>
        <w:spacing w:after="0" w:line="58" w:lineRule="exact"/>
        <w:rPr>
          <w:sz w:val="20"/>
          <w:szCs w:val="20"/>
          <w:color w:val="auto"/>
        </w:rPr>
      </w:pPr>
    </w:p>
    <w:p>
      <w:pPr>
        <w:ind w:left="760" w:right="60" w:hanging="348"/>
        <w:spacing w:after="0" w:line="264" w:lineRule="auto"/>
        <w:tabs>
          <w:tab w:leader="none" w:pos="74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The Information Security Governance Committee and the Audit Committee receive various reports from CISO and CDO. The CISO (or their designee) reports to the Audit Committee on cybersecurity risk on at least a quarterly basis. Written reports and presentation materials regarding cybersecurity risk provided to the Audit Committee are made available to the board of directors and they can discuss the materials and cybersecurity risk with the Audit Committee members. The Internal Audit team oversees internal controls implemented by us under our information security program.</w:t>
      </w:r>
    </w:p>
    <w:p>
      <w:pPr>
        <w:spacing w:after="0" w:line="71" w:lineRule="exact"/>
        <w:rPr>
          <w:sz w:val="20"/>
          <w:szCs w:val="20"/>
          <w:color w:val="auto"/>
        </w:rPr>
      </w:pPr>
    </w:p>
    <w:p>
      <w:pPr>
        <w:ind w:left="760" w:right="80" w:hanging="348"/>
        <w:spacing w:after="0" w:line="263" w:lineRule="auto"/>
        <w:tabs>
          <w:tab w:leader="none" w:pos="74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Our information security program is implemented and maintained by certain of our management, including the CISO, CDO and other members of our Information Security Governance Committee (Chief Legal Officer, Chief Financial Officer, and Chief Ethics &amp; Compliance Officer). Our CISO has served in various cybersecurity roles for over 25 years across multiple companies and industry verticals including banking, consulting, e-commerce, and pharmaceuticals, and is a Certified Information Systems Security Professional. In addition, our CDO, who has oversight of our cybersecurity program, has served in various information technology roles for over 25 years across multiple companies and industry verticals including publishing and pharmaceuticals.</w:t>
      </w:r>
    </w:p>
    <w:p>
      <w:pPr>
        <w:spacing w:after="0" w:line="70" w:lineRule="exact"/>
        <w:rPr>
          <w:sz w:val="20"/>
          <w:szCs w:val="20"/>
          <w:color w:val="auto"/>
        </w:rPr>
      </w:pPr>
    </w:p>
    <w:p>
      <w:pPr>
        <w:ind w:left="760" w:hanging="348"/>
        <w:spacing w:after="0" w:line="261" w:lineRule="auto"/>
        <w:tabs>
          <w:tab w:leader="none" w:pos="74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caused a significant impact to us to members of the Information Security Governance Committee, and certain members of executive management depending on the circumstances. In addition, our incident response plan includes reporting to the Audit Committee for certain cybersecurity incidents, including those that have potentially had a material impact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3462020</wp:posOffset>
            </wp:positionV>
            <wp:extent cx="259080" cy="2546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56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76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56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9" w:right="999" w:bottom="0" w:gutter="0" w:footer="0" w:header="0"/>
        </w:sectPr>
      </w:pPr>
    </w:p>
    <w:bookmarkStart w:id="200" w:name="page201"/>
    <w:bookmarkEnd w:id="200"/>
    <w:p>
      <w:pPr>
        <w:ind w:left="40"/>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Item 2.</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21" w:lineRule="exact"/>
        <w:rPr>
          <w:sz w:val="20"/>
          <w:szCs w:val="20"/>
          <w:color w:val="auto"/>
        </w:rPr>
      </w:pPr>
    </w:p>
    <w:p>
      <w:pPr>
        <w:ind w:left="40" w:right="100" w:firstLine="480"/>
        <w:spacing w:after="0" w:line="266" w:lineRule="auto"/>
        <w:rPr>
          <w:sz w:val="20"/>
          <w:szCs w:val="20"/>
          <w:color w:val="auto"/>
        </w:rPr>
      </w:pPr>
      <w:r>
        <w:rPr>
          <w:rFonts w:ascii="Times New Roman" w:cs="Times New Roman" w:eastAsia="Times New Roman" w:hAnsi="Times New Roman"/>
          <w:sz w:val="19"/>
          <w:szCs w:val="19"/>
          <w:color w:val="auto"/>
        </w:rPr>
        <w:t>Our corporate headquarters are located in Dublin, Ireland, and our U.S. operations are located in Palo Alto, California, Carlsbad, California, Philadelphia, Pennsylvania and Durham, North Carolina.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40" w:type="dxa"/>
            <w:vAlign w:val="bottom"/>
          </w:tcPr>
          <w:p>
            <w:pPr>
              <w:spacing w:after="0"/>
              <w:rPr>
                <w:sz w:val="16"/>
                <w:szCs w:val="16"/>
                <w:color w:val="auto"/>
              </w:rPr>
            </w:pP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6"/>
                <w:szCs w:val="16"/>
                <w:color w:val="auto"/>
              </w:rPr>
            </w:pPr>
          </w:p>
        </w:tc>
        <w:tc>
          <w:tcPr>
            <w:tcW w:w="192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Approximate Square Feet</w:t>
            </w:r>
          </w:p>
        </w:tc>
        <w:tc>
          <w:tcPr>
            <w:tcW w:w="60" w:type="dxa"/>
            <w:vAlign w:val="bottom"/>
          </w:tcPr>
          <w:p>
            <w:pPr>
              <w:spacing w:after="0"/>
              <w:rPr>
                <w:sz w:val="16"/>
                <w:szCs w:val="16"/>
                <w:color w:val="auto"/>
              </w:rPr>
            </w:pPr>
          </w:p>
        </w:tc>
        <w:tc>
          <w:tcPr>
            <w:tcW w:w="1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Lease / Contract</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213"/>
        </w:trPr>
        <w:tc>
          <w:tcPr>
            <w:tcW w:w="326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18"/>
                <w:szCs w:val="18"/>
                <w:color w:val="auto"/>
              </w:rPr>
            </w:pPr>
          </w:p>
        </w:tc>
        <w:tc>
          <w:tcPr>
            <w:tcW w:w="272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auto"/>
              </w:rPr>
              <w:t>Dublin, Ireland</w:t>
            </w:r>
          </w:p>
        </w:tc>
        <w:tc>
          <w:tcPr>
            <w:tcW w:w="60" w:type="dxa"/>
            <w:vAlign w:val="bottom"/>
          </w:tcPr>
          <w:p>
            <w:pPr>
              <w:spacing w:after="0"/>
              <w:rPr>
                <w:sz w:val="18"/>
                <w:szCs w:val="18"/>
                <w:color w:val="auto"/>
              </w:rPr>
            </w:pPr>
          </w:p>
        </w:tc>
        <w:tc>
          <w:tcPr>
            <w:tcW w:w="19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45,000</w:t>
            </w:r>
          </w:p>
        </w:tc>
        <w:tc>
          <w:tcPr>
            <w:tcW w:w="60" w:type="dxa"/>
            <w:vAlign w:val="bottom"/>
          </w:tcPr>
          <w:p>
            <w:pPr>
              <w:spacing w:after="0"/>
              <w:rPr>
                <w:sz w:val="18"/>
                <w:szCs w:val="18"/>
                <w:color w:val="auto"/>
              </w:rPr>
            </w:pPr>
          </w:p>
        </w:tc>
        <w:tc>
          <w:tcPr>
            <w:tcW w:w="18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2036</w:t>
            </w:r>
          </w:p>
        </w:tc>
        <w:tc>
          <w:tcPr>
            <w:tcW w:w="0" w:type="dxa"/>
            <w:vAlign w:val="bottom"/>
          </w:tcPr>
          <w:p>
            <w:pPr>
              <w:spacing w:after="0"/>
              <w:rPr>
                <w:sz w:val="1"/>
                <w:szCs w:val="1"/>
                <w:color w:val="auto"/>
              </w:rPr>
            </w:pPr>
          </w:p>
        </w:tc>
      </w:tr>
      <w:tr>
        <w:trPr>
          <w:trHeight w:val="244"/>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Palo Alto, U.S.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2035</w:t>
            </w:r>
          </w:p>
        </w:tc>
        <w:tc>
          <w:tcPr>
            <w:tcW w:w="0" w:type="dxa"/>
            <w:vAlign w:val="bottom"/>
          </w:tcPr>
          <w:p>
            <w:pPr>
              <w:spacing w:after="0"/>
              <w:rPr>
                <w:sz w:val="1"/>
                <w:szCs w:val="1"/>
                <w:color w:val="auto"/>
              </w:rPr>
            </w:pPr>
          </w:p>
        </w:tc>
      </w:tr>
      <w:tr>
        <w:trPr>
          <w:trHeight w:val="233"/>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Philadelphia, U.S.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2029</w:t>
            </w:r>
          </w:p>
        </w:tc>
        <w:tc>
          <w:tcPr>
            <w:tcW w:w="0" w:type="dxa"/>
            <w:vAlign w:val="bottom"/>
          </w:tcPr>
          <w:p>
            <w:pPr>
              <w:spacing w:after="0"/>
              <w:rPr>
                <w:sz w:val="1"/>
                <w:szCs w:val="1"/>
                <w:color w:val="auto"/>
              </w:rPr>
            </w:pPr>
          </w:p>
        </w:tc>
      </w:tr>
      <w:tr>
        <w:trPr>
          <w:trHeight w:val="221"/>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Carlsbad, U.S.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43,000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2028</w:t>
            </w:r>
          </w:p>
        </w:tc>
        <w:tc>
          <w:tcPr>
            <w:tcW w:w="0" w:type="dxa"/>
            <w:vAlign w:val="bottom"/>
          </w:tcPr>
          <w:p>
            <w:pPr>
              <w:spacing w:after="0"/>
              <w:rPr>
                <w:sz w:val="1"/>
                <w:szCs w:val="1"/>
                <w:color w:val="auto"/>
              </w:rPr>
            </w:pPr>
          </w:p>
        </w:tc>
      </w:tr>
      <w:tr>
        <w:trPr>
          <w:trHeight w:val="244"/>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 and laboratory</w:t>
            </w:r>
          </w:p>
        </w:tc>
        <w:tc>
          <w:tcPr>
            <w:tcW w:w="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Durham, U.S.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29,000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0" w:type="dxa"/>
            <w:vAlign w:val="bottom"/>
          </w:tcPr>
          <w:p>
            <w:pPr>
              <w:spacing w:after="0"/>
              <w:rPr>
                <w:sz w:val="1"/>
                <w:szCs w:val="1"/>
                <w:color w:val="auto"/>
              </w:rPr>
            </w:pPr>
          </w:p>
        </w:tc>
      </w:tr>
      <w:tr>
        <w:trPr>
          <w:trHeight w:val="221"/>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19"/>
                <w:szCs w:val="19"/>
                <w:color w:val="auto"/>
              </w:rPr>
            </w:pPr>
          </w:p>
        </w:tc>
        <w:tc>
          <w:tcPr>
            <w:tcW w:w="2720" w:type="dxa"/>
            <w:vAlign w:val="bottom"/>
          </w:tcPr>
          <w:p>
            <w:pPr>
              <w:ind w:left="60"/>
              <w:spacing w:after="0" w:line="221" w:lineRule="exact"/>
              <w:rPr>
                <w:sz w:val="20"/>
                <w:szCs w:val="20"/>
                <w:color w:val="auto"/>
              </w:rPr>
            </w:pPr>
            <w:r>
              <w:rPr>
                <w:rFonts w:ascii="PMingLiU" w:cs="PMingLiU" w:eastAsia="PMingLiU" w:hAnsi="PMingLiU"/>
                <w:sz w:val="19"/>
                <w:szCs w:val="19"/>
                <w:color w:val="auto"/>
              </w:rPr>
              <w:t>&amp;DPEULGJH8.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2026-2030</w:t>
            </w:r>
          </w:p>
        </w:tc>
        <w:tc>
          <w:tcPr>
            <w:tcW w:w="0" w:type="dxa"/>
            <w:vAlign w:val="bottom"/>
          </w:tcPr>
          <w:p>
            <w:pPr>
              <w:spacing w:after="0"/>
              <w:rPr>
                <w:sz w:val="1"/>
                <w:szCs w:val="1"/>
                <w:color w:val="auto"/>
              </w:rPr>
            </w:pPr>
          </w:p>
        </w:tc>
      </w:tr>
      <w:tr>
        <w:trPr>
          <w:trHeight w:val="233"/>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 and laboratory</w:t>
            </w:r>
          </w:p>
        </w:tc>
        <w:tc>
          <w:tcPr>
            <w:tcW w:w="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Vancouver, Canada</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2029</w:t>
            </w:r>
          </w:p>
        </w:tc>
        <w:tc>
          <w:tcPr>
            <w:tcW w:w="0" w:type="dxa"/>
            <w:vAlign w:val="bottom"/>
          </w:tcPr>
          <w:p>
            <w:pPr>
              <w:spacing w:after="0"/>
              <w:rPr>
                <w:sz w:val="1"/>
                <w:szCs w:val="1"/>
                <w:color w:val="auto"/>
              </w:rPr>
            </w:pPr>
          </w:p>
        </w:tc>
      </w:tr>
      <w:tr>
        <w:trPr>
          <w:trHeight w:val="233"/>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w:t>
            </w:r>
          </w:p>
        </w:tc>
        <w:tc>
          <w:tcPr>
            <w:tcW w:w="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PMingLiU" w:cs="PMingLiU" w:eastAsia="PMingLiU" w:hAnsi="PMingLiU"/>
                <w:sz w:val="19"/>
                <w:szCs w:val="19"/>
                <w:color w:val="auto"/>
              </w:rPr>
              <w:t>/RQGRQ8.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2034</w:t>
            </w:r>
          </w:p>
        </w:tc>
        <w:tc>
          <w:tcPr>
            <w:tcW w:w="0" w:type="dxa"/>
            <w:vAlign w:val="bottom"/>
          </w:tcPr>
          <w:p>
            <w:pPr>
              <w:spacing w:after="0"/>
              <w:rPr>
                <w:sz w:val="1"/>
                <w:szCs w:val="1"/>
                <w:color w:val="auto"/>
              </w:rPr>
            </w:pPr>
          </w:p>
        </w:tc>
      </w:tr>
      <w:tr>
        <w:trPr>
          <w:trHeight w:val="244"/>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office and laboratory</w:t>
            </w:r>
          </w:p>
        </w:tc>
        <w:tc>
          <w:tcPr>
            <w:tcW w:w="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Villa Guardia (Como), Italy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34,000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2029</w:t>
            </w:r>
          </w:p>
        </w:tc>
        <w:tc>
          <w:tcPr>
            <w:tcW w:w="0" w:type="dxa"/>
            <w:vAlign w:val="bottom"/>
          </w:tcPr>
          <w:p>
            <w:pPr>
              <w:spacing w:after="0"/>
              <w:rPr>
                <w:sz w:val="1"/>
                <w:szCs w:val="1"/>
                <w:color w:val="auto"/>
              </w:rPr>
            </w:pPr>
          </w:p>
        </w:tc>
      </w:tr>
      <w:tr>
        <w:trPr>
          <w:trHeight w:val="233"/>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Manufacturing and development</w:t>
            </w:r>
          </w:p>
        </w:tc>
        <w:tc>
          <w:tcPr>
            <w:tcW w:w="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Athlone, Ireland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58,000</w:t>
            </w:r>
          </w:p>
        </w:tc>
        <w:tc>
          <w:tcPr>
            <w:tcW w:w="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Owned</w:t>
            </w:r>
          </w:p>
        </w:tc>
        <w:tc>
          <w:tcPr>
            <w:tcW w:w="0" w:type="dxa"/>
            <w:vAlign w:val="bottom"/>
          </w:tcPr>
          <w:p>
            <w:pPr>
              <w:spacing w:after="0"/>
              <w:rPr>
                <w:sz w:val="1"/>
                <w:szCs w:val="1"/>
                <w:color w:val="auto"/>
              </w:rPr>
            </w:pPr>
          </w:p>
        </w:tc>
      </w:tr>
      <w:tr>
        <w:trPr>
          <w:trHeight w:val="221"/>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Manufacturing and development</w:t>
            </w:r>
          </w:p>
        </w:tc>
        <w:tc>
          <w:tcPr>
            <w:tcW w:w="40" w:type="dxa"/>
            <w:vAlign w:val="bottom"/>
          </w:tcPr>
          <w:p>
            <w:pPr>
              <w:spacing w:after="0"/>
              <w:rPr>
                <w:sz w:val="19"/>
                <w:szCs w:val="19"/>
                <w:color w:val="auto"/>
              </w:rPr>
            </w:pPr>
          </w:p>
        </w:tc>
        <w:tc>
          <w:tcPr>
            <w:tcW w:w="2720" w:type="dxa"/>
            <w:vAlign w:val="bottom"/>
          </w:tcPr>
          <w:p>
            <w:pPr>
              <w:ind w:left="60"/>
              <w:spacing w:after="0" w:line="221" w:lineRule="exact"/>
              <w:rPr>
                <w:sz w:val="20"/>
                <w:szCs w:val="20"/>
                <w:color w:val="auto"/>
              </w:rPr>
            </w:pPr>
            <w:r>
              <w:rPr>
                <w:rFonts w:ascii="PMingLiU" w:cs="PMingLiU" w:eastAsia="PMingLiU" w:hAnsi="PMingLiU"/>
                <w:sz w:val="19"/>
                <w:szCs w:val="19"/>
                <w:color w:val="auto"/>
              </w:rPr>
              <w:t>6RXWKHUQ8.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136,000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2026-2036</w:t>
            </w:r>
          </w:p>
        </w:tc>
        <w:tc>
          <w:tcPr>
            <w:tcW w:w="0" w:type="dxa"/>
            <w:vAlign w:val="bottom"/>
          </w:tcPr>
          <w:p>
            <w:pPr>
              <w:spacing w:after="0"/>
              <w:rPr>
                <w:sz w:val="1"/>
                <w:szCs w:val="1"/>
                <w:color w:val="auto"/>
              </w:rPr>
            </w:pPr>
          </w:p>
        </w:tc>
      </w:tr>
      <w:tr>
        <w:trPr>
          <w:trHeight w:val="256"/>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Manufacturing and development</w:t>
            </w:r>
          </w:p>
        </w:tc>
        <w:tc>
          <w:tcPr>
            <w:tcW w:w="40" w:type="dxa"/>
            <w:vAlign w:val="bottom"/>
          </w:tcPr>
          <w:p>
            <w:pPr>
              <w:spacing w:after="0"/>
              <w:rPr>
                <w:sz w:val="22"/>
                <w:szCs w:val="22"/>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Villa Guardia (Como), Italy</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45,000</w:t>
            </w:r>
          </w:p>
        </w:tc>
        <w:tc>
          <w:tcPr>
            <w:tcW w:w="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Owned</w:t>
            </w:r>
          </w:p>
        </w:tc>
        <w:tc>
          <w:tcPr>
            <w:tcW w:w="0" w:type="dxa"/>
            <w:vAlign w:val="bottom"/>
          </w:tcPr>
          <w:p>
            <w:pPr>
              <w:spacing w:after="0"/>
              <w:rPr>
                <w:sz w:val="1"/>
                <w:szCs w:val="1"/>
                <w:color w:val="auto"/>
              </w:rPr>
            </w:pPr>
          </w:p>
        </w:tc>
      </w:tr>
      <w:tr>
        <w:trPr>
          <w:trHeight w:val="244"/>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Growing facility</w:t>
            </w:r>
          </w:p>
        </w:tc>
        <w:tc>
          <w:tcPr>
            <w:tcW w:w="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PMingLiU" w:cs="PMingLiU" w:eastAsia="PMingLiU" w:hAnsi="PMingLiU"/>
                <w:sz w:val="19"/>
                <w:szCs w:val="19"/>
                <w:color w:val="auto"/>
              </w:rPr>
              <w:t>(DVWHUQ8.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1,960,000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2031</w:t>
            </w:r>
          </w:p>
        </w:tc>
        <w:tc>
          <w:tcPr>
            <w:tcW w:w="0" w:type="dxa"/>
            <w:vAlign w:val="bottom"/>
          </w:tcPr>
          <w:p>
            <w:pPr>
              <w:spacing w:after="0"/>
              <w:rPr>
                <w:sz w:val="1"/>
                <w:szCs w:val="1"/>
                <w:color w:val="auto"/>
              </w:rPr>
            </w:pPr>
          </w:p>
        </w:tc>
      </w:tr>
      <w:tr>
        <w:trPr>
          <w:trHeight w:val="258"/>
        </w:trPr>
        <w:tc>
          <w:tcPr>
            <w:tcW w:w="3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Growing facility</w:t>
            </w:r>
          </w:p>
        </w:tc>
        <w:tc>
          <w:tcPr>
            <w:tcW w:w="40" w:type="dxa"/>
            <w:vAlign w:val="bottom"/>
          </w:tcPr>
          <w:p>
            <w:pPr>
              <w:spacing w:after="0"/>
              <w:rPr>
                <w:sz w:val="22"/>
                <w:szCs w:val="22"/>
                <w:color w:val="auto"/>
              </w:rPr>
            </w:pPr>
          </w:p>
        </w:tc>
        <w:tc>
          <w:tcPr>
            <w:tcW w:w="2720" w:type="dxa"/>
            <w:vAlign w:val="bottom"/>
          </w:tcPr>
          <w:p>
            <w:pPr>
              <w:ind w:left="60"/>
              <w:spacing w:after="0"/>
              <w:rPr>
                <w:sz w:val="20"/>
                <w:szCs w:val="20"/>
                <w:color w:val="auto"/>
              </w:rPr>
            </w:pPr>
            <w:r>
              <w:rPr>
                <w:rFonts w:ascii="PMingLiU" w:cs="PMingLiU" w:eastAsia="PMingLiU" w:hAnsi="PMingLiU"/>
                <w:sz w:val="19"/>
                <w:szCs w:val="19"/>
                <w:color w:val="auto"/>
              </w:rPr>
              <w:t>1RUWKHUQ8.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915,000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addition, we have offices in Japan, Australia, France and elsewhere in Europe.</w:t>
      </w:r>
    </w:p>
    <w:p>
      <w:pPr>
        <w:spacing w:after="0" w:line="131" w:lineRule="exact"/>
        <w:rPr>
          <w:sz w:val="20"/>
          <w:szCs w:val="20"/>
          <w:color w:val="auto"/>
        </w:rPr>
      </w:pPr>
    </w:p>
    <w:p>
      <w:pPr>
        <w:ind w:left="40" w:right="60" w:firstLine="480"/>
        <w:spacing w:after="0" w:line="299" w:lineRule="auto"/>
        <w:rPr>
          <w:sz w:val="20"/>
          <w:szCs w:val="20"/>
          <w:color w:val="auto"/>
        </w:rPr>
      </w:pPr>
      <w:r>
        <w:rPr>
          <w:rFonts w:ascii="Times New Roman" w:cs="Times New Roman" w:eastAsia="Times New Roman" w:hAnsi="Times New Roman"/>
          <w:sz w:val="19"/>
          <w:szCs w:val="19"/>
          <w:color w:val="auto"/>
        </w:rPr>
        <w:t>We believe that our existing properties are in good condition and suitable for the conduct of our business. As we continue to expand our operations, we may need to lease additional or alternative facilities.</w:t>
      </w:r>
    </w:p>
    <w:p>
      <w:pPr>
        <w:spacing w:after="0" w:line="93"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Item 3.</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1" w:lineRule="exact"/>
        <w:rPr>
          <w:sz w:val="20"/>
          <w:szCs w:val="20"/>
          <w:color w:val="auto"/>
        </w:rPr>
      </w:pPr>
    </w:p>
    <w:p>
      <w:pPr>
        <w:ind w:left="40" w:right="500" w:firstLine="438"/>
        <w:spacing w:after="0" w:line="260" w:lineRule="auto"/>
        <w:rPr>
          <w:sz w:val="20"/>
          <w:szCs w:val="20"/>
          <w:color w:val="auto"/>
        </w:rPr>
      </w:pPr>
      <w:r>
        <w:rPr>
          <w:rFonts w:ascii="Times New Roman" w:cs="Times New Roman" w:eastAsia="Times New Roman" w:hAnsi="Times New Roman"/>
          <w:sz w:val="19"/>
          <w:szCs w:val="19"/>
          <w:color w:val="auto"/>
        </w:rPr>
        <w:t xml:space="preserve">The information required to be set forth under this Item 3 is incorporated by reference to Note 13, Commitments and Contingencies—Legal Proceedings of the Notes to Consolidated Financial Statements, included in Part IV of this Annual Report on Form </w:t>
      </w:r>
      <w:r>
        <w:rPr>
          <w:rFonts w:ascii="PMingLiU" w:cs="PMingLiU" w:eastAsia="PMingLiU" w:hAnsi="PMingLiU"/>
          <w:sz w:val="19"/>
          <w:szCs w:val="19"/>
          <w:color w:val="auto"/>
        </w:rPr>
        <w:t> .</w:t>
      </w:r>
      <w:r>
        <w:rPr>
          <w:rFonts w:ascii="PMingLiU" w:cs="PMingLiU" w:eastAsia="PMingLiU" w:hAnsi="PMingLiU"/>
          <w:sz w:val="21"/>
          <w:szCs w:val="21"/>
          <w:color w:val="auto"/>
        </w:rPr>
        <w:t/>
      </w:r>
    </w:p>
    <w:p>
      <w:pPr>
        <w:spacing w:after="0" w:line="120"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Item 4.</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3480435</wp:posOffset>
            </wp:positionV>
            <wp:extent cx="259080" cy="2546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56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92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77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77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-208915</wp:posOffset>
            </wp:positionV>
            <wp:extent cx="1134745" cy="1168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56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40"/>
          </w:cols>
          <w:pgMar w:left="920" w:top="1011" w:right="919" w:bottom="0" w:gutter="0" w:footer="0" w:header="0"/>
        </w:sectPr>
      </w:pPr>
    </w:p>
    <w:bookmarkStart w:id="201" w:name="page202"/>
    <w:bookmarkEnd w:id="201"/>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88" w:lineRule="exact"/>
        <w:rPr>
          <w:sz w:val="20"/>
          <w:szCs w:val="20"/>
          <w:color w:val="auto"/>
        </w:rPr>
      </w:pPr>
    </w:p>
    <w:p>
      <w:pPr>
        <w:ind w:left="1200" w:right="280" w:hanging="1135"/>
        <w:spacing w:after="0" w:line="305" w:lineRule="auto"/>
        <w:tabs>
          <w:tab w:leader="none" w:pos="1180" w:val="left"/>
        </w:tabs>
        <w:rPr>
          <w:sz w:val="20"/>
          <w:szCs w:val="20"/>
          <w:color w:val="auto"/>
        </w:rPr>
      </w:pPr>
      <w:r>
        <w:rPr>
          <w:rFonts w:ascii="Times New Roman" w:cs="Times New Roman" w:eastAsia="Times New Roman" w:hAnsi="Times New Roman"/>
          <w:sz w:val="19"/>
          <w:szCs w:val="19"/>
          <w:b w:val="1"/>
          <w:bCs w:val="1"/>
          <w:color w:val="auto"/>
        </w:rPr>
        <w:t>Item 5.</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Market Information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Our ordinary shares trade on The Nasdaq Global Select Market under the trading symbol “JAZZ.”</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Holders of Ordinary Shares</w:t>
      </w:r>
    </w:p>
    <w:p>
      <w:pPr>
        <w:spacing w:after="0" w:line="133" w:lineRule="exact"/>
        <w:rPr>
          <w:sz w:val="20"/>
          <w:szCs w:val="20"/>
          <w:color w:val="auto"/>
        </w:rPr>
      </w:pPr>
    </w:p>
    <w:p>
      <w:pPr>
        <w:ind w:left="60" w:right="320" w:firstLine="479"/>
        <w:spacing w:after="0" w:line="277" w:lineRule="auto"/>
        <w:rPr>
          <w:sz w:val="20"/>
          <w:szCs w:val="20"/>
          <w:color w:val="auto"/>
        </w:rPr>
      </w:pPr>
      <w:r>
        <w:rPr>
          <w:rFonts w:ascii="Times New Roman" w:cs="Times New Roman" w:eastAsia="Times New Roman" w:hAnsi="Times New Roman"/>
          <w:sz w:val="19"/>
          <w:szCs w:val="19"/>
          <w:color w:val="auto"/>
        </w:rPr>
        <w:t>As of February 17, 2026, there were 878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Under Irish law, dividends may only be paid, and share repurchases and redemptions must generally be funded only out</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of, “distributable reserves.” In addition, the terms of the Amended Credit Agreement restrict our ability to make certain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restricted payments, including dividends and other distributions by us in respect of our ordinary shares, subject to, among other</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exceptions, (1) a general exception for dividends and other restricted payments not to exceed in the aggregate the greater of</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$350 million and 3.5% of consolidated total assets (as defined in the Amended Credit Agreement) when made, (2) an exception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that allows for dividends and other restricted payments equal to an amount tied to our financial performance, so long as no</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default or event of default shall have occurred and is continuing under the Amended Credit Agreement and the total net</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leverage ratio (as defined in the Amended Credit Agreement) on a pro forma basis does not exceed 5:1, and (3) an exception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that allows for additional dividends and other restricted payments, so long as no default or event of default shall have occurred</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and is continuing under the Amended Credit Agreement and the total net leverage ratio (as defined in the Amended Credit</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Agreement) on a pro forma basis is not greater than 4:1. Any future determination as to the payment of dividends will, subject</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to Irish legal requirements, be at the sole discretion of our board of directors and will depend on our consolidated financial</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condition, results of operations, capital requirements, compliance with the terms of the Amended Credit Agreement or other</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future borrowing arrangements, and other factors our board of directors deems relevant.</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Irish Law Matters</w:t>
      </w:r>
    </w:p>
    <w:p>
      <w:pPr>
        <w:spacing w:after="0" w:line="133" w:lineRule="exact"/>
        <w:rPr>
          <w:sz w:val="20"/>
          <w:szCs w:val="20"/>
          <w:color w:val="auto"/>
        </w:rPr>
      </w:pPr>
    </w:p>
    <w:p>
      <w:pPr>
        <w:ind w:left="60" w:right="240" w:firstLine="480"/>
        <w:spacing w:after="0" w:line="299" w:lineRule="auto"/>
        <w:rPr>
          <w:sz w:val="20"/>
          <w:szCs w:val="20"/>
          <w:color w:val="auto"/>
        </w:rPr>
      </w:pPr>
      <w:r>
        <w:rPr>
          <w:rFonts w:ascii="Times New Roman" w:cs="Times New Roman" w:eastAsia="Times New Roman" w:hAnsi="Times New Roman"/>
          <w:sz w:val="19"/>
          <w:szCs w:val="19"/>
          <w:color w:val="auto"/>
        </w:rPr>
        <w:t>As we are an Irish incorporated company, the following matters of Irish law are relevant to the holders of our ordinary shares.</w:t>
      </w:r>
    </w:p>
    <w:p>
      <w:pPr>
        <w:spacing w:after="0" w:line="42"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,ULVK5HVWULFWLRQVRQ,PSRUWDQG([SRUWRI&amp;DSLWDO</w:t>
      </w:r>
    </w:p>
    <w:p>
      <w:pPr>
        <w:spacing w:after="0" w:line="117"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It is an offense under Irish law (pursuant to various statutory instruments) to transfer funds or make funds or economic resources available, directly or indirectly to any person or entity in contravention of Irish, EU or United Nations sanctions or to otherwise contravene Irish, EU or United Nations sanctions. Any transfer of, or payment in respect of, securities involving a person or entity that is currently the subject of Irish, EU or United Nations sanctions or any person or entity controlled by any of the foregoing, or any person acting on behalf of the foregoing, may be subject to restrictions pursuant to such sanctions as implemented into Irish law.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1992 Act and underlying EU regulations prohibit financial transfers with certain persons and entities listed in the EU Consolidated Financial Sanctions List and United Nations Security Council Consolidated List, without the prior permission of the Central Bank of Ireland.</w:t>
      </w:r>
    </w:p>
    <w:p>
      <w:pPr>
        <w:spacing w:after="0" w:line="319" w:lineRule="exact"/>
        <w:rPr>
          <w:sz w:val="20"/>
          <w:szCs w:val="20"/>
          <w:color w:val="auto"/>
        </w:rPr>
      </w:pPr>
    </w:p>
    <w:p>
      <w:pPr>
        <w:ind w:left="60" w:right="240" w:firstLine="480"/>
        <w:spacing w:after="0" w:line="277" w:lineRule="auto"/>
        <w:rPr>
          <w:sz w:val="20"/>
          <w:szCs w:val="20"/>
          <w:color w:val="auto"/>
        </w:rPr>
      </w:pPr>
      <w:r>
        <w:rPr>
          <w:rFonts w:ascii="Times New Roman" w:cs="Times New Roman" w:eastAsia="Times New Roman" w:hAnsi="Times New Roman"/>
          <w:sz w:val="19"/>
          <w:szCs w:val="19"/>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62"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,ULVK7D[HV$SSOLFDEOHWR86+ROGHUV</w:t>
      </w:r>
    </w:p>
    <w:p>
      <w:pPr>
        <w:spacing w:after="0" w:line="117" w:lineRule="exact"/>
        <w:rPr>
          <w:sz w:val="20"/>
          <w:szCs w:val="20"/>
          <w:color w:val="auto"/>
        </w:rPr>
      </w:pPr>
    </w:p>
    <w:p>
      <w:pPr>
        <w:jc w:val="both"/>
        <w:ind w:left="60" w:right="500" w:firstLine="479"/>
        <w:spacing w:after="0" w:line="298" w:lineRule="auto"/>
        <w:rPr>
          <w:sz w:val="20"/>
          <w:szCs w:val="20"/>
          <w:color w:val="auto"/>
        </w:rPr>
      </w:pPr>
      <w:r>
        <w:rPr>
          <w:rFonts w:ascii="PMingLiU" w:cs="PMingLiU" w:eastAsia="PMingLiU" w:hAnsi="PMingLiU"/>
          <w:sz w:val="18"/>
          <w:szCs w:val="18"/>
          <w:i w:val="1"/>
          <w:iCs w:val="1"/>
          <w:color w:val="auto"/>
        </w:rPr>
        <w:t xml:space="preserve">,ULVK7D[RQ'LYLGHQGV </w:t>
      </w:r>
      <w:r>
        <w:rPr>
          <w:rFonts w:ascii="Times New Roman" w:cs="Times New Roman" w:eastAsia="Times New Roman" w:hAnsi="Times New Roman"/>
          <w:sz w:val="18"/>
          <w:szCs w:val="18"/>
          <w:color w:val="auto"/>
        </w:rPr>
        <w:t>While we have no current plans to pay dividends, dividends on our ordinary shares would</w:t>
      </w:r>
      <w:r>
        <w:rPr>
          <w:rFonts w:ascii="PMingLiU" w:cs="PMingLiU" w:eastAsia="PMingLiU" w:hAnsi="PMingLiU"/>
          <w:sz w:val="18"/>
          <w:szCs w:val="18"/>
          <w:i w:val="1"/>
          <w:iCs w:val="1"/>
          <w:color w:val="auto"/>
        </w:rPr>
        <w:t xml:space="preserve"> </w:t>
      </w:r>
      <w:r>
        <w:rPr>
          <w:rFonts w:ascii="Times New Roman" w:cs="Times New Roman" w:eastAsia="Times New Roman" w:hAnsi="Times New Roman"/>
          <w:sz w:val="18"/>
          <w:szCs w:val="18"/>
          <w:color w:val="auto"/>
        </w:rPr>
        <w:t>generally be subject to Irish Dividend Withholding Tax at the standard rate (currently 25%), unless an exemption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297815</wp:posOffset>
            </wp:positionV>
            <wp:extent cx="259080" cy="2546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56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78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56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60"/>
          </w:cols>
          <w:pgMar w:left="900" w:top="837" w:right="1019" w:bottom="0" w:gutter="0" w:footer="0" w:header="0"/>
        </w:sectPr>
      </w:pPr>
    </w:p>
    <w:bookmarkStart w:id="202" w:name="page203"/>
    <w:bookmarkEnd w:id="202"/>
    <w:p>
      <w:pPr>
        <w:ind w:right="220" w:firstLine="480"/>
        <w:spacing w:after="0" w:line="266" w:lineRule="auto"/>
        <w:rPr>
          <w:sz w:val="20"/>
          <w:szCs w:val="20"/>
          <w:color w:val="auto"/>
        </w:rPr>
      </w:pPr>
      <w:r>
        <w:rPr>
          <w:rFonts w:ascii="Times New Roman" w:cs="Times New Roman" w:eastAsia="Times New Roman" w:hAnsi="Times New Roman"/>
          <w:sz w:val="19"/>
          <w:szCs w:val="19"/>
          <w:color w:val="auto"/>
        </w:rPr>
        <w:t>Shareholders entitled to an exemption from Irish dividend withholding tax on dividends received from us will not be subject to Irish income tax in respect of those dividends, unless they have some connection with Ireland other than their shareholding in us (for example, they are resident in Ireland). Shareholders who are not resident nor ordinarily resident in Ireland but who are not entitled to an exemption from Irish dividend withholding tax will generally have no further liability to Irish income tax on those dividends which suffer Irish dividend withholding tax.</w:t>
      </w:r>
    </w:p>
    <w:p>
      <w:pPr>
        <w:spacing w:after="0" w:line="70" w:lineRule="exact"/>
        <w:rPr>
          <w:sz w:val="20"/>
          <w:szCs w:val="20"/>
          <w:color w:val="auto"/>
        </w:rPr>
      </w:pPr>
    </w:p>
    <w:p>
      <w:pPr>
        <w:ind w:right="80" w:firstLine="480"/>
        <w:spacing w:after="0" w:line="260" w:lineRule="auto"/>
        <w:rPr>
          <w:sz w:val="20"/>
          <w:szCs w:val="20"/>
          <w:color w:val="auto"/>
        </w:rPr>
      </w:pPr>
      <w:r>
        <w:rPr>
          <w:rFonts w:ascii="PMingLiU" w:cs="PMingLiU" w:eastAsia="PMingLiU" w:hAnsi="PMingLiU"/>
          <w:sz w:val="19"/>
          <w:szCs w:val="19"/>
          <w:i w:val="1"/>
          <w:iCs w:val="1"/>
          <w:color w:val="auto"/>
        </w:rPr>
        <w:t>,ULVK7D[RQ&amp;DSLWDO*DLQV</w:t>
      </w:r>
      <w:r>
        <w:rPr>
          <w:rFonts w:ascii="Times New Roman" w:cs="Times New Roman" w:eastAsia="Times New Roman" w:hAnsi="Times New Roman"/>
          <w:sz w:val="19"/>
          <w:szCs w:val="19"/>
          <w:color w:val="auto"/>
        </w:rPr>
        <w:t>. A shareholder who (i) is neither resident nor ordinarily resident in Ireland for Irish tax</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purposes and (ii) does not use or hold, and did not acquire, our ordinary shares in connection with a trade or business carried on by such shareholder in Ireland through a branch or agency generally should not be subject to Irish tax on capital gains on a disposal of our ordinary shares.</w:t>
      </w:r>
    </w:p>
    <w:p>
      <w:pPr>
        <w:spacing w:after="0" w:line="74" w:lineRule="exact"/>
        <w:rPr>
          <w:sz w:val="20"/>
          <w:szCs w:val="20"/>
          <w:color w:val="auto"/>
        </w:rPr>
      </w:pPr>
    </w:p>
    <w:p>
      <w:pPr>
        <w:ind w:right="200" w:firstLine="480"/>
        <w:spacing w:after="0" w:line="277" w:lineRule="auto"/>
        <w:rPr>
          <w:sz w:val="20"/>
          <w:szCs w:val="20"/>
          <w:color w:val="auto"/>
        </w:rPr>
      </w:pPr>
      <w:r>
        <w:rPr>
          <w:rFonts w:ascii="Times New Roman" w:cs="Times New Roman" w:eastAsia="Times New Roman" w:hAnsi="Times New Roman"/>
          <w:sz w:val="19"/>
          <w:szCs w:val="19"/>
          <w:color w:val="auto"/>
        </w:rPr>
        <w:t>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58" w:lineRule="exact"/>
        <w:rPr>
          <w:sz w:val="20"/>
          <w:szCs w:val="20"/>
          <w:color w:val="auto"/>
        </w:rPr>
      </w:pPr>
    </w:p>
    <w:p>
      <w:pPr>
        <w:ind w:right="100" w:firstLine="480"/>
        <w:spacing w:after="0" w:line="260" w:lineRule="auto"/>
        <w:rPr>
          <w:sz w:val="20"/>
          <w:szCs w:val="20"/>
          <w:color w:val="auto"/>
        </w:rPr>
      </w:pPr>
      <w:r>
        <w:rPr>
          <w:rFonts w:ascii="PMingLiU" w:cs="PMingLiU" w:eastAsia="PMingLiU" w:hAnsi="PMingLiU"/>
          <w:sz w:val="19"/>
          <w:szCs w:val="19"/>
          <w:i w:val="1"/>
          <w:iCs w:val="1"/>
          <w:color w:val="auto"/>
        </w:rPr>
        <w:t>&amp;DSLWDO$FTXLVLWLRQV7D[</w:t>
      </w:r>
      <w:r>
        <w:rPr>
          <w:rFonts w:ascii="Times New Roman" w:cs="Times New Roman" w:eastAsia="Times New Roman" w:hAnsi="Times New Roman"/>
          <w:sz w:val="19"/>
          <w:szCs w:val="19"/>
          <w:color w:val="auto"/>
        </w:rPr>
        <w:t>. Irish CAT is comprised principally of gift tax and inheritance tax. CAT could apply to a gift or</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CAT is levied at a rate of 33% above certain tax-free thresholds. The appropriate tax-free threshold is dependent upon</w:t>
      </w:r>
    </w:p>
    <w:p>
      <w:pPr>
        <w:spacing w:after="0" w:line="40" w:lineRule="exact"/>
        <w:rPr>
          <w:sz w:val="20"/>
          <w:szCs w:val="20"/>
          <w:color w:val="auto"/>
        </w:rPr>
      </w:pPr>
    </w:p>
    <w:p>
      <w:pPr>
        <w:ind w:right="160" w:firstLine="2"/>
        <w:spacing w:after="0" w:line="261" w:lineRule="auto"/>
        <w:tabs>
          <w:tab w:leader="none" w:pos="233"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72" w:lineRule="exact"/>
        <w:rPr>
          <w:sz w:val="20"/>
          <w:szCs w:val="20"/>
          <w:color w:val="auto"/>
        </w:rPr>
      </w:pPr>
    </w:p>
    <w:p>
      <w:pPr>
        <w:ind w:right="60" w:firstLine="480"/>
        <w:spacing w:after="0" w:line="260" w:lineRule="auto"/>
        <w:rPr>
          <w:sz w:val="20"/>
          <w:szCs w:val="20"/>
          <w:color w:val="auto"/>
        </w:rPr>
      </w:pPr>
      <w:r>
        <w:rPr>
          <w:rFonts w:ascii="PMingLiU" w:cs="PMingLiU" w:eastAsia="PMingLiU" w:hAnsi="PMingLiU"/>
          <w:sz w:val="19"/>
          <w:szCs w:val="19"/>
          <w:i w:val="1"/>
          <w:iCs w:val="1"/>
          <w:color w:val="auto"/>
        </w:rPr>
        <w:t xml:space="preserve">6WDPS'XW\ </w:t>
      </w:r>
      <w:r>
        <w:rPr>
          <w:rFonts w:ascii="Times New Roman" w:cs="Times New Roman" w:eastAsia="Times New Roman" w:hAnsi="Times New Roman"/>
          <w:sz w:val="19"/>
          <w:szCs w:val="19"/>
          <w:color w:val="auto"/>
        </w:rPr>
        <w:t>Irish stamp duty (if any) may become payable in respect of ordinary share transfers. However, a transfer of</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our ordinary shares from a seller who holds shares through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76"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2431415</wp:posOffset>
            </wp:positionV>
            <wp:extent cx="259080" cy="2546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56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79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79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57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9"/>
          <w:szCs w:val="19"/>
          <w:b w:val="1"/>
          <w:bCs w:val="1"/>
          <w:color w:val="auto"/>
        </w:rPr>
        <w:t>Performance Measurement Comparison (1)</w:t>
      </w:r>
    </w:p>
    <w:p>
      <w:pPr>
        <w:spacing w:after="0" w:line="133" w:lineRule="exact"/>
        <w:rPr>
          <w:sz w:val="20"/>
          <w:szCs w:val="20"/>
          <w:color w:val="auto"/>
        </w:rPr>
      </w:pPr>
    </w:p>
    <w:p>
      <w:pPr>
        <w:ind w:left="60" w:right="40" w:firstLine="480"/>
        <w:spacing w:after="0" w:line="266" w:lineRule="auto"/>
        <w:rPr>
          <w:sz w:val="20"/>
          <w:szCs w:val="20"/>
          <w:color w:val="auto"/>
        </w:rPr>
      </w:pPr>
      <w:r>
        <w:rPr>
          <w:rFonts w:ascii="Times New Roman" w:cs="Times New Roman" w:eastAsia="Times New Roman" w:hAnsi="Times New Roman"/>
          <w:sz w:val="19"/>
          <w:szCs w:val="19"/>
          <w:color w:val="auto"/>
        </w:rPr>
        <w:t>The following graphs show the TSR on the last day of each year of an investment of $100 in cash as if made on December 31, 2020 and on the last day of each quarter of an investment of $100 in cash as if made on December 31, 2024, respectively, in (i) our ordinary shares; (ii) the Nasdaq Composite Index; and (iii) the Nasdaq Biotechnology Index through December 31, 2025. The TSR shown in the graphs below are not necessarily indicative of future performance, and we do not make or endorse any predictions as to future shareholder returns.</w:t>
      </w:r>
    </w:p>
    <w:p>
      <w:pPr>
        <w:spacing w:after="0" w:line="6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9"/>
          <w:szCs w:val="19"/>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114935</wp:posOffset>
            </wp:positionV>
            <wp:extent cx="5618480" cy="29711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571">
                      <a:extLst>
                        <a:ext uri="{28A0092B-C50C-407E-A947-70E740481C1C}"/>
                      </a:extLst>
                    </a:blip>
                    <a:srcRect/>
                    <a:stretch>
                      <a:fillRect/>
                    </a:stretch>
                  </pic:blipFill>
                  <pic:spPr bwMode="auto">
                    <a:xfrm>
                      <a:off x="0" y="0"/>
                      <a:ext cx="5618480" cy="297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9"/>
          <w:szCs w:val="19"/>
          <w:b w:val="1"/>
          <w:bCs w:val="1"/>
          <w:color w:val="auto"/>
        </w:rPr>
        <w:t>COMPARISON OF ONE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114935</wp:posOffset>
            </wp:positionV>
            <wp:extent cx="5616575" cy="29978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572">
                      <a:extLst>
                        <a:ext uri="{28A0092B-C50C-407E-A947-70E740481C1C}"/>
                      </a:extLst>
                    </a:blip>
                    <a:srcRect/>
                    <a:stretch>
                      <a:fillRect/>
                    </a:stretch>
                  </pic:blipFill>
                  <pic:spPr bwMode="auto">
                    <a:xfrm>
                      <a:off x="0" y="0"/>
                      <a:ext cx="5616575"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_________________________</w:t>
      </w:r>
    </w:p>
    <w:p>
      <w:pPr>
        <w:spacing w:after="0" w:line="72" w:lineRule="exact"/>
        <w:rPr>
          <w:sz w:val="20"/>
          <w:szCs w:val="20"/>
          <w:color w:val="auto"/>
        </w:rPr>
      </w:pPr>
    </w:p>
    <w:p>
      <w:pPr>
        <w:ind w:left="680" w:hanging="348"/>
        <w:spacing w:after="0" w:line="265" w:lineRule="auto"/>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These performance graphs and related information are not “soliciting material,” are not deemed “filed” with the SEC for purposes of Section 18 of the Exchange Act or otherwise subject to the liabilities under that Section, nor shall such information be incorporated by reference into any of our filings under the Exchange Act or Securities Act, whether made before or after the date hereof and irrespective of any general incorporation language in any such filing.</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(2)</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Information used in the graphs was obtained from Research Data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242570</wp:posOffset>
            </wp:positionV>
            <wp:extent cx="259080" cy="2546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57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80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57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860"/>
          </w:cols>
          <w:pgMar w:left="900" w:top="837" w:right="1119" w:bottom="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Not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On July 31, 2024, we announced that our board of directors had authorized the New Repurchase Program pursuant to</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our board of directors authorized us to repurchase our ordinary shares for up to an aggregate purchase price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$500.0 million, exclusive of any brokerage commissions. Under the New Repurchase Program, which has no expiration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may repurchase our ordinary shares from time to time by any methods and/or structures permitted by applicable law.</w:t>
      </w:r>
    </w:p>
    <w:p>
      <w:pPr>
        <w:spacing w:after="0" w:line="232" w:lineRule="auto"/>
        <w:rPr>
          <w:sz w:val="20"/>
          <w:szCs w:val="20"/>
          <w:color w:val="auto"/>
        </w:rPr>
      </w:pPr>
      <w:r>
        <w:rPr>
          <w:rFonts w:ascii="Times New Roman" w:cs="Times New Roman" w:eastAsia="Times New Roman" w:hAnsi="Times New Roman"/>
          <w:sz w:val="19"/>
          <w:szCs w:val="19"/>
          <w:color w:val="auto"/>
        </w:rPr>
        <w:t>During the three months ended December 31, 2025, we did not repurchase any of our ordinary shares. As of</w:t>
      </w:r>
    </w:p>
    <w:p>
      <w:pPr>
        <w:spacing w:after="0"/>
        <w:rPr>
          <w:sz w:val="20"/>
          <w:szCs w:val="20"/>
          <w:color w:val="auto"/>
        </w:rPr>
      </w:pPr>
      <w:r>
        <w:rPr>
          <w:rFonts w:ascii="Times New Roman" w:cs="Times New Roman" w:eastAsia="Times New Roman" w:hAnsi="Times New Roman"/>
          <w:sz w:val="19"/>
          <w:szCs w:val="19"/>
          <w:color w:val="auto"/>
        </w:rPr>
        <w:t>December 31, 2025, the remaining amount authorized under the New Repurchase Program was $225.0 million.</w:t>
      </w:r>
      <w:r>
        <w:rPr>
          <w:rFonts w:ascii="PMingLiU" w:cs="PMingLiU" w:eastAsia="PMingLiU" w:hAnsi="PMingLiU"/>
          <w:sz w:val="23"/>
          <w:szCs w:val="23"/>
          <w:b w:val="1"/>
          <w:bCs w:val="1"/>
          <w:color w:val="auto"/>
        </w:rPr>
        <w:t/>
      </w:r>
    </w:p>
    <w:p>
      <w:pPr>
        <w:spacing w:after="0" w:line="80" w:lineRule="exact"/>
        <w:rPr>
          <w:sz w:val="20"/>
          <w:szCs w:val="20"/>
          <w:color w:val="auto"/>
        </w:rPr>
      </w:pPr>
    </w:p>
    <w:p>
      <w:pPr>
        <w:ind w:right="40" w:firstLine="480"/>
        <w:spacing w:after="0" w:line="270" w:lineRule="auto"/>
        <w:rPr>
          <w:sz w:val="20"/>
          <w:szCs w:val="20"/>
          <w:color w:val="auto"/>
        </w:rPr>
      </w:pPr>
      <w:r>
        <w:rPr>
          <w:rFonts w:ascii="Times New Roman" w:cs="Times New Roman" w:eastAsia="Times New Roman" w:hAnsi="Times New Roman"/>
          <w:sz w:val="19"/>
          <w:szCs w:val="19"/>
          <w:color w:val="auto"/>
        </w:rPr>
        <w:t>The timing and amount of repurchases will depend on a variety of factors, including the price of our ordinary shares, alternative investment opportunities, restrictions under our outstanding Amended Credit Agreement and the indenture for our Secured Notes, corporate and regulatory requirements, and market conditions. The New Repurchase Program may be modified, suspended or discontinued at any time without our prior notice.</w:t>
      </w:r>
    </w:p>
    <w:p>
      <w:pPr>
        <w:spacing w:after="0" w:line="200" w:lineRule="exact"/>
        <w:rPr>
          <w:sz w:val="20"/>
          <w:szCs w:val="20"/>
          <w:color w:val="auto"/>
        </w:rPr>
      </w:pPr>
    </w:p>
    <w:p>
      <w:pPr>
        <w:spacing w:after="0" w:line="26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6.</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0" w:lineRule="exact"/>
        <w:rPr>
          <w:sz w:val="20"/>
          <w:szCs w:val="20"/>
          <w:color w:val="auto"/>
        </w:rPr>
      </w:pPr>
    </w:p>
    <w:p>
      <w:pPr>
        <w:spacing w:after="0" w:line="325" w:lineRule="exact"/>
        <w:rPr>
          <w:sz w:val="20"/>
          <w:szCs w:val="20"/>
          <w:color w:val="auto"/>
        </w:rPr>
      </w:pPr>
    </w:p>
    <w:p>
      <w:pPr>
        <w:ind w:left="700" w:right="600" w:hanging="697"/>
        <w:spacing w:after="0" w:line="357" w:lineRule="auto"/>
        <w:tabs>
          <w:tab w:leader="none" w:pos="680" w:val="left"/>
        </w:tabs>
        <w:rPr>
          <w:sz w:val="20"/>
          <w:szCs w:val="20"/>
          <w:color w:val="auto"/>
        </w:rPr>
      </w:pPr>
      <w:r>
        <w:rPr>
          <w:rFonts w:ascii="Times New Roman" w:cs="Times New Roman" w:eastAsia="Times New Roman" w:hAnsi="Times New Roman"/>
          <w:sz w:val="19"/>
          <w:szCs w:val="19"/>
          <w:b w:val="1"/>
          <w:bCs w:val="1"/>
          <w:color w:val="auto"/>
        </w:rPr>
        <w:t>Item 7.</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4"/>
          <w:szCs w:val="14"/>
          <w:b w:val="1"/>
          <w:bCs w:val="1"/>
          <w:color w:val="auto"/>
        </w:rPr>
        <w:t xml:space="preserve">Management’s Discussion and Analysis of Financial Condition and Results of Operations </w:t>
      </w:r>
      <w:r>
        <w:rPr>
          <w:rFonts w:ascii="PMingLiU" w:cs="PMingLiU" w:eastAsia="PMingLiU" w:hAnsi="PMingLiU"/>
          <w:sz w:val="14"/>
          <w:szCs w:val="14"/>
          <w:i w:val="1"/>
          <w:iCs w:val="1"/>
          <w:color w:val="auto"/>
        </w:rPr>
        <w:t>7KHSXUSRVHRIWKH0DQDJHPHQW'LVFXVVLRQDQG$QDO\VLVLVWRSUHVHQWLQIRUPDWLRQWKDWPDQDJHPHQWEHOLHYHVLV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UHOHYDQWWRSURPRWHDQXQGHUVWDQGLQJRIRXUUHVXOWVRIRSHUDWLRQVDQGFDVKIORZVIRUWKHILVFDO\HDUHQGHG'HFHPEHU  </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DQGRXUILQDQFLDOFRQGLWLRQDVRI'HFHPEHU  DQGVKRXOGEHUHDGLQFRQMXQFWLRQZLWKWKHFRQVROLGDWHGILQDQFLDO</w:t>
      </w:r>
    </w:p>
    <w:p>
      <w:pPr>
        <w:spacing w:after="0" w:line="41" w:lineRule="exact"/>
        <w:rPr>
          <w:sz w:val="20"/>
          <w:szCs w:val="20"/>
          <w:color w:val="auto"/>
        </w:rPr>
      </w:pPr>
    </w:p>
    <w:p>
      <w:pPr>
        <w:ind w:right="120"/>
        <w:spacing w:after="0" w:line="322" w:lineRule="auto"/>
        <w:rPr>
          <w:sz w:val="20"/>
          <w:szCs w:val="20"/>
          <w:color w:val="auto"/>
        </w:rPr>
      </w:pPr>
      <w:r>
        <w:rPr>
          <w:rFonts w:ascii="PMingLiU" w:cs="PMingLiU" w:eastAsia="PMingLiU" w:hAnsi="PMingLiU"/>
          <w:sz w:val="14"/>
          <w:szCs w:val="14"/>
          <w:i w:val="1"/>
          <w:iCs w:val="1"/>
          <w:color w:val="auto"/>
        </w:rPr>
        <w:t>VWDWHPHQWVDQGQRWHVWRFRQVROLGDWHGILQDQFLDOVWDWHPHQWVLQFOXGHGHOVHZKHUHLQWKLV$QQXDO5HSRUWRQ)RUP  .7KLV GLVFXVVLRQFRQWDLQVIRUZDUG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 xml:space="preserve">ORRNLQJVWDWHPHQWVWKDWLQYROYHULVNVDQGXQFHUWDLQWLHV&lt;RXVKRXOGUHYLHZWKHULVNVDQG XQFHUWDLQWLHVGHVFULEHGLQ³5LVN)DFWRUV´LQ3DUW,,WHP </w:t>
      </w:r>
      <w:r>
        <w:rPr>
          <w:rFonts w:ascii="Times New Roman" w:cs="Times New Roman" w:eastAsia="Times New Roman" w:hAnsi="Times New Roman"/>
          <w:sz w:val="14"/>
          <w:szCs w:val="14"/>
          <w:i w:val="1"/>
          <w:iCs w:val="1"/>
          <w:color w:val="auto"/>
        </w:rPr>
        <w:t>1A in this Annual Report on Form</w:t>
      </w:r>
      <w:r>
        <w:rPr>
          <w:rFonts w:ascii="PMingLiU" w:cs="PMingLiU" w:eastAsia="PMingLiU" w:hAnsi="PMingLiU"/>
          <w:sz w:val="14"/>
          <w:szCs w:val="14"/>
          <w:i w:val="1"/>
          <w:iCs w:val="1"/>
          <w:color w:val="auto"/>
        </w:rPr>
        <w:t xml:space="preserve">  .IRUDGLVFXVVLRQRILPSRUWDQW IDFWRUVWKDWFRXOGFDXVHDFWXDOUHVXOWVWRGLIIHUPDWHULDOO\IURPWKRVHSURMHFWHGLQIRUZDUG</w:t>
      </w:r>
      <w:r>
        <w:rPr>
          <w:rFonts w:ascii="Times New Roman" w:cs="Times New Roman" w:eastAsia="Times New Roman" w:hAnsi="Times New Roman"/>
          <w:sz w:val="14"/>
          <w:szCs w:val="14"/>
          <w:i w:val="1"/>
          <w:iCs w:val="1"/>
          <w:color w:val="auto"/>
        </w:rPr>
        <w:t>-looking statements contained in this</w:t>
      </w:r>
      <w:r>
        <w:rPr>
          <w:rFonts w:ascii="PMingLiU" w:cs="PMingLiU" w:eastAsia="PMingLiU" w:hAnsi="PMingLiU"/>
          <w:sz w:val="14"/>
          <w:szCs w:val="14"/>
          <w:i w:val="1"/>
          <w:iCs w:val="1"/>
          <w:color w:val="auto"/>
        </w:rPr>
        <w:t xml:space="preserve"> UHSRUWRULPSOLHGE\SDVWUHVXOWVDQGWUHQGV)RUZDUG</w:t>
      </w:r>
      <w:r>
        <w:rPr>
          <w:rFonts w:ascii="Times New Roman" w:cs="Times New Roman" w:eastAsia="Times New Roman" w:hAnsi="Times New Roman"/>
          <w:sz w:val="14"/>
          <w:szCs w:val="14"/>
          <w:i w:val="1"/>
          <w:iCs w:val="1"/>
          <w:color w:val="auto"/>
        </w:rPr>
        <w:t>-looking statements are statements that attempt to forecast or anticipate</w:t>
      </w:r>
      <w:r>
        <w:rPr>
          <w:rFonts w:ascii="PMingLiU" w:cs="PMingLiU" w:eastAsia="PMingLiU" w:hAnsi="PMingLiU"/>
          <w:sz w:val="14"/>
          <w:szCs w:val="14"/>
          <w:i w:val="1"/>
          <w:iCs w:val="1"/>
          <w:color w:val="auto"/>
        </w:rPr>
        <w:t xml:space="preserve"> IXWXUHGHYHORSPHQWVLQRXUEXVLQHVVILQDQFLDOFRQGLWLRQRUUHVXOWVRIRSHUDWLRQV6HHWKH³&amp;DXWLRQDU\1RWH5HJDUGLQJ )RUZDUG</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/RRNLQJ6WDWHPHQWV´WKDWDSSHDUVDWWKHEHJLQQLQJRIWKLV$QQXDO5HSRUWRQ)RUP</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.7KHVHVWDWHPHQWVOLNHDOO VWDWHPHQWVLQWKLVUHSRUWVSHDNRQO\DVRIWKHGDWHRIWKLV$QQXDO5HSRUWRQ)RUP</w:t>
      </w:r>
      <w:r>
        <w:rPr>
          <w:rFonts w:ascii="Times New Roman" w:cs="Times New Roman" w:eastAsia="Times New Roman" w:hAnsi="Times New Roman"/>
          <w:sz w:val="14"/>
          <w:szCs w:val="14"/>
          <w:i w:val="1"/>
          <w:iCs w:val="1"/>
          <w:color w:val="auto"/>
        </w:rPr>
        <w:t>-</w:t>
      </w:r>
      <w:r>
        <w:rPr>
          <w:rFonts w:ascii="PMingLiU" w:cs="PMingLiU" w:eastAsia="PMingLiU" w:hAnsi="PMingLiU"/>
          <w:sz w:val="14"/>
          <w:szCs w:val="14"/>
          <w:i w:val="1"/>
          <w:iCs w:val="1"/>
          <w:color w:val="auto"/>
        </w:rPr>
        <w:t>.XQOHVVDQRWKHUGDWHLVLQGLFDWHGDQG</w:t>
      </w:r>
    </w:p>
    <w:p>
      <w:pPr>
        <w:spacing w:after="0" w:line="2" w:lineRule="exact"/>
        <w:rPr>
          <w:sz w:val="20"/>
          <w:szCs w:val="20"/>
          <w:color w:val="auto"/>
        </w:rPr>
      </w:pPr>
    </w:p>
    <w:p>
      <w:pPr>
        <w:spacing w:after="0"/>
        <w:rPr>
          <w:sz w:val="20"/>
          <w:szCs w:val="20"/>
          <w:color w:val="auto"/>
        </w:rPr>
      </w:pPr>
      <w:r>
        <w:rPr>
          <w:rFonts w:ascii="PMingLiU" w:cs="PMingLiU" w:eastAsia="PMingLiU" w:hAnsi="PMingLiU"/>
          <w:sz w:val="18"/>
          <w:szCs w:val="18"/>
          <w:i w:val="1"/>
          <w:iCs w:val="1"/>
          <w:color w:val="auto"/>
        </w:rPr>
        <w:t xml:space="preserve">ZHXQGHUWDNHQRREOLJDWLRQWRXSGDWHRUUHYLVHWKHVHVWDWHPHQWVLQOLJKWRIIXWXUHGHYHORSPHQWV </w:t>
      </w:r>
      <w:r>
        <w:rPr>
          <w:rFonts w:ascii="PMingLiU" w:cs="PMingLiU" w:eastAsia="PMingLiU" w:hAnsi="PMingLiU"/>
          <w:sz w:val="21"/>
          <w:szCs w:val="21"/>
          <w:color w:val="auto"/>
        </w:rPr>
        <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3" w:lineRule="exact"/>
        <w:rPr>
          <w:sz w:val="20"/>
          <w:szCs w:val="20"/>
          <w:color w:val="auto"/>
        </w:rPr>
      </w:pPr>
    </w:p>
    <w:p>
      <w:pPr>
        <w:ind w:right="200" w:firstLine="480"/>
        <w:spacing w:after="0" w:line="260" w:lineRule="auto"/>
        <w:rPr>
          <w:sz w:val="20"/>
          <w:szCs w:val="20"/>
          <w:color w:val="auto"/>
        </w:rPr>
      </w:pPr>
      <w:r>
        <w:rPr>
          <w:rFonts w:ascii="Times New Roman" w:cs="Times New Roman" w:eastAsia="Times New Roman" w:hAnsi="Times New Roman"/>
          <w:sz w:val="19"/>
          <w:szCs w:val="19"/>
          <w:color w:val="auto"/>
        </w:rPr>
        <w:t xml:space="preserve">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 </w:t>
      </w:r>
      <w:r>
        <w:rPr>
          <w:rFonts w:ascii="PMingLiU" w:cs="PMingLiU" w:eastAsia="PMingLiU" w:hAnsi="PMingLiU"/>
          <w:sz w:val="21"/>
          <w:szCs w:val="21"/>
          <w:b w:val="1"/>
          <w:bCs w:val="1"/>
          <w:color w:val="auto"/>
        </w:rPr>
        <w:t/>
      </w:r>
    </w:p>
    <w:p>
      <w:pPr>
        <w:spacing w:after="0" w:line="57"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9"/>
          <w:szCs w:val="19"/>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0" w:lineRule="exact"/>
        <w:rPr>
          <w:sz w:val="20"/>
          <w:szCs w:val="20"/>
          <w:color w:val="auto"/>
        </w:rPr>
      </w:pPr>
    </w:p>
    <w:p>
      <w:pPr>
        <w:ind w:right="360" w:firstLine="480"/>
        <w:spacing w:after="0" w:line="283" w:lineRule="auto"/>
        <w:rPr>
          <w:sz w:val="20"/>
          <w:szCs w:val="20"/>
          <w:color w:val="auto"/>
        </w:rPr>
      </w:pPr>
      <w:r>
        <w:rPr>
          <w:rFonts w:ascii="Times New Roman" w:cs="Times New Roman" w:eastAsia="Times New Roman" w:hAnsi="Times New Roman"/>
          <w:sz w:val="19"/>
          <w:szCs w:val="19"/>
          <w:color w:val="auto"/>
        </w:rPr>
        <w:t>We continue to invest in pipeline programs that further our rare disease strategy. For a summary of our ongoing R&amp;D activities, see “Business—Research and Development Progress” in Part I, Item 1 of this Annual Report on Form 10-</w:t>
      </w:r>
      <w:r>
        <w:rPr>
          <w:rFonts w:ascii="PMingLiU" w:cs="PMingLiU" w:eastAsia="PMingLiU" w:hAnsi="PMingLiU"/>
          <w:sz w:val="19"/>
          <w:szCs w:val="19"/>
          <w:color w:val="auto"/>
        </w:rPr>
        <w:t>.</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lead marketed products, listed below, are approved in countries around the world to improve patient care.</w:t>
      </w:r>
    </w:p>
    <w:p>
      <w:pPr>
        <w:spacing w:after="0" w:line="182" w:lineRule="exact"/>
        <w:rPr>
          <w:sz w:val="20"/>
          <w:szCs w:val="20"/>
          <w:color w:val="auto"/>
        </w:rPr>
      </w:pPr>
    </w:p>
    <w:p>
      <w:pPr>
        <w:ind w:left="480"/>
        <w:spacing w:after="0"/>
        <w:tabs>
          <w:tab w:leader="none" w:pos="2780" w:val="left"/>
          <w:tab w:leader="none" w:pos="6040" w:val="left"/>
        </w:tabs>
        <w:rPr>
          <w:sz w:val="20"/>
          <w:szCs w:val="20"/>
          <w:color w:val="auto"/>
        </w:rPr>
      </w:pPr>
      <w:r>
        <w:rPr>
          <w:rFonts w:ascii="Times New Roman" w:cs="Times New Roman" w:eastAsia="Times New Roman" w:hAnsi="Times New Roman"/>
          <w:sz w:val="19"/>
          <w:szCs w:val="19"/>
          <w:b w:val="1"/>
          <w:bCs w:val="1"/>
          <w:u w:val="single" w:color="auto"/>
          <w:color w:val="auto"/>
        </w:rPr>
        <w:t>Product</w:t>
      </w:r>
      <w:r>
        <w:rPr>
          <w:sz w:val="20"/>
          <w:szCs w:val="20"/>
          <w:color w:val="auto"/>
        </w:rPr>
        <w:tab/>
      </w:r>
      <w:r>
        <w:rPr>
          <w:rFonts w:ascii="Times New Roman" w:cs="Times New Roman" w:eastAsia="Times New Roman" w:hAnsi="Times New Roman"/>
          <w:sz w:val="19"/>
          <w:szCs w:val="19"/>
          <w:b w:val="1"/>
          <w:bCs w:val="1"/>
          <w:u w:val="single" w:color="auto"/>
          <w:color w:val="auto"/>
        </w:rPr>
        <w:t>Indications</w:t>
      </w:r>
      <w:r>
        <w:rPr>
          <w:sz w:val="20"/>
          <w:szCs w:val="20"/>
          <w:color w:val="auto"/>
        </w:rPr>
        <w:tab/>
      </w:r>
      <w:r>
        <w:rPr>
          <w:rFonts w:ascii="Times New Roman" w:cs="Times New Roman" w:eastAsia="Times New Roman" w:hAnsi="Times New Roman"/>
          <w:sz w:val="19"/>
          <w:szCs w:val="19"/>
          <w:b w:val="1"/>
          <w:bCs w:val="1"/>
          <w:u w:val="single" w:color="auto"/>
          <w:color w:val="auto"/>
        </w:rPr>
        <w:t>Initial Approval Date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664210</wp:posOffset>
            </wp:positionV>
            <wp:extent cx="259080" cy="2546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575">
                      <a:extLst>
                        <a:ext uri="{28A0092B-C50C-407E-A947-70E740481C1C}"/>
                      </a:extLst>
                    </a:blip>
                    <a:srcRect/>
                    <a:stretch>
                      <a:fillRect/>
                    </a:stretch>
                  </pic:blipFill>
                  <pic:spPr bwMode="auto">
                    <a:xfrm>
                      <a:off x="0" y="0"/>
                      <a:ext cx="259080" cy="2546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264160</wp:posOffset>
                </wp:positionH>
                <wp:positionV relativeFrom="paragraph">
                  <wp:posOffset>41275</wp:posOffset>
                </wp:positionV>
                <wp:extent cx="6328410"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8410" cy="4763"/>
                        </a:xfrm>
                        <a:prstGeom prst="line">
                          <a:avLst/>
                        </a:prstGeom>
                        <a:solidFill>
                          <a:srgbClr val="FFFFFF"/>
                        </a:solidFill>
                        <a:ln w="11810">
                          <a:solidFill>
                            <a:srgbClr val="B6B6B6"/>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pt,3.25pt" to="519.1pt,3.25pt" o:allowincell="f" strokecolor="#B6B6B6" strokeweight="0.92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81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81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57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Product</w:t>
            </w:r>
          </w:p>
        </w:tc>
        <w:tc>
          <w:tcPr>
            <w:tcW w:w="3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Indications</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w w:val="99"/>
              </w:rPr>
              <w:t>Initial Approval Date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Markets</w:t>
            </w:r>
          </w:p>
        </w:tc>
        <w:tc>
          <w:tcPr>
            <w:tcW w:w="0" w:type="dxa"/>
            <w:vAlign w:val="bottom"/>
          </w:tcPr>
          <w:p>
            <w:pPr>
              <w:spacing w:after="0"/>
              <w:rPr>
                <w:sz w:val="1"/>
                <w:szCs w:val="1"/>
                <w:color w:val="auto"/>
              </w:rPr>
            </w:pPr>
          </w:p>
        </w:tc>
      </w:tr>
      <w:tr>
        <w:trPr>
          <w:trHeight w:val="31"/>
        </w:trPr>
        <w:tc>
          <w:tcPr>
            <w:tcW w:w="500" w:type="dxa"/>
            <w:vAlign w:val="bottom"/>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660" w:type="dxa"/>
            <w:vAlign w:val="bottom"/>
            <w:tcBorders>
              <w:top w:val="single" w:sz="8" w:color="auto"/>
              <w:bottom w:val="single" w:sz="8" w:color="B6B6B6"/>
            </w:tcBorders>
          </w:tcPr>
          <w:p>
            <w:pPr>
              <w:spacing w:after="0"/>
              <w:rPr>
                <w:sz w:val="2"/>
                <w:szCs w:val="2"/>
                <w:color w:val="auto"/>
              </w:rPr>
            </w:pPr>
          </w:p>
        </w:tc>
        <w:tc>
          <w:tcPr>
            <w:tcW w:w="162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940" w:type="dxa"/>
            <w:vAlign w:val="bottom"/>
            <w:tcBorders>
              <w:top w:val="single" w:sz="8" w:color="auto"/>
              <w:bottom w:val="single" w:sz="8" w:color="B6B6B6"/>
            </w:tcBorders>
          </w:tcPr>
          <w:p>
            <w:pPr>
              <w:spacing w:after="0"/>
              <w:rPr>
                <w:sz w:val="2"/>
                <w:szCs w:val="2"/>
                <w:color w:val="auto"/>
              </w:rPr>
            </w:pPr>
          </w:p>
        </w:tc>
        <w:tc>
          <w:tcPr>
            <w:tcW w:w="228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1760" w:type="dxa"/>
            <w:vAlign w:val="bottom"/>
            <w:tcBorders>
              <w:top w:val="single" w:sz="8" w:color="auto"/>
              <w:bottom w:val="single" w:sz="8" w:color="B6B6B6"/>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700" w:type="dxa"/>
            <w:vAlign w:val="bottom"/>
            <w:tcBorders>
              <w:top w:val="single" w:sz="8" w:color="auto"/>
              <w:bottom w:val="single" w:sz="8" w:color="B6B6B6"/>
            </w:tcBorders>
          </w:tcPr>
          <w:p>
            <w:pPr>
              <w:spacing w:after="0"/>
              <w:rPr>
                <w:sz w:val="2"/>
                <w:szCs w:val="2"/>
                <w:color w:val="auto"/>
              </w:rPr>
            </w:pPr>
          </w:p>
        </w:tc>
        <w:tc>
          <w:tcPr>
            <w:tcW w:w="1760" w:type="dxa"/>
            <w:vAlign w:val="bottom"/>
            <w:tcBorders>
              <w:bottom w:val="single" w:sz="8" w:color="B6B6B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cataplexy or EDS in</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July 2020</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Xywav® (calcium,</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patients seven years of age and older</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right w:val="single" w:sz="8" w:color="B6B6B6"/>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with narcolepsy.</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500" w:type="dxa"/>
            <w:vAlign w:val="bottom"/>
            <w:tcBorders>
              <w:right w:val="single" w:sz="8" w:color="B6B6B6"/>
            </w:tcBorders>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magnesium, potassium, and</w:t>
            </w:r>
          </w:p>
        </w:tc>
        <w:tc>
          <w:tcPr>
            <w:tcW w:w="40" w:type="dxa"/>
            <w:vAlign w:val="bottom"/>
            <w:tcBorders>
              <w:bottom w:val="single" w:sz="8" w:color="B6B6B6"/>
            </w:tcBorders>
          </w:tcPr>
          <w:p>
            <w:pPr>
              <w:spacing w:after="0"/>
              <w:rPr>
                <w:sz w:val="5"/>
                <w:szCs w:val="5"/>
                <w:color w:val="auto"/>
              </w:rPr>
            </w:pPr>
          </w:p>
        </w:tc>
        <w:tc>
          <w:tcPr>
            <w:tcW w:w="3220" w:type="dxa"/>
            <w:vAlign w:val="bottom"/>
            <w:tcBorders>
              <w:bottom w:val="single" w:sz="8" w:color="B6B6B6"/>
              <w:right w:val="single" w:sz="8" w:color="B6B6B6"/>
            </w:tcBorders>
            <w:gridSpan w:val="2"/>
          </w:tcPr>
          <w:p>
            <w:pPr>
              <w:spacing w:after="0"/>
              <w:rPr>
                <w:sz w:val="5"/>
                <w:szCs w:val="5"/>
                <w:color w:val="auto"/>
              </w:rPr>
            </w:pPr>
          </w:p>
        </w:tc>
        <w:tc>
          <w:tcPr>
            <w:tcW w:w="1800" w:type="dxa"/>
            <w:vAlign w:val="bottom"/>
            <w:tcBorders>
              <w:bottom w:val="single" w:sz="8" w:color="B6B6B6"/>
            </w:tcBorders>
            <w:gridSpan w:val="2"/>
          </w:tcPr>
          <w:p>
            <w:pPr>
              <w:spacing w:after="0"/>
              <w:rPr>
                <w:sz w:val="5"/>
                <w:szCs w:val="5"/>
                <w:color w:val="auto"/>
              </w:rPr>
            </w:pPr>
          </w:p>
        </w:tc>
        <w:tc>
          <w:tcPr>
            <w:tcW w:w="80" w:type="dxa"/>
            <w:vAlign w:val="bottom"/>
            <w:tcBorders>
              <w:bottom w:val="single" w:sz="8" w:color="B6B6B6"/>
              <w:right w:val="single" w:sz="8" w:color="B6B6B6"/>
            </w:tcBorders>
          </w:tcPr>
          <w:p>
            <w:pPr>
              <w:spacing w:after="0"/>
              <w:rPr>
                <w:sz w:val="5"/>
                <w:szCs w:val="5"/>
                <w:color w:val="auto"/>
              </w:rPr>
            </w:pPr>
          </w:p>
        </w:tc>
        <w:tc>
          <w:tcPr>
            <w:tcW w:w="40" w:type="dxa"/>
            <w:vAlign w:val="bottom"/>
            <w:tcBorders>
              <w:bottom w:val="single" w:sz="8" w:color="B6B6B6"/>
            </w:tcBorders>
          </w:tcPr>
          <w:p>
            <w:pPr>
              <w:spacing w:after="0"/>
              <w:rPr>
                <w:sz w:val="5"/>
                <w:szCs w:val="5"/>
                <w:color w:val="auto"/>
              </w:rPr>
            </w:pPr>
          </w:p>
        </w:tc>
        <w:tc>
          <w:tcPr>
            <w:tcW w:w="2460" w:type="dxa"/>
            <w:vAlign w:val="bottom"/>
            <w:tcBorders>
              <w:bottom w:val="single" w:sz="8" w:color="B6B6B6"/>
              <w:right w:val="single" w:sz="8" w:color="B6B6B6"/>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Treatment of IH in adults.</w:t>
            </w:r>
          </w:p>
        </w:tc>
        <w:tc>
          <w:tcPr>
            <w:tcW w:w="180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9"/>
                <w:szCs w:val="19"/>
                <w:color w:val="auto"/>
              </w:rPr>
              <w:t>August 2021</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72"/>
        </w:trPr>
        <w:tc>
          <w:tcPr>
            <w:tcW w:w="500" w:type="dxa"/>
            <w:vAlign w:val="bottom"/>
            <w:tcBorders>
              <w:right w:val="single" w:sz="8" w:color="B6B6B6"/>
            </w:tcBorders>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sodium oxybates)</w:t>
            </w:r>
          </w:p>
        </w:tc>
        <w:tc>
          <w:tcPr>
            <w:tcW w:w="40" w:type="dxa"/>
            <w:vAlign w:val="bottom"/>
            <w:tcBorders>
              <w:bottom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2280" w:type="dxa"/>
            <w:vAlign w:val="bottom"/>
            <w:tcBorders>
              <w:bottom w:val="single" w:sz="8" w:color="B6B6B6"/>
              <w:right w:val="single" w:sz="8" w:color="B6B6B6"/>
            </w:tcBorders>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1760" w:type="dxa"/>
            <w:vAlign w:val="bottom"/>
            <w:tcBorders>
              <w:bottom w:val="single" w:sz="8" w:color="B6B6B6"/>
            </w:tcBorders>
          </w:tcPr>
          <w:p>
            <w:pPr>
              <w:spacing w:after="0"/>
              <w:rPr>
                <w:sz w:val="6"/>
                <w:szCs w:val="6"/>
                <w:color w:val="auto"/>
              </w:rPr>
            </w:pPr>
          </w:p>
        </w:tc>
        <w:tc>
          <w:tcPr>
            <w:tcW w:w="80" w:type="dxa"/>
            <w:vAlign w:val="bottom"/>
            <w:tcBorders>
              <w:bottom w:val="single" w:sz="8" w:color="B6B6B6"/>
              <w:right w:val="single" w:sz="8" w:color="B6B6B6"/>
            </w:tcBorders>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700" w:type="dxa"/>
            <w:vAlign w:val="bottom"/>
            <w:tcBorders>
              <w:bottom w:val="single" w:sz="8" w:color="B6B6B6"/>
            </w:tcBorders>
          </w:tcPr>
          <w:p>
            <w:pPr>
              <w:spacing w:after="0"/>
              <w:rPr>
                <w:sz w:val="6"/>
                <w:szCs w:val="6"/>
                <w:color w:val="auto"/>
              </w:rPr>
            </w:pPr>
          </w:p>
        </w:tc>
        <w:tc>
          <w:tcPr>
            <w:tcW w:w="1260" w:type="dxa"/>
            <w:vAlign w:val="bottom"/>
            <w:tcBorders>
              <w:bottom w:val="single" w:sz="8" w:color="B6B6B6"/>
            </w:tcBorders>
          </w:tcPr>
          <w:p>
            <w:pPr>
              <w:spacing w:after="0"/>
              <w:rPr>
                <w:sz w:val="6"/>
                <w:szCs w:val="6"/>
                <w:color w:val="auto"/>
              </w:rPr>
            </w:pPr>
          </w:p>
        </w:tc>
        <w:tc>
          <w:tcPr>
            <w:tcW w:w="500" w:type="dxa"/>
            <w:vAlign w:val="bottom"/>
            <w:tcBorders>
              <w:bottom w:val="single" w:sz="8" w:color="B6B6B6"/>
              <w:right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Borders>
              <w:right w:val="single" w:sz="8" w:color="B6B6B6"/>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cataplexy in patients with</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May 2023</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249"/>
        </w:trPr>
        <w:tc>
          <w:tcPr>
            <w:tcW w:w="500" w:type="dxa"/>
            <w:vAlign w:val="bottom"/>
            <w:tcBorders>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660" w:type="dxa"/>
            <w:vAlign w:val="bottom"/>
            <w:tcBorders>
              <w:bottom w:val="single" w:sz="8" w:color="B6B6B6"/>
            </w:tcBorders>
          </w:tcPr>
          <w:p>
            <w:pPr>
              <w:spacing w:after="0"/>
              <w:rPr>
                <w:sz w:val="21"/>
                <w:szCs w:val="21"/>
                <w:color w:val="auto"/>
              </w:rPr>
            </w:pPr>
          </w:p>
        </w:tc>
        <w:tc>
          <w:tcPr>
            <w:tcW w:w="162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narcolepsy.</w:t>
            </w:r>
          </w:p>
        </w:tc>
        <w:tc>
          <w:tcPr>
            <w:tcW w:w="40" w:type="dxa"/>
            <w:vAlign w:val="bottom"/>
            <w:tcBorders>
              <w:bottom w:val="single" w:sz="8" w:color="B6B6B6"/>
            </w:tcBorders>
          </w:tcPr>
          <w:p>
            <w:pPr>
              <w:spacing w:after="0"/>
              <w:rPr>
                <w:sz w:val="21"/>
                <w:szCs w:val="21"/>
                <w:color w:val="auto"/>
              </w:rPr>
            </w:pPr>
          </w:p>
        </w:tc>
        <w:tc>
          <w:tcPr>
            <w:tcW w:w="1760" w:type="dxa"/>
            <w:vAlign w:val="bottom"/>
            <w:tcBorders>
              <w:bottom w:val="single" w:sz="8" w:color="B6B6B6"/>
            </w:tcBorders>
          </w:tcPr>
          <w:p>
            <w:pPr>
              <w:spacing w:after="0"/>
              <w:rPr>
                <w:sz w:val="21"/>
                <w:szCs w:val="21"/>
                <w:color w:val="auto"/>
              </w:rPr>
            </w:pPr>
          </w:p>
        </w:tc>
        <w:tc>
          <w:tcPr>
            <w:tcW w:w="8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700" w:type="dxa"/>
            <w:vAlign w:val="bottom"/>
            <w:tcBorders>
              <w:bottom w:val="single" w:sz="8" w:color="B6B6B6"/>
            </w:tcBorders>
          </w:tcPr>
          <w:p>
            <w:pPr>
              <w:spacing w:after="0"/>
              <w:rPr>
                <w:sz w:val="21"/>
                <w:szCs w:val="21"/>
                <w:color w:val="auto"/>
              </w:rPr>
            </w:pPr>
          </w:p>
        </w:tc>
        <w:tc>
          <w:tcPr>
            <w:tcW w:w="1260" w:type="dxa"/>
            <w:vAlign w:val="bottom"/>
            <w:tcBorders>
              <w:bottom w:val="single" w:sz="8" w:color="B6B6B6"/>
            </w:tcBorders>
          </w:tcPr>
          <w:p>
            <w:pPr>
              <w:spacing w:after="0"/>
              <w:rPr>
                <w:sz w:val="21"/>
                <w:szCs w:val="21"/>
                <w:color w:val="auto"/>
              </w:rPr>
            </w:pPr>
          </w:p>
        </w:tc>
        <w:tc>
          <w:tcPr>
            <w:tcW w:w="500" w:type="dxa"/>
            <w:vAlign w:val="bottom"/>
            <w:tcBorders>
              <w:bottom w:val="single" w:sz="8" w:color="B6B6B6"/>
              <w:right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seizures associated with</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June 2018 and July</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LGS, DS, or TSC in patients 1 year of</w:t>
            </w:r>
          </w:p>
        </w:tc>
        <w:tc>
          <w:tcPr>
            <w:tcW w:w="180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2020</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age and older.</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Epidiolex® (cannabidiol)</w:t>
            </w: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Adjunctive therapy of seizures</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April and October</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Israel</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associated with LGS, DS, or TSC in</w:t>
            </w:r>
          </w:p>
        </w:tc>
        <w:tc>
          <w:tcPr>
            <w:tcW w:w="180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9"/>
                <w:szCs w:val="19"/>
                <w:color w:val="auto"/>
              </w:rPr>
              <w:t>2021</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patients 1 year of age and older.</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For adjunctive therapy of seizures</w:t>
            </w:r>
          </w:p>
        </w:tc>
        <w:tc>
          <w:tcPr>
            <w:tcW w:w="180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9"/>
                <w:szCs w:val="19"/>
                <w:color w:val="auto"/>
              </w:rPr>
              <w:t>November 2023</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associated with LGS, DS or TSC for</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660" w:type="dxa"/>
            <w:vAlign w:val="bottom"/>
            <w:tcBorders>
              <w:bottom w:val="single" w:sz="8" w:color="B6B6B6"/>
            </w:tcBorders>
          </w:tcPr>
          <w:p>
            <w:pPr>
              <w:spacing w:after="0"/>
              <w:rPr>
                <w:sz w:val="22"/>
                <w:szCs w:val="22"/>
                <w:color w:val="auto"/>
              </w:rPr>
            </w:pPr>
          </w:p>
        </w:tc>
        <w:tc>
          <w:tcPr>
            <w:tcW w:w="162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patients 2 years of age and older.</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For adjunctive therapy of seizures</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September 2019</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EU, Great Britain, EEA,</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associated with LGS or DS, in</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Switzerland, Australia, other</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conjunction with clobazam, for patients</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markets</w:t>
            </w:r>
          </w:p>
        </w:tc>
        <w:tc>
          <w:tcPr>
            <w:tcW w:w="0" w:type="dxa"/>
            <w:vAlign w:val="bottom"/>
          </w:tcPr>
          <w:p>
            <w:pPr>
              <w:spacing w:after="0"/>
              <w:rPr>
                <w:sz w:val="1"/>
                <w:szCs w:val="1"/>
                <w:color w:val="auto"/>
              </w:rPr>
            </w:pPr>
          </w:p>
        </w:tc>
      </w:tr>
      <w:tr>
        <w:trPr>
          <w:trHeight w:val="268"/>
        </w:trPr>
        <w:tc>
          <w:tcPr>
            <w:tcW w:w="500" w:type="dxa"/>
            <w:vAlign w:val="bottom"/>
            <w:tcBorders>
              <w:right w:val="single" w:sz="8" w:color="B6B6B6"/>
            </w:tcBorders>
          </w:tcPr>
          <w:p>
            <w:pPr>
              <w:spacing w:after="0"/>
              <w:rPr>
                <w:sz w:val="23"/>
                <w:szCs w:val="23"/>
                <w:color w:val="auto"/>
              </w:rPr>
            </w:pPr>
          </w:p>
        </w:tc>
        <w:tc>
          <w:tcPr>
            <w:tcW w:w="40" w:type="dxa"/>
            <w:vAlign w:val="bottom"/>
          </w:tcPr>
          <w:p>
            <w:pPr>
              <w:spacing w:after="0"/>
              <w:rPr>
                <w:sz w:val="23"/>
                <w:szCs w:val="23"/>
                <w:color w:val="auto"/>
              </w:rPr>
            </w:pPr>
          </w:p>
        </w:tc>
        <w:tc>
          <w:tcPr>
            <w:tcW w:w="228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Epidyolex® (cannabidiol)</w:t>
            </w:r>
          </w:p>
        </w:tc>
        <w:tc>
          <w:tcPr>
            <w:tcW w:w="40" w:type="dxa"/>
            <w:vAlign w:val="bottom"/>
            <w:tcBorders>
              <w:bottom w:val="single" w:sz="8" w:color="B6B6B6"/>
            </w:tcBorders>
          </w:tcPr>
          <w:p>
            <w:pPr>
              <w:spacing w:after="0"/>
              <w:rPr>
                <w:sz w:val="23"/>
                <w:szCs w:val="23"/>
                <w:color w:val="auto"/>
              </w:rPr>
            </w:pPr>
          </w:p>
        </w:tc>
        <w:tc>
          <w:tcPr>
            <w:tcW w:w="3220" w:type="dxa"/>
            <w:vAlign w:val="bottom"/>
            <w:tcBorders>
              <w:bottom w:val="single" w:sz="8" w:color="B6B6B6"/>
              <w:right w:val="single" w:sz="8" w:color="B6B6B6"/>
            </w:tcBorders>
            <w:gridSpan w:val="2"/>
          </w:tcPr>
          <w:p>
            <w:pPr>
              <w:spacing w:after="0" w:line="268" w:lineRule="exact"/>
              <w:rPr>
                <w:sz w:val="20"/>
                <w:szCs w:val="20"/>
                <w:color w:val="auto"/>
              </w:rPr>
            </w:pPr>
            <w:r>
              <w:rPr>
                <w:rFonts w:ascii="Times New Roman" w:cs="Times New Roman" w:eastAsia="Times New Roman" w:hAnsi="Times New Roman"/>
                <w:sz w:val="19"/>
                <w:szCs w:val="19"/>
                <w:color w:val="auto"/>
              </w:rPr>
              <w:t>2 years of age and older.</w:t>
            </w:r>
            <w:r>
              <w:rPr>
                <w:rFonts w:ascii="Times New Roman" w:cs="Times New Roman" w:eastAsia="Times New Roman" w:hAnsi="Times New Roman"/>
                <w:sz w:val="25"/>
                <w:szCs w:val="25"/>
                <w:color w:val="auto"/>
                <w:vertAlign w:val="superscript"/>
              </w:rPr>
              <w:t>1</w:t>
            </w:r>
          </w:p>
        </w:tc>
        <w:tc>
          <w:tcPr>
            <w:tcW w:w="40" w:type="dxa"/>
            <w:vAlign w:val="bottom"/>
            <w:tcBorders>
              <w:bottom w:val="single" w:sz="8" w:color="B6B6B6"/>
            </w:tcBorders>
          </w:tcPr>
          <w:p>
            <w:pPr>
              <w:spacing w:after="0"/>
              <w:rPr>
                <w:sz w:val="23"/>
                <w:szCs w:val="23"/>
                <w:color w:val="auto"/>
              </w:rPr>
            </w:pPr>
          </w:p>
        </w:tc>
        <w:tc>
          <w:tcPr>
            <w:tcW w:w="1760" w:type="dxa"/>
            <w:vAlign w:val="bottom"/>
            <w:tcBorders>
              <w:bottom w:val="single" w:sz="8" w:color="B6B6B6"/>
            </w:tcBorders>
          </w:tcPr>
          <w:p>
            <w:pPr>
              <w:spacing w:after="0"/>
              <w:rPr>
                <w:sz w:val="23"/>
                <w:szCs w:val="23"/>
                <w:color w:val="auto"/>
              </w:rPr>
            </w:pPr>
          </w:p>
        </w:tc>
        <w:tc>
          <w:tcPr>
            <w:tcW w:w="8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700" w:type="dxa"/>
            <w:vAlign w:val="bottom"/>
            <w:tcBorders>
              <w:bottom w:val="single" w:sz="8" w:color="B6B6B6"/>
            </w:tcBorders>
          </w:tcPr>
          <w:p>
            <w:pPr>
              <w:spacing w:after="0"/>
              <w:rPr>
                <w:sz w:val="23"/>
                <w:szCs w:val="23"/>
                <w:color w:val="auto"/>
              </w:rPr>
            </w:pPr>
          </w:p>
        </w:tc>
        <w:tc>
          <w:tcPr>
            <w:tcW w:w="1260" w:type="dxa"/>
            <w:vAlign w:val="bottom"/>
            <w:tcBorders>
              <w:bottom w:val="single" w:sz="8" w:color="B6B6B6"/>
            </w:tcBorders>
          </w:tcPr>
          <w:p>
            <w:pPr>
              <w:spacing w:after="0"/>
              <w:rPr>
                <w:sz w:val="23"/>
                <w:szCs w:val="23"/>
                <w:color w:val="auto"/>
              </w:rPr>
            </w:pPr>
          </w:p>
        </w:tc>
        <w:tc>
          <w:tcPr>
            <w:tcW w:w="500" w:type="dxa"/>
            <w:vAlign w:val="bottom"/>
            <w:tcBorders>
              <w:bottom w:val="single" w:sz="8" w:color="B6B6B6"/>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85" w:lineRule="exact"/>
              <w:rPr>
                <w:sz w:val="20"/>
                <w:szCs w:val="20"/>
                <w:color w:val="auto"/>
              </w:rPr>
            </w:pPr>
            <w:r>
              <w:rPr>
                <w:rFonts w:ascii="Times New Roman" w:cs="Times New Roman" w:eastAsia="Times New Roman" w:hAnsi="Times New Roman"/>
                <w:sz w:val="19"/>
                <w:szCs w:val="19"/>
                <w:color w:val="auto"/>
              </w:rPr>
              <w:t>For adjunctive therapy of seizures</w:t>
            </w:r>
          </w:p>
        </w:tc>
        <w:tc>
          <w:tcPr>
            <w:tcW w:w="180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9"/>
                <w:szCs w:val="19"/>
                <w:color w:val="auto"/>
              </w:rPr>
              <w:t>April 2021</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85" w:lineRule="exact"/>
              <w:rPr>
                <w:sz w:val="20"/>
                <w:szCs w:val="20"/>
                <w:color w:val="auto"/>
              </w:rPr>
            </w:pPr>
            <w:r>
              <w:rPr>
                <w:rFonts w:ascii="Times New Roman" w:cs="Times New Roman" w:eastAsia="Times New Roman" w:hAnsi="Times New Roman"/>
                <w:sz w:val="19"/>
                <w:szCs w:val="19"/>
                <w:color w:val="auto"/>
              </w:rPr>
              <w:t>EU, Great Britain, EEA and</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associated with TSC for patients 2 years</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9"/>
                <w:szCs w:val="19"/>
                <w:color w:val="auto"/>
              </w:rPr>
              <w:t>Switzerland</w:t>
            </w: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660" w:type="dxa"/>
            <w:vAlign w:val="bottom"/>
            <w:tcBorders>
              <w:bottom w:val="single" w:sz="8" w:color="B6B6B6"/>
            </w:tcBorders>
          </w:tcPr>
          <w:p>
            <w:pPr>
              <w:spacing w:after="0"/>
              <w:rPr>
                <w:sz w:val="22"/>
                <w:szCs w:val="22"/>
                <w:color w:val="auto"/>
              </w:rPr>
            </w:pPr>
          </w:p>
        </w:tc>
        <w:tc>
          <w:tcPr>
            <w:tcW w:w="162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of age and older.</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adults with previously</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November 2024</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treated, unresectable or metastatic</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HER2-positive (IHC3+) BTC, as</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00" w:type="dxa"/>
            <w:vAlign w:val="bottom"/>
            <w:tcBorders>
              <w:right w:val="single" w:sz="8" w:color="B6B6B6"/>
            </w:tcBorders>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Borders>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detected by an FDA-approved test.</w:t>
            </w:r>
          </w:p>
        </w:tc>
        <w:tc>
          <w:tcPr>
            <w:tcW w:w="40" w:type="dxa"/>
            <w:vAlign w:val="bottom"/>
            <w:tcBorders>
              <w:bottom w:val="single" w:sz="8" w:color="B6B6B6"/>
            </w:tcBorders>
          </w:tcPr>
          <w:p>
            <w:pPr>
              <w:spacing w:after="0"/>
              <w:rPr>
                <w:sz w:val="23"/>
                <w:szCs w:val="23"/>
                <w:color w:val="auto"/>
              </w:rPr>
            </w:pPr>
          </w:p>
        </w:tc>
        <w:tc>
          <w:tcPr>
            <w:tcW w:w="1760" w:type="dxa"/>
            <w:vAlign w:val="bottom"/>
            <w:tcBorders>
              <w:bottom w:val="single" w:sz="8" w:color="B6B6B6"/>
            </w:tcBorders>
          </w:tcPr>
          <w:p>
            <w:pPr>
              <w:spacing w:after="0"/>
              <w:rPr>
                <w:sz w:val="23"/>
                <w:szCs w:val="23"/>
                <w:color w:val="auto"/>
              </w:rPr>
            </w:pPr>
          </w:p>
        </w:tc>
        <w:tc>
          <w:tcPr>
            <w:tcW w:w="8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939393"/>
            </w:tcBorders>
          </w:tcPr>
          <w:p>
            <w:pPr>
              <w:spacing w:after="0"/>
              <w:rPr>
                <w:sz w:val="23"/>
                <w:szCs w:val="23"/>
                <w:color w:val="auto"/>
              </w:rPr>
            </w:pPr>
          </w:p>
        </w:tc>
        <w:tc>
          <w:tcPr>
            <w:tcW w:w="700" w:type="dxa"/>
            <w:vAlign w:val="bottom"/>
            <w:tcBorders>
              <w:bottom w:val="single" w:sz="8" w:color="939393"/>
            </w:tcBorders>
          </w:tcPr>
          <w:p>
            <w:pPr>
              <w:spacing w:after="0"/>
              <w:rPr>
                <w:sz w:val="23"/>
                <w:szCs w:val="23"/>
                <w:color w:val="auto"/>
              </w:rPr>
            </w:pPr>
          </w:p>
        </w:tc>
        <w:tc>
          <w:tcPr>
            <w:tcW w:w="1260" w:type="dxa"/>
            <w:vAlign w:val="bottom"/>
            <w:tcBorders>
              <w:bottom w:val="single" w:sz="8" w:color="939393"/>
            </w:tcBorders>
          </w:tcPr>
          <w:p>
            <w:pPr>
              <w:spacing w:after="0"/>
              <w:rPr>
                <w:sz w:val="23"/>
                <w:szCs w:val="23"/>
                <w:color w:val="auto"/>
              </w:rPr>
            </w:pPr>
          </w:p>
        </w:tc>
        <w:tc>
          <w:tcPr>
            <w:tcW w:w="500" w:type="dxa"/>
            <w:vAlign w:val="bottom"/>
            <w:tcBorders>
              <w:bottom w:val="single" w:sz="8" w:color="939393"/>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86" w:lineRule="exact"/>
              <w:rPr>
                <w:sz w:val="20"/>
                <w:szCs w:val="20"/>
                <w:color w:val="auto"/>
              </w:rPr>
            </w:pPr>
            <w:r>
              <w:rPr>
                <w:rFonts w:ascii="Times New Roman" w:cs="Times New Roman" w:eastAsia="Times New Roman" w:hAnsi="Times New Roman"/>
                <w:sz w:val="19"/>
                <w:szCs w:val="19"/>
                <w:color w:val="auto"/>
              </w:rPr>
              <w:t>Treatment of adults with unresectable</w:t>
            </w:r>
          </w:p>
        </w:tc>
        <w:tc>
          <w:tcPr>
            <w:tcW w:w="180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19"/>
                <w:szCs w:val="19"/>
                <w:color w:val="auto"/>
              </w:rPr>
              <w:t>June 2025</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86" w:lineRule="exact"/>
              <w:rPr>
                <w:sz w:val="20"/>
                <w:szCs w:val="20"/>
                <w:color w:val="auto"/>
              </w:rPr>
            </w:pPr>
            <w:r>
              <w:rPr>
                <w:rFonts w:ascii="Times New Roman" w:cs="Times New Roman" w:eastAsia="Times New Roman" w:hAnsi="Times New Roman"/>
                <w:sz w:val="19"/>
                <w:szCs w:val="19"/>
                <w:color w:val="auto"/>
              </w:rPr>
              <w:t>EU (licensed from</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Ziihera®</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locally advanced or metastatic HER2-</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114"/>
        </w:trPr>
        <w:tc>
          <w:tcPr>
            <w:tcW w:w="500" w:type="dxa"/>
            <w:vAlign w:val="bottom"/>
            <w:tcBorders>
              <w:right w:val="single" w:sz="8" w:color="B6B6B6"/>
            </w:tcBorders>
          </w:tcPr>
          <w:p>
            <w:pPr>
              <w:spacing w:after="0"/>
              <w:rPr>
                <w:sz w:val="9"/>
                <w:szCs w:val="9"/>
                <w:color w:val="auto"/>
              </w:rPr>
            </w:pPr>
          </w:p>
        </w:tc>
        <w:tc>
          <w:tcPr>
            <w:tcW w:w="40" w:type="dxa"/>
            <w:vAlign w:val="bottom"/>
          </w:tcPr>
          <w:p>
            <w:pPr>
              <w:spacing w:after="0"/>
              <w:rPr>
                <w:sz w:val="9"/>
                <w:szCs w:val="9"/>
                <w:color w:val="auto"/>
              </w:rPr>
            </w:pPr>
          </w:p>
        </w:tc>
        <w:tc>
          <w:tcPr>
            <w:tcW w:w="2280" w:type="dxa"/>
            <w:vAlign w:val="bottom"/>
            <w:tcBorders>
              <w:right w:val="single" w:sz="8" w:color="B6B6B6"/>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tcBorders>
              <w:right w:val="single" w:sz="8" w:color="B6B6B6"/>
            </w:tcBorders>
            <w:gridSpan w:val="2"/>
            <w:vMerge w:val="restart"/>
          </w:tcPr>
          <w:p>
            <w:pPr>
              <w:spacing w:after="0" w:line="193" w:lineRule="exact"/>
              <w:rPr>
                <w:sz w:val="20"/>
                <w:szCs w:val="20"/>
                <w:color w:val="auto"/>
              </w:rPr>
            </w:pPr>
            <w:r>
              <w:rPr>
                <w:rFonts w:ascii="Times New Roman" w:cs="Times New Roman" w:eastAsia="Times New Roman" w:hAnsi="Times New Roman"/>
                <w:sz w:val="19"/>
                <w:szCs w:val="19"/>
                <w:color w:val="auto"/>
              </w:rPr>
              <w:t>positive (IHC3+) BTC previously</w:t>
            </w:r>
          </w:p>
        </w:tc>
        <w:tc>
          <w:tcPr>
            <w:tcW w:w="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right w:val="single" w:sz="8" w:color="B6B6B6"/>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00" w:type="dxa"/>
            <w:vAlign w:val="bottom"/>
            <w:tcBorders>
              <w:right w:val="single" w:sz="8" w:color="B6B6B6"/>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00" w:type="dxa"/>
            <w:vAlign w:val="bottom"/>
            <w:tcBorders>
              <w:right w:val="single" w:sz="8" w:color="B6B6B6"/>
            </w:tcBorders>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(zanidatamab-hrii)</w:t>
            </w:r>
          </w:p>
        </w:tc>
        <w:tc>
          <w:tcPr>
            <w:tcW w:w="40" w:type="dxa"/>
            <w:vAlign w:val="bottom"/>
          </w:tcPr>
          <w:p>
            <w:pPr>
              <w:spacing w:after="0"/>
              <w:rPr>
                <w:sz w:val="6"/>
                <w:szCs w:val="6"/>
                <w:color w:val="auto"/>
              </w:rPr>
            </w:pPr>
          </w:p>
        </w:tc>
        <w:tc>
          <w:tcPr>
            <w:tcW w:w="3220" w:type="dxa"/>
            <w:vAlign w:val="bottom"/>
            <w:tcBorders>
              <w:right w:val="single" w:sz="8" w:color="B6B6B6"/>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Borders>
              <w:right w:val="single" w:sz="8" w:color="B6B6B6"/>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00" w:type="dxa"/>
            <w:vAlign w:val="bottom"/>
            <w:tcBorders>
              <w:right w:val="single" w:sz="8" w:color="B6B6B6"/>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treated with at least one prior line of</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500" w:type="dxa"/>
            <w:vAlign w:val="bottom"/>
            <w:tcBorders>
              <w:right w:val="single" w:sz="8" w:color="B6B6B6"/>
            </w:tcBorders>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Borders>
              <w:right w:val="single" w:sz="8" w:color="B6B6B6"/>
            </w:tcBorders>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systemic therapy.</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right w:val="single" w:sz="8" w:color="B6B6B6"/>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Borders>
              <w:right w:val="single" w:sz="8" w:color="B6B6B6"/>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Borders>
              <w:top w:val="single" w:sz="8" w:color="B6B6B6"/>
            </w:tcBorders>
          </w:tcPr>
          <w:p>
            <w:pPr>
              <w:spacing w:after="0"/>
              <w:rPr>
                <w:sz w:val="15"/>
                <w:szCs w:val="15"/>
                <w:color w:val="auto"/>
              </w:rPr>
            </w:pPr>
          </w:p>
        </w:tc>
        <w:tc>
          <w:tcPr>
            <w:tcW w:w="3220" w:type="dxa"/>
            <w:vAlign w:val="bottom"/>
            <w:tcBorders>
              <w:top w:val="single" w:sz="8" w:color="B6B6B6"/>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adults with previously</w:t>
            </w:r>
          </w:p>
        </w:tc>
        <w:tc>
          <w:tcPr>
            <w:tcW w:w="1800" w:type="dxa"/>
            <w:vAlign w:val="bottom"/>
            <w:tcBorders>
              <w:top w:val="single" w:sz="8" w:color="B6B6B6"/>
            </w:tcBorders>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January 2026</w:t>
            </w:r>
          </w:p>
        </w:tc>
        <w:tc>
          <w:tcPr>
            <w:tcW w:w="80" w:type="dxa"/>
            <w:vAlign w:val="bottom"/>
            <w:tcBorders>
              <w:top w:val="single" w:sz="8" w:color="B6B6B6"/>
              <w:right w:val="single" w:sz="8" w:color="B6B6B6"/>
            </w:tcBorders>
          </w:tcPr>
          <w:p>
            <w:pPr>
              <w:spacing w:after="0"/>
              <w:rPr>
                <w:sz w:val="15"/>
                <w:szCs w:val="15"/>
                <w:color w:val="auto"/>
              </w:rPr>
            </w:pPr>
          </w:p>
        </w:tc>
        <w:tc>
          <w:tcPr>
            <w:tcW w:w="40" w:type="dxa"/>
            <w:vAlign w:val="bottom"/>
            <w:tcBorders>
              <w:top w:val="single" w:sz="8" w:color="939393"/>
            </w:tcBorders>
          </w:tcPr>
          <w:p>
            <w:pPr>
              <w:spacing w:after="0"/>
              <w:rPr>
                <w:sz w:val="15"/>
                <w:szCs w:val="15"/>
                <w:color w:val="auto"/>
              </w:rPr>
            </w:pPr>
          </w:p>
        </w:tc>
        <w:tc>
          <w:tcPr>
            <w:tcW w:w="2460" w:type="dxa"/>
            <w:vAlign w:val="bottom"/>
            <w:tcBorders>
              <w:top w:val="single" w:sz="8" w:color="939393"/>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Canada (licensed from</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treated, unresectable locally advanced</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or metastatic HER2-positive (IHC3+)</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00" w:type="dxa"/>
            <w:vAlign w:val="bottom"/>
            <w:tcBorders>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660" w:type="dxa"/>
            <w:vAlign w:val="bottom"/>
            <w:tcBorders>
              <w:bottom w:val="single" w:sz="8" w:color="B6B6B6"/>
            </w:tcBorders>
          </w:tcPr>
          <w:p>
            <w:pPr>
              <w:spacing w:after="0"/>
              <w:rPr>
                <w:sz w:val="23"/>
                <w:szCs w:val="23"/>
                <w:color w:val="auto"/>
              </w:rPr>
            </w:pPr>
          </w:p>
        </w:tc>
        <w:tc>
          <w:tcPr>
            <w:tcW w:w="162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939393"/>
            </w:tcBorders>
          </w:tcPr>
          <w:p>
            <w:pPr>
              <w:spacing w:after="0"/>
              <w:rPr>
                <w:sz w:val="23"/>
                <w:szCs w:val="23"/>
                <w:color w:val="auto"/>
              </w:rPr>
            </w:pPr>
          </w:p>
        </w:tc>
        <w:tc>
          <w:tcPr>
            <w:tcW w:w="3220" w:type="dxa"/>
            <w:vAlign w:val="bottom"/>
            <w:tcBorders>
              <w:bottom w:val="single" w:sz="8" w:color="939393"/>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BTC, as monotherapy.</w:t>
            </w:r>
          </w:p>
        </w:tc>
        <w:tc>
          <w:tcPr>
            <w:tcW w:w="40" w:type="dxa"/>
            <w:vAlign w:val="bottom"/>
            <w:tcBorders>
              <w:bottom w:val="single" w:sz="8" w:color="939393"/>
            </w:tcBorders>
          </w:tcPr>
          <w:p>
            <w:pPr>
              <w:spacing w:after="0"/>
              <w:rPr>
                <w:sz w:val="23"/>
                <w:szCs w:val="23"/>
                <w:color w:val="auto"/>
              </w:rPr>
            </w:pPr>
          </w:p>
        </w:tc>
        <w:tc>
          <w:tcPr>
            <w:tcW w:w="1760" w:type="dxa"/>
            <w:vAlign w:val="bottom"/>
            <w:tcBorders>
              <w:bottom w:val="single" w:sz="8" w:color="939393"/>
            </w:tcBorders>
          </w:tcPr>
          <w:p>
            <w:pPr>
              <w:spacing w:after="0"/>
              <w:rPr>
                <w:sz w:val="23"/>
                <w:szCs w:val="23"/>
                <w:color w:val="auto"/>
              </w:rPr>
            </w:pPr>
          </w:p>
        </w:tc>
        <w:tc>
          <w:tcPr>
            <w:tcW w:w="80" w:type="dxa"/>
            <w:vAlign w:val="bottom"/>
            <w:tcBorders>
              <w:bottom w:val="single" w:sz="8" w:color="939393"/>
              <w:right w:val="single" w:sz="8" w:color="B6B6B6"/>
            </w:tcBorders>
          </w:tcPr>
          <w:p>
            <w:pPr>
              <w:spacing w:after="0"/>
              <w:rPr>
                <w:sz w:val="23"/>
                <w:szCs w:val="23"/>
                <w:color w:val="auto"/>
              </w:rPr>
            </w:pPr>
          </w:p>
        </w:tc>
        <w:tc>
          <w:tcPr>
            <w:tcW w:w="40" w:type="dxa"/>
            <w:vAlign w:val="bottom"/>
            <w:tcBorders>
              <w:bottom w:val="single" w:sz="8" w:color="939393"/>
            </w:tcBorders>
          </w:tcPr>
          <w:p>
            <w:pPr>
              <w:spacing w:after="0"/>
              <w:rPr>
                <w:sz w:val="23"/>
                <w:szCs w:val="23"/>
                <w:color w:val="auto"/>
              </w:rPr>
            </w:pPr>
          </w:p>
        </w:tc>
        <w:tc>
          <w:tcPr>
            <w:tcW w:w="700" w:type="dxa"/>
            <w:vAlign w:val="bottom"/>
            <w:tcBorders>
              <w:bottom w:val="single" w:sz="8" w:color="939393"/>
            </w:tcBorders>
          </w:tcPr>
          <w:p>
            <w:pPr>
              <w:spacing w:after="0"/>
              <w:rPr>
                <w:sz w:val="23"/>
                <w:szCs w:val="23"/>
                <w:color w:val="auto"/>
              </w:rPr>
            </w:pPr>
          </w:p>
        </w:tc>
        <w:tc>
          <w:tcPr>
            <w:tcW w:w="1260" w:type="dxa"/>
            <w:vAlign w:val="bottom"/>
            <w:tcBorders>
              <w:bottom w:val="single" w:sz="8" w:color="939393"/>
            </w:tcBorders>
          </w:tcPr>
          <w:p>
            <w:pPr>
              <w:spacing w:after="0"/>
              <w:rPr>
                <w:sz w:val="23"/>
                <w:szCs w:val="23"/>
                <w:color w:val="auto"/>
              </w:rPr>
            </w:pPr>
          </w:p>
        </w:tc>
        <w:tc>
          <w:tcPr>
            <w:tcW w:w="500" w:type="dxa"/>
            <w:vAlign w:val="bottom"/>
            <w:tcBorders>
              <w:bottom w:val="single" w:sz="8" w:color="939393"/>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9"/>
                <w:szCs w:val="19"/>
                <w:color w:val="auto"/>
              </w:rPr>
              <w:t>Treatment of adult and pediatric</w:t>
            </w:r>
          </w:p>
        </w:tc>
        <w:tc>
          <w:tcPr>
            <w:tcW w:w="18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9"/>
                <w:szCs w:val="19"/>
                <w:color w:val="auto"/>
              </w:rPr>
              <w:t>August 2025</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4" w:lineRule="exact"/>
              <w:rPr>
                <w:sz w:val="20"/>
                <w:szCs w:val="20"/>
                <w:color w:val="auto"/>
              </w:rPr>
            </w:pPr>
            <w:r>
              <w:rPr>
                <w:rFonts w:ascii="Times New Roman" w:cs="Times New Roman" w:eastAsia="Times New Roman" w:hAnsi="Times New Roman"/>
                <w:sz w:val="16"/>
                <w:szCs w:val="16"/>
                <w:color w:val="auto"/>
              </w:rPr>
              <w:t>U.S.</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Modeyso™ (dordaviprone)</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patients 1 year of age and older with</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diffuse midline glioma harboring an H3</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PMingLiU" w:cs="PMingLiU" w:eastAsia="PMingLiU" w:hAnsi="PMingLiU"/>
                <w:sz w:val="19"/>
                <w:szCs w:val="19"/>
                <w:color w:val="auto"/>
              </w:rPr>
              <w:t>.0PXWDWLRQZLWKSURJUHVVLYH</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0" w:type="dxa"/>
            <w:vAlign w:val="bottom"/>
            <w:tcBorders>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660" w:type="dxa"/>
            <w:vAlign w:val="bottom"/>
            <w:tcBorders>
              <w:bottom w:val="single" w:sz="8" w:color="B6B6B6"/>
            </w:tcBorders>
          </w:tcPr>
          <w:p>
            <w:pPr>
              <w:spacing w:after="0"/>
              <w:rPr>
                <w:sz w:val="21"/>
                <w:szCs w:val="21"/>
                <w:color w:val="auto"/>
              </w:rPr>
            </w:pPr>
          </w:p>
        </w:tc>
        <w:tc>
          <w:tcPr>
            <w:tcW w:w="162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disease following prior therapy.</w:t>
            </w:r>
          </w:p>
        </w:tc>
        <w:tc>
          <w:tcPr>
            <w:tcW w:w="40" w:type="dxa"/>
            <w:vAlign w:val="bottom"/>
            <w:tcBorders>
              <w:bottom w:val="single" w:sz="8" w:color="B6B6B6"/>
            </w:tcBorders>
          </w:tcPr>
          <w:p>
            <w:pPr>
              <w:spacing w:after="0"/>
              <w:rPr>
                <w:sz w:val="21"/>
                <w:szCs w:val="21"/>
                <w:color w:val="auto"/>
              </w:rPr>
            </w:pPr>
          </w:p>
        </w:tc>
        <w:tc>
          <w:tcPr>
            <w:tcW w:w="1760" w:type="dxa"/>
            <w:vAlign w:val="bottom"/>
            <w:tcBorders>
              <w:bottom w:val="single" w:sz="8" w:color="B6B6B6"/>
            </w:tcBorders>
          </w:tcPr>
          <w:p>
            <w:pPr>
              <w:spacing w:after="0"/>
              <w:rPr>
                <w:sz w:val="21"/>
                <w:szCs w:val="21"/>
                <w:color w:val="auto"/>
              </w:rPr>
            </w:pPr>
          </w:p>
        </w:tc>
        <w:tc>
          <w:tcPr>
            <w:tcW w:w="80" w:type="dxa"/>
            <w:vAlign w:val="bottom"/>
            <w:tcBorders>
              <w:bottom w:val="single" w:sz="8" w:color="B6B6B6"/>
              <w:right w:val="single" w:sz="8" w:color="B6B6B6"/>
            </w:tcBorders>
          </w:tcPr>
          <w:p>
            <w:pPr>
              <w:spacing w:after="0"/>
              <w:rPr>
                <w:sz w:val="21"/>
                <w:szCs w:val="21"/>
                <w:color w:val="auto"/>
              </w:rPr>
            </w:pPr>
          </w:p>
        </w:tc>
        <w:tc>
          <w:tcPr>
            <w:tcW w:w="40" w:type="dxa"/>
            <w:vAlign w:val="bottom"/>
            <w:tcBorders>
              <w:bottom w:val="single" w:sz="8" w:color="B6B6B6"/>
            </w:tcBorders>
          </w:tcPr>
          <w:p>
            <w:pPr>
              <w:spacing w:after="0"/>
              <w:rPr>
                <w:sz w:val="21"/>
                <w:szCs w:val="21"/>
                <w:color w:val="auto"/>
              </w:rPr>
            </w:pPr>
          </w:p>
        </w:tc>
        <w:tc>
          <w:tcPr>
            <w:tcW w:w="700" w:type="dxa"/>
            <w:vAlign w:val="bottom"/>
            <w:tcBorders>
              <w:bottom w:val="single" w:sz="8" w:color="B6B6B6"/>
            </w:tcBorders>
          </w:tcPr>
          <w:p>
            <w:pPr>
              <w:spacing w:after="0"/>
              <w:rPr>
                <w:sz w:val="21"/>
                <w:szCs w:val="21"/>
                <w:color w:val="auto"/>
              </w:rPr>
            </w:pPr>
          </w:p>
        </w:tc>
        <w:tc>
          <w:tcPr>
            <w:tcW w:w="1260" w:type="dxa"/>
            <w:vAlign w:val="bottom"/>
            <w:tcBorders>
              <w:bottom w:val="single" w:sz="8" w:color="B6B6B6"/>
            </w:tcBorders>
          </w:tcPr>
          <w:p>
            <w:pPr>
              <w:spacing w:after="0"/>
              <w:rPr>
                <w:sz w:val="21"/>
                <w:szCs w:val="21"/>
                <w:color w:val="auto"/>
              </w:rPr>
            </w:pPr>
          </w:p>
        </w:tc>
        <w:tc>
          <w:tcPr>
            <w:tcW w:w="500" w:type="dxa"/>
            <w:vAlign w:val="bottom"/>
            <w:tcBorders>
              <w:bottom w:val="single" w:sz="8" w:color="B6B6B6"/>
              <w:right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Treatment of adult patients with</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June 2020</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metastatic SCLC, with disease</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progression on or after platinum-based</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00" w:type="dxa"/>
            <w:vAlign w:val="bottom"/>
            <w:tcBorders>
              <w:right w:val="single" w:sz="8" w:color="B6B6B6"/>
            </w:tcBorders>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Borders>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chemotherapy.</w:t>
            </w:r>
          </w:p>
        </w:tc>
        <w:tc>
          <w:tcPr>
            <w:tcW w:w="40" w:type="dxa"/>
            <w:vAlign w:val="bottom"/>
            <w:tcBorders>
              <w:bottom w:val="single" w:sz="8" w:color="B6B6B6"/>
            </w:tcBorders>
          </w:tcPr>
          <w:p>
            <w:pPr>
              <w:spacing w:after="0"/>
              <w:rPr>
                <w:sz w:val="23"/>
                <w:szCs w:val="23"/>
                <w:color w:val="auto"/>
              </w:rPr>
            </w:pPr>
          </w:p>
        </w:tc>
        <w:tc>
          <w:tcPr>
            <w:tcW w:w="1760" w:type="dxa"/>
            <w:vAlign w:val="bottom"/>
            <w:tcBorders>
              <w:bottom w:val="single" w:sz="8" w:color="B6B6B6"/>
            </w:tcBorders>
          </w:tcPr>
          <w:p>
            <w:pPr>
              <w:spacing w:after="0"/>
              <w:rPr>
                <w:sz w:val="23"/>
                <w:szCs w:val="23"/>
                <w:color w:val="auto"/>
              </w:rPr>
            </w:pPr>
          </w:p>
        </w:tc>
        <w:tc>
          <w:tcPr>
            <w:tcW w:w="80" w:type="dxa"/>
            <w:vAlign w:val="bottom"/>
            <w:tcBorders>
              <w:bottom w:val="single" w:sz="8" w:color="B6B6B6"/>
              <w:right w:val="single" w:sz="8" w:color="B6B6B6"/>
            </w:tcBorders>
          </w:tcPr>
          <w:p>
            <w:pPr>
              <w:spacing w:after="0"/>
              <w:rPr>
                <w:sz w:val="23"/>
                <w:szCs w:val="23"/>
                <w:color w:val="auto"/>
              </w:rPr>
            </w:pPr>
          </w:p>
        </w:tc>
        <w:tc>
          <w:tcPr>
            <w:tcW w:w="40" w:type="dxa"/>
            <w:vAlign w:val="bottom"/>
            <w:tcBorders>
              <w:bottom w:val="single" w:sz="8" w:color="B6B6B6"/>
            </w:tcBorders>
          </w:tcPr>
          <w:p>
            <w:pPr>
              <w:spacing w:after="0"/>
              <w:rPr>
                <w:sz w:val="23"/>
                <w:szCs w:val="23"/>
                <w:color w:val="auto"/>
              </w:rPr>
            </w:pPr>
          </w:p>
        </w:tc>
        <w:tc>
          <w:tcPr>
            <w:tcW w:w="700" w:type="dxa"/>
            <w:vAlign w:val="bottom"/>
            <w:tcBorders>
              <w:bottom w:val="single" w:sz="8" w:color="B6B6B6"/>
            </w:tcBorders>
          </w:tcPr>
          <w:p>
            <w:pPr>
              <w:spacing w:after="0"/>
              <w:rPr>
                <w:sz w:val="23"/>
                <w:szCs w:val="23"/>
                <w:color w:val="auto"/>
              </w:rPr>
            </w:pPr>
          </w:p>
        </w:tc>
        <w:tc>
          <w:tcPr>
            <w:tcW w:w="1260" w:type="dxa"/>
            <w:vAlign w:val="bottom"/>
            <w:tcBorders>
              <w:bottom w:val="single" w:sz="8" w:color="B6B6B6"/>
            </w:tcBorders>
          </w:tcPr>
          <w:p>
            <w:pPr>
              <w:spacing w:after="0"/>
              <w:rPr>
                <w:sz w:val="23"/>
                <w:szCs w:val="23"/>
                <w:color w:val="auto"/>
              </w:rPr>
            </w:pPr>
          </w:p>
        </w:tc>
        <w:tc>
          <w:tcPr>
            <w:tcW w:w="500" w:type="dxa"/>
            <w:vAlign w:val="bottom"/>
            <w:tcBorders>
              <w:bottom w:val="single" w:sz="8" w:color="B6B6B6"/>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86" w:lineRule="exact"/>
              <w:rPr>
                <w:sz w:val="20"/>
                <w:szCs w:val="20"/>
                <w:color w:val="auto"/>
              </w:rPr>
            </w:pPr>
            <w:r>
              <w:rPr>
                <w:rFonts w:ascii="Times New Roman" w:cs="Times New Roman" w:eastAsia="Times New Roman" w:hAnsi="Times New Roman"/>
                <w:sz w:val="19"/>
                <w:szCs w:val="19"/>
                <w:color w:val="auto"/>
              </w:rPr>
              <w:t>Treatment of adults with Stage III or</w:t>
            </w:r>
          </w:p>
        </w:tc>
        <w:tc>
          <w:tcPr>
            <w:tcW w:w="180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19"/>
                <w:szCs w:val="19"/>
                <w:color w:val="auto"/>
              </w:rPr>
              <w:t>September 2021</w:t>
            </w: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86" w:lineRule="exact"/>
              <w:rPr>
                <w:sz w:val="20"/>
                <w:szCs w:val="20"/>
                <w:color w:val="auto"/>
              </w:rPr>
            </w:pPr>
            <w:r>
              <w:rPr>
                <w:rFonts w:ascii="Times New Roman" w:cs="Times New Roman" w:eastAsia="Times New Roman" w:hAnsi="Times New Roman"/>
                <w:sz w:val="19"/>
                <w:szCs w:val="19"/>
                <w:color w:val="auto"/>
              </w:rPr>
              <w:t>Canada (licensed from</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metastatic SCLC who have progressed</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Borders>
              <w:right w:val="single" w:sz="8" w:color="B6B6B6"/>
            </w:tcBorders>
            <w:gridSpan w:val="3"/>
          </w:tcPr>
          <w:p>
            <w:pPr>
              <w:spacing w:after="0" w:line="193" w:lineRule="exact"/>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on or after platinum-containing therapy.</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right w:val="single" w:sz="8" w:color="B6B6B6"/>
            </w:tcBorders>
            <w:gridSpan w:val="2"/>
          </w:tcPr>
          <w:p>
            <w:pPr>
              <w:spacing w:after="0" w:line="197" w:lineRule="exact"/>
              <w:rPr>
                <w:sz w:val="20"/>
                <w:szCs w:val="20"/>
                <w:color w:val="auto"/>
              </w:rPr>
            </w:pPr>
            <w:r>
              <w:rPr>
                <w:rFonts w:ascii="Times New Roman" w:cs="Times New Roman" w:eastAsia="Times New Roman" w:hAnsi="Times New Roman"/>
                <w:sz w:val="19"/>
                <w:szCs w:val="19"/>
                <w:color w:val="auto"/>
              </w:rPr>
              <w:t>Zepzelca® (lurbinectedin)</w:t>
            </w: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7" w:lineRule="exact"/>
              <w:rPr>
                <w:sz w:val="20"/>
                <w:szCs w:val="20"/>
                <w:color w:val="auto"/>
              </w:rPr>
            </w:pPr>
            <w:r>
              <w:rPr>
                <w:rFonts w:ascii="Times New Roman" w:cs="Times New Roman" w:eastAsia="Times New Roman" w:hAnsi="Times New Roman"/>
                <w:sz w:val="19"/>
                <w:szCs w:val="19"/>
                <w:color w:val="auto"/>
              </w:rPr>
              <w:t>In combination with atezolizumab or</w:t>
            </w:r>
          </w:p>
        </w:tc>
        <w:tc>
          <w:tcPr>
            <w:tcW w:w="1800" w:type="dxa"/>
            <w:vAlign w:val="bottom"/>
            <w:gridSpan w:val="2"/>
          </w:tcPr>
          <w:p>
            <w:pPr>
              <w:ind w:left="40"/>
              <w:spacing w:after="0" w:line="197" w:lineRule="exact"/>
              <w:rPr>
                <w:sz w:val="20"/>
                <w:szCs w:val="20"/>
                <w:color w:val="auto"/>
              </w:rPr>
            </w:pPr>
            <w:r>
              <w:rPr>
                <w:rFonts w:ascii="Times New Roman" w:cs="Times New Roman" w:eastAsia="Times New Roman" w:hAnsi="Times New Roman"/>
                <w:sz w:val="19"/>
                <w:szCs w:val="19"/>
                <w:color w:val="auto"/>
              </w:rPr>
              <w:t>October 2025</w:t>
            </w: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Borders>
              <w:right w:val="single" w:sz="8" w:color="B6B6B6"/>
            </w:tcBorders>
            <w:gridSpan w:val="3"/>
          </w:tcPr>
          <w:p>
            <w:pPr>
              <w:spacing w:after="0" w:line="197" w:lineRule="exact"/>
              <w:rPr>
                <w:sz w:val="20"/>
                <w:szCs w:val="20"/>
                <w:color w:val="auto"/>
              </w:rPr>
            </w:pPr>
            <w:r>
              <w:rPr>
                <w:rFonts w:ascii="Times New Roman" w:cs="Times New Roman" w:eastAsia="Times New Roman" w:hAnsi="Times New Roman"/>
                <w:sz w:val="19"/>
                <w:szCs w:val="19"/>
                <w:color w:val="auto"/>
              </w:rPr>
              <w:t>U.S. (licensed from</w:t>
            </w:r>
          </w:p>
        </w:tc>
        <w:tc>
          <w:tcPr>
            <w:tcW w:w="0" w:type="dxa"/>
            <w:vAlign w:val="bottom"/>
          </w:tcPr>
          <w:p>
            <w:pPr>
              <w:spacing w:after="0"/>
              <w:rPr>
                <w:sz w:val="1"/>
                <w:szCs w:val="1"/>
                <w:color w:val="auto"/>
              </w:rPr>
            </w:pPr>
          </w:p>
        </w:tc>
      </w:tr>
      <w:tr>
        <w:trPr>
          <w:trHeight w:val="179"/>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79" w:lineRule="exact"/>
              <w:rPr>
                <w:sz w:val="20"/>
                <w:szCs w:val="20"/>
                <w:color w:val="auto"/>
              </w:rPr>
            </w:pPr>
            <w:r>
              <w:rPr>
                <w:rFonts w:ascii="Times New Roman" w:cs="Times New Roman" w:eastAsia="Times New Roman" w:hAnsi="Times New Roman"/>
                <w:sz w:val="19"/>
                <w:szCs w:val="19"/>
                <w:color w:val="auto"/>
              </w:rPr>
              <w:t>atezolizumab and hyaluronidase-tqjs for</w:t>
            </w:r>
          </w:p>
        </w:tc>
        <w:tc>
          <w:tcPr>
            <w:tcW w:w="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79" w:lineRule="exact"/>
              <w:rPr>
                <w:sz w:val="20"/>
                <w:szCs w:val="20"/>
                <w:color w:val="auto"/>
              </w:rPr>
            </w:pPr>
            <w:r>
              <w:rPr>
                <w:rFonts w:ascii="Times New Roman" w:cs="Times New Roman" w:eastAsia="Times New Roman" w:hAnsi="Times New Roman"/>
                <w:sz w:val="19"/>
                <w:szCs w:val="19"/>
                <w:color w:val="auto"/>
              </w:rPr>
              <w:t>PharmaMar)</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the first-line maintenance treatment of</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adult patients with extensive-stage</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SCLC whose disease has not progressed</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after first-line induction therapy with</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atezolizumab or atezolizumab and</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hyaluronidase-tqjs, carboplatin and</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660" w:type="dxa"/>
            <w:vAlign w:val="bottom"/>
            <w:tcBorders>
              <w:bottom w:val="single" w:sz="8" w:color="B6B6B6"/>
            </w:tcBorders>
          </w:tcPr>
          <w:p>
            <w:pPr>
              <w:spacing w:after="0"/>
              <w:rPr>
                <w:sz w:val="22"/>
                <w:szCs w:val="22"/>
                <w:color w:val="auto"/>
              </w:rPr>
            </w:pPr>
          </w:p>
        </w:tc>
        <w:tc>
          <w:tcPr>
            <w:tcW w:w="162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etoposide.</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0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Rylaze® (asparaginase</w:t>
            </w: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A component of a multi-agent</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June 2021</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3"/>
          </w:tcPr>
          <w:p>
            <w:pPr>
              <w:spacing w:after="0" w:line="183" w:lineRule="exact"/>
              <w:rPr>
                <w:sz w:val="20"/>
                <w:szCs w:val="20"/>
                <w:color w:val="auto"/>
              </w:rPr>
            </w:pPr>
            <w:r>
              <w:rPr>
                <w:rFonts w:ascii="Times New Roman" w:cs="Times New Roman" w:eastAsia="Times New Roman" w:hAnsi="Times New Roman"/>
                <w:sz w:val="19"/>
                <w:szCs w:val="19"/>
                <w:color w:val="auto"/>
              </w:rPr>
              <w:t>U.S.</w:t>
            </w: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chemotherapeutic regimen for the</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erwinia chrysanthemi</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treatment of ALL, and LBL, in adult</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(recombinant)-</w:t>
            </w: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and pediatric patients 1 month or older</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rywn)</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who have developed hypersensitivity to</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00" w:type="dxa"/>
            <w:vAlign w:val="bottom"/>
            <w:tcBorders>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660" w:type="dxa"/>
            <w:vAlign w:val="bottom"/>
            <w:tcBorders>
              <w:bottom w:val="single" w:sz="8" w:color="B6B6B6"/>
            </w:tcBorders>
          </w:tcPr>
          <w:p>
            <w:pPr>
              <w:spacing w:after="0"/>
              <w:rPr>
                <w:sz w:val="22"/>
                <w:szCs w:val="22"/>
                <w:color w:val="auto"/>
              </w:rPr>
            </w:pPr>
          </w:p>
        </w:tc>
        <w:tc>
          <w:tcPr>
            <w:tcW w:w="162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32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E. coli-derived asparaginase.</w:t>
            </w:r>
          </w:p>
        </w:tc>
        <w:tc>
          <w:tcPr>
            <w:tcW w:w="40" w:type="dxa"/>
            <w:vAlign w:val="bottom"/>
            <w:tcBorders>
              <w:bottom w:val="single" w:sz="8" w:color="B6B6B6"/>
            </w:tcBorders>
          </w:tcPr>
          <w:p>
            <w:pPr>
              <w:spacing w:after="0"/>
              <w:rPr>
                <w:sz w:val="22"/>
                <w:szCs w:val="22"/>
                <w:color w:val="auto"/>
              </w:rPr>
            </w:pPr>
          </w:p>
        </w:tc>
        <w:tc>
          <w:tcPr>
            <w:tcW w:w="1760" w:type="dxa"/>
            <w:vAlign w:val="bottom"/>
            <w:tcBorders>
              <w:bottom w:val="single" w:sz="8" w:color="B6B6B6"/>
            </w:tcBorders>
          </w:tcPr>
          <w:p>
            <w:pPr>
              <w:spacing w:after="0"/>
              <w:rPr>
                <w:sz w:val="22"/>
                <w:szCs w:val="22"/>
                <w:color w:val="auto"/>
              </w:rPr>
            </w:pPr>
          </w:p>
        </w:tc>
        <w:tc>
          <w:tcPr>
            <w:tcW w:w="80" w:type="dxa"/>
            <w:vAlign w:val="bottom"/>
            <w:tcBorders>
              <w:bottom w:val="single" w:sz="8" w:color="B6B6B6"/>
              <w:right w:val="single" w:sz="8" w:color="B6B6B6"/>
            </w:tcBorders>
          </w:tcPr>
          <w:p>
            <w:pPr>
              <w:spacing w:after="0"/>
              <w:rPr>
                <w:sz w:val="22"/>
                <w:szCs w:val="22"/>
                <w:color w:val="auto"/>
              </w:rPr>
            </w:pPr>
          </w:p>
        </w:tc>
        <w:tc>
          <w:tcPr>
            <w:tcW w:w="40" w:type="dxa"/>
            <w:vAlign w:val="bottom"/>
            <w:tcBorders>
              <w:bottom w:val="single" w:sz="8" w:color="B6B6B6"/>
            </w:tcBorders>
          </w:tcPr>
          <w:p>
            <w:pPr>
              <w:spacing w:after="0"/>
              <w:rPr>
                <w:sz w:val="22"/>
                <w:szCs w:val="22"/>
                <w:color w:val="auto"/>
              </w:rPr>
            </w:pPr>
          </w:p>
        </w:tc>
        <w:tc>
          <w:tcPr>
            <w:tcW w:w="700" w:type="dxa"/>
            <w:vAlign w:val="bottom"/>
            <w:tcBorders>
              <w:bottom w:val="single" w:sz="8" w:color="B6B6B6"/>
            </w:tcBorders>
          </w:tcPr>
          <w:p>
            <w:pPr>
              <w:spacing w:after="0"/>
              <w:rPr>
                <w:sz w:val="22"/>
                <w:szCs w:val="22"/>
                <w:color w:val="auto"/>
              </w:rPr>
            </w:pPr>
          </w:p>
        </w:tc>
        <w:tc>
          <w:tcPr>
            <w:tcW w:w="1260" w:type="dxa"/>
            <w:vAlign w:val="bottom"/>
            <w:tcBorders>
              <w:bottom w:val="single" w:sz="8" w:color="B6B6B6"/>
            </w:tcBorders>
          </w:tcPr>
          <w:p>
            <w:pPr>
              <w:spacing w:after="0"/>
              <w:rPr>
                <w:sz w:val="22"/>
                <w:szCs w:val="22"/>
                <w:color w:val="auto"/>
              </w:rPr>
            </w:pPr>
          </w:p>
        </w:tc>
        <w:tc>
          <w:tcPr>
            <w:tcW w:w="500" w:type="dxa"/>
            <w:vAlign w:val="bottom"/>
            <w:tcBorders>
              <w:bottom w:val="single" w:sz="8" w:color="B6B6B6"/>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500" w:type="dxa"/>
            <w:vAlign w:val="bottom"/>
            <w:vMerge w:val="restart"/>
          </w:tcPr>
          <w:p>
            <w:pPr>
              <w:jc w:val="right"/>
              <w:ind w:right="180"/>
              <w:spacing w:after="0"/>
              <w:rPr>
                <w:sz w:val="20"/>
                <w:szCs w:val="20"/>
                <w:color w:val="auto"/>
              </w:rPr>
            </w:pPr>
            <w:r>
              <w:rPr>
                <w:rFonts w:ascii="Arial" w:cs="Arial" w:eastAsia="Arial" w:hAnsi="Arial"/>
                <w:sz w:val="20"/>
                <w:szCs w:val="20"/>
                <w:b w:val="1"/>
                <w:bCs w:val="1"/>
                <w:color w:val="5C004B"/>
                <w:w w:val="89"/>
              </w:rPr>
              <w:t>82</w:t>
            </w:r>
          </w:p>
        </w:tc>
        <w:tc>
          <w:tcPr>
            <w:tcW w:w="40" w:type="dxa"/>
            <w:vAlign w:val="bottom"/>
            <w:vMerge w:val="restart"/>
          </w:tcPr>
          <w:p>
            <w:pPr>
              <w:spacing w:after="0"/>
              <w:rPr>
                <w:sz w:val="24"/>
                <w:szCs w:val="24"/>
                <w:color w:val="auto"/>
              </w:rPr>
            </w:pPr>
          </w:p>
        </w:tc>
        <w:tc>
          <w:tcPr>
            <w:tcW w:w="2320" w:type="dxa"/>
            <w:vAlign w:val="bottom"/>
            <w:gridSpan w:val="3"/>
            <w:vMerge w:val="restart"/>
          </w:tcPr>
          <w:p>
            <w:pPr>
              <w:ind w:left="220"/>
              <w:spacing w:after="0"/>
              <w:rPr>
                <w:sz w:val="20"/>
                <w:szCs w:val="20"/>
                <w:color w:val="auto"/>
              </w:rPr>
            </w:pPr>
            <w:r>
              <w:rPr>
                <w:rFonts w:ascii="Arial" w:cs="Arial" w:eastAsia="Arial" w:hAnsi="Arial"/>
                <w:sz w:val="16"/>
                <w:szCs w:val="16"/>
                <w:color w:val="auto"/>
              </w:rPr>
              <w:t>2025 ANNUAL REPORT</w:t>
            </w:r>
          </w:p>
        </w:tc>
        <w:tc>
          <w:tcPr>
            <w:tcW w:w="32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9"/>
                <w:szCs w:val="19"/>
                <w:color w:val="auto"/>
              </w:rPr>
              <w:t>82</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3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Borders>
              <w:right w:val="single" w:sz="8" w:color="5C004B"/>
            </w:tcBorders>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-269240</wp:posOffset>
            </wp:positionV>
            <wp:extent cx="1416050" cy="2546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577">
                      <a:extLst>
                        <a:ext uri="{28A0092B-C50C-407E-A947-70E740481C1C}"/>
                      </a:extLst>
                    </a:blip>
                    <a:srcRect/>
                    <a:stretch>
                      <a:fillRect/>
                    </a:stretch>
                  </pic:blipFill>
                  <pic:spPr bwMode="auto">
                    <a:xfrm>
                      <a:off x="0" y="0"/>
                      <a:ext cx="1416050" cy="2546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304800</wp:posOffset>
                </wp:positionH>
                <wp:positionV relativeFrom="paragraph">
                  <wp:posOffset>-5243830</wp:posOffset>
                </wp:positionV>
                <wp:extent cx="12700" cy="13335"/>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B6B6B6"/>
                        </a:solidFill>
                      </wps:spPr>
                      <wps:bodyPr/>
                    </wps:wsp>
                  </a:graphicData>
                </a:graphic>
              </wp:anchor>
            </w:drawing>
          </mc:Choice>
          <mc:Fallback>
            <w:pict>
              <v:rect id="Shape 777" o:spid="_x0000_s1802" style="position:absolute;margin-left:24pt;margin-top:-412.8999pt;width: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6B6B6" stroked="f"/>
            </w:pict>
          </mc:Fallback>
        </mc:AlternateContent>
      </w:r>
    </w:p>
    <w:p>
      <w:pPr>
        <w:sectPr>
          <w:pgSz w:w="11880" w:h="15479" w:orient="portrait"/>
          <w:cols w:equalWidth="0" w:num="1">
            <w:col w:w="10460"/>
          </w:cols>
          <w:pgMar w:left="900" w:top="890" w:right="519" w:bottom="0" w:gutter="0" w:footer="0" w:header="0"/>
        </w:sectPr>
      </w:pPr>
    </w:p>
    <w:bookmarkStart w:id="206" w:name="page207"/>
    <w:bookmarkEnd w:id="206"/>
    <w:tbl>
      <w:tblPr>
        <w:tblLayout w:type="fixed"/>
        <w:tblInd w:w="43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Product</w:t>
            </w:r>
          </w:p>
        </w:tc>
        <w:tc>
          <w:tcPr>
            <w:tcW w:w="3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Indications</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w w:val="99"/>
              </w:rPr>
              <w:t>Initial Approval Date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Markets</w:t>
            </w:r>
          </w:p>
        </w:tc>
        <w:tc>
          <w:tcPr>
            <w:tcW w:w="0" w:type="dxa"/>
            <w:vAlign w:val="bottom"/>
          </w:tcPr>
          <w:p>
            <w:pPr>
              <w:spacing w:after="0"/>
              <w:rPr>
                <w:sz w:val="1"/>
                <w:szCs w:val="1"/>
                <w:color w:val="auto"/>
              </w:rPr>
            </w:pPr>
          </w:p>
        </w:tc>
      </w:tr>
      <w:tr>
        <w:trPr>
          <w:trHeight w:val="31"/>
        </w:trPr>
        <w:tc>
          <w:tcPr>
            <w:tcW w:w="60" w:type="dxa"/>
            <w:vAlign w:val="bottom"/>
            <w:tcBorders>
              <w:bottom w:val="single" w:sz="8" w:color="B6B6B6"/>
            </w:tcBorders>
          </w:tcPr>
          <w:p>
            <w:pPr>
              <w:spacing w:after="0"/>
              <w:rPr>
                <w:sz w:val="2"/>
                <w:szCs w:val="2"/>
                <w:color w:val="auto"/>
              </w:rPr>
            </w:pPr>
          </w:p>
        </w:tc>
        <w:tc>
          <w:tcPr>
            <w:tcW w:w="660" w:type="dxa"/>
            <w:vAlign w:val="bottom"/>
            <w:tcBorders>
              <w:top w:val="single" w:sz="8" w:color="auto"/>
              <w:bottom w:val="single" w:sz="8" w:color="B6B6B6"/>
            </w:tcBorders>
          </w:tcPr>
          <w:p>
            <w:pPr>
              <w:spacing w:after="0"/>
              <w:rPr>
                <w:sz w:val="2"/>
                <w:szCs w:val="2"/>
                <w:color w:val="auto"/>
              </w:rPr>
            </w:pPr>
          </w:p>
        </w:tc>
        <w:tc>
          <w:tcPr>
            <w:tcW w:w="162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940" w:type="dxa"/>
            <w:vAlign w:val="bottom"/>
            <w:tcBorders>
              <w:top w:val="single" w:sz="8" w:color="auto"/>
              <w:bottom w:val="single" w:sz="8" w:color="B6B6B6"/>
            </w:tcBorders>
          </w:tcPr>
          <w:p>
            <w:pPr>
              <w:spacing w:after="0"/>
              <w:rPr>
                <w:sz w:val="2"/>
                <w:szCs w:val="2"/>
                <w:color w:val="auto"/>
              </w:rPr>
            </w:pPr>
          </w:p>
        </w:tc>
        <w:tc>
          <w:tcPr>
            <w:tcW w:w="228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1760" w:type="dxa"/>
            <w:vAlign w:val="bottom"/>
            <w:tcBorders>
              <w:top w:val="single" w:sz="8" w:color="auto"/>
              <w:bottom w:val="single" w:sz="8" w:color="B6B6B6"/>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700" w:type="dxa"/>
            <w:vAlign w:val="bottom"/>
            <w:tcBorders>
              <w:top w:val="single" w:sz="8" w:color="auto"/>
              <w:bottom w:val="single" w:sz="8" w:color="B6B6B6"/>
            </w:tcBorders>
          </w:tcPr>
          <w:p>
            <w:pPr>
              <w:spacing w:after="0"/>
              <w:rPr>
                <w:sz w:val="2"/>
                <w:szCs w:val="2"/>
                <w:color w:val="auto"/>
              </w:rPr>
            </w:pPr>
          </w:p>
        </w:tc>
        <w:tc>
          <w:tcPr>
            <w:tcW w:w="176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B6B6B6"/>
            </w:tcBorders>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A component of a multi-agent</w:t>
            </w:r>
          </w:p>
        </w:tc>
        <w:tc>
          <w:tcPr>
            <w:tcW w:w="180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9"/>
                <w:szCs w:val="19"/>
                <w:color w:val="auto"/>
              </w:rPr>
              <w:t>September 2022</w:t>
            </w:r>
          </w:p>
        </w:tc>
        <w:tc>
          <w:tcPr>
            <w:tcW w:w="80" w:type="dxa"/>
            <w:vAlign w:val="bottom"/>
            <w:tcBorders>
              <w:right w:val="single" w:sz="8" w:color="B6B6B6"/>
            </w:tcBorders>
          </w:tcPr>
          <w:p>
            <w:pPr>
              <w:spacing w:after="0"/>
              <w:rPr>
                <w:sz w:val="15"/>
                <w:szCs w:val="15"/>
                <w:color w:val="auto"/>
              </w:rPr>
            </w:pPr>
          </w:p>
        </w:tc>
        <w:tc>
          <w:tcPr>
            <w:tcW w:w="40" w:type="dxa"/>
            <w:vAlign w:val="bottom"/>
          </w:tcPr>
          <w:p>
            <w:pPr>
              <w:spacing w:after="0"/>
              <w:rPr>
                <w:sz w:val="15"/>
                <w:szCs w:val="15"/>
                <w:color w:val="auto"/>
              </w:rPr>
            </w:pPr>
          </w:p>
        </w:tc>
        <w:tc>
          <w:tcPr>
            <w:tcW w:w="2460" w:type="dxa"/>
            <w:vAlign w:val="bottom"/>
            <w:tcBorders>
              <w:right w:val="single" w:sz="8" w:color="B6B6B6"/>
            </w:tcBorders>
            <w:gridSpan w:val="2"/>
          </w:tcPr>
          <w:p>
            <w:pPr>
              <w:spacing w:after="0" w:line="183" w:lineRule="exact"/>
              <w:rPr>
                <w:sz w:val="20"/>
                <w:szCs w:val="20"/>
                <w:color w:val="auto"/>
              </w:rPr>
            </w:pPr>
            <w:r>
              <w:rPr>
                <w:rFonts w:ascii="Times New Roman" w:cs="Times New Roman" w:eastAsia="Times New Roman" w:hAnsi="Times New Roman"/>
                <w:sz w:val="19"/>
                <w:szCs w:val="19"/>
                <w:color w:val="auto"/>
              </w:rPr>
              <w:t>Canada</w:t>
            </w: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228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Rylaze® (crisantaspase</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chemotherapeutic regimen for the</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B6B6B6"/>
            </w:tcBorders>
          </w:tcPr>
          <w:p>
            <w:pPr>
              <w:spacing w:after="0"/>
              <w:rPr>
                <w:sz w:val="17"/>
                <w:szCs w:val="17"/>
                <w:color w:val="auto"/>
              </w:rPr>
            </w:pPr>
          </w:p>
        </w:tc>
        <w:tc>
          <w:tcPr>
            <w:tcW w:w="2280" w:type="dxa"/>
            <w:vAlign w:val="bottom"/>
            <w:tcBorders>
              <w:right w:val="single" w:sz="8" w:color="B6B6B6"/>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right w:val="single" w:sz="8" w:color="B6B6B6"/>
            </w:tcBorders>
            <w:gridSpan w:val="2"/>
          </w:tcPr>
          <w:p>
            <w:pPr>
              <w:spacing w:after="0" w:line="195" w:lineRule="exact"/>
              <w:rPr>
                <w:sz w:val="20"/>
                <w:szCs w:val="20"/>
                <w:color w:val="auto"/>
              </w:rPr>
            </w:pPr>
            <w:r>
              <w:rPr>
                <w:rFonts w:ascii="Times New Roman" w:cs="Times New Roman" w:eastAsia="Times New Roman" w:hAnsi="Times New Roman"/>
                <w:sz w:val="19"/>
                <w:szCs w:val="19"/>
                <w:color w:val="auto"/>
              </w:rPr>
              <w:t>treatment of ALL and LBL, in adults</w:t>
            </w: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Borders>
              <w:right w:val="single" w:sz="8" w:color="B6B6B6"/>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228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recombinant)</w:t>
            </w: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and pediatric patients 1 year or older</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Borders>
              <w:left w:val="single" w:sz="8" w:color="B6B6B6"/>
            </w:tcBorders>
          </w:tcPr>
          <w:p>
            <w:pPr>
              <w:spacing w:after="0"/>
              <w:rPr>
                <w:sz w:val="16"/>
                <w:szCs w:val="16"/>
                <w:color w:val="auto"/>
              </w:rPr>
            </w:pPr>
          </w:p>
        </w:tc>
        <w:tc>
          <w:tcPr>
            <w:tcW w:w="660" w:type="dxa"/>
            <w:vAlign w:val="bottom"/>
          </w:tcPr>
          <w:p>
            <w:pPr>
              <w:spacing w:after="0"/>
              <w:rPr>
                <w:sz w:val="16"/>
                <w:szCs w:val="16"/>
                <w:color w:val="auto"/>
              </w:rPr>
            </w:pPr>
          </w:p>
        </w:tc>
        <w:tc>
          <w:tcPr>
            <w:tcW w:w="162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tcBorders>
              <w:right w:val="single" w:sz="8" w:color="B6B6B6"/>
            </w:tcBorders>
            <w:gridSpan w:val="2"/>
          </w:tcPr>
          <w:p>
            <w:pPr>
              <w:spacing w:after="0" w:line="193" w:lineRule="exact"/>
              <w:rPr>
                <w:sz w:val="20"/>
                <w:szCs w:val="20"/>
                <w:color w:val="auto"/>
              </w:rPr>
            </w:pPr>
            <w:r>
              <w:rPr>
                <w:rFonts w:ascii="Times New Roman" w:cs="Times New Roman" w:eastAsia="Times New Roman" w:hAnsi="Times New Roman"/>
                <w:sz w:val="19"/>
                <w:szCs w:val="19"/>
                <w:color w:val="auto"/>
              </w:rPr>
              <w:t>who have developed hypersensitivity to</w:t>
            </w: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right w:val="single" w:sz="8" w:color="B6B6B6"/>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0" w:type="dxa"/>
            <w:vAlign w:val="bottom"/>
            <w:tcBorders>
              <w:left w:val="single" w:sz="8" w:color="B6B6B6"/>
              <w:bottom w:val="single" w:sz="8" w:color="939393"/>
            </w:tcBorders>
          </w:tcPr>
          <w:p>
            <w:pPr>
              <w:spacing w:after="0"/>
              <w:rPr>
                <w:sz w:val="22"/>
                <w:szCs w:val="22"/>
                <w:color w:val="auto"/>
              </w:rPr>
            </w:pPr>
          </w:p>
        </w:tc>
        <w:tc>
          <w:tcPr>
            <w:tcW w:w="660" w:type="dxa"/>
            <w:vAlign w:val="bottom"/>
            <w:tcBorders>
              <w:bottom w:val="single" w:sz="8" w:color="939393"/>
            </w:tcBorders>
          </w:tcPr>
          <w:p>
            <w:pPr>
              <w:spacing w:after="0"/>
              <w:rPr>
                <w:sz w:val="22"/>
                <w:szCs w:val="22"/>
                <w:color w:val="auto"/>
              </w:rPr>
            </w:pPr>
          </w:p>
        </w:tc>
        <w:tc>
          <w:tcPr>
            <w:tcW w:w="1620" w:type="dxa"/>
            <w:vAlign w:val="bottom"/>
            <w:tcBorders>
              <w:bottom w:val="single" w:sz="8" w:color="939393"/>
              <w:right w:val="single" w:sz="8" w:color="B6B6B6"/>
            </w:tcBorders>
          </w:tcPr>
          <w:p>
            <w:pPr>
              <w:spacing w:after="0"/>
              <w:rPr>
                <w:sz w:val="22"/>
                <w:szCs w:val="22"/>
                <w:color w:val="auto"/>
              </w:rPr>
            </w:pPr>
          </w:p>
        </w:tc>
        <w:tc>
          <w:tcPr>
            <w:tcW w:w="40" w:type="dxa"/>
            <w:vAlign w:val="bottom"/>
            <w:tcBorders>
              <w:bottom w:val="single" w:sz="8" w:color="939393"/>
            </w:tcBorders>
          </w:tcPr>
          <w:p>
            <w:pPr>
              <w:spacing w:after="0"/>
              <w:rPr>
                <w:sz w:val="22"/>
                <w:szCs w:val="22"/>
                <w:color w:val="auto"/>
              </w:rPr>
            </w:pPr>
          </w:p>
        </w:tc>
        <w:tc>
          <w:tcPr>
            <w:tcW w:w="3220" w:type="dxa"/>
            <w:vAlign w:val="bottom"/>
            <w:tcBorders>
              <w:bottom w:val="single" w:sz="8" w:color="939393"/>
              <w:right w:val="single" w:sz="8" w:color="B6B6B6"/>
            </w:tcBorders>
            <w:gridSpan w:val="2"/>
          </w:tcPr>
          <w:p>
            <w:pPr>
              <w:spacing w:after="0"/>
              <w:rPr>
                <w:sz w:val="20"/>
                <w:szCs w:val="20"/>
                <w:color w:val="auto"/>
              </w:rPr>
            </w:pPr>
            <w:r>
              <w:rPr>
                <w:rFonts w:ascii="Times New Roman" w:cs="Times New Roman" w:eastAsia="Times New Roman" w:hAnsi="Times New Roman"/>
                <w:sz w:val="19"/>
                <w:szCs w:val="19"/>
                <w:color w:val="auto"/>
              </w:rPr>
              <w:t>E. coli-derived asparaginase.</w:t>
            </w:r>
          </w:p>
        </w:tc>
        <w:tc>
          <w:tcPr>
            <w:tcW w:w="40" w:type="dxa"/>
            <w:vAlign w:val="bottom"/>
            <w:tcBorders>
              <w:bottom w:val="single" w:sz="8" w:color="939393"/>
            </w:tcBorders>
          </w:tcPr>
          <w:p>
            <w:pPr>
              <w:spacing w:after="0"/>
              <w:rPr>
                <w:sz w:val="22"/>
                <w:szCs w:val="22"/>
                <w:color w:val="auto"/>
              </w:rPr>
            </w:pPr>
          </w:p>
        </w:tc>
        <w:tc>
          <w:tcPr>
            <w:tcW w:w="1760" w:type="dxa"/>
            <w:vAlign w:val="bottom"/>
            <w:tcBorders>
              <w:bottom w:val="single" w:sz="8" w:color="939393"/>
            </w:tcBorders>
          </w:tcPr>
          <w:p>
            <w:pPr>
              <w:spacing w:after="0"/>
              <w:rPr>
                <w:sz w:val="22"/>
                <w:szCs w:val="22"/>
                <w:color w:val="auto"/>
              </w:rPr>
            </w:pPr>
          </w:p>
        </w:tc>
        <w:tc>
          <w:tcPr>
            <w:tcW w:w="80" w:type="dxa"/>
            <w:vAlign w:val="bottom"/>
            <w:tcBorders>
              <w:bottom w:val="single" w:sz="8" w:color="939393"/>
              <w:right w:val="single" w:sz="8" w:color="B6B6B6"/>
            </w:tcBorders>
          </w:tcPr>
          <w:p>
            <w:pPr>
              <w:spacing w:after="0"/>
              <w:rPr>
                <w:sz w:val="22"/>
                <w:szCs w:val="22"/>
                <w:color w:val="auto"/>
              </w:rPr>
            </w:pPr>
          </w:p>
        </w:tc>
        <w:tc>
          <w:tcPr>
            <w:tcW w:w="40" w:type="dxa"/>
            <w:vAlign w:val="bottom"/>
            <w:tcBorders>
              <w:bottom w:val="single" w:sz="8" w:color="939393"/>
            </w:tcBorders>
          </w:tcPr>
          <w:p>
            <w:pPr>
              <w:spacing w:after="0"/>
              <w:rPr>
                <w:sz w:val="22"/>
                <w:szCs w:val="22"/>
                <w:color w:val="auto"/>
              </w:rPr>
            </w:pPr>
          </w:p>
        </w:tc>
        <w:tc>
          <w:tcPr>
            <w:tcW w:w="700" w:type="dxa"/>
            <w:vAlign w:val="bottom"/>
            <w:tcBorders>
              <w:bottom w:val="single" w:sz="8" w:color="939393"/>
            </w:tcBorders>
          </w:tcPr>
          <w:p>
            <w:pPr>
              <w:spacing w:after="0"/>
              <w:rPr>
                <w:sz w:val="22"/>
                <w:szCs w:val="22"/>
                <w:color w:val="auto"/>
              </w:rPr>
            </w:pPr>
          </w:p>
        </w:tc>
        <w:tc>
          <w:tcPr>
            <w:tcW w:w="1760" w:type="dxa"/>
            <w:vAlign w:val="bottom"/>
            <w:tcBorders>
              <w:bottom w:val="single" w:sz="8" w:color="939393"/>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273050</wp:posOffset>
                </wp:positionH>
                <wp:positionV relativeFrom="paragraph">
                  <wp:posOffset>0</wp:posOffset>
                </wp:positionV>
                <wp:extent cx="0" cy="915035"/>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5035"/>
                        </a:xfrm>
                        <a:prstGeom prst="line">
                          <a:avLst/>
                        </a:prstGeom>
                        <a:solidFill>
                          <a:srgbClr val="FFFFFF"/>
                        </a:solidFill>
                        <a:ln w="11823">
                          <a:solidFill>
                            <a:srgbClr val="B6B6B6"/>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pt,0pt" to="21.5pt,72.05pt" o:allowincell="f" strokecolor="#B6B6B6" strokeweight="0.9309pt"/>
            </w:pict>
          </mc:Fallback>
        </mc:AlternateContent>
        <mc:AlternateContent>
          <mc:Choice Requires="wps">
            <w:drawing>
              <wp:anchor simplePos="0" relativeHeight="251657728" behindDoc="1" locked="0" layoutInCell="0" allowOverlap="1">
                <wp:simplePos x="0" y="0"/>
                <wp:positionH relativeFrom="column">
                  <wp:posOffset>1751330</wp:posOffset>
                </wp:positionH>
                <wp:positionV relativeFrom="paragraph">
                  <wp:posOffset>0</wp:posOffset>
                </wp:positionV>
                <wp:extent cx="0" cy="915035"/>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5035"/>
                        </a:xfrm>
                        <a:prstGeom prst="line">
                          <a:avLst/>
                        </a:prstGeom>
                        <a:solidFill>
                          <a:srgbClr val="FFFFFF"/>
                        </a:solidFill>
                        <a:ln w="11823">
                          <a:solidFill>
                            <a:srgbClr val="B6B6B6"/>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9pt,0pt" to="137.9pt,72.05pt" o:allowincell="f" strokecolor="#B6B6B6" strokeweight="0.9309pt"/>
            </w:pict>
          </mc:Fallback>
        </mc:AlternateContent>
        <mc:AlternateContent>
          <mc:Choice Requires="wps">
            <w:drawing>
              <wp:anchor simplePos="0" relativeHeight="251657728" behindDoc="1" locked="0" layoutInCell="0" allowOverlap="1">
                <wp:simplePos x="0" y="0"/>
                <wp:positionH relativeFrom="column">
                  <wp:posOffset>267335</wp:posOffset>
                </wp:positionH>
                <wp:positionV relativeFrom="paragraph">
                  <wp:posOffset>908685</wp:posOffset>
                </wp:positionV>
                <wp:extent cx="6331585"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1585" cy="4763"/>
                        </a:xfrm>
                        <a:prstGeom prst="line">
                          <a:avLst/>
                        </a:prstGeom>
                        <a:solidFill>
                          <a:srgbClr val="FFFFFF"/>
                        </a:solidFill>
                        <a:ln w="11810">
                          <a:solidFill>
                            <a:srgbClr val="B6B6B6"/>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5pt,71.55pt" to="519.6pt,71.55pt" o:allowincell="f" strokecolor="#B6B6B6" strokeweight="0.9299pt"/>
            </w:pict>
          </mc:Fallback>
        </mc:AlternateContent>
        <mc:AlternateContent>
          <mc:Choice Requires="wps">
            <w:drawing>
              <wp:anchor simplePos="0" relativeHeight="251657728" behindDoc="1" locked="0" layoutInCell="0" allowOverlap="1">
                <wp:simplePos x="0" y="0"/>
                <wp:positionH relativeFrom="column">
                  <wp:posOffset>6592570</wp:posOffset>
                </wp:positionH>
                <wp:positionV relativeFrom="paragraph">
                  <wp:posOffset>0</wp:posOffset>
                </wp:positionV>
                <wp:extent cx="0" cy="915035"/>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5035"/>
                        </a:xfrm>
                        <a:prstGeom prst="line">
                          <a:avLst/>
                        </a:prstGeom>
                        <a:solidFill>
                          <a:srgbClr val="FFFFFF"/>
                        </a:solidFill>
                        <a:ln w="11810">
                          <a:solidFill>
                            <a:srgbClr val="B6B6B6"/>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1pt,0pt" to="519.1pt,72.05pt" o:allowincell="f" strokecolor="#B6B6B6" strokeweight="0.9299pt"/>
            </w:pict>
          </mc:Fallback>
        </mc:AlternateContent>
      </w:r>
    </w:p>
    <w:p>
      <w:pPr>
        <w:sectPr>
          <w:pgSz w:w="11880" w:h="15479" w:orient="portrait"/>
          <w:cols w:equalWidth="0" w:num="1">
            <w:col w:w="10400"/>
          </w:cols>
          <w:pgMar w:left="960" w:top="890" w:right="51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19"/>
          <w:szCs w:val="19"/>
          <w:color w:val="auto"/>
        </w:rPr>
        <w:t>Enrylaze® (recombinant crisantaspase)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Borders>
              <w:right w:val="single" w:sz="8" w:color="B6B6B6"/>
            </w:tcBorders>
          </w:tcPr>
          <w:p>
            <w:pPr>
              <w:spacing w:after="0" w:line="186" w:lineRule="exact"/>
              <w:rPr>
                <w:sz w:val="20"/>
                <w:szCs w:val="20"/>
                <w:color w:val="auto"/>
              </w:rPr>
            </w:pPr>
            <w:r>
              <w:rPr>
                <w:rFonts w:ascii="Times New Roman" w:cs="Times New Roman" w:eastAsia="Times New Roman" w:hAnsi="Times New Roman"/>
                <w:sz w:val="19"/>
                <w:szCs w:val="19"/>
                <w:color w:val="auto"/>
              </w:rPr>
              <w:t>A component of a multi-agent</w:t>
            </w:r>
          </w:p>
        </w:tc>
        <w:tc>
          <w:tcPr>
            <w:tcW w:w="1880" w:type="dxa"/>
            <w:vAlign w:val="bottom"/>
            <w:tcBorders>
              <w:right w:val="single" w:sz="8" w:color="B6B6B6"/>
            </w:tcBorders>
          </w:tcPr>
          <w:p>
            <w:pPr>
              <w:ind w:left="40"/>
              <w:spacing w:after="0" w:line="186" w:lineRule="exact"/>
              <w:rPr>
                <w:sz w:val="20"/>
                <w:szCs w:val="20"/>
                <w:color w:val="auto"/>
              </w:rPr>
            </w:pPr>
            <w:r>
              <w:rPr>
                <w:rFonts w:ascii="Times New Roman" w:cs="Times New Roman" w:eastAsia="Times New Roman" w:hAnsi="Times New Roman"/>
                <w:sz w:val="19"/>
                <w:szCs w:val="19"/>
                <w:color w:val="auto"/>
              </w:rPr>
              <w:t>September 2023</w:t>
            </w:r>
          </w:p>
        </w:tc>
        <w:tc>
          <w:tcPr>
            <w:tcW w:w="2140" w:type="dxa"/>
            <w:vAlign w:val="bottom"/>
          </w:tcPr>
          <w:p>
            <w:pPr>
              <w:ind w:left="40"/>
              <w:spacing w:after="0" w:line="186" w:lineRule="exact"/>
              <w:rPr>
                <w:sz w:val="20"/>
                <w:szCs w:val="20"/>
                <w:color w:val="auto"/>
              </w:rPr>
            </w:pPr>
            <w:r>
              <w:rPr>
                <w:rFonts w:ascii="Times New Roman" w:cs="Times New Roman" w:eastAsia="Times New Roman" w:hAnsi="Times New Roman"/>
                <w:sz w:val="19"/>
                <w:szCs w:val="19"/>
                <w:color w:val="auto"/>
              </w:rPr>
              <w:t>EU, Great Britain,</w:t>
            </w:r>
          </w:p>
        </w:tc>
      </w:tr>
      <w:tr>
        <w:trPr>
          <w:trHeight w:val="193"/>
        </w:trPr>
        <w:tc>
          <w:tcPr>
            <w:tcW w:w="3220" w:type="dxa"/>
            <w:vAlign w:val="bottom"/>
            <w:tcBorders>
              <w:right w:val="single" w:sz="8" w:color="B6B6B6"/>
            </w:tcBorders>
          </w:tcPr>
          <w:p>
            <w:pPr>
              <w:spacing w:after="0" w:line="193" w:lineRule="exact"/>
              <w:rPr>
                <w:sz w:val="20"/>
                <w:szCs w:val="20"/>
                <w:color w:val="auto"/>
              </w:rPr>
            </w:pPr>
            <w:r>
              <w:rPr>
                <w:rFonts w:ascii="Times New Roman" w:cs="Times New Roman" w:eastAsia="Times New Roman" w:hAnsi="Times New Roman"/>
                <w:sz w:val="19"/>
                <w:szCs w:val="19"/>
                <w:color w:val="auto"/>
              </w:rPr>
              <w:t>chemotherapeutic regimen for the</w:t>
            </w:r>
          </w:p>
        </w:tc>
        <w:tc>
          <w:tcPr>
            <w:tcW w:w="1880" w:type="dxa"/>
            <w:vAlign w:val="bottom"/>
            <w:tcBorders>
              <w:right w:val="single" w:sz="8" w:color="B6B6B6"/>
            </w:tcBorders>
          </w:tcPr>
          <w:p>
            <w:pPr>
              <w:spacing w:after="0"/>
              <w:rPr>
                <w:sz w:val="16"/>
                <w:szCs w:val="16"/>
                <w:color w:val="auto"/>
              </w:rPr>
            </w:pPr>
          </w:p>
        </w:tc>
        <w:tc>
          <w:tcPr>
            <w:tcW w:w="214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Switzerland, other markets</w:t>
            </w:r>
          </w:p>
        </w:tc>
      </w:tr>
      <w:tr>
        <w:trPr>
          <w:trHeight w:val="193"/>
        </w:trPr>
        <w:tc>
          <w:tcPr>
            <w:tcW w:w="3220" w:type="dxa"/>
            <w:vAlign w:val="bottom"/>
            <w:tcBorders>
              <w:right w:val="single" w:sz="8" w:color="B6B6B6"/>
            </w:tcBorders>
          </w:tcPr>
          <w:p>
            <w:pPr>
              <w:spacing w:after="0" w:line="193" w:lineRule="exact"/>
              <w:rPr>
                <w:sz w:val="20"/>
                <w:szCs w:val="20"/>
                <w:color w:val="auto"/>
              </w:rPr>
            </w:pPr>
            <w:r>
              <w:rPr>
                <w:rFonts w:ascii="Times New Roman" w:cs="Times New Roman" w:eastAsia="Times New Roman" w:hAnsi="Times New Roman"/>
                <w:sz w:val="19"/>
                <w:szCs w:val="19"/>
                <w:color w:val="auto"/>
              </w:rPr>
              <w:t>treatment of ALL and LBL in adult and</w:t>
            </w:r>
          </w:p>
        </w:tc>
        <w:tc>
          <w:tcPr>
            <w:tcW w:w="1880" w:type="dxa"/>
            <w:vAlign w:val="bottom"/>
            <w:tcBorders>
              <w:right w:val="single" w:sz="8" w:color="B6B6B6"/>
            </w:tcBorders>
          </w:tcPr>
          <w:p>
            <w:pPr>
              <w:spacing w:after="0"/>
              <w:rPr>
                <w:sz w:val="16"/>
                <w:szCs w:val="16"/>
                <w:color w:val="auto"/>
              </w:rPr>
            </w:pPr>
          </w:p>
        </w:tc>
        <w:tc>
          <w:tcPr>
            <w:tcW w:w="2140" w:type="dxa"/>
            <w:vAlign w:val="bottom"/>
          </w:tcPr>
          <w:p>
            <w:pPr>
              <w:spacing w:after="0"/>
              <w:rPr>
                <w:sz w:val="16"/>
                <w:szCs w:val="16"/>
                <w:color w:val="auto"/>
              </w:rPr>
            </w:pPr>
          </w:p>
        </w:tc>
      </w:tr>
      <w:tr>
        <w:trPr>
          <w:trHeight w:val="193"/>
        </w:trPr>
        <w:tc>
          <w:tcPr>
            <w:tcW w:w="3220" w:type="dxa"/>
            <w:vAlign w:val="bottom"/>
            <w:tcBorders>
              <w:right w:val="single" w:sz="8" w:color="B6B6B6"/>
            </w:tcBorders>
          </w:tcPr>
          <w:p>
            <w:pPr>
              <w:spacing w:after="0" w:line="193" w:lineRule="exact"/>
              <w:rPr>
                <w:sz w:val="20"/>
                <w:szCs w:val="20"/>
                <w:color w:val="auto"/>
              </w:rPr>
            </w:pPr>
            <w:r>
              <w:rPr>
                <w:rFonts w:ascii="Times New Roman" w:cs="Times New Roman" w:eastAsia="Times New Roman" w:hAnsi="Times New Roman"/>
                <w:sz w:val="19"/>
                <w:szCs w:val="19"/>
                <w:color w:val="auto"/>
              </w:rPr>
              <w:t>pediatric patients (1 month and older)</w:t>
            </w:r>
          </w:p>
        </w:tc>
        <w:tc>
          <w:tcPr>
            <w:tcW w:w="1880" w:type="dxa"/>
            <w:vAlign w:val="bottom"/>
            <w:tcBorders>
              <w:right w:val="single" w:sz="8" w:color="B6B6B6"/>
            </w:tcBorders>
          </w:tcPr>
          <w:p>
            <w:pPr>
              <w:spacing w:after="0"/>
              <w:rPr>
                <w:sz w:val="16"/>
                <w:szCs w:val="16"/>
                <w:color w:val="auto"/>
              </w:rPr>
            </w:pPr>
          </w:p>
        </w:tc>
        <w:tc>
          <w:tcPr>
            <w:tcW w:w="2140" w:type="dxa"/>
            <w:vAlign w:val="bottom"/>
          </w:tcPr>
          <w:p>
            <w:pPr>
              <w:spacing w:after="0"/>
              <w:rPr>
                <w:sz w:val="16"/>
                <w:szCs w:val="16"/>
                <w:color w:val="auto"/>
              </w:rPr>
            </w:pPr>
          </w:p>
        </w:tc>
      </w:tr>
      <w:tr>
        <w:trPr>
          <w:trHeight w:val="196"/>
        </w:trPr>
        <w:tc>
          <w:tcPr>
            <w:tcW w:w="3220" w:type="dxa"/>
            <w:vAlign w:val="bottom"/>
            <w:tcBorders>
              <w:right w:val="single" w:sz="8" w:color="B6B6B6"/>
            </w:tcBorders>
          </w:tcPr>
          <w:p>
            <w:pPr>
              <w:spacing w:after="0" w:line="195" w:lineRule="exact"/>
              <w:rPr>
                <w:sz w:val="20"/>
                <w:szCs w:val="20"/>
                <w:color w:val="auto"/>
              </w:rPr>
            </w:pPr>
            <w:r>
              <w:rPr>
                <w:rFonts w:ascii="Times New Roman" w:cs="Times New Roman" w:eastAsia="Times New Roman" w:hAnsi="Times New Roman"/>
                <w:sz w:val="19"/>
                <w:szCs w:val="19"/>
                <w:color w:val="auto"/>
              </w:rPr>
              <w:t>who have developed hypersensitivity or</w:t>
            </w:r>
          </w:p>
        </w:tc>
        <w:tc>
          <w:tcPr>
            <w:tcW w:w="1880" w:type="dxa"/>
            <w:vAlign w:val="bottom"/>
            <w:tcBorders>
              <w:right w:val="single" w:sz="8" w:color="B6B6B6"/>
            </w:tcBorders>
          </w:tcPr>
          <w:p>
            <w:pPr>
              <w:spacing w:after="0"/>
              <w:rPr>
                <w:sz w:val="17"/>
                <w:szCs w:val="17"/>
                <w:color w:val="auto"/>
              </w:rPr>
            </w:pPr>
          </w:p>
        </w:tc>
        <w:tc>
          <w:tcPr>
            <w:tcW w:w="2140" w:type="dxa"/>
            <w:vAlign w:val="bottom"/>
          </w:tcPr>
          <w:p>
            <w:pPr>
              <w:spacing w:after="0"/>
              <w:rPr>
                <w:sz w:val="17"/>
                <w:szCs w:val="17"/>
                <w:color w:val="auto"/>
              </w:rPr>
            </w:pPr>
          </w:p>
        </w:tc>
      </w:tr>
      <w:tr>
        <w:trPr>
          <w:trHeight w:val="193"/>
        </w:trPr>
        <w:tc>
          <w:tcPr>
            <w:tcW w:w="3220" w:type="dxa"/>
            <w:vAlign w:val="bottom"/>
            <w:tcBorders>
              <w:right w:val="single" w:sz="8" w:color="B6B6B6"/>
            </w:tcBorders>
          </w:tcPr>
          <w:p>
            <w:pPr>
              <w:spacing w:after="0" w:line="193" w:lineRule="exact"/>
              <w:rPr>
                <w:sz w:val="20"/>
                <w:szCs w:val="20"/>
                <w:color w:val="auto"/>
              </w:rPr>
            </w:pPr>
            <w:r>
              <w:rPr>
                <w:rFonts w:ascii="Times New Roman" w:cs="Times New Roman" w:eastAsia="Times New Roman" w:hAnsi="Times New Roman"/>
                <w:sz w:val="19"/>
                <w:szCs w:val="19"/>
                <w:color w:val="auto"/>
              </w:rPr>
              <w:t>silent inactivation to E. coli-derived</w:t>
            </w:r>
          </w:p>
        </w:tc>
        <w:tc>
          <w:tcPr>
            <w:tcW w:w="1880" w:type="dxa"/>
            <w:vAlign w:val="bottom"/>
            <w:tcBorders>
              <w:right w:val="single" w:sz="8" w:color="B6B6B6"/>
            </w:tcBorders>
          </w:tcPr>
          <w:p>
            <w:pPr>
              <w:spacing w:after="0"/>
              <w:rPr>
                <w:sz w:val="16"/>
                <w:szCs w:val="16"/>
                <w:color w:val="auto"/>
              </w:rPr>
            </w:pPr>
          </w:p>
        </w:tc>
        <w:tc>
          <w:tcPr>
            <w:tcW w:w="2140" w:type="dxa"/>
            <w:vAlign w:val="bottom"/>
          </w:tcPr>
          <w:p>
            <w:pPr>
              <w:spacing w:after="0"/>
              <w:rPr>
                <w:sz w:val="16"/>
                <w:szCs w:val="16"/>
                <w:color w:val="auto"/>
              </w:rPr>
            </w:pPr>
          </w:p>
        </w:tc>
      </w:tr>
      <w:tr>
        <w:trPr>
          <w:trHeight w:val="258"/>
        </w:trPr>
        <w:tc>
          <w:tcPr>
            <w:tcW w:w="3220" w:type="dxa"/>
            <w:vAlign w:val="bottom"/>
            <w:tcBorders>
              <w:right w:val="single" w:sz="8" w:color="B6B6B6"/>
            </w:tcBorders>
          </w:tcPr>
          <w:p>
            <w:pPr>
              <w:spacing w:after="0"/>
              <w:rPr>
                <w:sz w:val="20"/>
                <w:szCs w:val="20"/>
                <w:color w:val="auto"/>
              </w:rPr>
            </w:pPr>
            <w:r>
              <w:rPr>
                <w:rFonts w:ascii="Times New Roman" w:cs="Times New Roman" w:eastAsia="Times New Roman" w:hAnsi="Times New Roman"/>
                <w:sz w:val="19"/>
                <w:szCs w:val="19"/>
                <w:color w:val="auto"/>
              </w:rPr>
              <w:t>asparaginase.</w:t>
            </w:r>
          </w:p>
        </w:tc>
        <w:tc>
          <w:tcPr>
            <w:tcW w:w="1880" w:type="dxa"/>
            <w:vAlign w:val="bottom"/>
            <w:tcBorders>
              <w:right w:val="single" w:sz="8" w:color="B6B6B6"/>
            </w:tcBorders>
          </w:tcPr>
          <w:p>
            <w:pPr>
              <w:spacing w:after="0"/>
              <w:rPr>
                <w:sz w:val="22"/>
                <w:szCs w:val="22"/>
                <w:color w:val="auto"/>
              </w:rPr>
            </w:pPr>
          </w:p>
        </w:tc>
        <w:tc>
          <w:tcPr>
            <w:tcW w:w="2140" w:type="dxa"/>
            <w:vAlign w:val="bottom"/>
          </w:tcPr>
          <w:p>
            <w:pPr>
              <w:spacing w:after="0"/>
              <w:rPr>
                <w:sz w:val="22"/>
                <w:szCs w:val="22"/>
                <w:color w:val="auto"/>
              </w:rPr>
            </w:pPr>
          </w:p>
        </w:tc>
      </w:tr>
      <w:tr>
        <w:trPr>
          <w:trHeight w:val="28"/>
        </w:trPr>
        <w:tc>
          <w:tcPr>
            <w:tcW w:w="3220" w:type="dxa"/>
            <w:vAlign w:val="bottom"/>
            <w:tcBorders>
              <w:right w:val="single" w:sz="8" w:color="B6B6B6"/>
            </w:tcBorders>
          </w:tcPr>
          <w:p>
            <w:pPr>
              <w:spacing w:after="0"/>
              <w:rPr>
                <w:sz w:val="2"/>
                <w:szCs w:val="2"/>
                <w:color w:val="auto"/>
              </w:rPr>
            </w:pPr>
          </w:p>
        </w:tc>
        <w:tc>
          <w:tcPr>
            <w:tcW w:w="1880" w:type="dxa"/>
            <w:vAlign w:val="bottom"/>
            <w:tcBorders>
              <w:right w:val="single" w:sz="8" w:color="B6B6B6"/>
            </w:tcBorders>
          </w:tcPr>
          <w:p>
            <w:pPr>
              <w:spacing w:after="0"/>
              <w:rPr>
                <w:sz w:val="2"/>
                <w:szCs w:val="2"/>
                <w:color w:val="auto"/>
              </w:rPr>
            </w:pPr>
          </w:p>
        </w:tc>
        <w:tc>
          <w:tcPr>
            <w:tcW w:w="2140" w:type="dxa"/>
            <w:vAlign w:val="bottom"/>
          </w:tcPr>
          <w:p>
            <w:pPr>
              <w:spacing w:after="0"/>
              <w:rPr>
                <w:sz w:val="2"/>
                <w:szCs w:val="2"/>
                <w:color w:val="auto"/>
              </w:rPr>
            </w:pPr>
          </w:p>
        </w:tc>
      </w:tr>
    </w:tbl>
    <w:p>
      <w:pPr>
        <w:spacing w:after="0" w:line="38" w:lineRule="exact"/>
        <w:rPr>
          <w:sz w:val="20"/>
          <w:szCs w:val="20"/>
          <w:color w:val="auto"/>
        </w:rPr>
      </w:pPr>
    </w:p>
    <w:p>
      <w:pPr>
        <w:sectPr>
          <w:pgSz w:w="11880" w:h="15479" w:orient="portrait"/>
          <w:cols w:equalWidth="0" w:num="2">
            <w:col w:w="2400" w:space="400"/>
            <w:col w:w="7600"/>
          </w:cols>
          <w:pgMar w:left="960" w:top="890" w:right="519" w:bottom="0" w:gutter="0" w:footer="0" w:header="0"/>
          <w:type w:val="continuous"/>
        </w:sectPr>
      </w:pPr>
    </w:p>
    <w:p>
      <w:pPr>
        <w:ind w:left="580" w:hanging="98"/>
        <w:spacing w:after="0"/>
        <w:tabs>
          <w:tab w:leader="none" w:pos="5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clobazam restriction limited to EU and Great Britain</w:t>
      </w:r>
    </w:p>
    <w:p>
      <w:pPr>
        <w:spacing w:after="0" w:line="21" w:lineRule="exact"/>
        <w:rPr>
          <w:rFonts w:ascii="Times New Roman" w:cs="Times New Roman" w:eastAsia="Times New Roman" w:hAnsi="Times New Roman"/>
          <w:sz w:val="25"/>
          <w:szCs w:val="25"/>
          <w:color w:val="auto"/>
          <w:vertAlign w:val="superscript"/>
        </w:rPr>
      </w:pPr>
    </w:p>
    <w:p>
      <w:pPr>
        <w:ind w:left="580" w:hanging="98"/>
        <w:spacing w:after="0" w:line="192" w:lineRule="auto"/>
        <w:tabs>
          <w:tab w:leader="none" w:pos="5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Accelerated approval received from FDA</w:t>
      </w:r>
    </w:p>
    <w:p>
      <w:pPr>
        <w:spacing w:after="0" w:line="23" w:lineRule="exact"/>
        <w:rPr>
          <w:rFonts w:ascii="Times New Roman" w:cs="Times New Roman" w:eastAsia="Times New Roman" w:hAnsi="Times New Roman"/>
          <w:sz w:val="25"/>
          <w:szCs w:val="25"/>
          <w:color w:val="auto"/>
          <w:vertAlign w:val="superscript"/>
        </w:rPr>
      </w:pPr>
    </w:p>
    <w:p>
      <w:pPr>
        <w:ind w:left="580" w:hanging="98"/>
        <w:spacing w:after="0" w:line="192" w:lineRule="auto"/>
        <w:tabs>
          <w:tab w:leader="none" w:pos="5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Conditional marketing authorization granted by EC</w:t>
      </w:r>
    </w:p>
    <w:p>
      <w:pPr>
        <w:spacing w:after="0" w:line="21" w:lineRule="exact"/>
        <w:rPr>
          <w:rFonts w:ascii="Times New Roman" w:cs="Times New Roman" w:eastAsia="Times New Roman" w:hAnsi="Times New Roman"/>
          <w:sz w:val="25"/>
          <w:szCs w:val="25"/>
          <w:color w:val="auto"/>
          <w:vertAlign w:val="superscript"/>
        </w:rPr>
      </w:pPr>
    </w:p>
    <w:p>
      <w:pPr>
        <w:ind w:left="580" w:hanging="98"/>
        <w:spacing w:after="0" w:line="192" w:lineRule="auto"/>
        <w:tabs>
          <w:tab w:leader="none" w:pos="5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Conditional approval received from Health Canada</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Rare Sleep Disorders</w:t>
      </w:r>
    </w:p>
    <w:p>
      <w:pPr>
        <w:spacing w:after="0" w:line="129" w:lineRule="exact"/>
        <w:rPr>
          <w:sz w:val="20"/>
          <w:szCs w:val="20"/>
          <w:color w:val="auto"/>
        </w:rPr>
      </w:pPr>
    </w:p>
    <w:p>
      <w:pPr>
        <w:jc w:val="both"/>
        <w:ind w:right="480" w:firstLine="480"/>
        <w:spacing w:after="0" w:line="270" w:lineRule="auto"/>
        <w:rPr>
          <w:sz w:val="20"/>
          <w:szCs w:val="20"/>
          <w:color w:val="auto"/>
        </w:rPr>
      </w:pPr>
      <w:r>
        <w:rPr>
          <w:rFonts w:ascii="Times New Roman" w:cs="Times New Roman" w:eastAsia="Times New Roman" w:hAnsi="Times New Roman"/>
          <w:sz w:val="19"/>
          <w:szCs w:val="19"/>
          <w:color w:val="auto"/>
        </w:rPr>
        <w:t>We are the leader in the development and commercialization of oxybate therapy for patients 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spacing w:after="0" w:line="64" w:lineRule="exact"/>
        <w:rPr>
          <w:sz w:val="20"/>
          <w:szCs w:val="20"/>
          <w:color w:val="auto"/>
        </w:rPr>
      </w:pPr>
    </w:p>
    <w:p>
      <w:pPr>
        <w:ind w:right="460" w:firstLine="480"/>
        <w:spacing w:after="0" w:line="261" w:lineRule="auto"/>
        <w:rPr>
          <w:sz w:val="20"/>
          <w:szCs w:val="20"/>
          <w:color w:val="auto"/>
        </w:rPr>
      </w:pPr>
      <w:r>
        <w:rPr>
          <w:rFonts w:ascii="Times New Roman" w:cs="Times New Roman" w:eastAsia="Times New Roman" w:hAnsi="Times New Roman"/>
          <w:sz w:val="19"/>
          <w:szCs w:val="19"/>
          <w:color w:val="auto"/>
        </w:rPr>
        <w:t>Since there is no cure for narcolepsy and long-term disease management is needed, we believe that Xywav represents an important therapeutic option for patients with this sleep disorder. 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Analysis from the Phase 4 DUET trial showed improvements across multiple polysomnography measures in both narcolepsy and IH, suggesting Xywav improves measures of sleep fragmentation in these conditions.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spacing w:after="0" w:line="73" w:lineRule="exact"/>
        <w:rPr>
          <w:sz w:val="20"/>
          <w:szCs w:val="20"/>
          <w:color w:val="auto"/>
        </w:rPr>
      </w:pPr>
    </w:p>
    <w:p>
      <w:pPr>
        <w:ind w:right="480" w:firstLine="480"/>
        <w:spacing w:after="0" w:line="259" w:lineRule="auto"/>
        <w:rPr>
          <w:sz w:val="20"/>
          <w:szCs w:val="20"/>
          <w:color w:val="auto"/>
        </w:rPr>
      </w:pPr>
      <w:r>
        <w:rPr>
          <w:rFonts w:ascii="Times New Roman" w:cs="Times New Roman" w:eastAsia="Times New Roman" w:hAnsi="Times New Roman"/>
          <w:sz w:val="19"/>
          <w:szCs w:val="19"/>
          <w:color w:val="auto"/>
        </w:rPr>
        <w:t>In June 2021, FDA recognized seven years of ODE for Xywav in EDS and cataplexy in narcolepsy through July 2027 (which was subsequently extended to January 2028). Nevertheless, Lumryz, a fixed-dose, high-sodium oxybate, was approved by FDA on May 1, 2023, for the treatment of cataplexy or EDS in adults with narcolepsy and was launched in the U.S. market by Avadel in June 2023.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Our first medicine in rare sleep disorders was Xyrem, which was approved by FDA in 2002, and contains 1640mg of sodium per 9gram dose per night. Xyrem is indicated for the treatment of cataplexy or EDS in patients seven years of age and older with narcolepsy. Xywav contains 92% less sodium than Xyrem and is the only approved oxybate therapy that does not carry a warning and precaution related to high sodium intake.</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On August 12, 2021, FDA approved Xywav for the treatment of IH in adults. Xywav remains the first and only FDA-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approved therapy to treat IH. We initiated the U.S. commercial launch of Xywav for the treatment of IH in adults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2021. In January 2022, we announced that FDA recognized seven years of ODE for Xywav in IH through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2028. IH is a debilitating neurologic sleep disorder characterized by chronic EDS (the inability to stay awake and alert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day resulting in the irrepressible need to sleep or unplanned lapses into sleep or drowsiness), severe sleep inertia,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prolonged and non-restorative nighttime sleep. An estimated 37,000 people in the U.S. have been diagnosed with IH and 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actively seeking healthcare.</w:t>
      </w:r>
    </w:p>
    <w:p>
      <w:pPr>
        <w:spacing w:after="0" w:line="105" w:lineRule="exact"/>
        <w:rPr>
          <w:sz w:val="20"/>
          <w:szCs w:val="20"/>
          <w:color w:val="auto"/>
        </w:rPr>
      </w:pPr>
    </w:p>
    <w:p>
      <w:pPr>
        <w:ind w:right="480" w:firstLine="480"/>
        <w:spacing w:after="0" w:line="277" w:lineRule="auto"/>
        <w:rPr>
          <w:sz w:val="20"/>
          <w:szCs w:val="20"/>
          <w:color w:val="auto"/>
        </w:rPr>
      </w:pPr>
      <w:r>
        <w:rPr>
          <w:rFonts w:ascii="Times New Roman" w:cs="Times New Roman" w:eastAsia="Times New Roman" w:hAnsi="Times New Roman"/>
          <w:sz w:val="19"/>
          <w:szCs w:val="19"/>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122555</wp:posOffset>
            </wp:positionV>
            <wp:extent cx="259080" cy="2546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57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1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83</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83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57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400"/>
          </w:cols>
          <w:pgMar w:left="960" w:top="890" w:right="519" w:bottom="0" w:gutter="0" w:footer="0" w:header="0"/>
          <w:type w:val="continuous"/>
        </w:sectPr>
      </w:pPr>
    </w:p>
    <w:bookmarkStart w:id="207" w:name="page208"/>
    <w:bookmarkEnd w:id="207"/>
    <w:p>
      <w:pPr>
        <w:ind w:left="60" w:right="80" w:firstLine="480"/>
        <w:spacing w:after="0" w:line="277" w:lineRule="auto"/>
        <w:rPr>
          <w:sz w:val="20"/>
          <w:szCs w:val="20"/>
          <w:color w:val="auto"/>
        </w:rPr>
      </w:pPr>
      <w:r>
        <w:rPr>
          <w:rFonts w:ascii="Times New Roman" w:cs="Times New Roman" w:eastAsia="Times New Roman" w:hAnsi="Times New Roman"/>
          <w:sz w:val="19"/>
          <w:szCs w:val="19"/>
          <w:color w:val="auto"/>
        </w:rPr>
        <w:t>We have seen strong adoption of Xywav in narcolepsy since its launch in November 2020, and increasing adoption in IH since its launch in November 2021. At the end of 2025, there were approximately 16,175 patients taking Xywav, including approximately 10,950 patients with narcolepsy and approximately 5,225 patients with IH.</w:t>
      </w:r>
    </w:p>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i w:val="1"/>
          <w:iCs w:val="1"/>
          <w:color w:val="auto"/>
        </w:rPr>
        <w:t>Rare Epilepsies</w:t>
      </w:r>
    </w:p>
    <w:p>
      <w:pPr>
        <w:spacing w:after="0" w:line="129"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We acquired Epidiolex (Epidyolex in certain markets outside the U.S.) in May 2021 as part of the GW Acquisition, which added a durable and long-lived asset in rare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Great Britain. Epidyolex was also approved for adjunctive therapy of seizures associated with TSC for patients 2 years of age and older in the EU in April 2021 and Great Britain in August 2021. Epidyolex is now launched and reimbursed in more than 40 countries.</w:t>
      </w:r>
    </w:p>
    <w:p>
      <w:pPr>
        <w:spacing w:after="0" w:line="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i w:val="1"/>
          <w:iCs w:val="1"/>
          <w:color w:val="auto"/>
        </w:rPr>
        <w:t>Rare Oncology</w:t>
      </w:r>
    </w:p>
    <w:p>
      <w:pPr>
        <w:spacing w:after="0" w:line="129" w:lineRule="exact"/>
        <w:rPr>
          <w:sz w:val="20"/>
          <w:szCs w:val="20"/>
          <w:color w:val="auto"/>
        </w:rPr>
      </w:pPr>
    </w:p>
    <w:p>
      <w:pPr>
        <w:ind w:left="60" w:right="60" w:firstLine="480"/>
        <w:spacing w:after="0" w:line="263" w:lineRule="auto"/>
        <w:rPr>
          <w:sz w:val="20"/>
          <w:szCs w:val="20"/>
          <w:color w:val="auto"/>
        </w:rPr>
      </w:pPr>
      <w:r>
        <w:rPr>
          <w:rFonts w:ascii="Times New Roman" w:cs="Times New Roman" w:eastAsia="Times New Roman" w:hAnsi="Times New Roman"/>
          <w:sz w:val="19"/>
          <w:szCs w:val="19"/>
          <w:color w:val="auto"/>
        </w:rPr>
        <w:t>We acquired exclusive development and commercialization rights to Ziihera in 2022 through an exclusive 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70" w:lineRule="exact"/>
        <w:rPr>
          <w:sz w:val="20"/>
          <w:szCs w:val="20"/>
          <w:color w:val="auto"/>
        </w:rPr>
      </w:pPr>
    </w:p>
    <w:p>
      <w:pPr>
        <w:ind w:left="60" w:right="60" w:firstLine="480"/>
        <w:spacing w:after="0" w:line="260" w:lineRule="auto"/>
        <w:rPr>
          <w:sz w:val="20"/>
          <w:szCs w:val="20"/>
          <w:color w:val="auto"/>
        </w:rPr>
      </w:pPr>
      <w:r>
        <w:rPr>
          <w:rFonts w:ascii="Times New Roman" w:cs="Times New Roman" w:eastAsia="Times New Roman" w:hAnsi="Times New Roman"/>
          <w:sz w:val="19"/>
          <w:szCs w:val="19"/>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this indication may be contingent upon verification and description of clinical benefit in the Phase 3 HERIZON-BTC-302 confirmatory trial.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314" w:lineRule="exact"/>
        <w:rPr>
          <w:sz w:val="20"/>
          <w:szCs w:val="20"/>
          <w:color w:val="auto"/>
        </w:rPr>
      </w:pPr>
    </w:p>
    <w:p>
      <w:pPr>
        <w:ind w:left="60" w:right="40" w:firstLine="480"/>
        <w:spacing w:after="0" w:line="312" w:lineRule="auto"/>
        <w:rPr>
          <w:sz w:val="20"/>
          <w:szCs w:val="20"/>
          <w:color w:val="auto"/>
        </w:rPr>
      </w:pPr>
      <w:r>
        <w:rPr>
          <w:rFonts w:ascii="Times New Roman" w:cs="Times New Roman" w:eastAsia="Times New Roman" w:hAnsi="Times New Roman"/>
          <w:sz w:val="16"/>
          <w:szCs w:val="16"/>
          <w:color w:val="auto"/>
        </w:rPr>
        <w:t xml:space="preserve">We completed the Chimerix Acquisition in April 2025 for a total cash consideration of $944.2 million, adding Modeyso, a protease activator of the ClpP that also inhibits DRD2, to our rare oncology portfolio. In August 2025, Modeyso was granted accelerated approval by FDA for the treatment of adult and pediatric patients 1 year of age and older with diffuse midline </w:t>
      </w:r>
      <w:r>
        <w:rPr>
          <w:rFonts w:ascii="PMingLiU" w:cs="PMingLiU" w:eastAsia="PMingLiU" w:hAnsi="PMingLiU"/>
          <w:sz w:val="16"/>
          <w:szCs w:val="16"/>
          <w:color w:val="auto"/>
        </w:rPr>
        <w:t xml:space="preserve">JOLRPDKDUERULQJDQ+.0PXWDWLRQZLWKSURJUHVVLYHGLVHDVHIROORZLQJSULRUWKHUDS\0RGH\VRLVWKHILUVWDQGRQO\ </w:t>
      </w:r>
      <w:r>
        <w:rPr>
          <w:rFonts w:ascii="Times New Roman" w:cs="Times New Roman" w:eastAsia="Times New Roman" w:hAnsi="Times New Roman"/>
          <w:sz w:val="16"/>
          <w:szCs w:val="16"/>
          <w:color w:val="auto"/>
        </w:rPr>
        <w:t>treatment option approved by FDA for this ultra-rare and aggressive brain tumor that mainly affects children and young adults. Continued approval for this indication may be contingent upon verification and description of clinical benefit in the Phase 3 ACTION confirmatory trial. In connection with the approval by FDA of Modeyso in August 2025, we received a rare pediatric disease PRV, which we sold in January 2026 for total cash consideration of $200.0 million of which 50% is attributable to us.</w:t>
      </w:r>
    </w:p>
    <w:p>
      <w:pPr>
        <w:spacing w:after="0" w:line="38" w:lineRule="exact"/>
        <w:rPr>
          <w:sz w:val="20"/>
          <w:szCs w:val="20"/>
          <w:color w:val="auto"/>
        </w:rPr>
      </w:pPr>
    </w:p>
    <w:p>
      <w:pPr>
        <w:ind w:left="60" w:firstLine="480"/>
        <w:spacing w:after="0" w:line="259" w:lineRule="auto"/>
        <w:rPr>
          <w:sz w:val="20"/>
          <w:szCs w:val="20"/>
          <w:color w:val="auto"/>
        </w:rPr>
      </w:pPr>
      <w:r>
        <w:rPr>
          <w:rFonts w:ascii="Times New Roman" w:cs="Times New Roman" w:eastAsia="Times New Roman" w:hAnsi="Times New Roman"/>
          <w:sz w:val="19"/>
          <w:szCs w:val="19"/>
          <w:color w:val="auto"/>
        </w:rPr>
        <w:t>We acquired U.S. development and commercialization rights to Zepzelca in early 2020, and launched six months thereafter, with an indication for treatment of patients with metastatic SCLC with disease progression on or after platinum-based chemotherapy. Our education and promotional efforts are focused on SCLC-treating physicians. We are continuing to market Zepzelca across academic and community cancer centers.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June</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2025, the sNDA submission for the combination of Zepzelca with atezolizumab or atezolizumab and hyaluronidase-tqjs was granted Priority Review by FDA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874395</wp:posOffset>
            </wp:positionV>
            <wp:extent cx="259080" cy="2546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58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84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58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08" w:name="page209"/>
    <w:bookmarkEnd w:id="208"/>
    <w:p>
      <w:pPr>
        <w:ind w:right="40" w:firstLine="480"/>
        <w:spacing w:after="0" w:line="255" w:lineRule="auto"/>
        <w:rPr>
          <w:sz w:val="20"/>
          <w:szCs w:val="20"/>
          <w:color w:val="auto"/>
        </w:rPr>
      </w:pPr>
      <w:r>
        <w:rPr>
          <w:rFonts w:ascii="Times New Roman" w:cs="Times New Roman" w:eastAsia="Times New Roman" w:hAnsi="Times New Roman"/>
          <w:sz w:val="19"/>
          <w:szCs w:val="19"/>
          <w:color w:val="auto"/>
        </w:rPr>
        <w:t>Rylaze was approved by FDA in June 2021 under the RTOR program, and was launched in the U.S. in 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every 48 hours. In November 2022, FDA approved an sBLA, for a Monday/Wednesday/Friday 25/25/50 mg/m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xml:space="preserve"> IM dosing schedule. In September 2023, the EC granted marketing authorization for JZP458 (Rylaze) under the trade name Enrylaze</w:t>
      </w:r>
      <w:r>
        <w:rPr>
          <w:rFonts w:ascii="Cambria" w:cs="Cambria" w:eastAsia="Cambria" w:hAnsi="Cambria"/>
          <w:sz w:val="19"/>
          <w:szCs w:val="19"/>
          <w:color w:val="auto"/>
        </w:rPr>
        <w:t>̺</w:t>
      </w:r>
      <w:r>
        <w:rPr>
          <w:rFonts w:ascii="Times New Roman" w:cs="Times New Roman" w:eastAsia="Times New Roman" w:hAnsi="Times New Roman"/>
          <w:sz w:val="19"/>
          <w:szCs w:val="19"/>
          <w:color w:val="auto"/>
        </w:rPr>
        <w:t>. Enrylaze was approved in Great Britain in January 2024, and is also approved in Canada, Switzerland and Australia.</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Other Rare Disease</w:t>
      </w:r>
    </w:p>
    <w:p>
      <w:pPr>
        <w:spacing w:after="0" w:line="103" w:lineRule="exact"/>
        <w:rPr>
          <w:sz w:val="20"/>
          <w:szCs w:val="20"/>
          <w:color w:val="auto"/>
        </w:rPr>
      </w:pPr>
    </w:p>
    <w:p>
      <w:pPr>
        <w:ind w:right="80" w:firstLine="479"/>
        <w:spacing w:after="0" w:line="270" w:lineRule="auto"/>
        <w:rPr>
          <w:sz w:val="20"/>
          <w:szCs w:val="20"/>
          <w:color w:val="auto"/>
        </w:rPr>
      </w:pPr>
      <w:r>
        <w:rPr>
          <w:rFonts w:ascii="Times New Roman" w:cs="Times New Roman" w:eastAsia="Times New Roman" w:hAnsi="Times New Roman"/>
          <w:sz w:val="19"/>
          <w:szCs w:val="19"/>
          <w:color w:val="auto"/>
        </w:rPr>
        <w:t>In October 2025, we divested Sativex to CNX Therapeutics, who will assume responsibility for Sativex in all countries it is approved. Our existing partnerships will transition to CNX Therapeutics and it will take responsibility for commercialization in those markets previously owned by us. We will continue to manufacture Sativex during the transition period given the complexity of the product and all external growing partnerships will transition to CNX Therapeutics.</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Progress</w:t>
      </w:r>
    </w:p>
    <w:p>
      <w:pPr>
        <w:spacing w:after="0" w:line="129" w:lineRule="exact"/>
        <w:rPr>
          <w:sz w:val="20"/>
          <w:szCs w:val="20"/>
          <w:color w:val="auto"/>
        </w:rPr>
      </w:pPr>
    </w:p>
    <w:p>
      <w:pPr>
        <w:ind w:right="100" w:firstLine="480"/>
        <w:spacing w:after="0" w:line="260" w:lineRule="auto"/>
        <w:rPr>
          <w:sz w:val="20"/>
          <w:szCs w:val="20"/>
          <w:color w:val="auto"/>
        </w:rPr>
      </w:pPr>
      <w:r>
        <w:rPr>
          <w:rFonts w:ascii="Times New Roman" w:cs="Times New Roman" w:eastAsia="Times New Roman" w:hAnsi="Times New Roman"/>
          <w:sz w:val="19"/>
          <w:szCs w:val="19"/>
          <w:color w:val="auto"/>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spacing w:after="0" w:line="78"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9"/>
          <w:szCs w:val="19"/>
          <w:color w:val="auto"/>
        </w:rPr>
        <w:t>Within our oncology R&amp;D program, in October 2022, we announced an exclusive licensing and collaboration agreement with Zymeworks providing us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w:t>
      </w:r>
    </w:p>
    <w:p>
      <w:pPr>
        <w:spacing w:after="0" w:line="73"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9"/>
          <w:szCs w:val="19"/>
          <w:color w:val="auto"/>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accelerated approval for this BLA in November 2024. In April 2025, we announced that CHMP adopted a positive opinion recommending the conditional marketing authorization of zanidatamab in second-line BTC.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311"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color w:val="auto"/>
        </w:rPr>
        <w:t>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 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 versus the control arm. FDA granted BTD for zanidatamab's development for patients with HER2+ unresectable locally advanced or metastatic GEA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284480</wp:posOffset>
            </wp:positionV>
            <wp:extent cx="259080" cy="2546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58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85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85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58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09" w:name="page210"/>
    <w:bookmarkEnd w:id="209"/>
    <w:p>
      <w:pPr>
        <w:ind w:left="60" w:right="40" w:firstLine="481"/>
        <w:spacing w:after="0" w:line="264" w:lineRule="auto"/>
        <w:rPr>
          <w:sz w:val="20"/>
          <w:szCs w:val="20"/>
          <w:color w:val="auto"/>
        </w:rPr>
      </w:pPr>
      <w:r>
        <w:rPr>
          <w:rFonts w:ascii="Times New Roman" w:cs="Times New Roman" w:eastAsia="Times New Roman" w:hAnsi="Times New Roman"/>
          <w:sz w:val="19"/>
          <w:szCs w:val="19"/>
          <w:color w:val="auto"/>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EmpowHER-BC-303 to evaluate zanidatamab plus chemotherapy or trastuzumab plus chemotherapy in patients with HER2-positive breast cancer whose disease has progressed on previous T-DXd treatment, and a Phase 3 confirmatory trial examining zanidatamab in first-line patients with HER2-positive BTC.</w:t>
      </w:r>
    </w:p>
    <w:p>
      <w:pPr>
        <w:spacing w:after="0" w:line="71" w:lineRule="exact"/>
        <w:rPr>
          <w:sz w:val="20"/>
          <w:szCs w:val="20"/>
          <w:color w:val="auto"/>
        </w:rPr>
      </w:pPr>
    </w:p>
    <w:p>
      <w:pPr>
        <w:ind w:left="60" w:right="80" w:firstLine="480"/>
        <w:spacing w:after="0" w:line="261" w:lineRule="auto"/>
        <w:rPr>
          <w:sz w:val="20"/>
          <w:szCs w:val="20"/>
          <w:color w:val="auto"/>
        </w:rPr>
      </w:pPr>
      <w:r>
        <w:rPr>
          <w:rFonts w:ascii="Times New Roman" w:cs="Times New Roman" w:eastAsia="Times New Roman" w:hAnsi="Times New Roman"/>
          <w:sz w:val="19"/>
          <w:szCs w:val="19"/>
          <w:color w:val="auto"/>
        </w:rPr>
        <w:t>Our development plan for Zepzelca continues to progress.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April 2025, we announced the submission of an sNDA to support this combination in the first-line maintenance setting. In June 2025, FDA granted priority review of the sNDA and we subsequently received FDA approval in October 2025 for the combination as a first-line maintenance treatment of adult patients with extensive-stage SCLC whose disease has not progressed after first-line induction therapy with atezolizumab or atezolizumab and hyaluronidase-tqjs, carboplatin and etoposide. In addition, our licensor PharmaMar is conducting a confirmatory trial in second-line SCLC. This ongoing three-arm trial is comparing Zepzelca as either monotherapy or in combination with irinotecan to investigator's choice of irinotecan or topotecan.</w:t>
      </w:r>
    </w:p>
    <w:p>
      <w:pPr>
        <w:spacing w:after="0" w:line="73" w:lineRule="exact"/>
        <w:rPr>
          <w:sz w:val="20"/>
          <w:szCs w:val="20"/>
          <w:color w:val="auto"/>
        </w:rPr>
      </w:pPr>
    </w:p>
    <w:p>
      <w:pPr>
        <w:ind w:left="60" w:right="240" w:firstLine="698"/>
        <w:spacing w:after="0" w:line="270" w:lineRule="auto"/>
        <w:rPr>
          <w:sz w:val="20"/>
          <w:szCs w:val="20"/>
          <w:color w:val="auto"/>
        </w:rPr>
      </w:pPr>
      <w:r>
        <w:rPr>
          <w:rFonts w:ascii="Times New Roman" w:cs="Times New Roman" w:eastAsia="Times New Roman" w:hAnsi="Times New Roman"/>
          <w:sz w:val="19"/>
          <w:szCs w:val="19"/>
          <w:color w:val="auto"/>
        </w:rPr>
        <w:t>Results from the Phase 4 observational trial were presented at the 2025 WCLC that showed Zepzelca demonstrated clinically meaningful effectiveness across subgroups, including those with platinum-resistant disease and those with CNS metastases. The safety and tolerability profile observed in this Phase 4 study was consistent with prior findings, with no new safety signals reported.</w:t>
      </w:r>
    </w:p>
    <w:p>
      <w:pPr>
        <w:spacing w:after="0" w:line="65" w:lineRule="exact"/>
        <w:rPr>
          <w:sz w:val="20"/>
          <w:szCs w:val="20"/>
          <w:color w:val="auto"/>
        </w:rPr>
      </w:pPr>
    </w:p>
    <w:p>
      <w:pPr>
        <w:ind w:left="60" w:firstLine="480"/>
        <w:spacing w:after="0" w:line="309" w:lineRule="auto"/>
        <w:rPr>
          <w:sz w:val="20"/>
          <w:szCs w:val="20"/>
          <w:color w:val="auto"/>
        </w:rPr>
      </w:pPr>
      <w:r>
        <w:rPr>
          <w:rFonts w:ascii="Times New Roman" w:cs="Times New Roman" w:eastAsia="Times New Roman" w:hAnsi="Times New Roman"/>
          <w:sz w:val="16"/>
          <w:szCs w:val="16"/>
          <w:color w:val="auto"/>
        </w:rPr>
        <w:t xml:space="preserve">In April 2025, we completed the Chimerix Acquisition for $944.2 million in cash, and Chimerix is now our wholly owned subsidiary. The lead clinical asset acquired from Chimerix is Modeyso, a novel first-in-class small molecule that is a protease activator of the ClpP that also inhibits DRD2. In August 2025, Modeyso was granted accelerated approval by FDA for </w:t>
      </w:r>
      <w:r>
        <w:rPr>
          <w:rFonts w:ascii="PMingLiU" w:cs="PMingLiU" w:eastAsia="PMingLiU" w:hAnsi="PMingLiU"/>
          <w:sz w:val="16"/>
          <w:szCs w:val="16"/>
          <w:color w:val="auto"/>
        </w:rPr>
        <w:t xml:space="preserve">WKHWUHDWPHQWRIDGXOWDQGSHGLDWULFSDWLHQWV\HDURIDJHDQGROGHUZLWKGLIIXVHPLGOLQHJOLRPDKDUERULQJDQ+.0 </w:t>
      </w:r>
      <w:r>
        <w:rPr>
          <w:rFonts w:ascii="Times New Roman" w:cs="Times New Roman" w:eastAsia="Times New Roman" w:hAnsi="Times New Roman"/>
          <w:sz w:val="16"/>
          <w:szCs w:val="16"/>
          <w:color w:val="auto"/>
        </w:rPr>
        <w:t>mutation with progressive disease following prior therapy. Modeyso is the first and only treatment option approved by FDA for this ultra-rare and aggressive brain tumor that mainly affects children and young adults. Continued approval for this indication may be contingent upon verification and description of clinical benefit in the Phase 3 ACTION confirmatory trial. The ongoing Phase 3 ACTION trial is evaluating Modeyso in newly diagnosed, non-</w:t>
      </w:r>
      <w:r>
        <w:rPr>
          <w:rFonts w:ascii="PMingLiU" w:cs="PMingLiU" w:eastAsia="PMingLiU" w:hAnsi="PMingLiU"/>
          <w:sz w:val="16"/>
          <w:szCs w:val="16"/>
          <w:color w:val="auto"/>
        </w:rPr>
        <w:t>UHFXUUHQW+.0</w:t>
      </w:r>
      <w:r>
        <w:rPr>
          <w:rFonts w:ascii="Times New Roman" w:cs="Times New Roman" w:eastAsia="Times New Roman" w:hAnsi="Times New Roman"/>
          <w:sz w:val="16"/>
          <w:szCs w:val="16"/>
          <w:color w:val="auto"/>
        </w:rPr>
        <w:t>-mutant diffuse glioma patients following radiation treatment, potentially extending this treatment option into the front-line setting.</w:t>
      </w:r>
    </w:p>
    <w:p>
      <w:pPr>
        <w:spacing w:after="0" w:line="276" w:lineRule="exact"/>
        <w:rPr>
          <w:sz w:val="20"/>
          <w:szCs w:val="20"/>
          <w:color w:val="auto"/>
        </w:rPr>
      </w:pPr>
    </w:p>
    <w:p>
      <w:pPr>
        <w:ind w:left="60" w:right="20" w:firstLine="479"/>
        <w:spacing w:after="0" w:line="292" w:lineRule="auto"/>
        <w:rPr>
          <w:sz w:val="20"/>
          <w:szCs w:val="20"/>
          <w:color w:val="auto"/>
        </w:rPr>
      </w:pPr>
      <w:r>
        <w:rPr>
          <w:rFonts w:ascii="Times New Roman" w:cs="Times New Roman" w:eastAsia="Times New Roman" w:hAnsi="Times New Roman"/>
          <w:sz w:val="18"/>
          <w:szCs w:val="18"/>
          <w:color w:val="auto"/>
        </w:rPr>
        <w:t>In June 2022, we announced FDA had cleared our IND for JZP815 and, in October 2022, we enrolled the first patient in a Phase 1 trial. JZP815 is an investigational stage pan-</w:t>
      </w:r>
      <w:r>
        <w:rPr>
          <w:rFonts w:ascii="PMingLiU" w:cs="PMingLiU" w:eastAsia="PMingLiU" w:hAnsi="PMingLiU"/>
          <w:sz w:val="18"/>
          <w:szCs w:val="18"/>
          <w:color w:val="auto"/>
        </w:rPr>
        <w:t>5$)NLQDVHLQKLELWRUWKDWWDUJHWVVSHFLILFFRPSRQHQWVRIWKH0$3.</w:t>
      </w:r>
      <w:r>
        <w:rPr>
          <w:rFonts w:ascii="Times New Roman" w:cs="Times New Roman" w:eastAsia="Times New Roman" w:hAnsi="Times New Roman"/>
          <w:sz w:val="18"/>
          <w:szCs w:val="18"/>
          <w:color w:val="auto"/>
        </w:rPr>
        <w:t xml:space="preserve"> pathway that, when activated by oncogenic mutations, can be a frequent driver of human cancer.</w:t>
      </w:r>
    </w:p>
    <w:p>
      <w:pPr>
        <w:spacing w:after="0" w:line="45" w:lineRule="exact"/>
        <w:rPr>
          <w:sz w:val="20"/>
          <w:szCs w:val="20"/>
          <w:color w:val="auto"/>
        </w:rPr>
      </w:pPr>
    </w:p>
    <w:p>
      <w:pPr>
        <w:ind w:left="60" w:right="100" w:firstLine="480"/>
        <w:spacing w:after="0" w:line="260" w:lineRule="auto"/>
        <w:rPr>
          <w:sz w:val="20"/>
          <w:szCs w:val="20"/>
          <w:color w:val="auto"/>
        </w:rPr>
      </w:pPr>
      <w:r>
        <w:rPr>
          <w:rFonts w:ascii="Times New Roman" w:cs="Times New Roman" w:eastAsia="Times New Roman" w:hAnsi="Times New Roman"/>
          <w:sz w:val="19"/>
          <w:szCs w:val="19"/>
          <w:color w:val="auto"/>
        </w:rPr>
        <w:t>In April 2022, we announced that we had entered into a licensing and collaboration agreement with Werewolf to acquire exclusive, worldwide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provides us with an opportunity to expand into immuno-oncology. JZP898 is a differentiated, conditionally-activated IFN</w:t>
      </w:r>
      <w:r>
        <w:rPr>
          <w:rFonts w:ascii="PMingLiU" w:cs="PMingLiU" w:eastAsia="PMingLiU" w:hAnsi="PMingLiU"/>
          <w:sz w:val="19"/>
          <w:szCs w:val="19"/>
          <w:color w:val="auto"/>
        </w:rPr>
        <w:t xml:space="preserve"> ,1'8.,1(</w:t>
      </w:r>
      <w:r>
        <w:rPr>
          <w:rFonts w:ascii="Times New Roman" w:cs="Times New Roman" w:eastAsia="Times New Roman" w:hAnsi="Times New Roman"/>
          <w:sz w:val="19"/>
          <w:szCs w:val="19"/>
          <w:color w:val="auto"/>
        </w:rPr>
        <w:t>™ molecule. In November 2023, we enrolled our first patient in a Phase 1 trial of JZP898.</w:t>
      </w:r>
    </w:p>
    <w:p>
      <w:pPr>
        <w:spacing w:after="0" w:line="76" w:lineRule="exact"/>
        <w:rPr>
          <w:sz w:val="20"/>
          <w:szCs w:val="20"/>
          <w:color w:val="auto"/>
        </w:rPr>
      </w:pPr>
    </w:p>
    <w:p>
      <w:pPr>
        <w:ind w:left="60" w:right="120" w:firstLine="480"/>
        <w:spacing w:after="0" w:line="263" w:lineRule="auto"/>
        <w:rPr>
          <w:sz w:val="20"/>
          <w:szCs w:val="20"/>
          <w:color w:val="auto"/>
        </w:rPr>
      </w:pPr>
      <w:r>
        <w:rPr>
          <w:rFonts w:ascii="Times New Roman" w:cs="Times New Roman" w:eastAsia="Times New Roman" w:hAnsi="Times New Roman"/>
          <w:sz w:val="19"/>
          <w:szCs w:val="19"/>
          <w:color w:val="auto"/>
        </w:rPr>
        <w:t>In May 2022, we announced that we had entered into a licensing agreement with Sumitomo to acquire exclusive development and commercialization rights in the U.S., Europe and other territories for JZP441. JZP441 is a potent, highly selective oral orexin-2 receptor agonist with potential application for the treatment of narcolepsy, IH and other sleep disorders. In November 2023, we announced that we achieved initial proof-of-concept in our Phase 1 clinical trial program in healthy volunteers as demonstrated by the MWT. In 2025, we initiated a small Phase 1b trial of JZP441 in narcolepsy Type 1 patients. Based on our continued assessment of the molecule, we made the decision to stop the development of JZP441 and end our partnership with Sumitomo.</w:t>
      </w:r>
    </w:p>
    <w:p>
      <w:pPr>
        <w:spacing w:after="0" w:line="70" w:lineRule="exact"/>
        <w:rPr>
          <w:sz w:val="20"/>
          <w:szCs w:val="20"/>
          <w:color w:val="auto"/>
        </w:rPr>
      </w:pPr>
    </w:p>
    <w:p>
      <w:pPr>
        <w:ind w:left="60" w:right="80" w:firstLine="480"/>
        <w:spacing w:after="0" w:line="394" w:lineRule="auto"/>
        <w:rPr>
          <w:sz w:val="20"/>
          <w:szCs w:val="20"/>
          <w:color w:val="auto"/>
        </w:rPr>
      </w:pPr>
      <w:r>
        <w:rPr>
          <w:rFonts w:ascii="Times New Roman" w:cs="Times New Roman" w:eastAsia="Times New Roman" w:hAnsi="Times New Roman"/>
          <w:sz w:val="15"/>
          <w:szCs w:val="15"/>
          <w:color w:val="auto"/>
        </w:rPr>
        <w:t xml:space="preserve">In August 2025, we announced that we entered a global license agreement with Saniona to obtain exclusive worldwide rights to develop SAN2355, now referred to as JZP053, for epilepsy and other potential indications. JZP053 is a preclinical, </w:t>
      </w:r>
      <w:r>
        <w:rPr>
          <w:rFonts w:ascii="PMingLiU" w:cs="PMingLiU" w:eastAsia="PMingLiU" w:hAnsi="PMingLiU"/>
          <w:sz w:val="15"/>
          <w:szCs w:val="15"/>
          <w:color w:val="auto"/>
        </w:rPr>
        <w:t xml:space="preserve">VHOHFWLYHVPDOOPROHFXOHDFWLYDWRURI.Y.YSRWDVVLXPFKDQQHOVDPHFKDQLVPYDOLGDWHGIRUVHL]XUHVXSSUHVVLRQ8QGHU </w:t>
      </w:r>
      <w:r>
        <w:rPr>
          <w:rFonts w:ascii="Times New Roman" w:cs="Times New Roman" w:eastAsia="Times New Roman" w:hAnsi="Times New Roman"/>
          <w:sz w:val="15"/>
          <w:szCs w:val="15"/>
          <w:color w:val="auto"/>
        </w:rPr>
        <w:t>the terms of the agreement, we made an upfront payment to Saniona of $42.5 million. Saniona is eligible to receive up to $192.5 million in development and regulatory milestones, up to $800 million in commercial milestone payments and tiered royalties ranging from mid-single digits to low-double digits on net sales of commercial products resulting from the development of JZP053. This transaction further expands our early-stage neuroscience pipeline building on our existing expertise in the treatment of epilepsy.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371475</wp:posOffset>
            </wp:positionV>
            <wp:extent cx="259080" cy="2546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58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86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58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10" w:name="page211"/>
    <w:bookmarkEnd w:id="210"/>
    <w:p>
      <w:pPr>
        <w:ind w:right="60" w:firstLine="480"/>
        <w:spacing w:after="0" w:line="277" w:lineRule="auto"/>
        <w:rPr>
          <w:sz w:val="20"/>
          <w:szCs w:val="20"/>
          <w:color w:val="auto"/>
        </w:rPr>
      </w:pPr>
      <w:r>
        <w:rPr>
          <w:rFonts w:ascii="Times New Roman" w:cs="Times New Roman" w:eastAsia="Times New Roman" w:hAnsi="Times New Roman"/>
          <w:sz w:val="19"/>
          <w:szCs w:val="19"/>
          <w:color w:val="auto"/>
        </w:rPr>
        <w:t>In November 2025, we initiated a Phase 1b trial evaluating Epidiolex as an adjunctive treatment in reducing the frequency of focal seizures compared to the baseline as well as the effect of Epidiolex on health outcome endpoints in early line and refractory participants with focal-onset seizures.</w:t>
      </w:r>
    </w:p>
    <w:p>
      <w:pPr>
        <w:spacing w:after="0" w:line="58" w:lineRule="exact"/>
        <w:rPr>
          <w:sz w:val="20"/>
          <w:szCs w:val="20"/>
          <w:color w:val="auto"/>
        </w:rPr>
      </w:pPr>
    </w:p>
    <w:p>
      <w:pPr>
        <w:ind w:right="160" w:firstLine="480"/>
        <w:spacing w:after="0" w:line="299" w:lineRule="auto"/>
        <w:rPr>
          <w:sz w:val="20"/>
          <w:szCs w:val="20"/>
          <w:color w:val="auto"/>
        </w:rPr>
      </w:pPr>
      <w:r>
        <w:rPr>
          <w:rFonts w:ascii="Times New Roman" w:cs="Times New Roman" w:eastAsia="Times New Roman" w:hAnsi="Times New Roman"/>
          <w:sz w:val="19"/>
          <w:szCs w:val="19"/>
          <w:color w:val="auto"/>
        </w:rPr>
        <w:t>Below is a summary of our key ongoing and planned development projects related to our products and pipeline and their corresponding current stages of development: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Product Candidates</w:t>
            </w:r>
          </w:p>
        </w:tc>
        <w:tc>
          <w:tcPr>
            <w:tcW w:w="172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Phase 3</w:t>
            </w:r>
          </w:p>
        </w:tc>
        <w:tc>
          <w:tcPr>
            <w:tcW w:w="172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6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Zanidatamab</w:t>
            </w: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First-line HER2-positive GEA (HERIZON-GEA-01) (ongoing trial)</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First-line HER2-positive BTC (HERIZON-BTC-302) (ongoing</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confirmatory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Previously treated HER2-positive breast cancer in patients whose disease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340" w:type="dxa"/>
            <w:vAlign w:val="bottom"/>
            <w:gridSpan w:val="4"/>
          </w:tcPr>
          <w:p>
            <w:pPr>
              <w:ind w:left="560"/>
              <w:spacing w:after="0" w:line="193" w:lineRule="exact"/>
              <w:rPr>
                <w:sz w:val="20"/>
                <w:szCs w:val="20"/>
                <w:color w:val="auto"/>
              </w:rPr>
            </w:pPr>
            <w:r>
              <w:rPr>
                <w:rFonts w:ascii="Times New Roman" w:cs="Times New Roman" w:eastAsia="Times New Roman" w:hAnsi="Times New Roman"/>
                <w:sz w:val="19"/>
                <w:szCs w:val="19"/>
                <w:color w:val="auto"/>
              </w:rPr>
              <w:t>has progressed on previous T-DXd treatment (EmpowHER-BC-303)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Dordaviprone</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First-</w:t>
            </w:r>
            <w:r>
              <w:rPr>
                <w:rFonts w:ascii="PMingLiU" w:cs="PMingLiU" w:eastAsia="PMingLiU" w:hAnsi="PMingLiU"/>
                <w:sz w:val="19"/>
                <w:szCs w:val="19"/>
                <w:color w:val="auto"/>
              </w:rPr>
              <w:t>OLQH+.0</w:t>
            </w:r>
            <w:r>
              <w:rPr>
                <w:rFonts w:ascii="Times New Roman" w:cs="Times New Roman" w:eastAsia="Times New Roman" w:hAnsi="Times New Roman"/>
                <w:sz w:val="19"/>
                <w:szCs w:val="19"/>
                <w:color w:val="auto"/>
              </w:rPr>
              <w:t>-mutant diffuse glioma (ACTION trial) (ongoing</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confirmatory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Vyxeos</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Newly diagnosed adults with standard- and high-risk AML (AMLSG 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120" w:type="dxa"/>
            <w:vAlign w:val="bottom"/>
            <w:gridSpan w:val="3"/>
          </w:tcPr>
          <w:p>
            <w:pPr>
              <w:ind w:left="560"/>
              <w:spacing w:after="0" w:line="191" w:lineRule="exact"/>
              <w:rPr>
                <w:sz w:val="20"/>
                <w:szCs w:val="20"/>
                <w:color w:val="auto"/>
              </w:rPr>
            </w:pPr>
            <w:r>
              <w:rPr>
                <w:rFonts w:ascii="Times New Roman" w:cs="Times New Roman" w:eastAsia="Times New Roman" w:hAnsi="Times New Roman"/>
                <w:sz w:val="19"/>
                <w:szCs w:val="19"/>
                <w:color w:val="auto"/>
              </w:rPr>
              <w:t>18) (cooperative group study) (ongoing trial)</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195" w:lineRule="exact"/>
              <w:rPr>
                <w:sz w:val="20"/>
                <w:szCs w:val="20"/>
                <w:color w:val="auto"/>
              </w:rPr>
            </w:pPr>
            <w:r>
              <w:rPr>
                <w:rFonts w:ascii="Times New Roman" w:cs="Times New Roman" w:eastAsia="Times New Roman" w:hAnsi="Times New Roman"/>
                <w:sz w:val="19"/>
                <w:szCs w:val="19"/>
                <w:color w:val="auto"/>
              </w:rPr>
              <w:t>Newly diagnosed pediatric patients with AML (AAML 1831) (COG</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auto"/>
              </w:rPr>
              <w:t>Phase 2</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cooperative group study) (ongoing trial)</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380" w:type="dxa"/>
            <w:vAlign w:val="bottom"/>
            <w:gridSpan w:val="3"/>
            <w:vMerge w:val="continue"/>
          </w:tcPr>
          <w:p>
            <w:pPr>
              <w:spacing w:after="0"/>
              <w:rPr>
                <w:sz w:val="21"/>
                <w:szCs w:val="21"/>
                <w:color w:val="auto"/>
              </w:rPr>
            </w:pPr>
          </w:p>
        </w:tc>
        <w:tc>
          <w:tcPr>
            <w:tcW w:w="63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9"/>
                <w:szCs w:val="19"/>
                <w:color w:val="auto"/>
              </w:rPr>
              <w:t>Basket trial including HER2-positive solid tumors (DiscovHER-Pan-206)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380" w:type="dxa"/>
            <w:vAlign w:val="bottom"/>
            <w:gridSpan w:val="3"/>
          </w:tcPr>
          <w:p>
            <w:pPr>
              <w:ind w:left="140"/>
              <w:spacing w:after="0" w:line="200" w:lineRule="exact"/>
              <w:rPr>
                <w:sz w:val="20"/>
                <w:szCs w:val="20"/>
                <w:color w:val="auto"/>
              </w:rPr>
            </w:pPr>
            <w:r>
              <w:rPr>
                <w:rFonts w:ascii="Times New Roman" w:cs="Times New Roman" w:eastAsia="Times New Roman" w:hAnsi="Times New Roman"/>
                <w:sz w:val="19"/>
                <w:szCs w:val="19"/>
                <w:color w:val="auto"/>
              </w:rPr>
              <w:t>Zanidatamab</w:t>
            </w:r>
          </w:p>
        </w:tc>
        <w:tc>
          <w:tcPr>
            <w:tcW w:w="63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Neoadjuvant and adjuvant breast cancer (EmpowHER-BC-208) (ongoing</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HER2+ advanced GEA in combination with paclitaxel and ramucirumab</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(Canadian Cancer Trials Group collaboration) (ongoing trial)</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HER2+/PD-L1+ mGEA in combination with pembrolizumab and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chemotherapy (ZANGEA) (collaboration study) (trial enrolling)</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200" w:lineRule="exact"/>
              <w:rPr>
                <w:sz w:val="20"/>
                <w:szCs w:val="20"/>
                <w:color w:val="auto"/>
              </w:rPr>
            </w:pPr>
            <w:r>
              <w:rPr>
                <w:rFonts w:ascii="Times New Roman" w:cs="Times New Roman" w:eastAsia="Times New Roman" w:hAnsi="Times New Roman"/>
                <w:sz w:val="19"/>
                <w:szCs w:val="19"/>
                <w:color w:val="auto"/>
              </w:rPr>
              <w:t>Early stage HER2/neu positive (HER2+) breast cancer (collaboration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study) (ongoing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Vyxeos</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High-risk MDS (PALOMA) (cooperative group study) (ongoing trial)</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340" w:type="dxa"/>
            <w:vAlign w:val="bottom"/>
            <w:gridSpan w:val="4"/>
          </w:tcPr>
          <w:p>
            <w:pPr>
              <w:ind w:left="560"/>
              <w:spacing w:after="0" w:line="191" w:lineRule="exact"/>
              <w:rPr>
                <w:sz w:val="20"/>
                <w:szCs w:val="20"/>
                <w:color w:val="auto"/>
              </w:rPr>
            </w:pPr>
            <w:r>
              <w:rPr>
                <w:rFonts w:ascii="Times New Roman" w:cs="Times New Roman" w:eastAsia="Times New Roman" w:hAnsi="Times New Roman"/>
                <w:sz w:val="19"/>
                <w:szCs w:val="19"/>
                <w:color w:val="auto"/>
              </w:rPr>
              <w:t>Newly diagnosed untreated patients with high-risk AML (MyeloMATCH</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340" w:type="dxa"/>
            <w:vAlign w:val="bottom"/>
            <w:gridSpan w:val="4"/>
          </w:tcPr>
          <w:p>
            <w:pPr>
              <w:ind w:left="560"/>
              <w:spacing w:after="0" w:line="193" w:lineRule="exact"/>
              <w:rPr>
                <w:sz w:val="20"/>
                <w:szCs w:val="20"/>
                <w:color w:val="auto"/>
              </w:rPr>
            </w:pPr>
            <w:r>
              <w:rPr>
                <w:rFonts w:ascii="Times New Roman" w:cs="Times New Roman" w:eastAsia="Times New Roman" w:hAnsi="Times New Roman"/>
                <w:sz w:val="19"/>
                <w:szCs w:val="19"/>
                <w:color w:val="auto"/>
              </w:rPr>
              <w:t>Tier SWOG) (cooperative group study) (ongoing trial)</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195" w:lineRule="exact"/>
              <w:rPr>
                <w:sz w:val="20"/>
                <w:szCs w:val="20"/>
                <w:color w:val="auto"/>
              </w:rPr>
            </w:pPr>
            <w:r>
              <w:rPr>
                <w:rFonts w:ascii="Times New Roman" w:cs="Times New Roman" w:eastAsia="Times New Roman" w:hAnsi="Times New Roman"/>
                <w:sz w:val="19"/>
                <w:szCs w:val="19"/>
                <w:color w:val="auto"/>
              </w:rPr>
              <w:t>De novo intermediate or adverse risk AML stratified by genomics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(ALFA2101) (collaboration study) (ongoing trial)</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Vyxeos + other approved therapies</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R/R AML or post-hypomethylating agent failure high-risk MDS (MD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120" w:type="dxa"/>
            <w:vAlign w:val="bottom"/>
            <w:gridSpan w:val="3"/>
          </w:tcPr>
          <w:p>
            <w:pPr>
              <w:ind w:left="560"/>
              <w:spacing w:after="0" w:line="191" w:lineRule="exact"/>
              <w:rPr>
                <w:sz w:val="20"/>
                <w:szCs w:val="20"/>
                <w:color w:val="auto"/>
              </w:rPr>
            </w:pPr>
            <w:r>
              <w:rPr>
                <w:rFonts w:ascii="Times New Roman" w:cs="Times New Roman" w:eastAsia="Times New Roman" w:hAnsi="Times New Roman"/>
                <w:sz w:val="19"/>
                <w:szCs w:val="19"/>
                <w:color w:val="auto"/>
              </w:rPr>
              <w:t>Anderson collaboration study) (ongoing trial)</w:t>
            </w: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340" w:type="dxa"/>
            <w:vAlign w:val="bottom"/>
            <w:gridSpan w:val="4"/>
          </w:tcPr>
          <w:p>
            <w:pPr>
              <w:ind w:left="560"/>
              <w:spacing w:after="0" w:line="193" w:lineRule="exact"/>
              <w:rPr>
                <w:sz w:val="20"/>
                <w:szCs w:val="20"/>
                <w:color w:val="auto"/>
              </w:rPr>
            </w:pPr>
            <w:r>
              <w:rPr>
                <w:rFonts w:ascii="Times New Roman" w:cs="Times New Roman" w:eastAsia="Times New Roman" w:hAnsi="Times New Roman"/>
                <w:sz w:val="19"/>
                <w:szCs w:val="19"/>
                <w:color w:val="auto"/>
              </w:rPr>
              <w:t>De novo or R/R AML (MD Anderson collaboration study) (ongoing trial)</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340" w:type="dxa"/>
            <w:vAlign w:val="bottom"/>
            <w:gridSpan w:val="4"/>
          </w:tcPr>
          <w:p>
            <w:pPr>
              <w:ind w:left="560"/>
              <w:spacing w:after="0" w:line="195" w:lineRule="exact"/>
              <w:rPr>
                <w:sz w:val="20"/>
                <w:szCs w:val="20"/>
                <w:color w:val="auto"/>
              </w:rPr>
            </w:pPr>
            <w:r>
              <w:rPr>
                <w:rFonts w:ascii="Times New Roman" w:cs="Times New Roman" w:eastAsia="Times New Roman" w:hAnsi="Times New Roman"/>
                <w:sz w:val="19"/>
                <w:szCs w:val="19"/>
                <w:color w:val="auto"/>
              </w:rPr>
              <w:t>AML or high-risk MDS that has IDH1 mutation (MD Anderson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collaboration study) (ongoing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rPr>
              <w:t>JZP3507</w:t>
            </w:r>
            <w:r>
              <w:rPr>
                <w:rFonts w:ascii="Times New Roman" w:cs="Times New Roman" w:eastAsia="Times New Roman" w:hAnsi="Times New Roman"/>
                <w:sz w:val="23"/>
                <w:szCs w:val="23"/>
                <w:color w:val="auto"/>
                <w:vertAlign w:val="superscript"/>
              </w:rPr>
              <w:t>1</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Pheochromocytoma and paraganglioma (acquired from Chimerix)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38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auto"/>
              </w:rPr>
              <w:t>Phase 1</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(ongoing trial)</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80" w:type="dxa"/>
            <w:vAlign w:val="bottom"/>
            <w:gridSpan w:val="3"/>
            <w:vMerge w:val="continue"/>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JZP815</w:t>
            </w: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Raf and Ras mutant tumors (acquired from Redx) (ongoing trial)</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JZP898</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Conditionally- activated IFN</w:t>
            </w:r>
            <w:r>
              <w:rPr>
                <w:rFonts w:ascii="PMingLiU" w:cs="PMingLiU" w:eastAsia="PMingLiU" w:hAnsi="PMingLiU"/>
                <w:sz w:val="19"/>
                <w:szCs w:val="19"/>
                <w:color w:val="auto"/>
              </w:rPr>
              <w:t xml:space="preserve"> ,1'8.,1(</w:t>
            </w:r>
            <w:r>
              <w:rPr>
                <w:rFonts w:ascii="Times New Roman" w:cs="Times New Roman" w:eastAsia="Times New Roman" w:hAnsi="Times New Roman"/>
                <w:sz w:val="19"/>
                <w:szCs w:val="19"/>
                <w:color w:val="auto"/>
              </w:rPr>
              <w:t>™ molecule in solid tumors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19"/>
                <w:szCs w:val="19"/>
                <w:color w:val="auto"/>
              </w:rPr>
              <w:t>Vyxeos</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Low intensity dosing for higher risk MDS (MD Anderson collaboration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study) (ongoing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rPr>
              <w:t>JZP3507</w:t>
            </w:r>
            <w:r>
              <w:rPr>
                <w:rFonts w:ascii="Times New Roman" w:cs="Times New Roman" w:eastAsia="Times New Roman" w:hAnsi="Times New Roman"/>
                <w:sz w:val="23"/>
                <w:szCs w:val="23"/>
                <w:color w:val="auto"/>
                <w:vertAlign w:val="superscript"/>
              </w:rPr>
              <w:t>1</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Primary central nervous system tumors (acquired from Chimerix)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8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rPr>
              <w:t>JZP3507</w:t>
            </w:r>
            <w:r>
              <w:rPr>
                <w:rFonts w:ascii="Times New Roman" w:cs="Times New Roman" w:eastAsia="Times New Roman" w:hAnsi="Times New Roman"/>
                <w:sz w:val="23"/>
                <w:szCs w:val="23"/>
                <w:color w:val="auto"/>
                <w:vertAlign w:val="superscript"/>
              </w:rPr>
              <w:t>1</w:t>
            </w:r>
          </w:p>
        </w:tc>
        <w:tc>
          <w:tcPr>
            <w:tcW w:w="634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19"/>
                <w:szCs w:val="19"/>
                <w:color w:val="auto"/>
              </w:rPr>
              <w:t>Newly diagnosed or recurrent diffuse midline gliomas and other recurrent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340" w:type="dxa"/>
            <w:vAlign w:val="bottom"/>
            <w:gridSpan w:val="4"/>
          </w:tcPr>
          <w:p>
            <w:pPr>
              <w:ind w:left="560"/>
              <w:spacing w:after="0" w:line="193" w:lineRule="exact"/>
              <w:rPr>
                <w:sz w:val="20"/>
                <w:szCs w:val="20"/>
                <w:color w:val="auto"/>
              </w:rPr>
            </w:pPr>
            <w:r>
              <w:rPr>
                <w:rFonts w:ascii="Times New Roman" w:cs="Times New Roman" w:eastAsia="Times New Roman" w:hAnsi="Times New Roman"/>
                <w:sz w:val="19"/>
                <w:szCs w:val="19"/>
                <w:color w:val="auto"/>
              </w:rPr>
              <w:t>primary malignant CNS tumors (UCSF collaboration) (acquired from</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Chimerix) (ongoing trial)</w:t>
            </w:r>
          </w:p>
        </w:tc>
        <w:tc>
          <w:tcPr>
            <w:tcW w:w="2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Epidiolex</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Focal-onset seizures</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JZP047</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Absence epilepsy</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Preclinical</w:t>
            </w: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80" w:type="dxa"/>
            <w:vAlign w:val="bottom"/>
            <w:gridSpan w:val="3"/>
          </w:tcPr>
          <w:p>
            <w:pPr>
              <w:ind w:left="140"/>
              <w:spacing w:after="0" w:line="256" w:lineRule="exact"/>
              <w:rPr>
                <w:sz w:val="20"/>
                <w:szCs w:val="20"/>
                <w:color w:val="auto"/>
              </w:rPr>
            </w:pPr>
            <w:r>
              <w:rPr>
                <w:rFonts w:ascii="Times New Roman" w:cs="Times New Roman" w:eastAsia="Times New Roman" w:hAnsi="Times New Roman"/>
                <w:sz w:val="19"/>
                <w:szCs w:val="19"/>
                <w:color w:val="auto"/>
              </w:rPr>
              <w:t>JZP3508</w:t>
            </w:r>
            <w:r>
              <w:rPr>
                <w:rFonts w:ascii="Times New Roman" w:cs="Times New Roman" w:eastAsia="Times New Roman" w:hAnsi="Times New Roman"/>
                <w:sz w:val="25"/>
                <w:szCs w:val="25"/>
                <w:color w:val="auto"/>
                <w:vertAlign w:val="superscript"/>
              </w:rPr>
              <w:t>2</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Oncology</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80" w:type="dxa"/>
            <w:vAlign w:val="bottom"/>
            <w:gridSpan w:val="3"/>
          </w:tcPr>
          <w:p>
            <w:pPr>
              <w:ind w:left="140"/>
              <w:spacing w:after="0"/>
              <w:rPr>
                <w:sz w:val="20"/>
                <w:szCs w:val="20"/>
                <w:color w:val="auto"/>
              </w:rPr>
            </w:pPr>
            <w:r>
              <w:rPr>
                <w:rFonts w:ascii="PMingLiU" w:cs="PMingLiU" w:eastAsia="PMingLiU" w:hAnsi="PMingLiU"/>
                <w:sz w:val="19"/>
                <w:szCs w:val="19"/>
                <w:color w:val="auto"/>
              </w:rPr>
              <w:t>.5$6LQKLELWRUWDUJHWV</w:t>
            </w:r>
          </w:p>
        </w:tc>
        <w:tc>
          <w:tcPr>
            <w:tcW w:w="6340" w:type="dxa"/>
            <w:vAlign w:val="bottom"/>
            <w:gridSpan w:val="4"/>
          </w:tcPr>
          <w:p>
            <w:pPr>
              <w:ind w:left="560"/>
              <w:spacing w:after="0"/>
              <w:rPr>
                <w:sz w:val="20"/>
                <w:szCs w:val="20"/>
                <w:color w:val="auto"/>
              </w:rPr>
            </w:pPr>
            <w:r>
              <w:rPr>
                <w:rFonts w:ascii="Times New Roman" w:cs="Times New Roman" w:eastAsia="Times New Roman" w:hAnsi="Times New Roman"/>
                <w:sz w:val="19"/>
                <w:szCs w:val="19"/>
                <w:color w:val="auto"/>
              </w:rPr>
              <w:t>G12D selective and pan-</w:t>
            </w:r>
            <w:r>
              <w:rPr>
                <w:rFonts w:ascii="PMingLiU" w:cs="PMingLiU" w:eastAsia="PMingLiU" w:hAnsi="PMingLiU"/>
                <w:sz w:val="19"/>
                <w:szCs w:val="19"/>
                <w:color w:val="auto"/>
              </w:rPr>
              <w:t>.5$6PROHFXOHVDFTXLUHGIURP5HG[</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Undisclosed targets</w:t>
            </w:r>
          </w:p>
        </w:tc>
        <w:tc>
          <w:tcPr>
            <w:tcW w:w="4120" w:type="dxa"/>
            <w:vAlign w:val="bottom"/>
            <w:gridSpan w:val="3"/>
          </w:tcPr>
          <w:p>
            <w:pPr>
              <w:ind w:left="560"/>
              <w:spacing w:after="0"/>
              <w:rPr>
                <w:sz w:val="20"/>
                <w:szCs w:val="20"/>
                <w:color w:val="auto"/>
              </w:rPr>
            </w:pPr>
            <w:r>
              <w:rPr>
                <w:rFonts w:ascii="Times New Roman" w:cs="Times New Roman" w:eastAsia="Times New Roman" w:hAnsi="Times New Roman"/>
                <w:sz w:val="19"/>
                <w:szCs w:val="19"/>
                <w:color w:val="auto"/>
              </w:rPr>
              <w:t>Oncology</w:t>
            </w:r>
          </w:p>
        </w:tc>
        <w:tc>
          <w:tcPr>
            <w:tcW w:w="2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20" w:type="dxa"/>
            <w:vAlign w:val="bottom"/>
            <w:gridSpan w:val="3"/>
            <w:vMerge w:val="restart"/>
          </w:tcPr>
          <w:p>
            <w:pPr>
              <w:jc w:val="right"/>
              <w:ind w:right="2420"/>
              <w:spacing w:after="0"/>
              <w:rPr>
                <w:sz w:val="20"/>
                <w:szCs w:val="20"/>
                <w:color w:val="auto"/>
              </w:rPr>
            </w:pPr>
            <w:r>
              <w:rPr>
                <w:rFonts w:ascii="Times New Roman" w:cs="Times New Roman" w:eastAsia="Times New Roman" w:hAnsi="Times New Roman"/>
                <w:sz w:val="19"/>
                <w:szCs w:val="19"/>
                <w:color w:val="auto"/>
              </w:rPr>
              <w:t>87</w:t>
            </w:r>
          </w:p>
        </w:tc>
        <w:tc>
          <w:tcPr>
            <w:tcW w:w="2220" w:type="dxa"/>
            <w:vAlign w:val="bottom"/>
            <w:vMerge w:val="restart"/>
          </w:tcPr>
          <w:p>
            <w:pPr>
              <w:ind w:left="20"/>
              <w:spacing w:after="0"/>
              <w:rPr>
                <w:sz w:val="20"/>
                <w:szCs w:val="20"/>
                <w:color w:val="auto"/>
              </w:rPr>
            </w:pPr>
            <w:r>
              <w:rPr>
                <w:rFonts w:ascii="Arial" w:cs="Arial" w:eastAsia="Arial" w:hAnsi="Arial"/>
                <w:sz w:val="16"/>
                <w:szCs w:val="16"/>
                <w:color w:val="auto"/>
              </w:rPr>
              <w:t>2025 ANNUAL REPORT</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5C004B"/>
              </w:rPr>
              <w:t>87</w:t>
            </w:r>
          </w:p>
        </w:tc>
        <w:tc>
          <w:tcPr>
            <w:tcW w:w="0" w:type="dxa"/>
            <w:vAlign w:val="bottom"/>
          </w:tcPr>
          <w:p>
            <w:pPr>
              <w:spacing w:after="0"/>
              <w:rPr>
                <w:sz w:val="1"/>
                <w:szCs w:val="1"/>
                <w:color w:val="auto"/>
              </w:rPr>
            </w:pPr>
          </w:p>
        </w:tc>
      </w:tr>
      <w:tr>
        <w:trPr>
          <w:trHeight w:val="141"/>
        </w:trPr>
        <w:tc>
          <w:tcPr>
            <w:tcW w:w="1660" w:type="dxa"/>
            <w:vAlign w:val="bottom"/>
          </w:tcPr>
          <w:p>
            <w:pPr>
              <w:spacing w:after="0"/>
              <w:rPr>
                <w:sz w:val="12"/>
                <w:szCs w:val="12"/>
                <w:color w:val="auto"/>
              </w:rPr>
            </w:pPr>
          </w:p>
        </w:tc>
        <w:tc>
          <w:tcPr>
            <w:tcW w:w="360" w:type="dxa"/>
            <w:vAlign w:val="bottom"/>
            <w:tcBorders>
              <w:right w:val="single" w:sz="8" w:color="5C004B"/>
            </w:tcBorders>
          </w:tcPr>
          <w:p>
            <w:pPr>
              <w:spacing w:after="0"/>
              <w:rPr>
                <w:sz w:val="12"/>
                <w:szCs w:val="12"/>
                <w:color w:val="auto"/>
              </w:rPr>
            </w:pPr>
          </w:p>
        </w:tc>
        <w:tc>
          <w:tcPr>
            <w:tcW w:w="1360" w:type="dxa"/>
            <w:vAlign w:val="bottom"/>
          </w:tcPr>
          <w:p>
            <w:pPr>
              <w:spacing w:after="0"/>
              <w:rPr>
                <w:sz w:val="12"/>
                <w:szCs w:val="12"/>
                <w:color w:val="auto"/>
              </w:rPr>
            </w:pPr>
          </w:p>
        </w:tc>
        <w:tc>
          <w:tcPr>
            <w:tcW w:w="4120" w:type="dxa"/>
            <w:vAlign w:val="bottom"/>
            <w:gridSpan w:val="3"/>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20" w:type="dxa"/>
            <w:vAlign w:val="bottom"/>
            <w:gridSpan w:val="3"/>
            <w:vMerge w:val="continue"/>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-269240</wp:posOffset>
            </wp:positionV>
            <wp:extent cx="1416050" cy="2546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586">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11" w:name="page212"/>
    <w:bookmarkEnd w:id="211"/>
    <w:p>
      <w:pPr>
        <w:ind w:left="200"/>
        <w:spacing w:after="0"/>
        <w:rPr>
          <w:sz w:val="20"/>
          <w:szCs w:val="20"/>
          <w:color w:val="auto"/>
        </w:rPr>
      </w:pPr>
      <w:r>
        <w:rPr>
          <w:rFonts w:ascii="Times New Roman" w:cs="Times New Roman" w:eastAsia="Times New Roman" w:hAnsi="Times New Roman"/>
          <w:sz w:val="19"/>
          <w:szCs w:val="19"/>
          <w:color w:val="auto"/>
        </w:rPr>
        <w:t>CombiPlex®</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Times New Roman" w:cs="Times New Roman" w:eastAsia="Times New Roman" w:hAnsi="Times New Roman"/>
          <w:sz w:val="19"/>
          <w:szCs w:val="19"/>
          <w:color w:val="auto"/>
        </w:rPr>
        <w:t>Hematology/oncology exploratory activities</w:t>
      </w:r>
    </w:p>
    <w:p>
      <w:pPr>
        <w:spacing w:after="0" w:line="40" w:lineRule="exact"/>
        <w:rPr>
          <w:sz w:val="20"/>
          <w:szCs w:val="20"/>
          <w:color w:val="auto"/>
        </w:rPr>
      </w:pPr>
    </w:p>
    <w:p>
      <w:pPr>
        <w:sectPr>
          <w:pgSz w:w="11880" w:h="15479" w:orient="portrait"/>
          <w:cols w:equalWidth="0" w:num="2">
            <w:col w:w="3280" w:space="720"/>
            <w:col w:w="5960"/>
          </w:cols>
          <w:pgMar w:left="900" w:top="883" w:right="1019" w:bottom="0" w:gutter="0" w:footer="0" w:header="0"/>
        </w:sectPr>
      </w:pPr>
    </w:p>
    <w:p>
      <w:pPr>
        <w:ind w:left="200"/>
        <w:spacing w:after="0"/>
        <w:rPr>
          <w:sz w:val="20"/>
          <w:szCs w:val="20"/>
          <w:color w:val="auto"/>
        </w:rPr>
      </w:pPr>
      <w:r>
        <w:rPr>
          <w:rFonts w:ascii="Times New Roman" w:cs="Times New Roman" w:eastAsia="Times New Roman" w:hAnsi="Times New Roman"/>
          <w:sz w:val="18"/>
          <w:szCs w:val="18"/>
          <w:color w:val="auto"/>
        </w:rPr>
        <w:t>JZP053</w:t>
      </w: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Epilepsy</w:t>
      </w:r>
    </w:p>
    <w:p>
      <w:pPr>
        <w:spacing w:after="0" w:line="36" w:lineRule="exact"/>
        <w:rPr>
          <w:sz w:val="20"/>
          <w:szCs w:val="20"/>
          <w:color w:val="auto"/>
        </w:rPr>
      </w:pPr>
    </w:p>
    <w:p>
      <w:pPr>
        <w:sectPr>
          <w:pgSz w:w="11880" w:h="15479" w:orient="portrait"/>
          <w:cols w:equalWidth="0" w:num="2">
            <w:col w:w="3280" w:space="720"/>
            <w:col w:w="5960"/>
          </w:cols>
          <w:pgMar w:left="900" w:top="883" w:right="1019" w:bottom="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Undisclosed targets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Sleep</w:t>
      </w:r>
    </w:p>
    <w:p>
      <w:pPr>
        <w:spacing w:after="0" w:line="214" w:lineRule="auto"/>
        <w:rPr>
          <w:sz w:val="20"/>
          <w:szCs w:val="20"/>
          <w:color w:val="auto"/>
        </w:rPr>
      </w:pPr>
      <w:r>
        <w:rPr>
          <w:rFonts w:ascii="Times New Roman" w:cs="Times New Roman" w:eastAsia="Times New Roman" w:hAnsi="Times New Roman"/>
          <w:sz w:val="19"/>
          <w:szCs w:val="19"/>
          <w:color w:val="auto"/>
        </w:rPr>
        <w:t>Epilepsy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Neuroscience</w:t>
      </w:r>
    </w:p>
    <w:p>
      <w:pPr>
        <w:spacing w:after="0" w:line="82" w:lineRule="exact"/>
        <w:rPr>
          <w:sz w:val="20"/>
          <w:szCs w:val="20"/>
          <w:color w:val="auto"/>
        </w:rPr>
      </w:pPr>
    </w:p>
    <w:p>
      <w:pPr>
        <w:sectPr>
          <w:pgSz w:w="11880" w:h="15479" w:orient="portrait"/>
          <w:cols w:equalWidth="0" w:num="2">
            <w:col w:w="3280" w:space="720"/>
            <w:col w:w="5960"/>
          </w:cols>
          <w:pgMar w:left="900" w:top="883" w:right="1019" w:bottom="0" w:gutter="0" w:footer="0" w:header="0"/>
          <w:type w:val="continuous"/>
        </w:sectPr>
      </w:pPr>
    </w:p>
    <w:p>
      <w:pPr>
        <w:ind w:left="60"/>
        <w:spacing w:after="0"/>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9"/>
          <w:szCs w:val="19"/>
          <w:color w:val="auto"/>
        </w:rPr>
        <w:t>Also known as ONC206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9"/>
          <w:szCs w:val="19"/>
          <w:color w:val="auto"/>
        </w:rPr>
        <w:t>Also known as ONC212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9"/>
          <w:szCs w:val="19"/>
          <w:color w:val="auto"/>
        </w:rPr>
        <w:t>Also known as SAN2355</w:t>
      </w:r>
    </w:p>
    <w:p>
      <w:pPr>
        <w:sectPr>
          <w:pgSz w:w="11880" w:h="15479" w:orient="portrait"/>
          <w:cols w:equalWidth="0" w:num="1">
            <w:col w:w="9960"/>
          </w:cols>
          <w:pgMar w:left="900" w:top="883" w:right="1019" w:bottom="0" w:gutter="0" w:footer="0" w:header="0"/>
          <w:type w:val="continuous"/>
        </w:sectPr>
      </w:pP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2025 Highlights and Recent Developments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u w:val="single" w:color="auto"/>
          <w:color w:val="auto"/>
        </w:rPr>
        <w:t>Regulatory Submissions, Approvals and Commercial Launches</w:t>
      </w:r>
    </w:p>
    <w:p>
      <w:pPr>
        <w:spacing w:after="0" w:line="40" w:lineRule="exact"/>
        <w:rPr>
          <w:sz w:val="20"/>
          <w:szCs w:val="20"/>
          <w:color w:val="auto"/>
        </w:rPr>
      </w:pPr>
    </w:p>
    <w:p>
      <w:pPr>
        <w:ind w:left="840" w:right="200" w:hanging="348"/>
        <w:spacing w:after="0" w:line="261"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In April 2025, Ziihera received a positive CHMP opinion for the treatment of advanced HER2-positive BTC.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71" w:lineRule="exact"/>
        <w:rPr>
          <w:sz w:val="20"/>
          <w:szCs w:val="20"/>
          <w:color w:val="auto"/>
        </w:rPr>
      </w:pPr>
    </w:p>
    <w:p>
      <w:pPr>
        <w:ind w:left="840" w:right="240" w:hanging="348"/>
        <w:spacing w:after="0" w:line="270"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The sNDA submission for the combination of Zepzelca with atezolizumab or atezolizumab and hyaluronidase-tqjs was granted priority review by FDA in June 2025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spacing w:after="0" w:line="64" w:lineRule="exact"/>
        <w:rPr>
          <w:sz w:val="20"/>
          <w:szCs w:val="20"/>
          <w:color w:val="auto"/>
        </w:rPr>
      </w:pPr>
    </w:p>
    <w:p>
      <w:pPr>
        <w:ind w:left="840" w:right="200" w:hanging="348"/>
        <w:spacing w:after="0" w:line="269"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 xml:space="preserve">Following the Chimerix Acquisition in April 2025, Modeyso received FDA approval in August 2025 and was subsequently launched for the treatment of adult and pediatric patients 1 year of age and older with diffuse midline </w:t>
      </w:r>
      <w:r>
        <w:rPr>
          <w:rFonts w:ascii="PMingLiU" w:cs="PMingLiU" w:eastAsia="PMingLiU" w:hAnsi="PMingLiU"/>
          <w:sz w:val="19"/>
          <w:szCs w:val="19"/>
          <w:color w:val="auto"/>
        </w:rPr>
        <w:t>JOLRPDKDUERULQJDQ+.0PXWDWLRQZLWKSURJUHVVLYHGLVHDVHIROORZLQJSULRUWKHUDS\</w:t>
      </w:r>
    </w:p>
    <w:p>
      <w:pPr>
        <w:spacing w:after="0" w:line="66" w:lineRule="exact"/>
        <w:rPr>
          <w:sz w:val="20"/>
          <w:szCs w:val="20"/>
          <w:color w:val="auto"/>
        </w:rPr>
      </w:pPr>
    </w:p>
    <w:p>
      <w:pPr>
        <w:ind w:left="500" w:right="1200"/>
        <w:spacing w:after="0" w:line="324"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Modeyso and Zepzelca were included in the NCCN® Clinical Practice Guidelines in Oncology in 2025. </w:t>
      </w:r>
      <w:r>
        <w:rPr>
          <w:rFonts w:ascii="Times New Roman" w:cs="Times New Roman" w:eastAsia="Times New Roman" w:hAnsi="Times New Roman"/>
          <w:sz w:val="19"/>
          <w:szCs w:val="19"/>
          <w:u w:val="single" w:color="auto"/>
          <w:color w:val="auto"/>
        </w:rPr>
        <w:t>Research &amp; Development</w:t>
      </w:r>
    </w:p>
    <w:p>
      <w:pPr>
        <w:spacing w:after="0" w:line="1" w:lineRule="exact"/>
        <w:rPr>
          <w:sz w:val="20"/>
          <w:szCs w:val="20"/>
          <w:color w:val="auto"/>
        </w:rPr>
      </w:pPr>
    </w:p>
    <w:p>
      <w:pPr>
        <w:jc w:val="both"/>
        <w:ind w:left="840" w:right="40" w:hanging="348"/>
        <w:spacing w:after="0" w:line="263"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Announced positive top-line results from the Phase 3 HERIZON-GEA-01 trial, showing statistically significant and clinically meaningful progression-free survival and overall survival benefits for zanidatamab and chemotherapy with or without tislelizumab in HER2-positive locally advanced or metastatic GEA.</w:t>
      </w:r>
    </w:p>
    <w:p>
      <w:pPr>
        <w:spacing w:after="0" w:line="71" w:lineRule="exact"/>
        <w:rPr>
          <w:sz w:val="20"/>
          <w:szCs w:val="20"/>
          <w:color w:val="auto"/>
        </w:rPr>
      </w:pPr>
    </w:p>
    <w:p>
      <w:pPr>
        <w:ind w:left="840" w:right="22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Initiated zanidatamab Phase 2 EmpowHER-BC-208 trial to evaluate HER2-positive neoadjuvant and adjuvant breast cancer.</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Initiated a Phase 1b trial of Epidiolex in focal-onset seizures.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Challenges, Risks and Trends Related to Our Business</w:t>
      </w:r>
    </w:p>
    <w:p>
      <w:pPr>
        <w:spacing w:after="0" w:line="129" w:lineRule="exact"/>
        <w:rPr>
          <w:sz w:val="20"/>
          <w:szCs w:val="20"/>
          <w:color w:val="auto"/>
        </w:rPr>
      </w:pPr>
    </w:p>
    <w:p>
      <w:pPr>
        <w:ind w:left="60" w:right="180" w:firstLine="480"/>
        <w:spacing w:after="0" w:line="263" w:lineRule="auto"/>
        <w:rPr>
          <w:sz w:val="20"/>
          <w:szCs w:val="20"/>
          <w:color w:val="auto"/>
        </w:rPr>
      </w:pPr>
      <w:r>
        <w:rPr>
          <w:rFonts w:ascii="Times New Roman" w:cs="Times New Roman" w:eastAsia="Times New Roman" w:hAnsi="Times New Roman"/>
          <w:sz w:val="19"/>
          <w:szCs w:val="19"/>
          <w:color w:val="auto"/>
        </w:rPr>
        <w:t>In 2025, Xywav revenues meaningfully contributed to our business. Our current 2026 operating plan assumes that Xywav, with 92% lower sodium compared to high-sodium oxybates (depending on the dose), a dosing titration option and an absence of a sodium warning, will remain the #1 branded oxybate treatment for narcolepsy; the position it held based on revenue in the fourth quarter of 2025.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0"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r>
        <w:rPr>
          <w:rFonts w:ascii="PMingLiU" w:cs="PMingLiU" w:eastAsia="PMingLiU" w:hAnsi="PMingLiU"/>
          <w:sz w:val="21"/>
          <w:szCs w:val="21"/>
          <w:color w:val="auto"/>
        </w:rPr>
        <w:t/>
      </w:r>
    </w:p>
    <w:p>
      <w:pPr>
        <w:spacing w:after="0" w:line="68" w:lineRule="exact"/>
        <w:rPr>
          <w:sz w:val="20"/>
          <w:szCs w:val="20"/>
          <w:color w:val="auto"/>
        </w:rPr>
      </w:pPr>
    </w:p>
    <w:p>
      <w:pPr>
        <w:ind w:left="60" w:firstLine="480"/>
        <w:spacing w:after="0" w:line="255" w:lineRule="auto"/>
        <w:rPr>
          <w:sz w:val="20"/>
          <w:szCs w:val="20"/>
          <w:color w:val="auto"/>
        </w:rPr>
      </w:pPr>
      <w:r>
        <w:rPr>
          <w:rFonts w:ascii="Times New Roman" w:cs="Times New Roman" w:eastAsia="Times New Roman" w:hAnsi="Times New Roman"/>
          <w:sz w:val="19"/>
          <w:szCs w:val="19"/>
          <w:color w:val="auto"/>
        </w:rPr>
        <w:t xml:space="preserve">Xywav and Xyrem face competition from Alkermes’ Lumryz (acquired through its acquisition of Avadel), a branded product for treatment of cataplexy and/or EDS in narcolepsy, which was launched in the U.S. market in June 2023. In addition, since January 2023, our oxybate products have faced competition from an AG version of high-sodium oxybate pursuant to a settlement agreement we entered into with an ANDA filer, and from July 2023 through the end of 2025, an additional AG version of high-sodium oxybate from a volume-limited ANDA filer. Specifically, a wholly-owned subsidiary of Hikma launched its AG version of sodium oxybate in January 2023 and Amneal launched its AG version of sodium oxybate in July 2023. In September, 2023, Hikma elected to continue to sell the Hikma AG product, with royalties to be paid to us, for an additional four years beginning in January 2024. </w:t>
      </w:r>
      <w:r>
        <w:rPr>
          <w:rFonts w:ascii="Arial" w:cs="Arial" w:eastAsia="Arial" w:hAnsi="Arial"/>
          <w:sz w:val="23"/>
          <w:szCs w:val="23"/>
          <w:color w:val="auto"/>
        </w:rPr>
        <w:t>ϙ</w:t>
      </w:r>
    </w:p>
    <w:p>
      <w:pPr>
        <w:spacing w:after="0" w:line="72" w:lineRule="exact"/>
        <w:rPr>
          <w:sz w:val="20"/>
          <w:szCs w:val="20"/>
          <w:color w:val="auto"/>
        </w:rPr>
      </w:pPr>
    </w:p>
    <w:p>
      <w:pPr>
        <w:ind w:left="60" w:right="120" w:firstLine="480"/>
        <w:spacing w:after="0" w:line="299" w:lineRule="auto"/>
        <w:rPr>
          <w:sz w:val="20"/>
          <w:szCs w:val="20"/>
          <w:color w:val="auto"/>
        </w:rPr>
      </w:pPr>
      <w:r>
        <w:rPr>
          <w:rFonts w:ascii="Times New Roman" w:cs="Times New Roman" w:eastAsia="Times New Roman" w:hAnsi="Times New Roman"/>
          <w:sz w:val="19"/>
          <w:szCs w:val="19"/>
          <w:color w:val="auto"/>
        </w:rPr>
        <w:t>Pursuant to amendments to our AG agreement with Hikma, effective January 1, 2026, we extended the period during which Hikma is permitted to sell the Hikma AG product until December 31, 2029. Either we or Hikma may provide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45085</wp:posOffset>
            </wp:positionV>
            <wp:extent cx="259080" cy="2546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58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88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58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60"/>
          </w:cols>
          <w:pgMar w:left="900" w:top="883" w:right="1019" w:bottom="0" w:gutter="0" w:footer="0" w:header="0"/>
          <w:type w:val="continuous"/>
        </w:sectPr>
      </w:pPr>
    </w:p>
    <w:bookmarkStart w:id="212" w:name="page213"/>
    <w:bookmarkEnd w:id="212"/>
    <w:p>
      <w:pPr>
        <w:ind w:right="180"/>
        <w:spacing w:after="0" w:line="260" w:lineRule="auto"/>
        <w:rPr>
          <w:sz w:val="20"/>
          <w:szCs w:val="20"/>
          <w:color w:val="auto"/>
        </w:rPr>
      </w:pPr>
      <w:r>
        <w:rPr>
          <w:rFonts w:ascii="Times New Roman" w:cs="Times New Roman" w:eastAsia="Times New Roman" w:hAnsi="Times New Roman"/>
          <w:sz w:val="19"/>
          <w:szCs w:val="19"/>
          <w:color w:val="auto"/>
        </w:rPr>
        <w:t>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as set forth in our agreement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The Hikma AG product is expected to continue to negatively impact Xyrem and Xywav sales for patients with narcolepsy.</w:t>
      </w:r>
    </w:p>
    <w:p>
      <w:pPr>
        <w:spacing w:after="0" w:line="78"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color w:val="auto"/>
        </w:rPr>
        <w:t>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Amneal had rights to sell a low-single-digit percentage of historical Xyrem sales over each 6-month sales period, which terminated at the end of 2025. Lupin and Par never elected to launch an AG product. AG products are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In November 2025, FDA approved Ascent’s generic high-sodium oxybate product. In addition, any company commercializing a generic version of high-sodium oxybate would need to establish its own REMS, or join an existing REMS operated by another company.</w:t>
      </w:r>
    </w:p>
    <w:p>
      <w:pPr>
        <w:spacing w:after="0" w:line="78"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In January 2026, we received notices from Tris Pharma that it had filed with FDA a Section 505(b)(2) NDA for generic versions of Xyrem and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Alkermes’ Lumryz, have had and may continue to have the effect of changing payor or formulary coverage of Xywav or Xyrem in favor of other products, and indirectly adversely affect sales of Xywav and Xyrem.</w:t>
      </w:r>
    </w:p>
    <w:p>
      <w:pPr>
        <w:spacing w:after="0" w:line="75" w:lineRule="exact"/>
        <w:rPr>
          <w:sz w:val="20"/>
          <w:szCs w:val="20"/>
          <w:color w:val="auto"/>
        </w:rPr>
      </w:pPr>
    </w:p>
    <w:p>
      <w:pPr>
        <w:ind w:right="280" w:firstLine="480"/>
        <w:spacing w:after="0" w:line="270" w:lineRule="auto"/>
        <w:rPr>
          <w:sz w:val="20"/>
          <w:szCs w:val="20"/>
          <w:color w:val="auto"/>
        </w:rPr>
      </w:pPr>
      <w:r>
        <w:rPr>
          <w:rFonts w:ascii="Times New Roman" w:cs="Times New Roman" w:eastAsia="Times New Roman" w:hAnsi="Times New Roman"/>
          <w:sz w:val="19"/>
          <w:szCs w:val="19"/>
          <w:color w:val="auto"/>
        </w:rPr>
        <w:t>In any event, we expect that the approval and launch of AG products or other generic versions of Xyrem or Xywav and the approval and launch of any other sodium oxybate product, such as Alkermes’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64"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9"/>
          <w:szCs w:val="19"/>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Epidiolex/Epidyolex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CBD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362585</wp:posOffset>
            </wp:positionV>
            <wp:extent cx="259080" cy="2546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58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89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89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59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13" w:name="page214"/>
    <w:bookmarkEnd w:id="213"/>
    <w:p>
      <w:pPr>
        <w:ind w:left="60" w:right="160" w:firstLine="480"/>
        <w:spacing w:after="0" w:line="270" w:lineRule="auto"/>
        <w:rPr>
          <w:sz w:val="20"/>
          <w:szCs w:val="20"/>
          <w:color w:val="auto"/>
        </w:rPr>
      </w:pPr>
      <w:r>
        <w:rPr>
          <w:rFonts w:ascii="Times New Roman" w:cs="Times New Roman" w:eastAsia="Times New Roman" w:hAnsi="Times New Roman"/>
          <w:sz w:val="19"/>
          <w:szCs w:val="19"/>
          <w:color w:val="auto"/>
        </w:rPr>
        <w:t>In addition to Xywav, Xyrem and Epidiolex/Epidyolex, we are commercializing a portfolio of oncology products, including Rylaze, Zepzelca, Ziihera, Modeyso, Vyxeos and Defitelio. An inability to effectively commercialize Rylaze, Zepzelca, Ziihera, Modeyso, Vyxeos and Defitelio and to maximize their potential where possible through successful R&amp;D activities could have a material adverse effect on our business, financial condition, results of operations and growth prospects.</w:t>
      </w:r>
    </w:p>
    <w:p>
      <w:pPr>
        <w:spacing w:after="0" w:line="64" w:lineRule="exact"/>
        <w:rPr>
          <w:sz w:val="20"/>
          <w:szCs w:val="20"/>
          <w:color w:val="auto"/>
        </w:rPr>
      </w:pPr>
    </w:p>
    <w:p>
      <w:pPr>
        <w:ind w:left="60" w:firstLine="480"/>
        <w:spacing w:after="0" w:line="266" w:lineRule="auto"/>
        <w:rPr>
          <w:sz w:val="20"/>
          <w:szCs w:val="20"/>
          <w:color w:val="auto"/>
        </w:rPr>
      </w:pPr>
      <w:r>
        <w:rPr>
          <w:rFonts w:ascii="Times New Roman" w:cs="Times New Roman" w:eastAsia="Times New Roman" w:hAnsi="Times New Roman"/>
          <w:sz w:val="19"/>
          <w:szCs w:val="19"/>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0" w:lineRule="exact"/>
        <w:rPr>
          <w:sz w:val="20"/>
          <w:szCs w:val="20"/>
          <w:color w:val="auto"/>
        </w:rPr>
      </w:pP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recent Chimerix Acquisition, could have a material adverse effect on our business, results of operations and financial condition.</w:t>
      </w:r>
    </w:p>
    <w:p>
      <w:pPr>
        <w:spacing w:after="0" w:line="70" w:lineRule="exact"/>
        <w:rPr>
          <w:sz w:val="20"/>
          <w:szCs w:val="20"/>
          <w:color w:val="auto"/>
        </w:rPr>
      </w:pPr>
    </w:p>
    <w:p>
      <w:pPr>
        <w:ind w:left="60" w:right="20" w:firstLine="480"/>
        <w:spacing w:after="0" w:line="257" w:lineRule="auto"/>
        <w:rPr>
          <w:sz w:val="20"/>
          <w:szCs w:val="20"/>
          <w:color w:val="auto"/>
        </w:rPr>
      </w:pPr>
      <w:r>
        <w:rPr>
          <w:rFonts w:ascii="Times New Roman" w:cs="Times New Roman" w:eastAsia="Times New Roman" w:hAnsi="Times New Roman"/>
          <w:sz w:val="19"/>
          <w:szCs w:val="19"/>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on May 12, 2025, the White House issued an Executive Order directing federal agencies to pursue MFN pricing for certain prescription drugs, under which U.S. prices would be indexed to the lowest prices available in select OECD countries and on September 30, 2025, the current administration announced the first of several agreements with major pharmaceutical companies that requires drug manufacturers to offer, through a direct-to-consumer platform, U.S. patients and Medicaid programs prescription drug MFN pricing equal to or lower than those paid in other developed nations, with additional mandates for direct-to-patient discounts and repatriation of foreign revenues, in exchange for tariff relief. The White House is currently seeking voluntary pricing concessions from certain manufacturers, with the potential for administrative action to follow if companies do not engage constructively, creating uncertainty around future pricing and reimbursement that could negatively impact our U.S. revenues and overall business performance, and also is in the process of implementing or considering various Center for Medicare &amp; Medicaid Innovation models that would rely on MFN reference pricing.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322" w:lineRule="exact"/>
        <w:rPr>
          <w:sz w:val="20"/>
          <w:szCs w:val="20"/>
          <w:color w:val="auto"/>
        </w:rPr>
      </w:pPr>
    </w:p>
    <w:p>
      <w:pPr>
        <w:ind w:left="60" w:right="100" w:firstLine="480"/>
        <w:spacing w:after="0" w:line="263" w:lineRule="auto"/>
        <w:rPr>
          <w:sz w:val="20"/>
          <w:szCs w:val="20"/>
          <w:color w:val="auto"/>
        </w:rPr>
      </w:pPr>
      <w:r>
        <w:rPr>
          <w:rFonts w:ascii="Times New Roman" w:cs="Times New Roman" w:eastAsia="Times New Roman" w:hAnsi="Times New Roman"/>
          <w:sz w:val="19"/>
          <w:szCs w:val="19"/>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HHS and the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This generation of data could increase the cost, delay the approval and/or delay the launch of that product.</w:t>
      </w:r>
    </w:p>
    <w:p>
      <w:pPr>
        <w:spacing w:after="0" w:line="70" w:lineRule="exact"/>
        <w:rPr>
          <w:sz w:val="20"/>
          <w:szCs w:val="20"/>
          <w:color w:val="auto"/>
        </w:rPr>
      </w:pPr>
    </w:p>
    <w:p>
      <w:pPr>
        <w:ind w:left="60" w:right="20" w:firstLine="480"/>
        <w:spacing w:after="0" w:line="262" w:lineRule="auto"/>
        <w:rPr>
          <w:sz w:val="20"/>
          <w:szCs w:val="20"/>
          <w:color w:val="auto"/>
        </w:rPr>
      </w:pPr>
      <w:r>
        <w:rPr>
          <w:rFonts w:ascii="Times New Roman" w:cs="Times New Roman" w:eastAsia="Times New Roman" w:hAnsi="Times New Roman"/>
          <w:sz w:val="19"/>
          <w:szCs w:val="19"/>
          <w:color w:val="auto"/>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133350</wp:posOffset>
            </wp:positionV>
            <wp:extent cx="259080" cy="2546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59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90</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59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14" w:name="page215"/>
    <w:bookmarkEnd w:id="214"/>
    <w:p>
      <w:pPr>
        <w:ind w:right="60"/>
        <w:spacing w:after="0" w:line="274" w:lineRule="auto"/>
        <w:rPr>
          <w:sz w:val="20"/>
          <w:szCs w:val="20"/>
          <w:color w:val="auto"/>
        </w:rPr>
      </w:pPr>
      <w:r>
        <w:rPr>
          <w:rFonts w:ascii="Times New Roman" w:cs="Times New Roman" w:eastAsia="Times New Roman" w:hAnsi="Times New Roman"/>
          <w:sz w:val="18"/>
          <w:szCs w:val="18"/>
          <w:color w:val="auto"/>
        </w:rPr>
        <w:t xml:space="preserve">consumer protection laws. As of October 2025, we resolved the entirety of the Xyrem Antitrust Litigation. For additional information on these lawsuits, as well as the settlement agreements with respect thereto and other legal matters, see Note 10, Commitments and Contingencies-Legal Proceedings of the Notes to Consolidated Financial Statements, included in Part IV of this Annual Report on Form </w:t>
      </w:r>
      <w:r>
        <w:rPr>
          <w:rFonts w:ascii="PMingLiU" w:cs="PMingLiU" w:eastAsia="PMingLiU" w:hAnsi="PMingLiU"/>
          <w:sz w:val="18"/>
          <w:szCs w:val="18"/>
          <w:color w:val="auto"/>
        </w:rPr>
        <w:t> .,WLVSRVVLEOHWKDWDGGLWLRQDOODZVXLWVZLOOEHILOHGDJDLQVWXVPDNLQJVLPLODURUUHODWHG</w:t>
      </w:r>
      <w:r>
        <w:rPr>
          <w:rFonts w:ascii="Times New Roman" w:cs="Times New Roman" w:eastAsia="Times New Roman" w:hAnsi="Times New Roman"/>
          <w:sz w:val="18"/>
          <w:szCs w:val="18"/>
          <w:color w:val="auto"/>
        </w:rPr>
        <w:t xml:space="preserve"> allegations. We cannot predict the outcome of any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68" w:lineRule="exact"/>
        <w:rPr>
          <w:sz w:val="20"/>
          <w:szCs w:val="20"/>
          <w:color w:val="auto"/>
        </w:rPr>
      </w:pPr>
    </w:p>
    <w:p>
      <w:pPr>
        <w:ind w:right="120" w:firstLine="480"/>
        <w:spacing w:after="0" w:line="444" w:lineRule="auto"/>
        <w:rPr>
          <w:sz w:val="20"/>
          <w:szCs w:val="20"/>
          <w:color w:val="auto"/>
        </w:rPr>
      </w:pPr>
      <w:r>
        <w:rPr>
          <w:rFonts w:ascii="Times New Roman" w:cs="Times New Roman" w:eastAsia="Times New Roman" w:hAnsi="Times New Roman"/>
          <w:sz w:val="13"/>
          <w:szCs w:val="13"/>
          <w:color w:val="auto"/>
        </w:rPr>
        <w:t xml:space="preserve">Finally,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the PRC. In addition, we have a manufacturing and development facility in Athlone, Ireland where we manufacture Xywav and Xyrem, a manufacturing and </w:t>
      </w:r>
      <w:r>
        <w:rPr>
          <w:rFonts w:ascii="PMingLiU" w:cs="PMingLiU" w:eastAsia="PMingLiU" w:hAnsi="PMingLiU"/>
          <w:sz w:val="13"/>
          <w:szCs w:val="13"/>
          <w:color w:val="auto"/>
        </w:rPr>
        <w:t xml:space="preserve">GHYHORSPHQWIDFLOLW\LQ.HQW6FLHQFH3DUN8.ZKHUHZHSURGXFH(SLGLROH[(SLG\ROH[DQGDPDQXIDFWXULQJSODQWLQ9LOOD </w:t>
      </w:r>
      <w:r>
        <w:rPr>
          <w:rFonts w:ascii="Times New Roman" w:cs="Times New Roman" w:eastAsia="Times New Roman" w:hAnsi="Times New Roman"/>
          <w:sz w:val="13"/>
          <w:szCs w:val="13"/>
          <w:color w:val="auto"/>
        </w:rPr>
        <w:t>Guardia, Italy where we produce defibrotide drug substance. While we cannot at this time predict the ultimate impact of such tariffs, we anticipate that our margins could be adversely affected beginning as early as fiscal 2026,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and could be significant. See the risk factor under the heading “</w:t>
      </w:r>
      <w:r>
        <w:rPr>
          <w:rFonts w:ascii="PMingLiU" w:cs="PMingLiU" w:eastAsia="PMingLiU" w:hAnsi="PMingLiU"/>
          <w:sz w:val="13"/>
          <w:szCs w:val="13"/>
          <w:i w:val="1"/>
          <w:iCs w:val="1"/>
          <w:color w:val="auto"/>
        </w:rPr>
        <w:t>*OREDOWUDGHLVVXHVDQGFKDQJHVLQ</w:t>
      </w:r>
      <w:r>
        <w:rPr>
          <w:rFonts w:ascii="Times New Roman" w:cs="Times New Roman" w:eastAsia="Times New Roman" w:hAnsi="Times New Roman"/>
          <w:sz w:val="13"/>
          <w:szCs w:val="13"/>
          <w:color w:val="auto"/>
        </w:rPr>
        <w:t xml:space="preserve"> </w:t>
      </w:r>
      <w:r>
        <w:rPr>
          <w:rFonts w:ascii="PMingLiU" w:cs="PMingLiU" w:eastAsia="PMingLiU" w:hAnsi="PMingLiU"/>
          <w:sz w:val="13"/>
          <w:szCs w:val="13"/>
          <w:i w:val="1"/>
          <w:iCs w:val="1"/>
          <w:color w:val="auto"/>
        </w:rPr>
        <w:t>DQGXQFHUWDLQWLHVZLWKUHVSHFWWRWUDGHSROLFLHVDQGH[SRUWUHJXODWLRQVLQFOXGLQJLPSRUWDQGH[SRUWOLFHQVHUHTXLUHPHQWVWU</w:t>
      </w:r>
      <w:r>
        <w:rPr>
          <w:rFonts w:ascii="Times New Roman" w:cs="Times New Roman" w:eastAsia="Times New Roman" w:hAnsi="Times New Roman"/>
          <w:sz w:val="13"/>
          <w:szCs w:val="13"/>
          <w:i w:val="1"/>
          <w:iCs w:val="1"/>
          <w:color w:val="auto"/>
        </w:rPr>
        <w:t>ade</w:t>
      </w:r>
    </w:p>
    <w:p>
      <w:pPr>
        <w:spacing w:after="0" w:line="6" w:lineRule="exact"/>
        <w:rPr>
          <w:sz w:val="20"/>
          <w:szCs w:val="20"/>
          <w:color w:val="auto"/>
        </w:rPr>
      </w:pPr>
    </w:p>
    <w:p>
      <w:pPr>
        <w:jc w:val="both"/>
        <w:ind w:right="340"/>
        <w:spacing w:after="0" w:line="401" w:lineRule="auto"/>
        <w:rPr>
          <w:sz w:val="20"/>
          <w:szCs w:val="20"/>
          <w:color w:val="auto"/>
        </w:rPr>
      </w:pPr>
      <w:r>
        <w:rPr>
          <w:rFonts w:ascii="PMingLiU" w:cs="PMingLiU" w:eastAsia="PMingLiU" w:hAnsi="PMingLiU"/>
          <w:sz w:val="13"/>
          <w:szCs w:val="13"/>
          <w:i w:val="1"/>
          <w:iCs w:val="1"/>
          <w:color w:val="auto"/>
        </w:rPr>
        <w:t>VDQFWLRQVWDULIIVDQGLQWHUQDWLRQDOWUDGHGLVSXWHVFRXOGLQFUHDVHRXUFRVWVUHGXFHWKHFRPSHWLWLYHQHVVRIRXUSURGXFWVDQG RWKHUZLVHKDYHDPDWHULDODGYHUVHHIIHFWRQRXUEXVLQHVVILQDQFLDOFRQGLWLRQUHVXOWVRIRSHUDWLRQVDQGJURZWKSURVSHFWV</w:t>
      </w:r>
      <w:r>
        <w:rPr>
          <w:rFonts w:ascii="Times New Roman" w:cs="Times New Roman" w:eastAsia="Times New Roman" w:hAnsi="Times New Roman"/>
          <w:sz w:val="13"/>
          <w:szCs w:val="13"/>
          <w:color w:val="auto"/>
        </w:rPr>
        <w:t>” in</w:t>
      </w:r>
      <w:r>
        <w:rPr>
          <w:rFonts w:ascii="PMingLiU" w:cs="PMingLiU" w:eastAsia="PMingLiU" w:hAnsi="PMingLiU"/>
          <w:sz w:val="13"/>
          <w:szCs w:val="13"/>
          <w:i w:val="1"/>
          <w:iCs w:val="1"/>
          <w:color w:val="auto"/>
        </w:rPr>
        <w:t xml:space="preserve"> </w:t>
      </w:r>
      <w:r>
        <w:rPr>
          <w:rFonts w:ascii="Times New Roman" w:cs="Times New Roman" w:eastAsia="Times New Roman" w:hAnsi="Times New Roman"/>
          <w:sz w:val="13"/>
          <w:szCs w:val="13"/>
          <w:color w:val="auto"/>
        </w:rPr>
        <w:t>Part I, Item 1A of this Annual Report on Form 10-</w:t>
      </w:r>
      <w:r>
        <w:rPr>
          <w:rFonts w:ascii="PMingLiU" w:cs="PMingLiU" w:eastAsia="PMingLiU" w:hAnsi="PMingLiU"/>
          <w:sz w:val="13"/>
          <w:szCs w:val="13"/>
          <w:color w:val="auto"/>
        </w:rPr>
        <w:t>.</w:t>
      </w:r>
    </w:p>
    <w:p>
      <w:pPr>
        <w:ind w:right="400" w:firstLine="480"/>
        <w:spacing w:after="0" w:line="283" w:lineRule="auto"/>
        <w:rPr>
          <w:sz w:val="20"/>
          <w:szCs w:val="20"/>
          <w:color w:val="auto"/>
        </w:rPr>
      </w:pPr>
      <w:r>
        <w:rPr>
          <w:rFonts w:ascii="Times New Roman" w:cs="Times New Roman" w:eastAsia="Times New Roman" w:hAnsi="Times New Roman"/>
          <w:sz w:val="19"/>
          <w:szCs w:val="19"/>
          <w:color w:val="auto"/>
        </w:rPr>
        <w:t>The foregoing risks and uncertainties are discussed in greater detail, along with other risks and uncertainties, in “Risk Factors” in Part I, Item 1A. of this Annual Report on Form 10-</w:t>
      </w:r>
      <w:r>
        <w:rPr>
          <w:rFonts w:ascii="PMingLiU" w:cs="PMingLiU" w:eastAsia="PMingLiU" w:hAnsi="PMingLiU"/>
          <w:sz w:val="19"/>
          <w:szCs w:val="19"/>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33" w:lineRule="exact"/>
        <w:rPr>
          <w:sz w:val="20"/>
          <w:szCs w:val="20"/>
          <w:color w:val="auto"/>
        </w:rPr>
      </w:pPr>
    </w:p>
    <w:p>
      <w:pPr>
        <w:ind w:right="56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presents our revenues and expenses for the years ended December 31, 2025, 2024 and 2023 (in thousands except percentages):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Product sales, net</w:t>
            </w:r>
          </w:p>
        </w:tc>
        <w:tc>
          <w:tcPr>
            <w:tcW w:w="106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2"/>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gridSpan w:val="2"/>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3"/>
        </w:trPr>
        <w:tc>
          <w:tcPr>
            <w:tcW w:w="4240" w:type="dxa"/>
            <w:vAlign w:val="bottom"/>
            <w:vMerge w:val="continue"/>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$ 4,021,849</w:t>
            </w:r>
          </w:p>
        </w:tc>
        <w:tc>
          <w:tcPr>
            <w:tcW w:w="6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5 %</w:t>
            </w:r>
          </w:p>
        </w:tc>
        <w:tc>
          <w:tcPr>
            <w:tcW w:w="6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$ 3,821,164</w:t>
            </w:r>
          </w:p>
        </w:tc>
        <w:tc>
          <w:tcPr>
            <w:tcW w:w="8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2 %</w:t>
            </w:r>
          </w:p>
        </w:tc>
        <w:tc>
          <w:tcPr>
            <w:tcW w:w="8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$ 3,736,943</w:t>
            </w:r>
          </w:p>
        </w:tc>
        <w:tc>
          <w:tcPr>
            <w:tcW w:w="0" w:type="dxa"/>
            <w:vAlign w:val="bottom"/>
          </w:tcPr>
          <w:p>
            <w:pPr>
              <w:spacing w:after="0"/>
              <w:rPr>
                <w:sz w:val="1"/>
                <w:szCs w:val="1"/>
                <w:color w:val="auto"/>
              </w:rPr>
            </w:pPr>
          </w:p>
        </w:tc>
      </w:tr>
      <w:tr>
        <w:trPr>
          <w:trHeight w:val="251"/>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Royalties and contract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245,737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247,786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97,261</w:t>
            </w:r>
          </w:p>
        </w:tc>
        <w:tc>
          <w:tcPr>
            <w:tcW w:w="0" w:type="dxa"/>
            <w:vAlign w:val="bottom"/>
          </w:tcPr>
          <w:p>
            <w:pPr>
              <w:spacing w:after="0"/>
              <w:rPr>
                <w:sz w:val="1"/>
                <w:szCs w:val="1"/>
                <w:color w:val="auto"/>
              </w:rPr>
            </w:pPr>
          </w:p>
        </w:tc>
      </w:tr>
      <w:tr>
        <w:trPr>
          <w:trHeight w:val="200"/>
        </w:trPr>
        <w:tc>
          <w:tcPr>
            <w:tcW w:w="4240" w:type="dxa"/>
            <w:vAlign w:val="bottom"/>
          </w:tcPr>
          <w:p>
            <w:pPr>
              <w:spacing w:after="0" w:line="200" w:lineRule="exact"/>
              <w:rPr>
                <w:sz w:val="20"/>
                <w:szCs w:val="20"/>
                <w:color w:val="auto"/>
              </w:rPr>
            </w:pPr>
            <w:r>
              <w:rPr>
                <w:rFonts w:ascii="Times New Roman" w:cs="Times New Roman" w:eastAsia="Times New Roman" w:hAnsi="Times New Roman"/>
                <w:sz w:val="19"/>
                <w:szCs w:val="19"/>
                <w:color w:val="auto"/>
              </w:rPr>
              <w:t>Cost of product sales (excluding amortization of</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503,296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13 %</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445,713</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2 %</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435,577</w:t>
            </w:r>
          </w:p>
        </w:tc>
        <w:tc>
          <w:tcPr>
            <w:tcW w:w="0" w:type="dxa"/>
            <w:vAlign w:val="bottom"/>
          </w:tcPr>
          <w:p>
            <w:pPr>
              <w:spacing w:after="0"/>
              <w:rPr>
                <w:sz w:val="1"/>
                <w:szCs w:val="1"/>
                <w:color w:val="auto"/>
              </w:rPr>
            </w:pPr>
          </w:p>
        </w:tc>
      </w:tr>
      <w:tr>
        <w:trPr>
          <w:trHeight w:val="251"/>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acquired developed technologies)</w:t>
            </w:r>
          </w:p>
        </w:tc>
        <w:tc>
          <w:tcPr>
            <w:tcW w:w="106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1,809,271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1,385,294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1,343,105</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782,736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884,000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849,658</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 amortization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654,661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627,313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608,284</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Acquired in-process research and development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947,862</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19,000</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195,051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238,097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289,438</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Foreign exchange (gain)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8,182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(8,787)</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Income tax benefit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(272,443)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198 %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(91,429)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(119,912)</w:t>
            </w:r>
          </w:p>
        </w:tc>
        <w:tc>
          <w:tcPr>
            <w:tcW w:w="0" w:type="dxa"/>
            <w:vAlign w:val="bottom"/>
          </w:tcPr>
          <w:p>
            <w:pPr>
              <w:spacing w:after="0"/>
              <w:rPr>
                <w:sz w:val="1"/>
                <w:szCs w:val="1"/>
                <w:color w:val="auto"/>
              </w:rPr>
            </w:pPr>
          </w:p>
        </w:tc>
      </w:tr>
      <w:tr>
        <w:trPr>
          <w:trHeight w:val="212"/>
        </w:trPr>
        <w:tc>
          <w:tcPr>
            <w:tcW w:w="4240" w:type="dxa"/>
            <w:vAlign w:val="bottom"/>
          </w:tcPr>
          <w:p>
            <w:pPr>
              <w:spacing w:after="0" w:line="212" w:lineRule="exact"/>
              <w:rPr>
                <w:sz w:val="20"/>
                <w:szCs w:val="20"/>
                <w:color w:val="auto"/>
              </w:rPr>
            </w:pPr>
            <w:r>
              <w:rPr>
                <w:rFonts w:ascii="Times New Roman" w:cs="Times New Roman" w:eastAsia="Times New Roman" w:hAnsi="Times New Roman"/>
                <w:sz w:val="19"/>
                <w:szCs w:val="19"/>
                <w:color w:val="auto"/>
              </w:rPr>
              <w:t>Equity in loss of investees</w:t>
            </w:r>
          </w:p>
        </w:tc>
        <w:tc>
          <w:tcPr>
            <w:tcW w:w="106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auto"/>
              </w:rPr>
              <w:t>732</w:t>
            </w:r>
          </w:p>
        </w:tc>
        <w:tc>
          <w:tcPr>
            <w:tcW w:w="11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9"/>
                <w:szCs w:val="19"/>
                <w:color w:val="auto"/>
              </w:rPr>
              <w:t>(56)%</w:t>
            </w:r>
          </w:p>
        </w:tc>
        <w:tc>
          <w:tcPr>
            <w:tcW w:w="112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9"/>
                <w:szCs w:val="19"/>
                <w:color w:val="auto"/>
              </w:rPr>
              <w:t>1,660</w:t>
            </w:r>
          </w:p>
        </w:tc>
        <w:tc>
          <w:tcPr>
            <w:tcW w:w="11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9"/>
                <w:szCs w:val="19"/>
                <w:color w:val="auto"/>
              </w:rPr>
              <w:t>(45)%</w:t>
            </w:r>
          </w:p>
        </w:tc>
        <w:tc>
          <w:tcPr>
            <w:tcW w:w="11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9"/>
                <w:szCs w:val="19"/>
                <w:color w:val="auto"/>
              </w:rPr>
              <w:t>3,009</w:t>
            </w:r>
          </w:p>
        </w:tc>
        <w:tc>
          <w:tcPr>
            <w:tcW w:w="0" w:type="dxa"/>
            <w:vAlign w:val="bottom"/>
          </w:tcPr>
          <w:p>
            <w:pPr>
              <w:spacing w:after="0"/>
              <w:rPr>
                <w:sz w:val="1"/>
                <w:szCs w:val="1"/>
                <w:color w:val="auto"/>
              </w:rPr>
            </w:pPr>
          </w:p>
        </w:tc>
      </w:tr>
      <w:tr>
        <w:trPr>
          <w:trHeight w:val="232"/>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_________________________</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Comparison to prior period is not meaningful.</w:t>
            </w: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1638935</wp:posOffset>
            </wp:positionV>
            <wp:extent cx="259080" cy="2546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59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91</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91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59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15" w:name="page216"/>
    <w:bookmarkEnd w:id="215"/>
    <w:p>
      <w:pPr>
        <w:ind w:left="60"/>
        <w:spacing w:after="0"/>
        <w:rPr>
          <w:sz w:val="20"/>
          <w:szCs w:val="20"/>
          <w:color w:val="auto"/>
        </w:rPr>
      </w:pPr>
      <w:r>
        <w:rPr>
          <w:rFonts w:ascii="PMingLiU" w:cs="PMingLiU" w:eastAsia="PMingLiU" w:hAnsi="PMingLiU"/>
          <w:sz w:val="19"/>
          <w:szCs w:val="19"/>
          <w:i w:val="1"/>
          <w:iCs w:val="1"/>
          <w:color w:val="auto"/>
        </w:rPr>
        <w:t>5HYHQXHV</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presents product sales, royalties and contract revenues, and total revenues for the years ended</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December 31, 2025, 2024 and 2023 (in thousands except percentages):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08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8"/>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Xywav</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$ 1,656,986</w:t>
            </w:r>
          </w:p>
        </w:tc>
        <w:tc>
          <w:tcPr>
            <w:tcW w:w="80" w:type="dxa"/>
            <w:vAlign w:val="bottom"/>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$ 1,473,202</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$ 1,272,977</w:t>
            </w:r>
          </w:p>
        </w:tc>
        <w:tc>
          <w:tcPr>
            <w:tcW w:w="0" w:type="dxa"/>
            <w:vAlign w:val="bottom"/>
          </w:tcPr>
          <w:p>
            <w:pPr>
              <w:spacing w:after="0"/>
              <w:rPr>
                <w:sz w:val="1"/>
                <w:szCs w:val="1"/>
                <w:color w:val="auto"/>
              </w:rPr>
            </w:pPr>
          </w:p>
        </w:tc>
      </w:tr>
      <w:tr>
        <w:trPr>
          <w:trHeight w:val="26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Xyrem</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146,034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9"/>
                <w:szCs w:val="19"/>
                <w:color w:val="auto"/>
              </w:rPr>
              <w:t>233,816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9"/>
                <w:szCs w:val="19"/>
                <w:color w:val="auto"/>
              </w:rPr>
              <w:t>569,730</w:t>
            </w:r>
          </w:p>
        </w:tc>
        <w:tc>
          <w:tcPr>
            <w:tcW w:w="0" w:type="dxa"/>
            <w:vAlign w:val="bottom"/>
          </w:tcPr>
          <w:p>
            <w:pPr>
              <w:spacing w:after="0"/>
              <w:rPr>
                <w:sz w:val="1"/>
                <w:szCs w:val="1"/>
                <w:color w:val="auto"/>
              </w:rPr>
            </w:pPr>
          </w:p>
        </w:tc>
      </w:tr>
      <w:tr>
        <w:trPr>
          <w:trHeight w:val="27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Epidiolex/Epidyolex</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1,059,197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972,423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845,468</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9"/>
                <w:szCs w:val="19"/>
                <w:color w:val="auto"/>
              </w:rPr>
              <w:t>Sativex</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18,877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19,668</w:t>
            </w:r>
          </w:p>
        </w:tc>
        <w:tc>
          <w:tcPr>
            <w:tcW w:w="0" w:type="dxa"/>
            <w:vAlign w:val="bottom"/>
          </w:tcPr>
          <w:p>
            <w:pPr>
              <w:spacing w:after="0"/>
              <w:rPr>
                <w:sz w:val="1"/>
                <w:szCs w:val="1"/>
                <w:color w:val="auto"/>
              </w:rPr>
            </w:pPr>
          </w:p>
        </w:tc>
      </w:tr>
      <w:tr>
        <w:trPr>
          <w:trHeight w:val="229"/>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Total Neuroscience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2,878,494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2,698,318</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2,707,843</w:t>
            </w:r>
          </w:p>
        </w:tc>
        <w:tc>
          <w:tcPr>
            <w:tcW w:w="0" w:type="dxa"/>
            <w:vAlign w:val="bottom"/>
          </w:tcPr>
          <w:p>
            <w:pPr>
              <w:spacing w:after="0"/>
              <w:rPr>
                <w:sz w:val="1"/>
                <w:szCs w:val="1"/>
                <w:color w:val="auto"/>
              </w:rPr>
            </w:pPr>
          </w:p>
        </w:tc>
      </w:tr>
      <w:tr>
        <w:trPr>
          <w:trHeight w:val="25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Rylaze/Enrylaze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410,846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394,226</w:t>
            </w:r>
          </w:p>
        </w:tc>
        <w:tc>
          <w:tcPr>
            <w:tcW w:w="0" w:type="dxa"/>
            <w:vAlign w:val="bottom"/>
          </w:tcPr>
          <w:p>
            <w:pPr>
              <w:spacing w:after="0"/>
              <w:rPr>
                <w:sz w:val="1"/>
                <w:szCs w:val="1"/>
                <w:color w:val="auto"/>
              </w:rPr>
            </w:pPr>
          </w:p>
        </w:tc>
      </w:tr>
      <w:tr>
        <w:trPr>
          <w:trHeight w:val="25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Zepzelca</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307,309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320,318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289,533</w:t>
            </w:r>
          </w:p>
        </w:tc>
        <w:tc>
          <w:tcPr>
            <w:tcW w:w="0" w:type="dxa"/>
            <w:vAlign w:val="bottom"/>
          </w:tcPr>
          <w:p>
            <w:pPr>
              <w:spacing w:after="0"/>
              <w:rPr>
                <w:sz w:val="1"/>
                <w:szCs w:val="1"/>
                <w:color w:val="auto"/>
              </w:rPr>
            </w:pPr>
          </w:p>
        </w:tc>
      </w:tr>
      <w:tr>
        <w:trPr>
          <w:trHeight w:val="25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Defitelio/defibrotide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199,392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216,565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184,000</w:t>
            </w:r>
          </w:p>
        </w:tc>
        <w:tc>
          <w:tcPr>
            <w:tcW w:w="0" w:type="dxa"/>
            <w:vAlign w:val="bottom"/>
          </w:tcPr>
          <w:p>
            <w:pPr>
              <w:spacing w:after="0"/>
              <w:rPr>
                <w:sz w:val="1"/>
                <w:szCs w:val="1"/>
                <w:color w:val="auto"/>
              </w:rPr>
            </w:pPr>
          </w:p>
        </w:tc>
      </w:tr>
      <w:tr>
        <w:trPr>
          <w:trHeight w:val="258"/>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Vyxeos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146,709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162,595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147,495</w:t>
            </w:r>
          </w:p>
        </w:tc>
        <w:tc>
          <w:tcPr>
            <w:tcW w:w="0" w:type="dxa"/>
            <w:vAlign w:val="bottom"/>
          </w:tcPr>
          <w:p>
            <w:pPr>
              <w:spacing w:after="0"/>
              <w:rPr>
                <w:sz w:val="1"/>
                <w:szCs w:val="1"/>
                <w:color w:val="auto"/>
              </w:rPr>
            </w:pPr>
          </w:p>
        </w:tc>
      </w:tr>
      <w:tr>
        <w:trPr>
          <w:trHeight w:val="26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Modeyso</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48,043</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Ziihera</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24,810</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1,051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1"/>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Total Oncology</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1,129,183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1,111,375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1,015,254</w:t>
            </w:r>
          </w:p>
        </w:tc>
        <w:tc>
          <w:tcPr>
            <w:tcW w:w="0" w:type="dxa"/>
            <w:vAlign w:val="bottom"/>
          </w:tcPr>
          <w:p>
            <w:pPr>
              <w:spacing w:after="0"/>
              <w:rPr>
                <w:sz w:val="1"/>
                <w:szCs w:val="1"/>
                <w:color w:val="auto"/>
              </w:rPr>
            </w:pPr>
          </w:p>
        </w:tc>
      </w:tr>
      <w:tr>
        <w:trPr>
          <w:trHeight w:val="2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11,471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13,846</w:t>
            </w:r>
          </w:p>
        </w:tc>
        <w:tc>
          <w:tcPr>
            <w:tcW w:w="0" w:type="dxa"/>
            <w:vAlign w:val="bottom"/>
          </w:tcPr>
          <w:p>
            <w:pPr>
              <w:spacing w:after="0"/>
              <w:rPr>
                <w:sz w:val="1"/>
                <w:szCs w:val="1"/>
                <w:color w:val="auto"/>
              </w:rPr>
            </w:pPr>
          </w:p>
        </w:tc>
      </w:tr>
      <w:tr>
        <w:trPr>
          <w:trHeight w:val="233"/>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Product sales, net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4,021,849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3,821,164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3,736,943</w:t>
            </w:r>
          </w:p>
        </w:tc>
        <w:tc>
          <w:tcPr>
            <w:tcW w:w="0" w:type="dxa"/>
            <w:vAlign w:val="bottom"/>
          </w:tcPr>
          <w:p>
            <w:pPr>
              <w:spacing w:after="0"/>
              <w:rPr>
                <w:sz w:val="1"/>
                <w:szCs w:val="1"/>
                <w:color w:val="auto"/>
              </w:rPr>
            </w:pPr>
          </w:p>
        </w:tc>
      </w:tr>
      <w:tr>
        <w:trPr>
          <w:trHeight w:val="25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High-sodium oxybate AG royalty revenue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211,725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217,575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75,918</w:t>
            </w:r>
          </w:p>
        </w:tc>
        <w:tc>
          <w:tcPr>
            <w:tcW w:w="0" w:type="dxa"/>
            <w:vAlign w:val="bottom"/>
          </w:tcPr>
          <w:p>
            <w:pPr>
              <w:spacing w:after="0"/>
              <w:rPr>
                <w:sz w:val="1"/>
                <w:szCs w:val="1"/>
                <w:color w:val="auto"/>
              </w:rPr>
            </w:pPr>
          </w:p>
        </w:tc>
      </w:tr>
      <w:tr>
        <w:trPr>
          <w:trHeight w:val="2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Other royalty and contract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30,211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21,343</w:t>
            </w:r>
          </w:p>
        </w:tc>
        <w:tc>
          <w:tcPr>
            <w:tcW w:w="0" w:type="dxa"/>
            <w:vAlign w:val="bottom"/>
          </w:tcPr>
          <w:p>
            <w:pPr>
              <w:spacing w:after="0"/>
              <w:rPr>
                <w:sz w:val="1"/>
                <w:szCs w:val="1"/>
                <w:color w:val="auto"/>
              </w:rPr>
            </w:pP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Total revenues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$ 4,267,586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$ 4,068,950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$ 3,834,204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_________________________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spacing w:after="0"/>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Net product sales of Sativex are included until the date of divestment, October 31, 2025.</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(2)</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Comparison to prior period is not meaningful.</w:t>
      </w:r>
    </w:p>
    <w:p>
      <w:pPr>
        <w:spacing w:after="0" w:line="97"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7RWDO5HYHQXHV</w:t>
      </w:r>
    </w:p>
    <w:p>
      <w:pPr>
        <w:spacing w:after="0" w:line="117" w:lineRule="exact"/>
        <w:rPr>
          <w:sz w:val="20"/>
          <w:szCs w:val="20"/>
          <w:color w:val="auto"/>
        </w:rPr>
      </w:pPr>
    </w:p>
    <w:p>
      <w:pPr>
        <w:ind w:left="60" w:firstLine="480"/>
        <w:spacing w:after="0" w:line="256" w:lineRule="auto"/>
        <w:rPr>
          <w:sz w:val="20"/>
          <w:szCs w:val="20"/>
          <w:color w:val="auto"/>
        </w:rPr>
      </w:pPr>
      <w:r>
        <w:rPr>
          <w:rFonts w:ascii="Times New Roman" w:cs="Times New Roman" w:eastAsia="Times New Roman" w:hAnsi="Times New Roman"/>
          <w:sz w:val="19"/>
          <w:szCs w:val="19"/>
          <w:color w:val="auto"/>
        </w:rPr>
        <w:t>Xywav product sales increased by 12% in 2025 compared to 2024, primarily due to increased sales volumes of 14% and, to a lesser extent, a higher selling price, partially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2025, there were 10,950 patients taking Xywav for narcolepsy and 5,225 patients taking Xywav for IH, an increase of approximately 7% and 34%, respectively, compared to 2024. Xywav product sales increased in 2024 compared to 2023, primarily due to increased sales volumes of 16% and, to a lesser extent, a higher selling price, partially offset by higher gross to net deductions. Xyrem product sales decreased in 2025 compared to 2024, primarily due to decreased sales volumes of 33%, due to high-sodium oxybate competition and the adoption of Xywav by existing Xyrem patients and higher gross to net deductions, partially offset by a higher selling price. Xyrem product sales decreased in 2024 compared to 2023, primarily due to decreased sales volumes of 57%, due to high-sodium oxybate competition and the adoption of Xywav by existing Xyrem patients and higher gross to net deductions, partially offset by a higher selling price. Epidiolex/Epidyolex product sales increased by 9% in 2025 compared to 2024, primarily due to increased sales volumes of 7% due to increased demand, and a higher average selling price. Epidiolex/Epidyolex product sales increased by 15% in 2024 compared to 2023, primarily due to increased sales volumes of 12% due to increased demand, and, to a lesser extent, geographic expansion and a higher average selling price.</w:t>
      </w:r>
      <w:r>
        <w:rPr>
          <w:rFonts w:ascii="PMingLiU" w:cs="PMingLiU" w:eastAsia="PMingLiU" w:hAnsi="PMingLiU"/>
          <w:sz w:val="21"/>
          <w:szCs w:val="21"/>
          <w:color w:val="auto"/>
        </w:rPr>
        <w:t/>
      </w:r>
    </w:p>
    <w:p>
      <w:pPr>
        <w:spacing w:after="0" w:line="73" w:lineRule="exact"/>
        <w:rPr>
          <w:sz w:val="20"/>
          <w:szCs w:val="20"/>
          <w:color w:val="auto"/>
        </w:rPr>
      </w:pPr>
    </w:p>
    <w:p>
      <w:pPr>
        <w:ind w:left="60" w:right="40" w:firstLine="480"/>
        <w:spacing w:after="0" w:line="259" w:lineRule="auto"/>
        <w:rPr>
          <w:sz w:val="20"/>
          <w:szCs w:val="20"/>
          <w:color w:val="auto"/>
        </w:rPr>
      </w:pPr>
      <w:r>
        <w:rPr>
          <w:rFonts w:ascii="Times New Roman" w:cs="Times New Roman" w:eastAsia="Times New Roman" w:hAnsi="Times New Roman"/>
          <w:sz w:val="19"/>
          <w:szCs w:val="19"/>
          <w:color w:val="auto"/>
        </w:rPr>
        <w:t>Rylaze/Enrylaze product sales decreased by 2% in 2025 compared to 2024, primarily due to decreased sales volumes of 1% and higher gross to net deductions, partially offset by a higher average selling price. Updates to pediatric treatment protocols for ALL were implemented in 2024 and impacted Rylaze in 2025. The protocols have been widely adopted and Rylaze use within the asparaginase class remains broadly stable. Rylaze product sales increased in 2024 compared to 2023, primarily due to a higher average selling price, partially offset by higher gross to net deductions. Zepzelca product sales decreased by 4% in 2025 compared to 2024, primarily due to decreased sales volumes, partially offset by a higher selling price and lower gross to net deductions. Zepzelca product sales have been impacted by increased competition in second-line SCLC and treatment protocol updates delaying progression of first-line limited-stage SCLC patients to the second-line setting. In October 2025, Zepzelca in combination with atezolizumab or atezolizumab and hyaluronidase-tqjs was approved as a first-line maintenance treatment for adults with ES-SCLC whose disease has not progressed after first-line induction therapy with atezolizumab, carboplatin and etoposide. Zepzelca product sales increased by 11% in 2024 compared to 2023, primarily due to increased sales volumes and a higher selling price, offset by higher gross to net deductions. Defitelio/defibrotide product sales decreased by 8% in 2025 compared to 2024, primarily due to decreased sales volumes, partially offset by the positive impact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88265</wp:posOffset>
            </wp:positionV>
            <wp:extent cx="259080" cy="2546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59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92</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59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43" w:right="979" w:bottom="0" w:gutter="0" w:footer="0" w:header="0"/>
        </w:sectPr>
      </w:pPr>
    </w:p>
    <w:bookmarkStart w:id="216" w:name="page217"/>
    <w:bookmarkEnd w:id="216"/>
    <w:p>
      <w:pPr>
        <w:ind w:right="140"/>
        <w:spacing w:after="0" w:line="254" w:lineRule="auto"/>
        <w:rPr>
          <w:sz w:val="20"/>
          <w:szCs w:val="20"/>
          <w:color w:val="auto"/>
        </w:rPr>
      </w:pPr>
      <w:r>
        <w:rPr>
          <w:rFonts w:ascii="Times New Roman" w:cs="Times New Roman" w:eastAsia="Times New Roman" w:hAnsi="Times New Roman"/>
          <w:sz w:val="19"/>
          <w:szCs w:val="19"/>
          <w:color w:val="auto"/>
        </w:rPr>
        <w:t xml:space="preserve">foreign exchange rates and a higher average selling price. Defitelio/defibrotide product sales increased by 18% in 2024 compared to 2023, primarily due to increased sales volumes, and to a lesser extent, a higher average selling price. Vyxeos product sales decreased by 10% in 2025 compared to 2024, primarily due to decreased sales volumes, partially offset by a higher average selling price. Vyxeos product sales increased by 10% in 2024 compared to 2023, primarily due to increased sales volumes, partially offset by a lower average selling price due to regional mix. Modeyso product sales were $48.0 million in 2025, following its product launch in August 2025 and Ziihera product sales were $24.8 million in 2025, following product launch in December 2024. </w:t>
      </w:r>
      <w:r>
        <w:rPr>
          <w:rFonts w:ascii="Arial" w:cs="Arial" w:eastAsia="Arial" w:hAnsi="Arial"/>
          <w:sz w:val="23"/>
          <w:szCs w:val="23"/>
          <w:color w:val="auto"/>
        </w:rPr>
        <w:t>ϙ</w:t>
      </w:r>
      <w:r>
        <w:rPr>
          <w:rFonts w:ascii="Arial" w:cs="Arial" w:eastAsia="Arial" w:hAnsi="Arial"/>
          <w:sz w:val="21"/>
          <w:szCs w:val="21"/>
          <w:color w:val="auto"/>
        </w:rPr>
        <w:t>ϙ</w:t>
      </w:r>
    </w:p>
    <w:p>
      <w:pPr>
        <w:spacing w:after="0" w:line="78" w:lineRule="exact"/>
        <w:rPr>
          <w:sz w:val="20"/>
          <w:szCs w:val="20"/>
          <w:color w:val="auto"/>
        </w:rPr>
      </w:pPr>
    </w:p>
    <w:p>
      <w:pPr>
        <w:ind w:right="580" w:firstLine="480"/>
        <w:spacing w:after="0" w:line="265" w:lineRule="auto"/>
        <w:rPr>
          <w:sz w:val="20"/>
          <w:szCs w:val="20"/>
          <w:color w:val="auto"/>
        </w:rPr>
      </w:pPr>
      <w:r>
        <w:rPr>
          <w:rFonts w:ascii="Times New Roman" w:cs="Times New Roman" w:eastAsia="Times New Roman" w:hAnsi="Times New Roman"/>
          <w:sz w:val="19"/>
          <w:szCs w:val="19"/>
          <w:color w:val="auto"/>
        </w:rPr>
        <w:t>Royalties and contract revenues in 2025 were in line with 2024. Royalties and contract revenues increased in 2024 compared to 2023, primarily due to royalty revenue received from Hikma on net sales of their high-sodium oxybate AG.</w:t>
      </w:r>
      <w:r>
        <w:rPr>
          <w:rFonts w:ascii="PMingLiU" w:cs="PMingLiU" w:eastAsia="PMingLiU" w:hAnsi="PMingLiU"/>
          <w:sz w:val="21"/>
          <w:szCs w:val="21"/>
          <w:i w:val="1"/>
          <w:iCs w:val="1"/>
          <w:color w:val="auto"/>
        </w:rPr>
        <w:t/>
      </w:r>
    </w:p>
    <w:p>
      <w:pPr>
        <w:spacing w:after="0" w:line="59" w:lineRule="exact"/>
        <w:rPr>
          <w:sz w:val="20"/>
          <w:szCs w:val="20"/>
          <w:color w:val="auto"/>
        </w:rPr>
      </w:pPr>
    </w:p>
    <w:p>
      <w:pPr>
        <w:ind w:right="400" w:firstLine="480"/>
        <w:spacing w:after="0" w:line="277" w:lineRule="auto"/>
        <w:rPr>
          <w:sz w:val="20"/>
          <w:szCs w:val="20"/>
          <w:color w:val="auto"/>
        </w:rPr>
      </w:pPr>
      <w:r>
        <w:rPr>
          <w:rFonts w:ascii="Times New Roman" w:cs="Times New Roman" w:eastAsia="Times New Roman" w:hAnsi="Times New Roman"/>
          <w:sz w:val="19"/>
          <w:szCs w:val="19"/>
          <w:color w:val="auto"/>
        </w:rPr>
        <w:t>We expect total revenues in 2026 to increase compared to 2025, driven by continued growth in our rare oncology and epilepsy products including Modeyso, Ziihera and Epidiolex/Epidyolex, offset by a reduction in oxybate revenues due to decreased high-sodium AG royalties and Xyrem revenues following the launch of multiple generic high-sodium products.</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&amp;RVWRI3URGXFW6DOHV</w:t>
      </w:r>
    </w:p>
    <w:p>
      <w:pPr>
        <w:spacing w:after="0" w:line="117"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Cost of product sales increased in 2025 compared to 2024, primarily due to changes in product mix, and to a lesser extent, an increase in the fair value step-up expense, of $12.9 million. Cost of product sales increased in 2024 compared to 2023, primarily due to increased inventory provisions and changes in product mix, offset by a decrease in the fair value step-up expense, of $16.4 million. Gross margin as a percentage of net product sales was 87.5% in 2025 and 88.3% in both 2024 and 2023. The decrease in our gross margin percentage in 2025 compared to 2024 was primarily due to changes in product mix and the increase in the fair value step-up expense in 2025.</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expect our cost of product sales in 2026 to be in line with 2025.</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6HOOLQJ*HQHUDODQG$GPLQLVWUDWLYH([SHQVHV</w:t>
      </w:r>
    </w:p>
    <w:p>
      <w:pPr>
        <w:spacing w:after="0" w:line="117"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9"/>
          <w:szCs w:val="19"/>
          <w:color w:val="auto"/>
        </w:rPr>
        <w:t>Selling, general and administrative expenses increased in 2025 compared to 2024, primarily due to Xyrem antitrust litigation settlements of $233.5 million, the Avadel litigation settlement of $90.0 million and an increase in compensation-related expenses of $96.7 million, primarily driven by higher headcount and increased share-based compensation expense, increased investment in sales and marketing of $21.9 million in support of our commercial portfolio, and included integration expenses related to the Chimerix Acquisition of $19.4 million. Selling, general and administrative expenses increased in 2024 compared to 2023, primarily due to increased compensation-related expenses of $72.6 million, primarily driven by higher headcount and increased investment in sales and marketing of $19.3 million, in support of our commercial portfolio and increased litigation costs of $13.6 million, partially offset by costs relating to the impairment of facility assets of $61.7 million and program terminations of $23.5 million incurred in 2023.</w:t>
      </w:r>
    </w:p>
    <w:p>
      <w:pPr>
        <w:spacing w:after="0" w:line="73" w:lineRule="exact"/>
        <w:rPr>
          <w:sz w:val="20"/>
          <w:szCs w:val="20"/>
          <w:color w:val="auto"/>
        </w:rPr>
      </w:pPr>
    </w:p>
    <w:p>
      <w:pPr>
        <w:ind w:right="600" w:firstLine="480"/>
        <w:spacing w:after="0" w:line="299" w:lineRule="auto"/>
        <w:rPr>
          <w:sz w:val="20"/>
          <w:szCs w:val="20"/>
          <w:color w:val="auto"/>
        </w:rPr>
      </w:pPr>
      <w:r>
        <w:rPr>
          <w:rFonts w:ascii="Times New Roman" w:cs="Times New Roman" w:eastAsia="Times New Roman" w:hAnsi="Times New Roman"/>
          <w:sz w:val="19"/>
          <w:szCs w:val="19"/>
          <w:color w:val="auto"/>
        </w:rPr>
        <w:t>We expect selling, general and administrative expenses in 2026 to decrease compared to 2025, primarily due to the impact of litigation settlement expenses incurred in 2025.</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5HVHDUFKDQG'HYHORSPHQW([SHQVHV</w:t>
      </w:r>
    </w:p>
    <w:p>
      <w:pPr>
        <w:spacing w:after="0" w:line="117" w:lineRule="exact"/>
        <w:rPr>
          <w:sz w:val="20"/>
          <w:szCs w:val="20"/>
          <w:color w:val="auto"/>
        </w:rPr>
      </w:pPr>
    </w:p>
    <w:p>
      <w:pPr>
        <w:ind w:right="240" w:firstLine="480"/>
        <w:spacing w:after="0" w:line="260" w:lineRule="auto"/>
        <w:rPr>
          <w:sz w:val="20"/>
          <w:szCs w:val="20"/>
          <w:color w:val="auto"/>
        </w:rPr>
      </w:pPr>
      <w:r>
        <w:rPr>
          <w:rFonts w:ascii="Times New Roman" w:cs="Times New Roman" w:eastAsia="Times New Roman" w:hAnsi="Times New Roman"/>
          <w:sz w:val="19"/>
          <w:szCs w:val="19"/>
          <w:color w:val="auto"/>
        </w:rPr>
        <w:t>R&amp;D expenses consist primarily of costs related to clinical studies and outside services, personnel expenses, milestone expenses and other R&amp;D costs. Clinical study and outside services costs relate primarily to services performed by clinical research organizations, materials and supplies, and other third party fees. Personnel expenses relate primarily to salaries, benefits and share-based compensation. Other R&amp;D expenses primarily include overhead allocations consisting of various support and facilities-related costs. We do not track fully-burdened R&amp;D expenses on a project-by-project basis. We manage our R&amp;D expenses by identifying the R&amp;D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provides a breakout of our R&amp;D expenses by major categories of expense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Clinical studies and outside services</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86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377,324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510,941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501,181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Personnel expenses</w:t>
            </w: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319,914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290,856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258,303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Milestone expense</w:t>
            </w: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w:t>
            </w: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85,498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79,703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84,674</w:t>
            </w:r>
          </w:p>
        </w:tc>
        <w:tc>
          <w:tcPr>
            <w:tcW w:w="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w:t>
            </w:r>
          </w:p>
        </w:tc>
        <w:tc>
          <w:tcPr>
            <w:tcW w:w="17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782,736</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884,000</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849,658</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vMerge w:val="restart"/>
          </w:tcPr>
          <w:p>
            <w:pPr>
              <w:jc w:val="right"/>
              <w:ind w:right="463"/>
              <w:spacing w:after="0"/>
              <w:rPr>
                <w:sz w:val="20"/>
                <w:szCs w:val="20"/>
                <w:color w:val="auto"/>
              </w:rPr>
            </w:pPr>
            <w:r>
              <w:rPr>
                <w:rFonts w:ascii="Times New Roman" w:cs="Times New Roman" w:eastAsia="Times New Roman" w:hAnsi="Times New Roman"/>
                <w:sz w:val="19"/>
                <w:szCs w:val="19"/>
                <w:color w:val="auto"/>
              </w:rPr>
              <w:t>93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vMerge w:val="restart"/>
          </w:tcPr>
          <w:p>
            <w:pPr>
              <w:jc w:val="right"/>
              <w:ind w:right="426"/>
              <w:spacing w:after="0"/>
              <w:rPr>
                <w:sz w:val="20"/>
                <w:szCs w:val="20"/>
                <w:color w:val="auto"/>
              </w:rPr>
            </w:pPr>
            <w:r>
              <w:rPr>
                <w:rFonts w:ascii="Arial" w:cs="Arial" w:eastAsia="Arial" w:hAnsi="Arial"/>
                <w:sz w:val="16"/>
                <w:szCs w:val="16"/>
                <w:color w:val="auto"/>
              </w:rPr>
              <w:t>2025 ANNUAL REPORT</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5C004B"/>
                <w:w w:val="89"/>
              </w:rPr>
              <w:t>93</w:t>
            </w:r>
          </w:p>
        </w:tc>
        <w:tc>
          <w:tcPr>
            <w:tcW w:w="0" w:type="dxa"/>
            <w:vAlign w:val="bottom"/>
          </w:tcPr>
          <w:p>
            <w:pPr>
              <w:spacing w:after="0"/>
              <w:rPr>
                <w:sz w:val="1"/>
                <w:szCs w:val="1"/>
                <w:color w:val="auto"/>
              </w:rPr>
            </w:pPr>
          </w:p>
        </w:tc>
      </w:tr>
      <w:tr>
        <w:trPr>
          <w:trHeight w:val="141"/>
        </w:trPr>
        <w:tc>
          <w:tcPr>
            <w:tcW w:w="2020" w:type="dxa"/>
            <w:vAlign w:val="bottom"/>
            <w:tcBorders>
              <w:right w:val="single" w:sz="8" w:color="5C004B"/>
            </w:tcBorders>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-269240</wp:posOffset>
            </wp:positionV>
            <wp:extent cx="1416050" cy="2546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597">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17" w:name="page218"/>
    <w:bookmarkEnd w:id="217"/>
    <w:p>
      <w:pPr>
        <w:ind w:left="60" w:right="40" w:firstLine="480"/>
        <w:spacing w:after="0" w:line="259" w:lineRule="auto"/>
        <w:rPr>
          <w:sz w:val="20"/>
          <w:szCs w:val="20"/>
          <w:color w:val="auto"/>
        </w:rPr>
      </w:pPr>
      <w:r>
        <w:rPr>
          <w:rFonts w:ascii="Times New Roman" w:cs="Times New Roman" w:eastAsia="Times New Roman" w:hAnsi="Times New Roman"/>
          <w:sz w:val="19"/>
          <w:szCs w:val="19"/>
          <w:color w:val="auto"/>
        </w:rPr>
        <w:t>R&amp;D expenses decreased by $101.3 million in 2025 compared to 2024. Clinical studies and outside services costs decreased in 2025 compared to 2024, primarily due to lower costs related to zanidatamab, as a result of timing of clinical trial activities, JZP385 (essential tremor) following discontinuation of this program and JZP258 (XYLO/DUET) due to the completion of this trial in the first half of 2025, partially offset by the addition of costs relating to Modeyso following the Chimerix Acquisition. Personnel expenses increased by $29.1 million in 2025 compared to 2024, primarily due to increased compensation related expenses following the Chimerix Acquisition and increased share-based compensation expense. Other R&amp;D expenses increased by $5.8 million in 2025 compared to 2024 primarily due to the inclusion of integration expenses related to the Chimerix Acquisition of $9.6 million. R&amp;D expenses increased by $34.3 million in 2024 compared to 2023. Clinical studies and outside services costs increased in 2024 compared to 2023, primarily due to the addition of costs related to clinical programs for zanidatamab, partially offset by a reduction in costs related to JZP150 (post-traumatic stress disorder) and JZP385. Personnel expenses increased by $32.6 million in 2024 compared to 2023, primarily due to increased compensation related expenses in support of our development programs. Milestone expenses of $5.5 million in 2023 primarily related to a milestone expense of $5.0 million under our collaboration and license agreement with Werewolf.</w:t>
      </w:r>
    </w:p>
    <w:p>
      <w:pPr>
        <w:spacing w:after="0" w:line="78" w:lineRule="exact"/>
        <w:rPr>
          <w:sz w:val="20"/>
          <w:szCs w:val="20"/>
          <w:color w:val="auto"/>
        </w:rPr>
      </w:pPr>
    </w:p>
    <w:p>
      <w:pPr>
        <w:jc w:val="both"/>
        <w:ind w:left="60" w:right="120" w:firstLine="480"/>
        <w:spacing w:after="0" w:line="277" w:lineRule="auto"/>
        <w:rPr>
          <w:sz w:val="20"/>
          <w:szCs w:val="20"/>
          <w:color w:val="auto"/>
        </w:rPr>
      </w:pPr>
      <w:r>
        <w:rPr>
          <w:rFonts w:ascii="Times New Roman" w:cs="Times New Roman" w:eastAsia="Times New Roman" w:hAnsi="Times New Roman"/>
          <w:sz w:val="19"/>
          <w:szCs w:val="19"/>
          <w:color w:val="auto"/>
        </w:rPr>
        <w:t>For 2026, we expect that our R&amp;D expenses will increase compared to 2025, primarily driven by an increase in clinical studies and outside service costs relating to zanidatamab, for both ongoing and new studies, dordaviprone, due to the inclusion of a full year’s expenses, and preclinical and early clinical programs.</w:t>
      </w:r>
    </w:p>
    <w:p>
      <w:pPr>
        <w:spacing w:after="0" w:line="62"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,QWDQJLEOH$VVHW$PRUWL]DWLRQ</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Intangible asset amortization increased by $27.3 million in 2025 compared to 2024, and increased by $19.0 million in</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2024 compared to 2023, primarily due to the impact of foreign exchange on our sterling-denominated intangible assets. </w:t>
      </w:r>
      <w:r>
        <w:rPr>
          <w:rFonts w:ascii="PMingLiU" w:cs="PMingLiU" w:eastAsia="PMingLiU" w:hAnsi="PMingLiU"/>
          <w:sz w:val="17"/>
          <w:szCs w:val="17"/>
          <w:i w:val="1"/>
          <w:iCs w:val="1"/>
          <w:color w:val="auto"/>
        </w:rPr>
        <w:t/>
      </w:r>
    </w:p>
    <w:p>
      <w:pPr>
        <w:spacing w:after="0" w:line="109"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$FTXLUHG,Q</w:t>
      </w: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3URFHVV5HVHDUFKDQG'HYHORSPHQW</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Acquired IPR&amp;D expense in 2025 represents the value allocated to Modeyso in the Chimerix Acquisition of</w:t>
      </w:r>
    </w:p>
    <w:p>
      <w:pPr>
        <w:spacing w:after="0" w:line="40" w:lineRule="exact"/>
        <w:rPr>
          <w:sz w:val="20"/>
          <w:szCs w:val="20"/>
          <w:color w:val="auto"/>
        </w:rPr>
      </w:pPr>
    </w:p>
    <w:p>
      <w:pPr>
        <w:ind w:left="60" w:right="180"/>
        <w:spacing w:after="0" w:line="261" w:lineRule="auto"/>
        <w:rPr>
          <w:sz w:val="20"/>
          <w:szCs w:val="20"/>
          <w:color w:val="auto"/>
        </w:rPr>
      </w:pPr>
      <w:r>
        <w:rPr>
          <w:rFonts w:ascii="Times New Roman" w:cs="Times New Roman" w:eastAsia="Times New Roman" w:hAnsi="Times New Roman"/>
          <w:sz w:val="19"/>
          <w:szCs w:val="19"/>
          <w:color w:val="auto"/>
        </w:rPr>
        <w:t>$905.4 million and the upfront payment made in connection with our global license agreement with Saniona of $42.5 million. Acquired IPR&amp;D expense in 2024 related to the upfront payment made in connection with our asset purchase agreement with Redx of $10.0 million. Acquired IPR&amp;D expense in 2023 primarily related to the upfront payment made in connection with our licensing and collaboration agreement with Autifony of $18.0 million.</w:t>
      </w:r>
    </w:p>
    <w:p>
      <w:pPr>
        <w:spacing w:after="0" w:line="76"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,QWHUHVW([SHQVH1HW</w:t>
      </w:r>
    </w:p>
    <w:p>
      <w:pPr>
        <w:spacing w:after="0" w:line="117" w:lineRule="exact"/>
        <w:rPr>
          <w:sz w:val="20"/>
          <w:szCs w:val="20"/>
          <w:color w:val="auto"/>
        </w:rPr>
      </w:pPr>
    </w:p>
    <w:p>
      <w:pPr>
        <w:ind w:left="60" w:right="20" w:firstLine="480"/>
        <w:spacing w:after="0" w:line="263" w:lineRule="auto"/>
        <w:rPr>
          <w:sz w:val="20"/>
          <w:szCs w:val="20"/>
          <w:color w:val="auto"/>
        </w:rPr>
      </w:pPr>
      <w:r>
        <w:rPr>
          <w:rFonts w:ascii="Times New Roman" w:cs="Times New Roman" w:eastAsia="Times New Roman" w:hAnsi="Times New Roman"/>
          <w:sz w:val="19"/>
          <w:szCs w:val="19"/>
          <w:color w:val="auto"/>
        </w:rPr>
        <w:t>Interest expense, net decreased by $43.0 million in 2025 compared to 2024, primarily due to lower interest expense on the Tranche B-2 Dollar Term Loans, partially offset by the inclusion of interest expense on our 2030 Notes for the full year in 2025 and lower interest income as a result of lower cash reserves due to the Chimerix Acquisition and reduced interest rates. Interest expense, net decreased by $51.3 million in 2024 compared to 2023, primarily due to higher interest income on investments driven by our increased deposits and higher interest rates and lower interest expense on the Tranche B-2 Dollar Term Loans following the 2024 repricings described under “Liquidity and Capital Resources—Credit Agreement” below, offset by the inclusion of interest expense on our 2030 Notes.</w:t>
      </w:r>
    </w:p>
    <w:p>
      <w:pPr>
        <w:spacing w:after="0" w:line="74"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,QFRPH7D[%HQHILW</w:t>
      </w:r>
    </w:p>
    <w:p>
      <w:pPr>
        <w:spacing w:after="0" w:line="117" w:lineRule="exact"/>
        <w:rPr>
          <w:sz w:val="20"/>
          <w:szCs w:val="20"/>
          <w:color w:val="auto"/>
        </w:rPr>
      </w:pPr>
    </w:p>
    <w:p>
      <w:pPr>
        <w:ind w:left="60" w:right="100" w:firstLine="479"/>
        <w:spacing w:after="0" w:line="380" w:lineRule="auto"/>
        <w:rPr>
          <w:sz w:val="20"/>
          <w:szCs w:val="20"/>
          <w:color w:val="auto"/>
        </w:rPr>
      </w:pPr>
      <w:r>
        <w:rPr>
          <w:rFonts w:ascii="Times New Roman" w:cs="Times New Roman" w:eastAsia="Times New Roman" w:hAnsi="Times New Roman"/>
          <w:sz w:val="15"/>
          <w:szCs w:val="15"/>
          <w:color w:val="auto"/>
        </w:rPr>
        <w:t xml:space="preserve">Our income tax benefit was $272.4 million, $91.4 million and $119.9 million in 2025, 2024 and 2023, respectively. Our income tax benefit in 2025 arose primarily due to the reversal of a valuation allowance against certain U.S. federal and state deferred tax assets acquired through the Chimerix Acquisition. Apart from the reversal of the valuation allowance, the income </w:t>
      </w:r>
      <w:r>
        <w:rPr>
          <w:rFonts w:ascii="PMingLiU" w:cs="PMingLiU" w:eastAsia="PMingLiU" w:hAnsi="PMingLiU"/>
          <w:sz w:val="15"/>
          <w:szCs w:val="15"/>
          <w:color w:val="auto"/>
        </w:rPr>
        <w:t>WD[EHQHILWUHODWHGWRWD[DULVLQJRQLQFRPHRUORVVHVLQ,UHODQGWKH8.WKH86DQGFHUWDLQRWKHUIRUHLJQMXULVGLFWLRQV</w:t>
      </w:r>
      <w:r>
        <w:rPr>
          <w:rFonts w:ascii="Times New Roman" w:cs="Times New Roman" w:eastAsia="Times New Roman" w:hAnsi="Times New Roman"/>
          <w:sz w:val="15"/>
          <w:szCs w:val="15"/>
          <w:color w:val="auto"/>
        </w:rPr>
        <w:t>, offset</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w:t>
      </w:r>
      <w:r>
        <w:rPr>
          <w:rFonts w:ascii="PMingLiU" w:cs="PMingLiU" w:eastAsia="PMingLiU" w:hAnsi="PMingLiU"/>
          <w:sz w:val="18"/>
          <w:szCs w:val="18"/>
          <w:color w:val="auto"/>
        </w:rPr>
        <w:t/>
      </w:r>
    </w:p>
    <w:p>
      <w:pPr>
        <w:ind w:left="60"/>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33" w:lineRule="exact"/>
        <w:rPr>
          <w:sz w:val="20"/>
          <w:szCs w:val="20"/>
          <w:color w:val="auto"/>
        </w:rPr>
      </w:pP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2025, we had cash, cash equivalents and investments of $2.4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principal amount of the 2026 Notes and $1.0 billion principal amount of the 2030 Notes. During 2025, 2024 and 2023, we generated cash flows from operations of $1.4 billion, $1.4 billion and $1.1 billion, respectively, and we expect to continue to generate positive cash flow from operations which we expect will enable us to operate our business and de-lever our balance sheet over time.</w:t>
      </w:r>
    </w:p>
    <w:p>
      <w:pPr>
        <w:spacing w:after="0" w:line="70" w:lineRule="exact"/>
        <w:rPr>
          <w:sz w:val="20"/>
          <w:szCs w:val="20"/>
          <w:color w:val="auto"/>
        </w:rPr>
      </w:pPr>
    </w:p>
    <w:p>
      <w:pPr>
        <w:ind w:left="60" w:right="280" w:firstLine="480"/>
        <w:spacing w:after="0" w:line="270" w:lineRule="auto"/>
        <w:rPr>
          <w:sz w:val="20"/>
          <w:szCs w:val="20"/>
          <w:color w:val="auto"/>
        </w:rPr>
      </w:pPr>
      <w:r>
        <w:rPr>
          <w:rFonts w:ascii="Times New Roman" w:cs="Times New Roman" w:eastAsia="Times New Roman" w:hAnsi="Times New Roman"/>
          <w:sz w:val="19"/>
          <w:szCs w:val="19"/>
          <w:color w:val="auto"/>
        </w:rPr>
        <w:t>Since the closing of the GW Acquisition in May 2021, we have fully repaid our Euro Term Loan. With respect to our Tranche B-2 Dollar Term Loans, we have made voluntary repayments of $1.1 billion, $300.0 million in September 2022 and $750.0 million in January 2025, along with mandatory repayments of $139.5 million. In August 2024, we repaid the $575.0 million aggregate principal amount of our 2024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55880</wp:posOffset>
            </wp:positionV>
            <wp:extent cx="259080" cy="2546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59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94</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59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18" w:name="page219"/>
    <w:bookmarkEnd w:id="218"/>
    <w:p>
      <w:pPr>
        <w:ind w:right="60" w:firstLine="480"/>
        <w:spacing w:after="0" w:line="269" w:lineRule="auto"/>
        <w:rPr>
          <w:sz w:val="20"/>
          <w:szCs w:val="20"/>
          <w:color w:val="auto"/>
        </w:rPr>
      </w:pPr>
      <w:r>
        <w:rPr>
          <w:rFonts w:ascii="Times New Roman" w:cs="Times New Roman" w:eastAsia="Times New Roman" w:hAnsi="Times New Roman"/>
          <w:sz w:val="18"/>
          <w:szCs w:val="18"/>
          <w:color w:val="auto"/>
        </w:rPr>
        <w:t xml:space="preserve">We have a significant amount of debt outstanding on a consolidated basis. For a more detailed description of our debt arrangements, including information relating to our scheduled maturities with respect to our long-term debt see Note 11, Debt, of the Notes to Consolidated Financial Statements, included in Part IV of this Annual Report on Form </w:t>
      </w:r>
      <w:r>
        <w:rPr>
          <w:rFonts w:ascii="PMingLiU" w:cs="PMingLiU" w:eastAsia="PMingLiU" w:hAnsi="PMingLiU"/>
          <w:sz w:val="18"/>
          <w:szCs w:val="18"/>
          <w:color w:val="auto"/>
        </w:rPr>
        <w:t> .</w:t>
      </w:r>
      <w:r>
        <w:rPr>
          <w:rFonts w:ascii="Times New Roman" w:cs="Times New Roman" w:eastAsia="Times New Roman" w:hAnsi="Times New Roman"/>
          <w:sz w:val="18"/>
          <w:szCs w:val="18"/>
          <w:color w:val="auto"/>
        </w:rPr>
        <w:t xml:space="preserve">. This substantial level of debt could have important consequences to our business, including, but not limited to the factors set forth in Part I, Item 1A “Risk Factors” of this Annual Report on Form </w:t>
      </w:r>
      <w:r>
        <w:rPr>
          <w:rFonts w:ascii="PMingLiU" w:cs="PMingLiU" w:eastAsia="PMingLiU" w:hAnsi="PMingLiU"/>
          <w:sz w:val="18"/>
          <w:szCs w:val="18"/>
          <w:color w:val="auto"/>
        </w:rPr>
        <w:t> .XQGHUWKHKHDGL</w:t>
      </w:r>
      <w:r>
        <w:rPr>
          <w:rFonts w:ascii="Times New Roman" w:cs="Times New Roman" w:eastAsia="Times New Roman" w:hAnsi="Times New Roman"/>
          <w:sz w:val="18"/>
          <w:szCs w:val="18"/>
          <w:color w:val="auto"/>
        </w:rPr>
        <w:t>ng “</w:t>
      </w:r>
      <w:r>
        <w:rPr>
          <w:rFonts w:ascii="PMingLiU" w:cs="PMingLiU" w:eastAsia="PMingLiU" w:hAnsi="PMingLiU"/>
          <w:sz w:val="18"/>
          <w:szCs w:val="18"/>
          <w:i w:val="1"/>
          <w:iCs w:val="1"/>
          <w:color w:val="auto"/>
        </w:rPr>
        <w:t>:HKDYHLQFXUUHGVXEVWDQWLDOGHEWZKLFKFRXOG</w:t>
      </w:r>
    </w:p>
    <w:p>
      <w:pPr>
        <w:spacing w:after="0" w:line="3" w:lineRule="exact"/>
        <w:rPr>
          <w:sz w:val="20"/>
          <w:szCs w:val="20"/>
          <w:color w:val="auto"/>
        </w:rPr>
      </w:pPr>
    </w:p>
    <w:p>
      <w:pPr>
        <w:ind w:right="400"/>
        <w:spacing w:after="0" w:line="395" w:lineRule="auto"/>
        <w:rPr>
          <w:sz w:val="20"/>
          <w:szCs w:val="20"/>
          <w:color w:val="auto"/>
        </w:rPr>
      </w:pPr>
      <w:r>
        <w:rPr>
          <w:rFonts w:ascii="PMingLiU" w:cs="PMingLiU" w:eastAsia="PMingLiU" w:hAnsi="PMingLiU"/>
          <w:sz w:val="14"/>
          <w:szCs w:val="14"/>
          <w:i w:val="1"/>
          <w:iCs w:val="1"/>
          <w:color w:val="auto"/>
        </w:rPr>
        <w:t>LPSDLURXUIOH[LELOLW\DQGDFFHVVWRFDSLWDODQGDGYHUVHO\DIIHFWRXUILQDQFLDOSRVLWLRQDQGRXUEXVLQHVVZRXOGEHDGYHUVHO\ DIIHFWHGLIZHDUHXQDEOHWRVHUYLFHRXUGHEWREOLJDWLRQV</w:t>
      </w:r>
      <w:r>
        <w:rPr>
          <w:rFonts w:ascii="Times New Roman" w:cs="Times New Roman" w:eastAsia="Times New Roman" w:hAnsi="Times New Roman"/>
          <w:sz w:val="14"/>
          <w:szCs w:val="14"/>
          <w:color w:val="auto"/>
        </w:rPr>
        <w:t>”</w:t>
      </w:r>
    </w:p>
    <w:p>
      <w:pPr>
        <w:ind w:right="60" w:firstLine="480"/>
        <w:spacing w:after="0" w:line="339" w:lineRule="auto"/>
        <w:rPr>
          <w:sz w:val="20"/>
          <w:szCs w:val="20"/>
          <w:color w:val="auto"/>
        </w:rPr>
      </w:pPr>
      <w:r>
        <w:rPr>
          <w:rFonts w:ascii="Times New Roman" w:cs="Times New Roman" w:eastAsia="Times New Roman" w:hAnsi="Times New Roman"/>
          <w:sz w:val="16"/>
          <w:szCs w:val="16"/>
          <w:color w:val="auto"/>
        </w:rPr>
        <w:t xml:space="preserve">We believe that our existing cash, cash equivalents and investments balances, cash we expect to generate from operations and funds available under our Amended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w:t>
      </w:r>
      <w:r>
        <w:rPr>
          <w:rFonts w:ascii="PMingLiU" w:cs="PMingLiU" w:eastAsia="PMingLiU" w:hAnsi="PMingLiU"/>
          <w:sz w:val="16"/>
          <w:szCs w:val="16"/>
          <w:color w:val="auto"/>
        </w:rPr>
        <w:t> .XQGHUWKHKHDGLQJV³5LVNV5HODWHGWRRXU/HDG3URGXFWVDQG3URGXFW</w:t>
      </w:r>
      <w:r>
        <w:rPr>
          <w:rFonts w:ascii="Times New Roman" w:cs="Times New Roman" w:eastAsia="Times New Roman" w:hAnsi="Times New Roman"/>
          <w:sz w:val="16"/>
          <w:szCs w:val="16"/>
          <w:color w:val="auto"/>
        </w:rPr>
        <w:t xml:space="preserve"> Candidates” and </w:t>
      </w:r>
      <w:r>
        <w:rPr>
          <w:rFonts w:ascii="PMingLiU" w:cs="PMingLiU" w:eastAsia="PMingLiU" w:hAnsi="PMingLiU"/>
          <w:sz w:val="16"/>
          <w:szCs w:val="16"/>
          <w:i w:val="1"/>
          <w:iCs w:val="1"/>
          <w:color w:val="auto"/>
        </w:rPr>
        <w:t>³7RFRQWLQXHWRJURZRXUEXVLQHVVZHZLOOQHHGWRFRPPLWVXEVWDQWLDOUHVRXUFHVZKLFKFRXOGUHVXOWLQIXWXUH</w:t>
      </w:r>
      <w:r>
        <w:rPr>
          <w:rFonts w:ascii="Times New Roman" w:cs="Times New Roman" w:eastAsia="Times New Roman" w:hAnsi="Times New Roman"/>
          <w:sz w:val="16"/>
          <w:szCs w:val="16"/>
          <w:color w:val="auto"/>
        </w:rPr>
        <w:t xml:space="preserve"> </w:t>
      </w:r>
      <w:r>
        <w:rPr>
          <w:rFonts w:ascii="PMingLiU" w:cs="PMingLiU" w:eastAsia="PMingLiU" w:hAnsi="PMingLiU"/>
          <w:sz w:val="16"/>
          <w:szCs w:val="16"/>
          <w:i w:val="1"/>
          <w:iCs w:val="1"/>
          <w:color w:val="auto"/>
        </w:rPr>
        <w:t xml:space="preserve">ORVVHVRURWKHUZLVHOLPLWRXURSSRUWXQLWLHVRUDIIHFWRXUDELOLW\WRRSHUDWHDQGJURZRXUEXVLQHVV´ </w:t>
      </w:r>
      <w:r>
        <w:rPr>
          <w:rFonts w:ascii="Times New Roman" w:cs="Times New Roman" w:eastAsia="Times New Roman" w:hAnsi="Times New Roman"/>
          <w:sz w:val="16"/>
          <w:szCs w:val="16"/>
          <w:color w:val="auto"/>
        </w:rPr>
        <w:t>Our assumptions may prove</w:t>
      </w:r>
      <w:r>
        <w:rPr>
          <w:rFonts w:ascii="PMingLiU" w:cs="PMingLiU" w:eastAsia="PMingLiU" w:hAnsi="PMingLiU"/>
          <w:sz w:val="16"/>
          <w:szCs w:val="16"/>
          <w:i w:val="1"/>
          <w:iCs w:val="1"/>
          <w:color w:val="auto"/>
        </w:rPr>
        <w:t xml:space="preserve"> </w:t>
      </w:r>
      <w:r>
        <w:rPr>
          <w:rFonts w:ascii="Times New Roman" w:cs="Times New Roman" w:eastAsia="Times New Roman" w:hAnsi="Times New Roman"/>
          <w:sz w:val="16"/>
          <w:szCs w:val="16"/>
          <w:color w:val="auto"/>
        </w:rPr>
        <w:t>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19"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9"/>
          <w:szCs w:val="19"/>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our current share issuance authority is due to expire in July 2026.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 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share issuance and pre-emption authorities from our shareholders in the future, or otherwise continue to be limited by the terms of new share issuance and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802640</wp:posOffset>
            </wp:positionV>
            <wp:extent cx="259080" cy="2546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60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95</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95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60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19" w:name="page220"/>
    <w:bookmarkEnd w:id="219"/>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In 2025, we spent a total of $125.0 million to repurchase 1.1 million of our ordinary shares, all under the New Repurchase Program, at a purchase price, including commissions, of $109.52 per share. In 2024, we spent a total of $311.4 million to purchase 2.8 million of our ordinary shares under the repurchase programs at an average total purchase price, including commissions, of $110.06 per share. The repurchases in 2024 included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The repurchases made under the New Share Repurchase Program in 2024 were effected in privately negotiated transactions with or through one of the initial purchasers of the 2030 Notes concurrently with the pricing of the offering of the 2030 Notes. All ordinary shares repurchased were canceled. As of December 31, 2025, the remaining amount authorized for repurchases under the New Repurchase Program was $225.0 million, exclusive of any brokerage commissions.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shows a summary of our cash flows for the periods indicated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8"/>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1"/>
        </w:trPr>
        <w:tc>
          <w:tcPr>
            <w:tcW w:w="5360" w:type="dxa"/>
            <w:vAlign w:val="bottom"/>
            <w:gridSpan w:val="2"/>
            <w:vMerge w:val="continue"/>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1,355,773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1,395,908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1,092,007</w:t>
            </w:r>
          </w:p>
        </w:tc>
        <w:tc>
          <w:tcPr>
            <w:tcW w:w="0" w:type="dxa"/>
            <w:vAlign w:val="bottom"/>
          </w:tcPr>
          <w:p>
            <w:pPr>
              <w:spacing w:after="0"/>
              <w:rPr>
                <w:sz w:val="1"/>
                <w:szCs w:val="1"/>
                <w:color w:val="auto"/>
              </w:rPr>
            </w:pPr>
          </w:p>
        </w:tc>
      </w:tr>
      <w:tr>
        <w:trPr>
          <w:trHeight w:val="256"/>
        </w:trPr>
        <w:tc>
          <w:tcPr>
            <w:tcW w:w="5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(1,509,913)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(508,195)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(163,062)</w:t>
            </w:r>
          </w:p>
        </w:tc>
        <w:tc>
          <w:tcPr>
            <w:tcW w:w="0" w:type="dxa"/>
            <w:vAlign w:val="bottom"/>
          </w:tcPr>
          <w:p>
            <w:pPr>
              <w:spacing w:after="0"/>
              <w:rPr>
                <w:sz w:val="1"/>
                <w:szCs w:val="1"/>
                <w:color w:val="auto"/>
              </w:rPr>
            </w:pPr>
          </w:p>
        </w:tc>
      </w:tr>
      <w:tr>
        <w:trPr>
          <w:trHeight w:val="254"/>
        </w:trPr>
        <w:tc>
          <w:tcPr>
            <w:tcW w:w="5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(873,380)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(305,254)</w:t>
            </w:r>
          </w:p>
        </w:tc>
        <w:tc>
          <w:tcPr>
            <w:tcW w:w="0" w:type="dxa"/>
            <w:vAlign w:val="bottom"/>
          </w:tcPr>
          <w:p>
            <w:pPr>
              <w:spacing w:after="0"/>
              <w:rPr>
                <w:sz w:val="1"/>
                <w:szCs w:val="1"/>
                <w:color w:val="auto"/>
              </w:rPr>
            </w:pPr>
          </w:p>
        </w:tc>
      </w:tr>
      <w:tr>
        <w:trPr>
          <w:trHeight w:val="259"/>
        </w:trPr>
        <w:tc>
          <w:tcPr>
            <w:tcW w:w="5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Effect of exchange rates on cash and cash equivalents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1,137</w:t>
            </w:r>
          </w:p>
        </w:tc>
        <w:tc>
          <w:tcPr>
            <w:tcW w:w="0" w:type="dxa"/>
            <w:vAlign w:val="bottom"/>
          </w:tcPr>
          <w:p>
            <w:pPr>
              <w:spacing w:after="0"/>
              <w:rPr>
                <w:sz w:val="1"/>
                <w:szCs w:val="1"/>
                <w:color w:val="auto"/>
              </w:rPr>
            </w:pPr>
          </w:p>
        </w:tc>
      </w:tr>
      <w:tr>
        <w:trPr>
          <w:trHeight w:val="237"/>
        </w:trPr>
        <w:tc>
          <w:tcPr>
            <w:tcW w:w="5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increase (decrease) in cash and cash equivalents</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(1,020,965)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906,554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624,828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Operating DFWLYLWLHV</w:t>
      </w:r>
    </w:p>
    <w:p>
      <w:pPr>
        <w:spacing w:after="0" w:line="127" w:lineRule="exact"/>
        <w:rPr>
          <w:sz w:val="20"/>
          <w:szCs w:val="20"/>
          <w:color w:val="auto"/>
        </w:rPr>
      </w:pPr>
    </w:p>
    <w:p>
      <w:pPr>
        <w:ind w:left="60" w:right="240" w:firstLine="480"/>
        <w:spacing w:after="0" w:line="277" w:lineRule="auto"/>
        <w:rPr>
          <w:sz w:val="20"/>
          <w:szCs w:val="20"/>
          <w:color w:val="auto"/>
        </w:rPr>
      </w:pPr>
      <w:r>
        <w:rPr>
          <w:rFonts w:ascii="Times New Roman" w:cs="Times New Roman" w:eastAsia="Times New Roman" w:hAnsi="Times New Roman"/>
          <w:sz w:val="19"/>
          <w:szCs w:val="19"/>
          <w:color w:val="auto"/>
        </w:rPr>
        <w:t>Net cash provided by operating activities decreased by $40.1 million in 2025 compared to 2024, primarily due to the payment of $323.5 million in litigation settlement expenses in 2025, partially offset by cash received from increased sales of our products and the timing of payment of accrued expenses.</w:t>
      </w:r>
    </w:p>
    <w:p>
      <w:pPr>
        <w:spacing w:after="0" w:line="58" w:lineRule="exact"/>
        <w:rPr>
          <w:sz w:val="20"/>
          <w:szCs w:val="20"/>
          <w:color w:val="auto"/>
        </w:rPr>
      </w:pPr>
    </w:p>
    <w:p>
      <w:pPr>
        <w:ind w:left="60" w:right="60" w:firstLine="480"/>
        <w:spacing w:after="0" w:line="299" w:lineRule="auto"/>
        <w:rPr>
          <w:sz w:val="20"/>
          <w:szCs w:val="20"/>
          <w:color w:val="auto"/>
        </w:rPr>
      </w:pPr>
      <w:r>
        <w:rPr>
          <w:rFonts w:ascii="Times New Roman" w:cs="Times New Roman" w:eastAsia="Times New Roman" w:hAnsi="Times New Roman"/>
          <w:sz w:val="19"/>
          <w:szCs w:val="19"/>
          <w:color w:val="auto"/>
        </w:rPr>
        <w:t>Net cash provided by operating activities increased by $303.9 million in 2024 compared to 2023, primarily due to cash received from increased sales of our products, decreased prepaid income taxes and the timing of payment of accrued expenses.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,QYHVWLQJ DFWLYLWLHV</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Net cash used in investing activities increased by $1.0 billion in 2025 compared to 2024, primarily due to the following:</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$858.1 million outflow related to the net cash paid for the Chimerix Acquisition;</w:t>
      </w:r>
    </w:p>
    <w:p>
      <w:pPr>
        <w:spacing w:after="0" w:line="118" w:lineRule="exact"/>
        <w:rPr>
          <w:sz w:val="20"/>
          <w:szCs w:val="20"/>
          <w:color w:val="auto"/>
        </w:rPr>
      </w:pPr>
    </w:p>
    <w:p>
      <w:pPr>
        <w:ind w:left="760" w:right="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$108.5 million increase in acquisition of intangible assets primarily related to milestone payments triggered upon FDA approval of Zepzelca in first-line ES-SCLC, Modeyso and Ziihera in BTC; and</w:t>
      </w:r>
    </w:p>
    <w:p>
      <w:pPr>
        <w:spacing w:after="0" w:line="46" w:lineRule="exact"/>
        <w:rPr>
          <w:sz w:val="20"/>
          <w:szCs w:val="20"/>
          <w:color w:val="auto"/>
        </w:rPr>
      </w:pPr>
    </w:p>
    <w:p>
      <w:pPr>
        <w:ind w:left="760" w:right="3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$32.5 million increase in upfront payments for acquired IPR&amp;D driven by the $42.5 million payment to Saniona in 2025, offset by the $10.0 million payment to Redx in 2024.</w:t>
      </w:r>
    </w:p>
    <w:p>
      <w:pPr>
        <w:spacing w:after="0" w:line="47" w:lineRule="exact"/>
        <w:rPr>
          <w:sz w:val="20"/>
          <w:szCs w:val="20"/>
          <w:color w:val="auto"/>
        </w:rPr>
      </w:pPr>
    </w:p>
    <w:p>
      <w:pPr>
        <w:ind w:left="60" w:right="700" w:firstLine="480"/>
        <w:spacing w:after="0" w:line="299" w:lineRule="auto"/>
        <w:rPr>
          <w:sz w:val="20"/>
          <w:szCs w:val="20"/>
          <w:color w:val="auto"/>
        </w:rPr>
      </w:pPr>
      <w:r>
        <w:rPr>
          <w:rFonts w:ascii="Times New Roman" w:cs="Times New Roman" w:eastAsia="Times New Roman" w:hAnsi="Times New Roman"/>
          <w:sz w:val="19"/>
          <w:szCs w:val="19"/>
          <w:color w:val="auto"/>
        </w:rPr>
        <w:t>Net cash used in investing activities increased by $345.1 million in 2024 compared to 2023, primarily due to the following:</w:t>
      </w:r>
    </w:p>
    <w:p>
      <w:pPr>
        <w:spacing w:after="0" w:line="37" w:lineRule="exact"/>
        <w:rPr>
          <w:sz w:val="20"/>
          <w:szCs w:val="20"/>
          <w:color w:val="auto"/>
        </w:rPr>
      </w:pPr>
    </w:p>
    <w:p>
      <w:pPr>
        <w:ind w:left="420" w:right="2300"/>
        <w:spacing w:after="0" w:line="372"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$340.0 million net increase in the acquisition of investments, driven by time deposits; and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$14.1 million increase in purchases of property, plant and equipment; offset by</w:t>
      </w:r>
    </w:p>
    <w:p>
      <w:pPr>
        <w:spacing w:after="0" w:line="1" w:lineRule="exact"/>
        <w:rPr>
          <w:sz w:val="20"/>
          <w:szCs w:val="20"/>
          <w:color w:val="auto"/>
        </w:rPr>
      </w:pPr>
    </w:p>
    <w:p>
      <w:pPr>
        <w:ind w:left="760" w:right="360" w:hanging="348"/>
        <w:spacing w:after="0" w:line="286"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$9.0 million decrease in upfront payments for acquired IPR&amp;D driven by the $18.0 million payment to Autifony in 2023, partially offset by the $10.0 million payment to Redx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698500</wp:posOffset>
            </wp:positionV>
            <wp:extent cx="259080" cy="2546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60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96</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60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60"/>
          </w:cols>
          <w:pgMar w:left="900" w:top="839" w:right="1019" w:bottom="0" w:gutter="0" w:footer="0" w:header="0"/>
        </w:sectPr>
      </w:pPr>
    </w:p>
    <w:bookmarkStart w:id="220" w:name="page221"/>
    <w:bookmarkEnd w:id="220"/>
    <w:p>
      <w:pPr>
        <w:spacing w:after="0"/>
        <w:rPr>
          <w:sz w:val="20"/>
          <w:szCs w:val="20"/>
          <w:color w:val="auto"/>
        </w:rPr>
      </w:pPr>
      <w:r>
        <w:rPr>
          <w:rFonts w:ascii="PMingLiU" w:cs="PMingLiU" w:eastAsia="PMingLiU" w:hAnsi="PMingLiU"/>
          <w:sz w:val="19"/>
          <w:szCs w:val="19"/>
          <w:i w:val="1"/>
          <w:iCs w:val="1"/>
          <w:color w:val="auto"/>
        </w:rPr>
        <w:t>)LQDQFLQJDFWLYLWLHV</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Net cash provided by (used in) financing activities decreased by $893.9 million in 2025 compared to 2024, primarily due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$750.0 million voluntary repayment on the Tranche B-2 Dollar Term Loan in January 2025;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Net proceeds from the issuance of the 2030 Notes of $980.8 million in 2024; partially offset by</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The repayment of the 2024 Notes of $575.0 million in 2024;</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 decrease of $186.4 million in share repurchases;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 increase of $87.2 million in proceeds from employee equity incentive and purchase plans.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Net cash provided by (used in) financing activities increased by $325.8 million in 2024 compared to 2023, primarily due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w:t>
      </w:r>
    </w:p>
    <w:p>
      <w:pPr>
        <w:spacing w:after="0" w:line="105"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Net proceeds from the issuance of the 2030 Notes of $980.8 million in 2024; partially offset by</w:t>
      </w:r>
    </w:p>
    <w:p>
      <w:pPr>
        <w:spacing w:after="0" w:line="118"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The repayment of the 2024 Notes of $575.0 million in 2024;</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 increase of $41.7 million in share repurchases; and</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 decrease of $25.8 million in proceeds from employee equity incentive and purchase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133" w:lineRule="exact"/>
        <w:rPr>
          <w:sz w:val="20"/>
          <w:szCs w:val="20"/>
          <w:color w:val="auto"/>
        </w:rPr>
      </w:pPr>
    </w:p>
    <w:p>
      <w:pPr>
        <w:ind w:right="140" w:firstLine="480"/>
        <w:spacing w:after="0" w:line="268" w:lineRule="auto"/>
        <w:rPr>
          <w:sz w:val="20"/>
          <w:szCs w:val="20"/>
          <w:color w:val="auto"/>
        </w:rPr>
      </w:pPr>
      <w:r>
        <w:rPr>
          <w:rFonts w:ascii="Times New Roman" w:cs="Times New Roman" w:eastAsia="Times New Roman" w:hAnsi="Times New Roman"/>
          <w:sz w:val="19"/>
          <w:szCs w:val="19"/>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305" w:lineRule="exact"/>
        <w:rPr>
          <w:sz w:val="20"/>
          <w:szCs w:val="20"/>
          <w:color w:val="auto"/>
        </w:rPr>
      </w:pPr>
    </w:p>
    <w:p>
      <w:pPr>
        <w:ind w:right="120" w:firstLine="480"/>
        <w:spacing w:after="0" w:line="270" w:lineRule="auto"/>
        <w:rPr>
          <w:sz w:val="20"/>
          <w:szCs w:val="20"/>
          <w:color w:val="auto"/>
        </w:rPr>
      </w:pPr>
      <w:r>
        <w:rPr>
          <w:rFonts w:ascii="Times New Roman" w:cs="Times New Roman" w:eastAsia="Times New Roman" w:hAnsi="Times New Roman"/>
          <w:sz w:val="19"/>
          <w:szCs w:val="19"/>
          <w:color w:val="auto"/>
        </w:rPr>
        <w:t>In January 2024, Jazz Lux entered into the Repricing Amendment No.1, to the Credit Agreement. Upon entry into the Repricing Amendment No.1, certain existing lenders converted a portion of the outstanding Dollar Term Loan into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65" w:lineRule="exact"/>
        <w:rPr>
          <w:sz w:val="20"/>
          <w:szCs w:val="20"/>
          <w:color w:val="auto"/>
        </w:rPr>
      </w:pPr>
    </w:p>
    <w:p>
      <w:pPr>
        <w:ind w:right="140" w:firstLine="480"/>
        <w:spacing w:after="0" w:line="265" w:lineRule="auto"/>
        <w:rPr>
          <w:sz w:val="20"/>
          <w:szCs w:val="20"/>
          <w:color w:val="auto"/>
        </w:rPr>
      </w:pPr>
      <w:r>
        <w:rPr>
          <w:rFonts w:ascii="Times New Roman" w:cs="Times New Roman" w:eastAsia="Times New Roman" w:hAnsi="Times New Roman"/>
          <w:sz w:val="19"/>
          <w:szCs w:val="19"/>
          <w:color w:val="auto"/>
        </w:rPr>
        <w:t>In July 2024, Jazz Lux entered into the Repricing Amendment No. 2, to the Credit Agreement, as amended by the Repricing Amendment No. 1. Upon entry into the Repricing Amendment No. 2, certain existing lenders converted a portion of the outstanding Tranche B-1 Dollar Term Loans into the Tranche B-2 Dollar Term Loans, and Jazz Lux borrowed</w:t>
      </w:r>
    </w:p>
    <w:p>
      <w:pPr>
        <w:ind w:right="280"/>
        <w:spacing w:after="0" w:line="271" w:lineRule="auto"/>
        <w:rPr>
          <w:sz w:val="20"/>
          <w:szCs w:val="20"/>
          <w:color w:val="auto"/>
        </w:rPr>
      </w:pPr>
      <w:r>
        <w:rPr>
          <w:rFonts w:ascii="Times New Roman" w:cs="Times New Roman" w:eastAsia="Times New Roman" w:hAnsi="Times New Roman"/>
          <w:sz w:val="19"/>
          <w:szCs w:val="19"/>
          <w:color w:val="auto"/>
        </w:rPr>
        <w:t>$289.6 million aggregate principal amount of additional Tranche B-2 Dollar Term Loans, the proceeds of which were used to repay the portion of the outstanding Tranche B-1 Dollar Term Loans that were not converted.</w:t>
      </w:r>
    </w:p>
    <w:p>
      <w:pPr>
        <w:spacing w:after="0" w:line="63"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9"/>
          <w:szCs w:val="19"/>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0"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2025, the interest rate and effective interest rate on the Tranche B-2 Dollar Term Loans were 5.97% and 8.32%, respectively.</w:t>
      </w:r>
    </w:p>
    <w:p>
      <w:pPr>
        <w:spacing w:after="0" w:line="71" w:lineRule="exact"/>
        <w:rPr>
          <w:sz w:val="20"/>
          <w:szCs w:val="20"/>
          <w:color w:val="auto"/>
        </w:rPr>
      </w:pPr>
    </w:p>
    <w:p>
      <w:pPr>
        <w:ind w:right="360" w:firstLine="480"/>
        <w:spacing w:after="0" w:line="270" w:lineRule="auto"/>
        <w:rPr>
          <w:sz w:val="20"/>
          <w:szCs w:val="20"/>
          <w:color w:val="auto"/>
        </w:rPr>
      </w:pPr>
      <w:r>
        <w:rPr>
          <w:rFonts w:ascii="Times New Roman" w:cs="Times New Roman" w:eastAsia="Times New Roman" w:hAnsi="Times New Roman"/>
          <w:sz w:val="19"/>
          <w:szCs w:val="19"/>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from May 5, 2026 to the Amended Revolving Facility Maturity Date, provided that:</w:t>
      </w:r>
    </w:p>
    <w:p>
      <w:pPr>
        <w:spacing w:after="0" w:line="64" w:lineRule="exact"/>
        <w:rPr>
          <w:sz w:val="20"/>
          <w:szCs w:val="20"/>
          <w:color w:val="auto"/>
        </w:rPr>
      </w:pPr>
    </w:p>
    <w:p>
      <w:pPr>
        <w:ind w:left="780" w:right="140" w:hanging="348"/>
        <w:spacing w:after="0" w:line="270"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if, as of any date from March 16, 2026 to the 2026 Notes Springing Maturity Date, (x) any 2026 Maturity Indebtedness remains outstanding and (y) the aggregate amount of unrestricted cash of Jazz Pharmaceuticals plc and its subsidiaries is less than an amount equal to 125% of the aggregate principal amount of 2026 Maturity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129540</wp:posOffset>
            </wp:positionV>
            <wp:extent cx="259080" cy="2546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60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2"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97</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97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60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43" w:right="919" w:bottom="0" w:gutter="0" w:footer="0" w:header="0"/>
        </w:sectPr>
      </w:pPr>
    </w:p>
    <w:bookmarkStart w:id="221" w:name="page222"/>
    <w:bookmarkEnd w:id="221"/>
    <w:p>
      <w:pPr>
        <w:ind w:left="840" w:right="240"/>
        <w:spacing w:after="0" w:line="299" w:lineRule="auto"/>
        <w:rPr>
          <w:sz w:val="20"/>
          <w:szCs w:val="20"/>
          <w:color w:val="auto"/>
        </w:rPr>
      </w:pPr>
      <w:r>
        <w:rPr>
          <w:rFonts w:ascii="Times New Roman" w:cs="Times New Roman" w:eastAsia="Times New Roman" w:hAnsi="Times New Roman"/>
          <w:sz w:val="19"/>
          <w:szCs w:val="19"/>
          <w:color w:val="auto"/>
        </w:rPr>
        <w:t>outstanding, then the maturity date for the Amended Revolving Credit Facility will be shortened to the 2026 Notes Springing Maturity Date;</w:t>
      </w:r>
    </w:p>
    <w:p>
      <w:pPr>
        <w:spacing w:after="0" w:line="37" w:lineRule="exact"/>
        <w:rPr>
          <w:sz w:val="20"/>
          <w:szCs w:val="20"/>
          <w:color w:val="auto"/>
        </w:rPr>
      </w:pPr>
    </w:p>
    <w:p>
      <w:pPr>
        <w:ind w:left="840" w:right="10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if, as of February 4, 2028, (x) more than $500,000,000 of the Term Loan Indebtedness remains outstanding and (y) the maturity date of such Term Loan Indebtedness is not later than the date that is 91 days after the Amended Revolving Facility Maturity Date, then the maturity date for the Amended Revolving Credit Facility will be shortened to February 4, 2028; and</w:t>
      </w:r>
    </w:p>
    <w:p>
      <w:pPr>
        <w:spacing w:after="0" w:line="69" w:lineRule="exact"/>
        <w:rPr>
          <w:sz w:val="20"/>
          <w:szCs w:val="20"/>
          <w:color w:val="auto"/>
        </w:rPr>
      </w:pPr>
    </w:p>
    <w:p>
      <w:pPr>
        <w:ind w:left="840" w:right="60" w:hanging="348"/>
        <w:spacing w:after="0" w:line="265"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if, as of the Senior Notes Springing Maturity Date, (x) more than $500,000,000 of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69" w:lineRule="exact"/>
        <w:rPr>
          <w:sz w:val="20"/>
          <w:szCs w:val="20"/>
          <w:color w:val="auto"/>
        </w:rPr>
      </w:pPr>
    </w:p>
    <w:p>
      <w:pPr>
        <w:ind w:left="60" w:right="20" w:firstLine="480"/>
        <w:spacing w:after="0" w:line="265" w:lineRule="auto"/>
        <w:rPr>
          <w:sz w:val="20"/>
          <w:szCs w:val="20"/>
          <w:color w:val="auto"/>
        </w:rPr>
      </w:pPr>
      <w:r>
        <w:rPr>
          <w:rFonts w:ascii="Times New Roman" w:cs="Times New Roman" w:eastAsia="Times New Roman" w:hAnsi="Times New Roman"/>
          <w:sz w:val="19"/>
          <w:szCs w:val="19"/>
          <w:color w:val="auto"/>
        </w:rPr>
        <w:t>Initially, the applicable margin for the loans under the Amended Revolving Credit Facility will be 2.00% (in the case of Term SOFR borrowings) and 1.00% (in the case of borrowings at the prime lending rate). Thereafter, the applicable margin for the Amended Revolving Credit Facility ranges from 1.75% to 2.75% (in the case of Term SOFR borrowings) and 0.75% to</w:t>
      </w:r>
    </w:p>
    <w:p>
      <w:pPr>
        <w:ind w:left="60"/>
        <w:spacing w:after="0" w:line="259" w:lineRule="auto"/>
        <w:rPr>
          <w:sz w:val="20"/>
          <w:szCs w:val="20"/>
          <w:color w:val="auto"/>
        </w:rPr>
      </w:pPr>
      <w:r>
        <w:rPr>
          <w:rFonts w:ascii="Times New Roman" w:cs="Times New Roman" w:eastAsia="Times New Roman" w:hAnsi="Times New Roman"/>
          <w:sz w:val="19"/>
          <w:szCs w:val="19"/>
          <w:color w:val="auto"/>
        </w:rPr>
        <w:t>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2025, we had an undrawn Amended Revolving Credit Facility totaling $885.0 million.</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2029 Senior Secured Notes</w:t>
      </w:r>
    </w:p>
    <w:p>
      <w:pPr>
        <w:spacing w:after="0" w:line="133" w:lineRule="exact"/>
        <w:rPr>
          <w:sz w:val="20"/>
          <w:szCs w:val="20"/>
          <w:color w:val="auto"/>
        </w:rPr>
      </w:pPr>
    </w:p>
    <w:p>
      <w:pPr>
        <w:jc w:val="both"/>
        <w:ind w:left="60" w:right="240" w:firstLine="480"/>
        <w:spacing w:after="0" w:line="277" w:lineRule="auto"/>
        <w:rPr>
          <w:sz w:val="20"/>
          <w:szCs w:val="20"/>
          <w:color w:val="auto"/>
        </w:rPr>
      </w:pPr>
      <w:r>
        <w:rPr>
          <w:rFonts w:ascii="Times New Roman" w:cs="Times New Roman" w:eastAsia="Times New Roman" w:hAnsi="Times New Roman"/>
          <w:sz w:val="19"/>
          <w:szCs w:val="19"/>
          <w:color w:val="auto"/>
        </w:rPr>
        <w:t>On April 29, 2021, Jazz Securities, our wholly owned subsidiary, closed the offering of the Secured Notes in a private placement. We used the proceeds from the Secured Notes to fund, in part, the cash consideration payable in connection with the GW Acquisition.</w:t>
      </w:r>
    </w:p>
    <w:p>
      <w:pPr>
        <w:spacing w:after="0" w:line="58" w:lineRule="exact"/>
        <w:rPr>
          <w:sz w:val="20"/>
          <w:szCs w:val="20"/>
          <w:color w:val="auto"/>
        </w:rPr>
      </w:pPr>
    </w:p>
    <w:p>
      <w:pPr>
        <w:ind w:left="60" w:right="220" w:firstLine="480"/>
        <w:spacing w:after="0" w:line="299" w:lineRule="auto"/>
        <w:rPr>
          <w:sz w:val="20"/>
          <w:szCs w:val="20"/>
          <w:color w:val="auto"/>
        </w:rPr>
      </w:pPr>
      <w:r>
        <w:rPr>
          <w:rFonts w:ascii="Times New Roman" w:cs="Times New Roman" w:eastAsia="Times New Roman" w:hAnsi="Times New Roman"/>
          <w:sz w:val="19"/>
          <w:szCs w:val="19"/>
          <w:color w:val="auto"/>
        </w:rPr>
        <w:t>Interest on the Secured Notes is payable semi-annually in arrears on January 15 and July 15 of each year, beginning on January 15, 2022, at a rate of 4.375% per year. The Secured Notes mature on January 15, 2029.</w:t>
      </w:r>
    </w:p>
    <w:p>
      <w:pPr>
        <w:spacing w:after="0" w:line="38" w:lineRule="exact"/>
        <w:rPr>
          <w:sz w:val="20"/>
          <w:szCs w:val="20"/>
          <w:color w:val="auto"/>
        </w:rPr>
      </w:pPr>
    </w:p>
    <w:p>
      <w:pPr>
        <w:ind w:left="60" w:right="80" w:firstLine="480"/>
        <w:spacing w:after="0" w:line="270" w:lineRule="auto"/>
        <w:rPr>
          <w:sz w:val="20"/>
          <w:szCs w:val="20"/>
          <w:color w:val="auto"/>
        </w:rPr>
      </w:pPr>
      <w:r>
        <w:rPr>
          <w:rFonts w:ascii="Times New Roman" w:cs="Times New Roman" w:eastAsia="Times New Roman" w:hAnsi="Times New Roman"/>
          <w:sz w:val="19"/>
          <w:szCs w:val="19"/>
          <w:color w:val="auto"/>
        </w:rPr>
        <w:t>The Secured Notes are jointly and severally guaranteed by us and each of our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65" w:lineRule="exact"/>
        <w:rPr>
          <w:sz w:val="20"/>
          <w:szCs w:val="20"/>
          <w:color w:val="auto"/>
        </w:rPr>
      </w:pPr>
    </w:p>
    <w:p>
      <w:pPr>
        <w:ind w:left="60" w:right="60" w:firstLine="480"/>
        <w:spacing w:after="0" w:line="266" w:lineRule="auto"/>
        <w:rPr>
          <w:sz w:val="20"/>
          <w:szCs w:val="20"/>
          <w:color w:val="auto"/>
        </w:rPr>
      </w:pPr>
      <w:r>
        <w:rPr>
          <w:rFonts w:ascii="Times New Roman" w:cs="Times New Roman" w:eastAsia="Times New Roman" w:hAnsi="Times New Roman"/>
          <w:sz w:val="19"/>
          <w:szCs w:val="19"/>
          <w:color w:val="auto"/>
        </w:rPr>
        <w:t>Some or all of the Secured Notes may be redeemed at any time and from time to time at a specified redemption prices, plus accrued and unpaid interest, if any, to, but excluding, the redemption date. In addition, Jazz Securities may redeem all 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70" w:lineRule="exact"/>
        <w:rPr>
          <w:sz w:val="20"/>
          <w:szCs w:val="20"/>
          <w:color w:val="auto"/>
        </w:rPr>
      </w:pPr>
    </w:p>
    <w:p>
      <w:pPr>
        <w:ind w:left="60" w:right="120" w:firstLine="480"/>
        <w:spacing w:after="0" w:line="277" w:lineRule="auto"/>
        <w:rPr>
          <w:sz w:val="20"/>
          <w:szCs w:val="20"/>
          <w:color w:val="auto"/>
        </w:rPr>
      </w:pPr>
      <w:r>
        <w:rPr>
          <w:rFonts w:ascii="Times New Roman" w:cs="Times New Roman" w:eastAsia="Times New Roman" w:hAnsi="Times New Roman"/>
          <w:sz w:val="19"/>
          <w:szCs w:val="19"/>
          <w:color w:val="auto"/>
        </w:rPr>
        <w:t>If we undergo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58" w:lineRule="exact"/>
        <w:rPr>
          <w:sz w:val="20"/>
          <w:szCs w:val="20"/>
          <w:color w:val="auto"/>
        </w:rPr>
      </w:pPr>
    </w:p>
    <w:p>
      <w:pPr>
        <w:ind w:left="60" w:right="80" w:firstLine="480"/>
        <w:spacing w:after="0" w:line="264" w:lineRule="auto"/>
        <w:rPr>
          <w:sz w:val="20"/>
          <w:szCs w:val="20"/>
          <w:color w:val="auto"/>
        </w:rPr>
      </w:pPr>
      <w:r>
        <w:rPr>
          <w:rFonts w:ascii="Times New Roman" w:cs="Times New Roman" w:eastAsia="Times New Roman" w:hAnsi="Times New Roman"/>
          <w:sz w:val="19"/>
          <w:szCs w:val="19"/>
          <w:color w:val="auto"/>
        </w:rPr>
        <w:t>The indenture governing the Secured Notes contains customary affirmative covenants and negative covenants applicable to us and our restricted subsidiaries, including, among other things, restrictions on indebtedness, liens, investments, mergers, dispositions, prepayment of junior indebtedness and dividends and other distributions. If Jazz Securities or our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71" w:lineRule="exact"/>
        <w:rPr>
          <w:sz w:val="20"/>
          <w:szCs w:val="20"/>
          <w:color w:val="auto"/>
        </w:rPr>
      </w:pPr>
    </w:p>
    <w:p>
      <w:pPr>
        <w:ind w:left="60" w:right="44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the interest rate and effective interest rate on the Secured Notes were 4.375% and 4.64%, respectively.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Exchangeable Senior Notes</w:t>
      </w:r>
    </w:p>
    <w:p>
      <w:pPr>
        <w:spacing w:after="0" w:line="133" w:lineRule="exact"/>
        <w:rPr>
          <w:sz w:val="20"/>
          <w:szCs w:val="20"/>
          <w:color w:val="auto"/>
        </w:rPr>
      </w:pPr>
    </w:p>
    <w:p>
      <w:pPr>
        <w:ind w:left="60" w:right="500" w:firstLine="480"/>
        <w:spacing w:after="0" w:line="285" w:lineRule="auto"/>
        <w:rPr>
          <w:sz w:val="20"/>
          <w:szCs w:val="20"/>
          <w:color w:val="auto"/>
        </w:rPr>
      </w:pPr>
      <w:r>
        <w:rPr>
          <w:rFonts w:ascii="PMingLiU" w:cs="PMingLiU" w:eastAsia="PMingLiU" w:hAnsi="PMingLiU"/>
          <w:sz w:val="19"/>
          <w:szCs w:val="19"/>
          <w:i w:val="1"/>
          <w:iCs w:val="1"/>
          <w:color w:val="auto"/>
        </w:rPr>
        <w:t xml:space="preserve">1RWHV </w:t>
      </w:r>
      <w:r>
        <w:rPr>
          <w:rFonts w:ascii="Times New Roman" w:cs="Times New Roman" w:eastAsia="Times New Roman" w:hAnsi="Times New Roman"/>
          <w:sz w:val="19"/>
          <w:szCs w:val="19"/>
          <w:color w:val="auto"/>
        </w:rPr>
        <w:t>In September 2024, Jazz Investments, our wholly owned subsidiary, completed a private placement of</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$1.0 billion principal amount of the 2030 Notes.</w:t>
      </w:r>
    </w:p>
    <w:p>
      <w:pPr>
        <w:spacing w:after="0" w:line="48" w:lineRule="exact"/>
        <w:rPr>
          <w:sz w:val="20"/>
          <w:szCs w:val="20"/>
          <w:color w:val="auto"/>
        </w:rPr>
      </w:pPr>
    </w:p>
    <w:p>
      <w:pPr>
        <w:ind w:left="60" w:right="280" w:firstLine="480"/>
        <w:spacing w:after="0" w:line="270" w:lineRule="auto"/>
        <w:rPr>
          <w:sz w:val="20"/>
          <w:szCs w:val="20"/>
          <w:color w:val="auto"/>
        </w:rPr>
      </w:pPr>
      <w:r>
        <w:rPr>
          <w:rFonts w:ascii="Times New Roman" w:cs="Times New Roman" w:eastAsia="Times New Roman" w:hAnsi="Times New Roman"/>
          <w:sz w:val="19"/>
          <w:szCs w:val="19"/>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203835</wp:posOffset>
            </wp:positionV>
            <wp:extent cx="259080" cy="2546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60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98</w:t>
            </w:r>
          </w:p>
        </w:tc>
        <w:tc>
          <w:tcPr>
            <w:tcW w:w="322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60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9" w:right="999" w:bottom="0" w:gutter="0" w:footer="0" w:header="0"/>
        </w:sectPr>
      </w:pPr>
    </w:p>
    <w:bookmarkStart w:id="222" w:name="page223"/>
    <w:bookmarkEnd w:id="222"/>
    <w:p>
      <w:pPr>
        <w:ind w:right="80" w:firstLine="479"/>
        <w:spacing w:after="0" w:line="264" w:lineRule="auto"/>
        <w:rPr>
          <w:sz w:val="20"/>
          <w:szCs w:val="20"/>
          <w:color w:val="auto"/>
        </w:rPr>
      </w:pPr>
      <w:r>
        <w:rPr>
          <w:rFonts w:ascii="Times New Roman" w:cs="Times New Roman" w:eastAsia="Times New Roman" w:hAnsi="Times New Roman"/>
          <w:sz w:val="19"/>
          <w:szCs w:val="19"/>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1" w:lineRule="exact"/>
        <w:rPr>
          <w:sz w:val="20"/>
          <w:szCs w:val="20"/>
          <w:color w:val="auto"/>
        </w:rPr>
      </w:pPr>
    </w:p>
    <w:p>
      <w:pPr>
        <w:ind w:right="380" w:firstLine="480"/>
        <w:spacing w:after="0" w:line="299" w:lineRule="auto"/>
        <w:rPr>
          <w:sz w:val="20"/>
          <w:szCs w:val="20"/>
          <w:color w:val="auto"/>
        </w:rPr>
      </w:pPr>
      <w:r>
        <w:rPr>
          <w:rFonts w:ascii="Times New Roman" w:cs="Times New Roman" w:eastAsia="Times New Roman" w:hAnsi="Times New Roman"/>
          <w:sz w:val="19"/>
          <w:szCs w:val="19"/>
          <w:color w:val="auto"/>
        </w:rPr>
        <w:t>Additionally, the terms and covenants in the indenture related to the 2030 Notes include certain events of default after which the 2030 Notes may be due and payable immediately.</w:t>
      </w:r>
    </w:p>
    <w:p>
      <w:pPr>
        <w:spacing w:after="0" w:line="38" w:lineRule="exact"/>
        <w:rPr>
          <w:sz w:val="20"/>
          <w:szCs w:val="20"/>
          <w:color w:val="auto"/>
        </w:rPr>
      </w:pPr>
    </w:p>
    <w:p>
      <w:pPr>
        <w:ind w:right="100" w:firstLine="480"/>
        <w:spacing w:after="0" w:line="263" w:lineRule="auto"/>
        <w:rPr>
          <w:sz w:val="20"/>
          <w:szCs w:val="20"/>
          <w:color w:val="auto"/>
        </w:rPr>
      </w:pPr>
      <w:r>
        <w:rPr>
          <w:rFonts w:ascii="Times New Roman" w:cs="Times New Roman" w:eastAsia="Times New Roman" w:hAnsi="Times New Roman"/>
          <w:sz w:val="19"/>
          <w:szCs w:val="19"/>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2030 Notes are exchangeable at an initial exchange rate of 6.5339 ordinary shares per $1,000 principal amount of</w:t>
      </w:r>
    </w:p>
    <w:p>
      <w:pPr>
        <w:spacing w:after="0" w:line="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9" w:lineRule="exact"/>
        <w:rPr>
          <w:sz w:val="20"/>
          <w:szCs w:val="20"/>
          <w:color w:val="auto"/>
        </w:rPr>
      </w:pPr>
    </w:p>
    <w:p>
      <w:pPr>
        <w:ind w:right="100" w:firstLine="480"/>
        <w:spacing w:after="0" w:line="260" w:lineRule="auto"/>
        <w:rPr>
          <w:sz w:val="20"/>
          <w:szCs w:val="20"/>
          <w:color w:val="auto"/>
        </w:rPr>
      </w:pPr>
      <w:r>
        <w:rPr>
          <w:rFonts w:ascii="PMingLiU" w:cs="PMingLiU" w:eastAsia="PMingLiU" w:hAnsi="PMingLiU"/>
          <w:sz w:val="19"/>
          <w:szCs w:val="19"/>
          <w:i w:val="1"/>
          <w:iCs w:val="1"/>
          <w:color w:val="auto"/>
        </w:rPr>
        <w:t>1RWHV</w:t>
      </w:r>
      <w:r>
        <w:rPr>
          <w:rFonts w:ascii="Times New Roman" w:cs="Times New Roman" w:eastAsia="Times New Roman" w:hAnsi="Times New Roman"/>
          <w:sz w:val="19"/>
          <w:szCs w:val="19"/>
          <w:color w:val="auto"/>
        </w:rPr>
        <w:t>. In June 2020, Jazz Investments completed a private placement of $1.0 billion principal amount of the 2026</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Notes. We used a portion of the 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6"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4"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The 2026 Notes are exchangeable at an initial exchange rate of 6.4182 ordinary shares per $1,000 principal amount of 2026 Notes, which is equivalent to an initial exchange price of approximately $155.81 per ordinary share. On July 22, 2024, we irrevocably elected to fix the settlement method for exchange of the 2026 Notes to a combination of cash and ordinary shares of Jazz Pharmaceuticals plc with a specified cash amount per $1,000 principal amount of 2026 Notes exchanged equal to or in excess of $1,000. As a result, for any 2026 Notes exchanged subsequent to such notice, an exchanging holder will receive</w:t>
      </w:r>
    </w:p>
    <w:p>
      <w:pPr>
        <w:spacing w:after="0" w:line="2" w:lineRule="exact"/>
        <w:rPr>
          <w:sz w:val="20"/>
          <w:szCs w:val="20"/>
          <w:color w:val="auto"/>
        </w:rPr>
      </w:pPr>
    </w:p>
    <w:p>
      <w:pPr>
        <w:ind w:right="80" w:firstLine="3"/>
        <w:spacing w:after="0" w:line="258" w:lineRule="auto"/>
        <w:tabs>
          <w:tab w:leader="none" w:pos="233"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 to $1,000 in cash per $1,000 principal amount of 2026 Notes exchanged and (ii) cash, ordinary shares, or any combination thereof, at our election, in respect of the remainder, if any, of its exchange obligation in excess of $1,000 per $1,000 principal amount of 2026 Notes exchanged.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64770</wp:posOffset>
            </wp:positionV>
            <wp:extent cx="259080" cy="2546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60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20"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123"/>
              <w:spacing w:after="0"/>
              <w:rPr>
                <w:sz w:val="20"/>
                <w:szCs w:val="20"/>
                <w:color w:val="auto"/>
              </w:rPr>
            </w:pPr>
            <w:r>
              <w:rPr>
                <w:rFonts w:ascii="Times New Roman" w:cs="Times New Roman" w:eastAsia="Times New Roman" w:hAnsi="Times New Roman"/>
                <w:sz w:val="19"/>
                <w:szCs w:val="19"/>
                <w:color w:val="auto"/>
                <w:w w:val="94"/>
              </w:rPr>
              <w:t>99</w:t>
            </w:r>
          </w:p>
        </w:tc>
        <w:tc>
          <w:tcPr>
            <w:tcW w:w="3220" w:type="dxa"/>
            <w:vAlign w:val="bottom"/>
          </w:tcPr>
          <w:p>
            <w:pPr>
              <w:ind w:left="1220"/>
              <w:spacing w:after="0"/>
              <w:rPr>
                <w:sz w:val="20"/>
                <w:szCs w:val="20"/>
                <w:color w:val="auto"/>
              </w:rPr>
            </w:pPr>
            <w:r>
              <w:rPr>
                <w:rFonts w:ascii="Arial" w:cs="Arial" w:eastAsia="Arial" w:hAnsi="Arial"/>
                <w:sz w:val="16"/>
                <w:szCs w:val="16"/>
                <w:color w:val="auto"/>
              </w:rPr>
              <w:t>2025 ANNUAL REPORT</w:t>
            </w:r>
          </w:p>
        </w:tc>
        <w:tc>
          <w:tcPr>
            <w:tcW w:w="480" w:type="dxa"/>
            <w:vAlign w:val="bottom"/>
          </w:tcPr>
          <w:p>
            <w:pPr>
              <w:jc w:val="right"/>
              <w:spacing w:after="0"/>
              <w:rPr>
                <w:sz w:val="20"/>
                <w:szCs w:val="20"/>
                <w:color w:val="auto"/>
              </w:rPr>
            </w:pPr>
            <w:r>
              <w:rPr>
                <w:rFonts w:ascii="Arial" w:cs="Arial" w:eastAsia="Arial" w:hAnsi="Arial"/>
                <w:sz w:val="20"/>
                <w:szCs w:val="20"/>
                <w:b w:val="1"/>
                <w:bCs w:val="1"/>
                <w:color w:val="5C004B"/>
              </w:rPr>
              <w:t>99</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60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23" w:name="page224"/>
    <w:bookmarkEnd w:id="223"/>
    <w:p>
      <w:pPr>
        <w:ind w:left="60" w:right="140"/>
        <w:spacing w:after="0" w:line="277" w:lineRule="auto"/>
        <w:rPr>
          <w:sz w:val="20"/>
          <w:szCs w:val="20"/>
          <w:color w:val="auto"/>
        </w:rPr>
      </w:pPr>
      <w:r>
        <w:rPr>
          <w:rFonts w:ascii="Times New Roman" w:cs="Times New Roman" w:eastAsia="Times New Roman" w:hAnsi="Times New Roman"/>
          <w:sz w:val="19"/>
          <w:szCs w:val="19"/>
          <w:color w:val="auto"/>
        </w:rPr>
        <w:t>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Contractual Obligations</w:t>
      </w:r>
    </w:p>
    <w:p>
      <w:pPr>
        <w:spacing w:after="0" w:line="133" w:lineRule="exact"/>
        <w:rPr>
          <w:sz w:val="20"/>
          <w:szCs w:val="20"/>
          <w:color w:val="auto"/>
        </w:rPr>
      </w:pPr>
    </w:p>
    <w:p>
      <w:pPr>
        <w:ind w:left="60" w:right="40" w:firstLine="480"/>
        <w:spacing w:after="0" w:line="254" w:lineRule="auto"/>
        <w:rPr>
          <w:sz w:val="20"/>
          <w:szCs w:val="20"/>
          <w:color w:val="auto"/>
        </w:rPr>
      </w:pPr>
      <w:r>
        <w:rPr>
          <w:rFonts w:ascii="Times New Roman" w:cs="Times New Roman" w:eastAsia="Times New Roman" w:hAnsi="Times New Roman"/>
          <w:sz w:val="19"/>
          <w:szCs w:val="19"/>
          <w:color w:val="auto"/>
        </w:rPr>
        <w:t xml:space="preserve">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11 Debt and Note 12 Leases, respectively, and for information relating to our noncancelable purchase commitments due within one year see Note 13 Commitments and Contingencies, included in the Notes to Consolidated Financial Statements, included in Part IV of this Annual Report on Form </w:t>
      </w:r>
      <w:r>
        <w:rPr>
          <w:rFonts w:ascii="PMingLiU" w:cs="PMingLiU" w:eastAsia="PMingLiU" w:hAnsi="PMingLiU"/>
          <w:sz w:val="19"/>
          <w:szCs w:val="19"/>
          <w:color w:val="auto"/>
        </w:rPr>
        <w:t> .2XU</w:t>
      </w:r>
      <w:r>
        <w:rPr>
          <w:rFonts w:ascii="Times New Roman" w:cs="Times New Roman" w:eastAsia="Times New Roman" w:hAnsi="Times New Roman"/>
          <w:sz w:val="19"/>
          <w:szCs w:val="19"/>
          <w:color w:val="auto"/>
        </w:rPr>
        <w:t xml:space="preserve"> long-term noncancelable purchase commitments were $30.6 million at December 31, 2025, primarily related to agreements with third party manufacturers. </w:t>
      </w:r>
      <w:r>
        <w:rPr>
          <w:rFonts w:ascii="PMingLiU" w:cs="PMingLiU" w:eastAsia="PMingLiU" w:hAnsi="PMingLiU"/>
          <w:sz w:val="21"/>
          <w:szCs w:val="21"/>
          <w:color w:val="auto"/>
        </w:rPr>
        <w:t/>
      </w:r>
    </w:p>
    <w:p>
      <w:pPr>
        <w:spacing w:after="0" w:line="75" w:lineRule="exact"/>
        <w:rPr>
          <w:sz w:val="20"/>
          <w:szCs w:val="20"/>
          <w:color w:val="auto"/>
        </w:rPr>
      </w:pPr>
    </w:p>
    <w:p>
      <w:pPr>
        <w:ind w:left="60" w:right="100" w:firstLine="480"/>
        <w:spacing w:after="0" w:line="256" w:lineRule="auto"/>
        <w:rPr>
          <w:sz w:val="20"/>
          <w:szCs w:val="20"/>
          <w:color w:val="auto"/>
        </w:rPr>
      </w:pPr>
      <w:r>
        <w:rPr>
          <w:rFonts w:ascii="Times New Roman" w:cs="Times New Roman" w:eastAsia="Times New Roman" w:hAnsi="Times New Roman"/>
          <w:sz w:val="19"/>
          <w:szCs w:val="19"/>
          <w:color w:val="auto"/>
        </w:rPr>
        <w:t xml:space="preserve">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2025 included $1,362.5 million under our license and collaboration agreement with Zymeworks, $1,255.0 million under our global license and collaboration agreement with Werewolf, $1,065.0 million under our asset purchase agreements with Redx, $992.5 million under our global license agreement with Saniona, $752.5 million under our license and collaboration agreement with Autifony, $531.0 million under our amended license agreement with PharmaMar, $375.0 million under the asset purchase and exclusive license agreement with SpringWorks Therapeutics, Inc., $312.0 million and $260.0 million in connection with our acquisitions of Chimerix and Cavion, respectively, and $1,542.4 million related to other agreements. </w:t>
      </w:r>
      <w:r>
        <w:rPr>
          <w:rFonts w:ascii="PMingLiU" w:cs="PMingLiU" w:eastAsia="PMingLiU" w:hAnsi="PMingLiU"/>
          <w:sz w:val="21"/>
          <w:szCs w:val="21"/>
          <w:color w:val="auto"/>
        </w:rPr>
        <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Critical Accounting Policies and Significant Estimates</w:t>
      </w:r>
    </w:p>
    <w:p>
      <w:pPr>
        <w:spacing w:after="0" w:line="133" w:lineRule="exact"/>
        <w:rPr>
          <w:sz w:val="20"/>
          <w:szCs w:val="20"/>
          <w:color w:val="auto"/>
        </w:rPr>
      </w:pPr>
    </w:p>
    <w:p>
      <w:pPr>
        <w:ind w:left="60" w:firstLine="480"/>
        <w:spacing w:after="0" w:line="262" w:lineRule="auto"/>
        <w:rPr>
          <w:sz w:val="20"/>
          <w:szCs w:val="20"/>
          <w:color w:val="auto"/>
        </w:rPr>
      </w:pPr>
      <w:r>
        <w:rPr>
          <w:rFonts w:ascii="Times New Roman" w:cs="Times New Roman" w:eastAsia="Times New Roman" w:hAnsi="Times New Roman"/>
          <w:sz w:val="19"/>
          <w:szCs w:val="19"/>
          <w:color w:val="auto"/>
        </w:rPr>
        <w:t xml:space="preserve">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w:t>
      </w:r>
      <w:r>
        <w:rPr>
          <w:rFonts w:ascii="PMingLiU" w:cs="PMingLiU" w:eastAsia="PMingLiU" w:hAnsi="PMingLiU"/>
          <w:sz w:val="19"/>
          <w:szCs w:val="19"/>
          <w:color w:val="auto"/>
        </w:rPr>
        <w:t> .ZHEHOLHYHWKHIROORZLQJDFFRXQWLQJHVWLPDWHVDQGSROLFLHVWREHFULWLFDO</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29" w:lineRule="exact"/>
        <w:rPr>
          <w:sz w:val="20"/>
          <w:szCs w:val="20"/>
          <w:color w:val="auto"/>
        </w:rPr>
      </w:pPr>
    </w:p>
    <w:p>
      <w:pPr>
        <w:ind w:left="60" w:right="280" w:firstLine="480"/>
        <w:spacing w:after="0" w:line="299" w:lineRule="auto"/>
        <w:rPr>
          <w:sz w:val="20"/>
          <w:szCs w:val="20"/>
          <w:color w:val="auto"/>
        </w:rPr>
      </w:pPr>
      <w:r>
        <w:rPr>
          <w:rFonts w:ascii="Times New Roman" w:cs="Times New Roman" w:eastAsia="Times New Roman" w:hAnsi="Times New Roman"/>
          <w:sz w:val="19"/>
          <w:szCs w:val="19"/>
          <w:color w:val="auto"/>
        </w:rPr>
        <w:t>Revenues are recognized when control of the promised goods or services is transferred to our customers, in an amount that reflects the consideration we expect to be entitled to in exchange for those goods or services.</w:t>
      </w:r>
    </w:p>
    <w:p>
      <w:pPr>
        <w:spacing w:after="0" w:line="42"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3URGXFW6DOHV1HW</w:t>
      </w:r>
    </w:p>
    <w:p>
      <w:pPr>
        <w:spacing w:after="0" w:line="117" w:lineRule="exact"/>
        <w:rPr>
          <w:sz w:val="20"/>
          <w:szCs w:val="20"/>
          <w:color w:val="auto"/>
        </w:rPr>
      </w:pPr>
    </w:p>
    <w:p>
      <w:pPr>
        <w:ind w:left="60" w:right="120" w:firstLine="480"/>
        <w:spacing w:after="0" w:line="277" w:lineRule="auto"/>
        <w:rPr>
          <w:sz w:val="20"/>
          <w:szCs w:val="20"/>
          <w:color w:val="auto"/>
        </w:rPr>
      </w:pPr>
      <w:r>
        <w:rPr>
          <w:rFonts w:ascii="Times New Roman" w:cs="Times New Roman" w:eastAsia="Times New Roman" w:hAnsi="Times New Roman"/>
          <w:sz w:val="19"/>
          <w:szCs w:val="19"/>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58"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,WHPV'HGXFWHGIURP*URVV3URGXFW6DOHV</w:t>
      </w:r>
      <w:r>
        <w:rPr>
          <w:rFonts w:ascii="Times New Roman" w:cs="Times New Roman" w:eastAsia="Times New Roman" w:hAnsi="Times New Roman"/>
          <w:sz w:val="19"/>
          <w:szCs w:val="19"/>
          <w:color w:val="auto"/>
        </w:rPr>
        <w:t>.</w:t>
      </w:r>
    </w:p>
    <w:p>
      <w:pPr>
        <w:spacing w:after="0" w:line="118" w:lineRule="exact"/>
        <w:rPr>
          <w:sz w:val="20"/>
          <w:szCs w:val="20"/>
          <w:color w:val="auto"/>
        </w:rPr>
      </w:pPr>
    </w:p>
    <w:p>
      <w:pPr>
        <w:ind w:left="60" w:right="80" w:firstLine="480"/>
        <w:spacing w:after="0" w:line="261" w:lineRule="auto"/>
        <w:rPr>
          <w:sz w:val="20"/>
          <w:szCs w:val="20"/>
          <w:color w:val="auto"/>
        </w:rPr>
      </w:pPr>
      <w:r>
        <w:rPr>
          <w:rFonts w:ascii="Times New Roman" w:cs="Times New Roman" w:eastAsia="Times New Roman" w:hAnsi="Times New Roman"/>
          <w:sz w:val="19"/>
          <w:szCs w:val="19"/>
          <w:color w:val="auto"/>
        </w:rPr>
        <w:t>Revenues from sales of products are recorded net of government rebates and rebates under managed care 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1466215</wp:posOffset>
            </wp:positionV>
            <wp:extent cx="259080" cy="2546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61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60"/>
              <w:spacing w:after="0"/>
              <w:rPr>
                <w:sz w:val="20"/>
                <w:szCs w:val="20"/>
                <w:color w:val="auto"/>
              </w:rPr>
            </w:pPr>
            <w:r>
              <w:rPr>
                <w:rFonts w:ascii="Arial" w:cs="Arial" w:eastAsia="Arial" w:hAnsi="Arial"/>
                <w:sz w:val="20"/>
                <w:szCs w:val="20"/>
                <w:b w:val="1"/>
                <w:bCs w:val="1"/>
                <w:color w:val="5C004B"/>
                <w:w w:val="95"/>
              </w:rPr>
              <w:t>100</w:t>
            </w:r>
          </w:p>
        </w:tc>
        <w:tc>
          <w:tcPr>
            <w:tcW w:w="316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61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24" w:name="page225"/>
    <w:bookmarkEnd w:id="224"/>
    <w:p>
      <w:pPr>
        <w:ind w:right="98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presents the activity and ending balances for our sales-related accruals and allowances (in thousands):</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Rebates Payable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Sales Returns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w w:val="95"/>
              </w:rPr>
              <w:t>Chargebacks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Discounts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at December 31, 2022</w:t>
            </w:r>
          </w:p>
        </w:tc>
        <w:tc>
          <w:tcPr>
            <w:tcW w:w="12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Distributor Fees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2"/>
            <w:vMerge w:val="continue"/>
          </w:tcPr>
          <w:p>
            <w:pPr>
              <w:spacing w:after="0"/>
              <w:rPr>
                <w:sz w:val="19"/>
                <w:szCs w:val="19"/>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297,801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356,941</w:t>
            </w:r>
          </w:p>
        </w:tc>
        <w:tc>
          <w:tcPr>
            <w:tcW w:w="0" w:type="dxa"/>
            <w:vAlign w:val="bottom"/>
          </w:tcPr>
          <w:p>
            <w:pPr>
              <w:spacing w:after="0"/>
              <w:rPr>
                <w:sz w:val="1"/>
                <w:szCs w:val="1"/>
                <w:color w:val="auto"/>
              </w:rPr>
            </w:pP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Provision, net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651,209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185,886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179,688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1,019,268</w:t>
            </w:r>
          </w:p>
        </w:tc>
        <w:tc>
          <w:tcPr>
            <w:tcW w:w="0" w:type="dxa"/>
            <w:vAlign w:val="bottom"/>
          </w:tcPr>
          <w:p>
            <w:pPr>
              <w:spacing w:after="0"/>
              <w:rPr>
                <w:sz w:val="1"/>
                <w:szCs w:val="1"/>
                <w:color w:val="auto"/>
              </w:rPr>
            </w:pPr>
          </w:p>
        </w:tc>
      </w:tr>
      <w:tr>
        <w:trPr>
          <w:trHeight w:val="259"/>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Payments/credits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(640,566)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(185,575)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(174,814)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(1,009,169)</w:t>
            </w:r>
          </w:p>
        </w:tc>
        <w:tc>
          <w:tcPr>
            <w:tcW w:w="0" w:type="dxa"/>
            <w:vAlign w:val="bottom"/>
          </w:tcPr>
          <w:p>
            <w:pPr>
              <w:spacing w:after="0"/>
              <w:rPr>
                <w:sz w:val="1"/>
                <w:szCs w:val="1"/>
                <w:color w:val="auto"/>
              </w:rPr>
            </w:pPr>
          </w:p>
        </w:tc>
      </w:tr>
      <w:tr>
        <w:trPr>
          <w:trHeight w:val="231"/>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2023</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308,444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20,435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367,040</w:t>
            </w:r>
          </w:p>
        </w:tc>
        <w:tc>
          <w:tcPr>
            <w:tcW w:w="0" w:type="dxa"/>
            <w:vAlign w:val="bottom"/>
          </w:tcPr>
          <w:p>
            <w:pPr>
              <w:spacing w:after="0"/>
              <w:rPr>
                <w:sz w:val="1"/>
                <w:szCs w:val="1"/>
                <w:color w:val="auto"/>
              </w:rPr>
            </w:pP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Provision, net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820,865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212,389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189,071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1,238,208</w:t>
            </w: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Payments/credits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(810,782)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(9,890)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(214,896)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(174,067)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(1,209,635)</w:t>
            </w:r>
          </w:p>
        </w:tc>
        <w:tc>
          <w:tcPr>
            <w:tcW w:w="0" w:type="dxa"/>
            <w:vAlign w:val="bottom"/>
          </w:tcPr>
          <w:p>
            <w:pPr>
              <w:spacing w:after="0"/>
              <w:rPr>
                <w:sz w:val="1"/>
                <w:szCs w:val="1"/>
                <w:color w:val="auto"/>
              </w:rPr>
            </w:pP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318,527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395,613</w:t>
            </w:r>
          </w:p>
        </w:tc>
        <w:tc>
          <w:tcPr>
            <w:tcW w:w="0" w:type="dxa"/>
            <w:vAlign w:val="bottom"/>
          </w:tcPr>
          <w:p>
            <w:pPr>
              <w:spacing w:after="0"/>
              <w:rPr>
                <w:sz w:val="1"/>
                <w:szCs w:val="1"/>
                <w:color w:val="auto"/>
              </w:rPr>
            </w:pPr>
          </w:p>
        </w:tc>
      </w:tr>
      <w:tr>
        <w:trPr>
          <w:trHeight w:val="254"/>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Provision, net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1,037,995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6,164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233,316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190,643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1,468,118</w:t>
            </w:r>
          </w:p>
        </w:tc>
        <w:tc>
          <w:tcPr>
            <w:tcW w:w="0" w:type="dxa"/>
            <w:vAlign w:val="bottom"/>
          </w:tcPr>
          <w:p>
            <w:pPr>
              <w:spacing w:after="0"/>
              <w:rPr>
                <w:sz w:val="1"/>
                <w:szCs w:val="1"/>
                <w:color w:val="auto"/>
              </w:rPr>
            </w:pPr>
          </w:p>
        </w:tc>
      </w:tr>
      <w:tr>
        <w:trPr>
          <w:trHeight w:val="259"/>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Payments/credits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(934,152)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(231,512)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(189,454)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(1,361,298)</w:t>
            </w:r>
          </w:p>
        </w:tc>
        <w:tc>
          <w:tcPr>
            <w:tcW w:w="0" w:type="dxa"/>
            <w:vAlign w:val="bottom"/>
          </w:tcPr>
          <w:p>
            <w:pPr>
              <w:spacing w:after="0"/>
              <w:rPr>
                <w:sz w:val="1"/>
                <w:szCs w:val="1"/>
                <w:color w:val="auto"/>
              </w:rPr>
            </w:pPr>
          </w:p>
        </w:tc>
      </w:tr>
      <w:tr>
        <w:trPr>
          <w:trHeight w:val="240"/>
        </w:trPr>
        <w:tc>
          <w:tcPr>
            <w:tcW w:w="3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422,370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502,433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both"/>
        <w:ind w:right="240" w:firstLine="479"/>
        <w:spacing w:after="0" w:line="277" w:lineRule="auto"/>
        <w:rPr>
          <w:sz w:val="20"/>
          <w:szCs w:val="20"/>
          <w:color w:val="auto"/>
        </w:rPr>
      </w:pPr>
      <w:r>
        <w:rPr>
          <w:rFonts w:ascii="Times New Roman" w:cs="Times New Roman" w:eastAsia="Times New Roman" w:hAnsi="Times New Roman"/>
          <w:sz w:val="19"/>
          <w:szCs w:val="19"/>
          <w:color w:val="auto"/>
        </w:rPr>
        <w:t>Total items deducted from gross product sales were $1,468.1 million, $1,238.2 million and $1,019.3 million, or 26.7%, 24.5% and 21.4% as a percentage of gross product sales, in 2025, 2024 and 2023, respectively. Included in these amounts are adjustments related to prior-year sales due to changes in estimates.</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5HEDWHV</w:t>
      </w:r>
    </w:p>
    <w:p>
      <w:pPr>
        <w:spacing w:after="0" w:line="117"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9"/>
          <w:szCs w:val="19"/>
          <w:color w:val="auto"/>
        </w:rPr>
        <w:t>We are subject to rebates on sales made under governmental managed-care pricing programs and commercial payor contracts in the U.S. The largest of these rebates is associated with sales covered by commercial payor contracts and Epidiolex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managed-care pricing programs and commercial payor contracts is reasonable and appropriate given current facts and circumstances. However, estimates may vary from actual experience.</w:t>
      </w:r>
    </w:p>
    <w:p>
      <w:pPr>
        <w:spacing w:after="0" w:line="75" w:lineRule="exact"/>
        <w:rPr>
          <w:sz w:val="20"/>
          <w:szCs w:val="20"/>
          <w:color w:val="auto"/>
        </w:rPr>
      </w:pPr>
    </w:p>
    <w:p>
      <w:pPr>
        <w:jc w:val="both"/>
        <w:ind w:right="160" w:firstLine="479"/>
        <w:spacing w:after="0" w:line="264" w:lineRule="auto"/>
        <w:rPr>
          <w:sz w:val="20"/>
          <w:szCs w:val="20"/>
          <w:color w:val="auto"/>
        </w:rPr>
      </w:pPr>
      <w:r>
        <w:rPr>
          <w:rFonts w:ascii="Times New Roman" w:cs="Times New Roman" w:eastAsia="Times New Roman" w:hAnsi="Times New Roman"/>
          <w:sz w:val="19"/>
          <w:szCs w:val="19"/>
          <w:color w:val="auto"/>
        </w:rPr>
        <w:t>Rebates were $1,038.0 million, $820.9 million and $651.2 million, or 18.9%, 16.2% and 13.7% as a percentage of gross product sales, in 2025, 2024 and 2023, respectively. The increase in rebates as a percentage of gross product sales in 2025 and 2024 was primarily due to higher rebate rates with commercial payors.</w:t>
      </w:r>
      <w:r>
        <w:rPr>
          <w:rFonts w:ascii="Arial" w:cs="Arial" w:eastAsia="Arial" w:hAnsi="Arial"/>
          <w:sz w:val="21"/>
          <w:szCs w:val="21"/>
          <w:color w:val="auto"/>
        </w:rPr>
        <w:t>ϙ</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6DOHVUHWXUQV</w:t>
      </w:r>
    </w:p>
    <w:p>
      <w:pPr>
        <w:spacing w:after="0" w:line="117" w:lineRule="exact"/>
        <w:rPr>
          <w:sz w:val="20"/>
          <w:szCs w:val="20"/>
          <w:color w:val="auto"/>
        </w:rPr>
      </w:pPr>
    </w:p>
    <w:p>
      <w:pPr>
        <w:ind w:right="140" w:firstLine="480"/>
        <w:spacing w:after="0" w:line="264" w:lineRule="auto"/>
        <w:rPr>
          <w:sz w:val="20"/>
          <w:szCs w:val="20"/>
          <w:color w:val="auto"/>
        </w:rPr>
      </w:pPr>
      <w:r>
        <w:rPr>
          <w:rFonts w:ascii="Times New Roman" w:cs="Times New Roman" w:eastAsia="Times New Roman" w:hAnsi="Times New Roman"/>
          <w:sz w:val="19"/>
          <w:szCs w:val="19"/>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71" w:lineRule="exact"/>
        <w:rPr>
          <w:sz w:val="20"/>
          <w:szCs w:val="20"/>
          <w:color w:val="auto"/>
        </w:rPr>
      </w:pPr>
    </w:p>
    <w:p>
      <w:pPr>
        <w:ind w:right="80" w:firstLine="479"/>
        <w:spacing w:after="0" w:line="299" w:lineRule="auto"/>
        <w:rPr>
          <w:sz w:val="20"/>
          <w:szCs w:val="20"/>
          <w:color w:val="auto"/>
        </w:rPr>
      </w:pPr>
      <w:r>
        <w:rPr>
          <w:rFonts w:ascii="Times New Roman" w:cs="Times New Roman" w:eastAsia="Times New Roman" w:hAnsi="Times New Roman"/>
          <w:sz w:val="19"/>
          <w:szCs w:val="19"/>
          <w:color w:val="auto"/>
        </w:rPr>
        <w:t>Sales returns were $6.2 million, $15.9 million and $2.5 million, or 0.1%, 0.3% and 0.1% as a percentage of gross product sales in 2025, 2024 and 2023, respectively.</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&amp;KDUJHEDFNV</w:t>
      </w:r>
    </w:p>
    <w:p>
      <w:pPr>
        <w:spacing w:after="0" w:line="117"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384175</wp:posOffset>
            </wp:positionV>
            <wp:extent cx="259080" cy="2546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61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2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w w:val="91"/>
              </w:rPr>
              <w:t>101</w:t>
            </w:r>
          </w:p>
        </w:tc>
        <w:tc>
          <w:tcPr>
            <w:tcW w:w="3140" w:type="dxa"/>
            <w:vAlign w:val="bottom"/>
          </w:tcPr>
          <w:p>
            <w:pPr>
              <w:ind w:left="1140"/>
              <w:spacing w:after="0"/>
              <w:rPr>
                <w:sz w:val="20"/>
                <w:szCs w:val="20"/>
                <w:color w:val="auto"/>
              </w:rPr>
            </w:pPr>
            <w:r>
              <w:rPr>
                <w:rFonts w:ascii="Arial" w:cs="Arial" w:eastAsia="Arial" w:hAnsi="Arial"/>
                <w:sz w:val="16"/>
                <w:szCs w:val="16"/>
                <w:color w:val="auto"/>
              </w:rPr>
              <w:t>2025 ANNUAL REPORT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5C004B"/>
              </w:rPr>
              <w:t>101</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61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25" w:name="page226"/>
    <w:bookmarkEnd w:id="225"/>
    <w:p>
      <w:pPr>
        <w:ind w:left="60" w:right="180" w:firstLine="479"/>
        <w:spacing w:after="0" w:line="270" w:lineRule="auto"/>
        <w:rPr>
          <w:sz w:val="20"/>
          <w:szCs w:val="20"/>
          <w:color w:val="auto"/>
        </w:rPr>
      </w:pPr>
      <w:r>
        <w:rPr>
          <w:rFonts w:ascii="Times New Roman" w:cs="Times New Roman" w:eastAsia="Times New Roman" w:hAnsi="Times New Roman"/>
          <w:sz w:val="19"/>
          <w:szCs w:val="19"/>
          <w:color w:val="auto"/>
        </w:rPr>
        <w:t>Chargebacks were $233.3 million, $212.4 million and $185.9 million, or 4.2%, 4.2% and 3.9% as a percentage of gross product sales in 2025, 2024 and 2023, respectively. Chargebacks as a percentage of gross product sales in 2025 were in line with 2024. Chargebacks as a percentage of gross product sales increased in 2024 compared to 2023, primarily due to higher chargeback utilization.</w:t>
      </w:r>
    </w:p>
    <w:p>
      <w:pPr>
        <w:spacing w:after="0" w:line="68"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'LVFRXQWVDQGGLVWULEXWRUIHHV</w:t>
      </w:r>
    </w:p>
    <w:p>
      <w:pPr>
        <w:spacing w:after="0" w:line="117"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78" w:lineRule="exact"/>
        <w:rPr>
          <w:sz w:val="20"/>
          <w:szCs w:val="20"/>
          <w:color w:val="auto"/>
        </w:rPr>
      </w:pPr>
    </w:p>
    <w:p>
      <w:pPr>
        <w:ind w:left="60" w:right="80" w:firstLine="479"/>
        <w:spacing w:after="0" w:line="264" w:lineRule="auto"/>
        <w:rPr>
          <w:sz w:val="20"/>
          <w:szCs w:val="20"/>
          <w:color w:val="auto"/>
        </w:rPr>
      </w:pPr>
      <w:r>
        <w:rPr>
          <w:rFonts w:ascii="Times New Roman" w:cs="Times New Roman" w:eastAsia="Times New Roman" w:hAnsi="Times New Roman"/>
          <w:sz w:val="19"/>
          <w:szCs w:val="19"/>
          <w:color w:val="auto"/>
        </w:rPr>
        <w:t xml:space="preserve">Discounts and distributor fees were $190.6 million, $189.1 million and $179.7 million, or 3.5%, 3.7% and 3.8% as a percentage of gross product sales in 2025, 2024 and 2023, respectively. Discounts and distributor fees as a percentage of gross product sales in 2025 were in line with 2024 and 2023. </w:t>
      </w:r>
      <w:r>
        <w:rPr>
          <w:rFonts w:ascii="Arial" w:cs="Arial" w:eastAsia="Arial" w:hAnsi="Arial"/>
          <w:sz w:val="21"/>
          <w:szCs w:val="21"/>
          <w:color w:val="auto"/>
        </w:rPr>
        <w:t>ϙ</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Acquisitions and Valuation of Intangibles</w:t>
      </w:r>
      <w:r>
        <w:rPr>
          <w:rFonts w:ascii="PMingLiU" w:cs="PMingLiU" w:eastAsia="PMingLiU" w:hAnsi="PMingLiU"/>
          <w:sz w:val="23"/>
          <w:szCs w:val="23"/>
          <w:b w:val="1"/>
          <w:bCs w:val="1"/>
          <w:i w:val="1"/>
          <w:iCs w:val="1"/>
          <w:color w:val="auto"/>
        </w:rPr>
        <w:t/>
      </w:r>
    </w:p>
    <w:p>
      <w:pPr>
        <w:spacing w:after="0" w:line="106" w:lineRule="exact"/>
        <w:rPr>
          <w:sz w:val="20"/>
          <w:szCs w:val="20"/>
          <w:color w:val="auto"/>
        </w:rPr>
      </w:pPr>
    </w:p>
    <w:p>
      <w:pPr>
        <w:ind w:left="60" w:right="260" w:firstLine="480"/>
        <w:spacing w:after="0" w:line="264" w:lineRule="auto"/>
        <w:rPr>
          <w:sz w:val="20"/>
          <w:szCs w:val="20"/>
          <w:color w:val="auto"/>
        </w:rPr>
      </w:pPr>
      <w:r>
        <w:rPr>
          <w:rFonts w:ascii="Times New Roman" w:cs="Times New Roman" w:eastAsia="Times New Roman" w:hAnsi="Times New Roman"/>
          <w:sz w:val="19"/>
          <w:szCs w:val="19"/>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71" w:lineRule="exact"/>
        <w:rPr>
          <w:sz w:val="20"/>
          <w:szCs w:val="20"/>
          <w:color w:val="auto"/>
        </w:rPr>
      </w:pPr>
    </w:p>
    <w:p>
      <w:pPr>
        <w:ind w:left="60" w:firstLine="479"/>
        <w:spacing w:after="0" w:line="259" w:lineRule="auto"/>
        <w:rPr>
          <w:sz w:val="20"/>
          <w:szCs w:val="20"/>
          <w:color w:val="auto"/>
        </w:rPr>
      </w:pPr>
      <w:r>
        <w:rPr>
          <w:rFonts w:ascii="Times New Roman" w:cs="Times New Roman" w:eastAsia="Times New Roman" w:hAnsi="Times New Roman"/>
          <w:sz w:val="19"/>
          <w:szCs w:val="19"/>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2025 and concluded that goodwill was not impaired as the fair value of the reporting unit significantly exceeded its carrying amount, including goodwill. As of December 31, 2025, we had $1.8 billion of goodwill resulting from acquisitions accounted for as business combinations.</w:t>
      </w:r>
    </w:p>
    <w:p>
      <w:pPr>
        <w:spacing w:after="0" w:line="75" w:lineRule="exact"/>
        <w:rPr>
          <w:sz w:val="20"/>
          <w:szCs w:val="20"/>
          <w:color w:val="auto"/>
        </w:rPr>
      </w:pPr>
    </w:p>
    <w:p>
      <w:pPr>
        <w:ind w:left="60" w:right="20" w:firstLine="480"/>
        <w:spacing w:after="0" w:line="270" w:lineRule="auto"/>
        <w:rPr>
          <w:sz w:val="20"/>
          <w:szCs w:val="20"/>
          <w:color w:val="auto"/>
        </w:rPr>
      </w:pPr>
      <w:r>
        <w:rPr>
          <w:rFonts w:ascii="Times New Roman" w:cs="Times New Roman" w:eastAsia="Times New Roman" w:hAnsi="Times New Roman"/>
          <w:sz w:val="19"/>
          <w:szCs w:val="19"/>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68" w:lineRule="exact"/>
        <w:rPr>
          <w:sz w:val="20"/>
          <w:szCs w:val="20"/>
          <w:color w:val="auto"/>
        </w:rPr>
      </w:pPr>
    </w:p>
    <w:p>
      <w:pPr>
        <w:ind w:left="60"/>
        <w:spacing w:after="0"/>
        <w:rPr>
          <w:sz w:val="20"/>
          <w:szCs w:val="20"/>
          <w:color w:val="auto"/>
        </w:rPr>
      </w:pPr>
      <w:r>
        <w:rPr>
          <w:rFonts w:ascii="PMingLiU" w:cs="PMingLiU" w:eastAsia="PMingLiU" w:hAnsi="PMingLiU"/>
          <w:sz w:val="19"/>
          <w:szCs w:val="19"/>
          <w:i w:val="1"/>
          <w:iCs w:val="1"/>
          <w:color w:val="auto"/>
        </w:rPr>
        <w:t>9DOXDWLRQRI,QWDQJLEOH$VVHWV</w:t>
      </w:r>
    </w:p>
    <w:p>
      <w:pPr>
        <w:spacing w:after="0" w:line="117" w:lineRule="exact"/>
        <w:rPr>
          <w:sz w:val="20"/>
          <w:szCs w:val="20"/>
          <w:color w:val="auto"/>
        </w:rPr>
      </w:pPr>
    </w:p>
    <w:p>
      <w:pPr>
        <w:ind w:left="60" w:firstLine="480"/>
        <w:spacing w:after="0" w:line="270" w:lineRule="auto"/>
        <w:rPr>
          <w:sz w:val="20"/>
          <w:szCs w:val="20"/>
          <w:color w:val="auto"/>
        </w:rPr>
      </w:pPr>
      <w:r>
        <w:rPr>
          <w:rFonts w:ascii="Times New Roman" w:cs="Times New Roman" w:eastAsia="Times New Roman" w:hAnsi="Times New Roman"/>
          <w:sz w:val="19"/>
          <w:szCs w:val="19"/>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64" w:lineRule="exact"/>
        <w:rPr>
          <w:sz w:val="20"/>
          <w:szCs w:val="20"/>
          <w:color w:val="auto"/>
        </w:rPr>
      </w:pPr>
    </w:p>
    <w:p>
      <w:pPr>
        <w:ind w:left="320" w:right="3160"/>
        <w:spacing w:after="0" w:line="372" w:lineRule="auto"/>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estimating the timing of and expected costs to complete the in-process projects; •</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projecting regulatory approvals;</w:t>
      </w:r>
    </w:p>
    <w:p>
      <w:pPr>
        <w:spacing w:after="0" w:line="1" w:lineRule="exact"/>
        <w:rPr>
          <w:sz w:val="20"/>
          <w:szCs w:val="20"/>
          <w:color w:val="auto"/>
        </w:rPr>
      </w:pPr>
    </w:p>
    <w:p>
      <w:pPr>
        <w:ind w:left="680" w:right="40" w:hanging="348"/>
        <w:spacing w:after="0" w:line="299" w:lineRule="auto"/>
        <w:tabs>
          <w:tab w:leader="none" w:pos="6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estimating future cash flows including revenues and operating profits resulting from completed products and in-process projects; and</w:t>
      </w:r>
    </w:p>
    <w:p>
      <w:pPr>
        <w:spacing w:after="0" w:line="38"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developing appropriate discount rates and probability rates by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312420</wp:posOffset>
            </wp:positionV>
            <wp:extent cx="259080" cy="2546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61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60"/>
              <w:spacing w:after="0"/>
              <w:rPr>
                <w:sz w:val="20"/>
                <w:szCs w:val="20"/>
                <w:color w:val="auto"/>
              </w:rPr>
            </w:pPr>
            <w:r>
              <w:rPr>
                <w:rFonts w:ascii="Arial" w:cs="Arial" w:eastAsia="Arial" w:hAnsi="Arial"/>
                <w:sz w:val="20"/>
                <w:szCs w:val="20"/>
                <w:b w:val="1"/>
                <w:bCs w:val="1"/>
                <w:color w:val="5C004B"/>
                <w:w w:val="95"/>
              </w:rPr>
              <w:t>102</w:t>
            </w:r>
          </w:p>
        </w:tc>
        <w:tc>
          <w:tcPr>
            <w:tcW w:w="316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61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9" w:right="979" w:bottom="0" w:gutter="0" w:footer="0" w:header="0"/>
        </w:sectPr>
      </w:pPr>
    </w:p>
    <w:bookmarkStart w:id="226" w:name="page227"/>
    <w:bookmarkEnd w:id="226"/>
    <w:p>
      <w:pPr>
        <w:ind w:right="220" w:firstLine="480"/>
        <w:spacing w:after="0" w:line="270" w:lineRule="auto"/>
        <w:rPr>
          <w:sz w:val="20"/>
          <w:szCs w:val="20"/>
          <w:color w:val="auto"/>
        </w:rPr>
      </w:pPr>
      <w:r>
        <w:rPr>
          <w:rFonts w:ascii="Times New Roman" w:cs="Times New Roman" w:eastAsia="Times New Roman" w:hAnsi="Times New Roman"/>
          <w:sz w:val="19"/>
          <w:szCs w:val="19"/>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,PSDLUPHQWRI,QWDQJLEOH$VVHWV</w:t>
      </w:r>
    </w:p>
    <w:p>
      <w:pPr>
        <w:spacing w:after="0" w:line="117" w:lineRule="exact"/>
        <w:rPr>
          <w:sz w:val="20"/>
          <w:szCs w:val="20"/>
          <w:color w:val="auto"/>
        </w:rPr>
      </w:pPr>
    </w:p>
    <w:p>
      <w:pPr>
        <w:ind w:right="60" w:firstLine="480"/>
        <w:spacing w:after="0" w:line="260" w:lineRule="auto"/>
        <w:rPr>
          <w:sz w:val="20"/>
          <w:szCs w:val="20"/>
          <w:color w:val="auto"/>
        </w:rPr>
      </w:pPr>
      <w:r>
        <w:rPr>
          <w:rFonts w:ascii="Times New Roman" w:cs="Times New Roman" w:eastAsia="Times New Roman" w:hAnsi="Times New Roman"/>
          <w:sz w:val="19"/>
          <w:szCs w:val="19"/>
          <w:color w:val="auto"/>
        </w:rPr>
        <w:t>Finite-lived intangible assets consist of purchased developed technology and are amortized on a straight-line basis over their estimated useful lives, which range from four to sixteen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74"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9"/>
          <w:szCs w:val="19"/>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58"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As of December 31, 2025, we had $4.4 billion of finite-lived intangible assets, of which $3.2 billion related to the Epidiolex intangible asset which we acquired in the GW Acquisition and $0.9 billion related to the Vyxeos intangible asset which we acquired in the Celator Acquisition. As part of our annual impairment assessment, we reviewed these intangible assets as of December 31, 2025 and determined the carrying value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did not recognize an impairment charge related to our intangible assets in 2025, 2024 or 2023.</w:t>
      </w:r>
    </w:p>
    <w:p>
      <w:pPr>
        <w:spacing w:after="0" w:line="131" w:lineRule="exact"/>
        <w:rPr>
          <w:sz w:val="20"/>
          <w:szCs w:val="20"/>
          <w:color w:val="auto"/>
        </w:rPr>
      </w:pPr>
    </w:p>
    <w:p>
      <w:pPr>
        <w:ind w:right="140" w:firstLine="480"/>
        <w:spacing w:after="0" w:line="317" w:lineRule="auto"/>
        <w:rPr>
          <w:sz w:val="20"/>
          <w:szCs w:val="20"/>
          <w:color w:val="auto"/>
        </w:rPr>
      </w:pPr>
      <w:r>
        <w:rPr>
          <w:rFonts w:ascii="Times New Roman" w:cs="Times New Roman" w:eastAsia="Times New Roman" w:hAnsi="Times New Roman"/>
          <w:sz w:val="17"/>
          <w:szCs w:val="17"/>
          <w:color w:val="auto"/>
        </w:rPr>
        <w:t xml:space="preserve">Please refer to Note 9, Goodwill and Intangible Assets, of the Notes to Consolidated Financial Statements included in Part IV of this Annual Report on Form </w:t>
      </w:r>
      <w:r>
        <w:rPr>
          <w:rFonts w:ascii="PMingLiU" w:cs="PMingLiU" w:eastAsia="PMingLiU" w:hAnsi="PMingLiU"/>
          <w:sz w:val="17"/>
          <w:szCs w:val="17"/>
          <w:color w:val="auto"/>
        </w:rPr>
        <w:t> .IRUIXUWKHULQIRUPDWLRQDERXWRXULQWDQJLEOHDVVHWVDQGWKHUHPDLQLQJXVHIXOOLYHV</w:t>
      </w:r>
      <w:r>
        <w:rPr>
          <w:rFonts w:ascii="Times New Roman" w:cs="Times New Roman" w:eastAsia="Times New Roman" w:hAnsi="Times New Roman"/>
          <w:sz w:val="17"/>
          <w:szCs w:val="17"/>
          <w:color w:val="auto"/>
        </w:rPr>
        <w:t xml:space="preserve"> of our finite-lived intangible assets as of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29" w:lineRule="exact"/>
        <w:rPr>
          <w:sz w:val="20"/>
          <w:szCs w:val="20"/>
          <w:color w:val="auto"/>
        </w:rPr>
      </w:pPr>
    </w:p>
    <w:p>
      <w:pPr>
        <w:ind w:right="180" w:firstLine="480"/>
        <w:spacing w:after="0" w:line="270" w:lineRule="auto"/>
        <w:rPr>
          <w:sz w:val="20"/>
          <w:szCs w:val="20"/>
          <w:color w:val="auto"/>
        </w:rPr>
      </w:pPr>
      <w:r>
        <w:rPr>
          <w:rFonts w:ascii="Times New Roman" w:cs="Times New Roman" w:eastAsia="Times New Roman" w:hAnsi="Times New Roman"/>
          <w:sz w:val="19"/>
          <w:szCs w:val="19"/>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65" w:lineRule="exact"/>
        <w:rPr>
          <w:sz w:val="20"/>
          <w:szCs w:val="20"/>
          <w:color w:val="auto"/>
        </w:rPr>
      </w:pPr>
    </w:p>
    <w:p>
      <w:pPr>
        <w:ind w:right="20" w:firstLine="480"/>
        <w:spacing w:after="0" w:line="442" w:lineRule="auto"/>
        <w:rPr>
          <w:sz w:val="20"/>
          <w:szCs w:val="20"/>
          <w:color w:val="auto"/>
        </w:rPr>
      </w:pPr>
      <w:r>
        <w:rPr>
          <w:rFonts w:ascii="PMingLiU" w:cs="PMingLiU" w:eastAsia="PMingLiU" w:hAnsi="PMingLiU"/>
          <w:sz w:val="14"/>
          <w:szCs w:val="14"/>
          <w:color w:val="auto"/>
        </w:rPr>
        <w:t xml:space="preserve">2XUPRVWVLJQLILFDQWWD[MXULVGLFWLRQVDUH,UHODQGWKH8.DQGWKH86&amp;HUWDLQHVWLPDWHVDUHUHTXLUHGLQGHWHUPLQLQJRXU </w:t>
      </w:r>
      <w:r>
        <w:rPr>
          <w:rFonts w:ascii="Times New Roman" w:cs="Times New Roman" w:eastAsia="Times New Roman" w:hAnsi="Times New Roman"/>
          <w:sz w:val="14"/>
          <w:szCs w:val="14"/>
          <w:color w:val="auto"/>
        </w:rPr>
        <w:t>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234"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9"/>
          <w:szCs w:val="19"/>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74" w:lineRule="exact"/>
        <w:rPr>
          <w:sz w:val="20"/>
          <w:szCs w:val="20"/>
          <w:color w:val="auto"/>
        </w:rPr>
      </w:pPr>
    </w:p>
    <w:p>
      <w:pPr>
        <w:ind w:right="60" w:firstLine="480"/>
        <w:spacing w:after="0" w:line="299" w:lineRule="auto"/>
        <w:rPr>
          <w:sz w:val="20"/>
          <w:szCs w:val="20"/>
          <w:color w:val="auto"/>
        </w:rPr>
      </w:pPr>
      <w:r>
        <w:rPr>
          <w:rFonts w:ascii="Times New Roman" w:cs="Times New Roman" w:eastAsia="Times New Roman" w:hAnsi="Times New Roman"/>
          <w:sz w:val="19"/>
          <w:szCs w:val="19"/>
          <w:color w:val="auto"/>
        </w:rPr>
        <w:t>We maintain a valuation allowance against certain other deferred tax assets where realizability is not certain. We periodically evaluate the likelihood of the realization of deferred tax assets and reduce the carrying amount of these deferred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112395</wp:posOffset>
            </wp:positionV>
            <wp:extent cx="259080" cy="2546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61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96"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2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w w:val="91"/>
              </w:rPr>
              <w:t>103</w:t>
            </w:r>
          </w:p>
        </w:tc>
        <w:tc>
          <w:tcPr>
            <w:tcW w:w="3140" w:type="dxa"/>
            <w:vAlign w:val="bottom"/>
          </w:tcPr>
          <w:p>
            <w:pPr>
              <w:ind w:left="1140"/>
              <w:spacing w:after="0"/>
              <w:rPr>
                <w:sz w:val="20"/>
                <w:szCs w:val="20"/>
                <w:color w:val="auto"/>
              </w:rPr>
            </w:pPr>
            <w:r>
              <w:rPr>
                <w:rFonts w:ascii="Arial" w:cs="Arial" w:eastAsia="Arial" w:hAnsi="Arial"/>
                <w:sz w:val="16"/>
                <w:szCs w:val="16"/>
                <w:color w:val="auto"/>
              </w:rPr>
              <w:t>2025 ANNUAL REPORT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5C004B"/>
              </w:rPr>
              <w:t>103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61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27" w:name="page228"/>
    <w:bookmarkEnd w:id="227"/>
    <w:p>
      <w:pPr>
        <w:ind w:left="60" w:right="80"/>
        <w:spacing w:after="0" w:line="266" w:lineRule="auto"/>
        <w:rPr>
          <w:sz w:val="20"/>
          <w:szCs w:val="20"/>
          <w:color w:val="auto"/>
        </w:rPr>
      </w:pPr>
      <w:r>
        <w:rPr>
          <w:rFonts w:ascii="Times New Roman" w:cs="Times New Roman" w:eastAsia="Times New Roman" w:hAnsi="Times New Roman"/>
          <w:sz w:val="19"/>
          <w:szCs w:val="19"/>
          <w:color w:val="auto"/>
        </w:rPr>
        <w:t>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70" w:lineRule="exact"/>
        <w:rPr>
          <w:sz w:val="20"/>
          <w:szCs w:val="20"/>
          <w:color w:val="auto"/>
        </w:rPr>
      </w:pPr>
    </w:p>
    <w:p>
      <w:pPr>
        <w:ind w:left="60" w:right="80" w:firstLine="480"/>
        <w:spacing w:after="0" w:line="260" w:lineRule="auto"/>
        <w:rPr>
          <w:sz w:val="20"/>
          <w:szCs w:val="20"/>
          <w:color w:val="auto"/>
        </w:rPr>
      </w:pPr>
      <w:r>
        <w:rPr>
          <w:rFonts w:ascii="Times New Roman" w:cs="Times New Roman" w:eastAsia="Times New Roman" w:hAnsi="Times New Roman"/>
          <w:sz w:val="19"/>
          <w:szCs w:val="19"/>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pacing w:after="0" w:line="133" w:lineRule="exact"/>
        <w:rPr>
          <w:sz w:val="20"/>
          <w:szCs w:val="20"/>
          <w:color w:val="auto"/>
        </w:rPr>
      </w:pPr>
    </w:p>
    <w:p>
      <w:pPr>
        <w:ind w:left="60" w:right="200" w:firstLine="480"/>
        <w:spacing w:after="0" w:line="283" w:lineRule="auto"/>
        <w:rPr>
          <w:sz w:val="20"/>
          <w:szCs w:val="20"/>
          <w:color w:val="auto"/>
        </w:rPr>
      </w:pPr>
      <w:r>
        <w:rPr>
          <w:rFonts w:ascii="Times New Roman" w:cs="Times New Roman" w:eastAsia="Times New Roman" w:hAnsi="Times New Roman"/>
          <w:sz w:val="19"/>
          <w:szCs w:val="19"/>
          <w:color w:val="auto"/>
        </w:rPr>
        <w:t xml:space="preserve">For a discussion of recent accounting pronouncements, please see Note 2, Summary of Significant Accounting Policies, of the Notes to Consolidated Financial Statements included in Part IV of this Annual Report on Form </w:t>
      </w:r>
      <w:r>
        <w:rPr>
          <w:rFonts w:ascii="PMingLiU" w:cs="PMingLiU" w:eastAsia="PMingLiU" w:hAnsi="PMingLiU"/>
          <w:sz w:val="19"/>
          <w:szCs w:val="19"/>
          <w:color w:val="auto"/>
        </w:rPr>
        <w:t> .</w:t>
      </w:r>
    </w:p>
    <w:p>
      <w:pPr>
        <w:spacing w:after="0" w:line="398"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7A.</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21" w:lineRule="exact"/>
        <w:rPr>
          <w:sz w:val="20"/>
          <w:szCs w:val="20"/>
          <w:color w:val="auto"/>
        </w:rPr>
      </w:pPr>
    </w:p>
    <w:p>
      <w:pPr>
        <w:ind w:left="60" w:right="60" w:firstLine="480"/>
        <w:spacing w:after="0" w:line="257" w:lineRule="auto"/>
        <w:rPr>
          <w:sz w:val="20"/>
          <w:szCs w:val="20"/>
          <w:color w:val="auto"/>
        </w:rPr>
      </w:pPr>
      <w:r>
        <w:rPr>
          <w:rFonts w:ascii="PMingLiU" w:cs="PMingLiU" w:eastAsia="PMingLiU" w:hAnsi="PMingLiU"/>
          <w:sz w:val="19"/>
          <w:szCs w:val="19"/>
          <w:i w:val="1"/>
          <w:iCs w:val="1"/>
          <w:color w:val="auto"/>
        </w:rPr>
        <w:t>,QWHUHVW5DWH5LVN</w:t>
      </w:r>
      <w:r>
        <w:rPr>
          <w:rFonts w:ascii="Times New Roman" w:cs="Times New Roman" w:eastAsia="Times New Roman" w:hAnsi="Times New Roman"/>
          <w:sz w:val="19"/>
          <w:szCs w:val="19"/>
          <w:color w:val="auto"/>
        </w:rPr>
        <w:t>. The primary objectives of our investment policy, in order of priority, are as follows: safety and</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preservation of principal and 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2025 consisted of money market funds and time deposits which are not subject to significant interest rate risk.</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We are exposed to risks associated with changes in interest rates in connection with our term loan borrowings. In</w:t>
      </w:r>
    </w:p>
    <w:p>
      <w:pPr>
        <w:spacing w:after="0" w:line="40" w:lineRule="exact"/>
        <w:rPr>
          <w:sz w:val="20"/>
          <w:szCs w:val="20"/>
          <w:color w:val="auto"/>
        </w:rPr>
      </w:pPr>
    </w:p>
    <w:p>
      <w:pPr>
        <w:ind w:left="60"/>
        <w:spacing w:after="0" w:line="257" w:lineRule="auto"/>
        <w:rPr>
          <w:sz w:val="20"/>
          <w:szCs w:val="20"/>
          <w:color w:val="auto"/>
        </w:rPr>
      </w:pPr>
      <w:r>
        <w:rPr>
          <w:rFonts w:ascii="Times New Roman" w:cs="Times New Roman" w:eastAsia="Times New Roman" w:hAnsi="Times New Roman"/>
          <w:sz w:val="19"/>
          <w:szCs w:val="19"/>
          <w:color w:val="auto"/>
        </w:rPr>
        <w:t>May 2021 we entered into the Credit Agreement which provided for (i) the Dollar Term Loan, (ii) the Euro Term Loan and (iii) the Initial Revolving Credit Facility. In January 2024, we entered into the Repricing Amendment No.1 to the Credit Agreement. Upon entry into the Repricing Amendment No.1, certain existing lenders converted a portion of the outstanding Dollar Term Loan into the Tranche B-1 Dollar Term Loans and we borrowed $201.9 million aggregate principal amount of additional Tranche B-1 Dollar Term Loans, the proceeds of which were used to repay the portion of the outstanding Dollar Term Loan that was not converted. In July 2024, we entered into the Repricing Amendment No. 2 to the Credit Agreement, as amended by the Repricing Amendment No.1. Upon entry into the Repricing Amendment No. 2, certain existing lenders converted a portion of the outstanding Tranche B-1 Dollar Term Loans into the Tranche B-2 Dollar Term Loans and we borrowed $289.6 million aggregate principal amount of additional Tranche B-2 Dollar Term Loans, the proceeds of which were used to repay the portion of the outstanding Tranche B-1 Dollar Term Loans that were not converted. In November 2024, we entered into Amendment No. 3 to the Credit Agreement, as amended by the Repricing Amendment No.1 and Repricing Amendment No.2, to increase the Initial Revolving Credit Facility from $500.0 million to $885.0 million and extend the maturity date from May 5, 2026 to November 26, 2029.</w:t>
      </w:r>
    </w:p>
    <w:p>
      <w:pPr>
        <w:spacing w:after="0" w:line="76" w:lineRule="exact"/>
        <w:rPr>
          <w:sz w:val="20"/>
          <w:szCs w:val="20"/>
          <w:color w:val="auto"/>
        </w:rPr>
      </w:pPr>
    </w:p>
    <w:p>
      <w:pPr>
        <w:ind w:left="60" w:right="20" w:firstLine="480"/>
        <w:spacing w:after="0" w:line="260" w:lineRule="auto"/>
        <w:rPr>
          <w:sz w:val="20"/>
          <w:szCs w:val="20"/>
          <w:color w:val="auto"/>
        </w:rPr>
      </w:pPr>
      <w:r>
        <w:rPr>
          <w:rFonts w:ascii="Times New Roman" w:cs="Times New Roman" w:eastAsia="Times New Roman" w:hAnsi="Times New Roman"/>
          <w:sz w:val="19"/>
          <w:szCs w:val="19"/>
          <w:color w:val="auto"/>
        </w:rPr>
        <w:t>There were no borrowings outstanding under the Amended Revolving Credit Facility or the Euro Term Loan as of December 31, 2025. Tranche B-2 Dollar Term Loans borrowings of $1.9 billion were outstanding as of December 31, 2025 and subject to an either (a) Term SOFR, or (b) the prime lending rate, in each case, plus an applicable margin. The applicable margin for the Tranche B-2 Dollar Term Loans is 2.25% (in the case of Term SOFR borrowings) and 1.25% (in the case of borrowings at the prime lending rate). To achieve a desired mix of floating and fixed interest rates on our Tranche B-2 Dollar Term Loans, we entered into interest rate swap agreements in April 2023. The interest rate swap agreements have a notional amount of $500.0 million and are effective until April 2026. As a result of these agreements, the interest rate on a portion of our term loan borrowings is fixed at 3.9086%, plus the borrowing spread, until April 30, 2026. The net liability fair value of outstanding interest rate swap contracts was $0.5 million as of December 31, 2025. The impact of a hypothetical increase or decrease in interest rates on the fair value of the interest rate swap contracts would be offset by a change in the value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212090</wp:posOffset>
            </wp:positionV>
            <wp:extent cx="259080" cy="2546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61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60"/>
              <w:spacing w:after="0"/>
              <w:rPr>
                <w:sz w:val="20"/>
                <w:szCs w:val="20"/>
                <w:color w:val="auto"/>
              </w:rPr>
            </w:pPr>
            <w:r>
              <w:rPr>
                <w:rFonts w:ascii="Arial" w:cs="Arial" w:eastAsia="Arial" w:hAnsi="Arial"/>
                <w:sz w:val="20"/>
                <w:szCs w:val="20"/>
                <w:b w:val="1"/>
                <w:bCs w:val="1"/>
                <w:color w:val="5C004B"/>
                <w:w w:val="95"/>
              </w:rPr>
              <w:t>104</w:t>
            </w:r>
          </w:p>
        </w:tc>
        <w:tc>
          <w:tcPr>
            <w:tcW w:w="316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61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839" w:right="959" w:bottom="0" w:gutter="0" w:footer="0" w:header="0"/>
        </w:sectPr>
      </w:pPr>
    </w:p>
    <w:bookmarkStart w:id="228" w:name="page229"/>
    <w:bookmarkEnd w:id="228"/>
    <w:p>
      <w:pPr>
        <w:jc w:val="both"/>
        <w:ind w:right="220"/>
        <w:spacing w:after="0" w:line="299" w:lineRule="auto"/>
        <w:rPr>
          <w:sz w:val="20"/>
          <w:szCs w:val="20"/>
          <w:color w:val="auto"/>
        </w:rPr>
      </w:pPr>
      <w:r>
        <w:rPr>
          <w:rFonts w:ascii="Times New Roman" w:cs="Times New Roman" w:eastAsia="Times New Roman" w:hAnsi="Times New Roman"/>
          <w:sz w:val="19"/>
          <w:szCs w:val="19"/>
          <w:color w:val="auto"/>
        </w:rPr>
        <w:t>underlying liability. If interest rates were to increase or decrease by 1%, interest expense for 2026 would increase or decrease by $16.9 million, based on the unhedged portion of our outstanding variable rate borrowings.</w:t>
      </w:r>
    </w:p>
    <w:p>
      <w:pPr>
        <w:spacing w:after="0" w:line="38" w:lineRule="exact"/>
        <w:rPr>
          <w:sz w:val="20"/>
          <w:szCs w:val="20"/>
          <w:color w:val="auto"/>
        </w:rPr>
      </w:pPr>
    </w:p>
    <w:p>
      <w:pPr>
        <w:jc w:val="both"/>
        <w:ind w:right="220" w:firstLine="480"/>
        <w:spacing w:after="0" w:line="277" w:lineRule="auto"/>
        <w:rPr>
          <w:sz w:val="20"/>
          <w:szCs w:val="20"/>
          <w:color w:val="auto"/>
        </w:rPr>
      </w:pPr>
      <w:r>
        <w:rPr>
          <w:rFonts w:ascii="Times New Roman" w:cs="Times New Roman" w:eastAsia="Times New Roman" w:hAnsi="Times New Roman"/>
          <w:sz w:val="19"/>
          <w:szCs w:val="19"/>
          <w:color w:val="auto"/>
        </w:rPr>
        <w:t>In September 2024, we completed a private placement of $1.0 billion aggregate principal amount of the 2030 Notes. In April 2021, we issued $1.5 billion in aggregate principal amount of the Secured Notes. In June 2020, we completed a private placement of $1.0 billion aggregate principal amount of the 2026 Notes.</w:t>
      </w:r>
    </w:p>
    <w:p>
      <w:pPr>
        <w:spacing w:after="0" w:line="59" w:lineRule="exact"/>
        <w:rPr>
          <w:sz w:val="20"/>
          <w:szCs w:val="20"/>
          <w:color w:val="auto"/>
        </w:rPr>
      </w:pPr>
    </w:p>
    <w:p>
      <w:pPr>
        <w:jc w:val="both"/>
        <w:ind w:right="180" w:firstLine="480"/>
        <w:spacing w:after="0" w:line="265" w:lineRule="auto"/>
        <w:rPr>
          <w:sz w:val="20"/>
          <w:szCs w:val="20"/>
          <w:color w:val="auto"/>
        </w:rPr>
      </w:pPr>
      <w:r>
        <w:rPr>
          <w:rFonts w:ascii="Times New Roman" w:cs="Times New Roman" w:eastAsia="Times New Roman" w:hAnsi="Times New Roman"/>
          <w:sz w:val="19"/>
          <w:szCs w:val="19"/>
          <w:color w:val="auto"/>
        </w:rPr>
        <w:t>The 2030 Notes, the Secured Notes and the 2026 Notes have fixed annual interest rates of 3.125%, 4.375% and 2.000%, respectively, and we therefore do not have economic interest rate exposure on the 2030 Notes, the Secured Notes and the 2026 Notes. However, the fair values of the 2030 Notes, the Secured Notes and the 2026 Notes are exposed to interest rate risk.</w:t>
      </w:r>
    </w:p>
    <w:p>
      <w:pPr>
        <w:ind w:right="200"/>
        <w:spacing w:after="0" w:line="260" w:lineRule="auto"/>
        <w:rPr>
          <w:sz w:val="20"/>
          <w:szCs w:val="20"/>
          <w:color w:val="auto"/>
        </w:rPr>
      </w:pPr>
      <w:r>
        <w:rPr>
          <w:rFonts w:ascii="Times New Roman" w:cs="Times New Roman" w:eastAsia="Times New Roman" w:hAnsi="Times New Roman"/>
          <w:sz w:val="19"/>
          <w:szCs w:val="19"/>
          <w:color w:val="auto"/>
        </w:rPr>
        <w:t>Generally, the fair values of the 2030 Notes, the Secured Notes and the 2026 Notes will increase as interest rates fall and decrease as interest rates rise. The fair values of the 2030 Notes and the 2026 Notes are also affected by volatility in our ordinary share price. As of December 31, 2025, the fair values of the 2030 Notes, the Secured Notes and the 2026 Notes were estimated to be $1.3 billion, $1.5 billion and $1.2 billion, respectively.</w:t>
      </w:r>
    </w:p>
    <w:p>
      <w:pPr>
        <w:spacing w:after="0" w:line="75" w:lineRule="exact"/>
        <w:rPr>
          <w:sz w:val="20"/>
          <w:szCs w:val="20"/>
          <w:color w:val="auto"/>
        </w:rPr>
      </w:pPr>
    </w:p>
    <w:p>
      <w:pPr>
        <w:ind w:right="60" w:firstLine="480"/>
        <w:spacing w:after="0" w:line="252" w:lineRule="auto"/>
        <w:rPr>
          <w:sz w:val="20"/>
          <w:szCs w:val="20"/>
          <w:color w:val="auto"/>
        </w:rPr>
      </w:pPr>
      <w:r>
        <w:rPr>
          <w:rFonts w:ascii="PMingLiU" w:cs="PMingLiU" w:eastAsia="PMingLiU" w:hAnsi="PMingLiU"/>
          <w:sz w:val="19"/>
          <w:szCs w:val="19"/>
          <w:i w:val="1"/>
          <w:iCs w:val="1"/>
          <w:color w:val="auto"/>
        </w:rPr>
        <w:t>)RUHLJQ&amp;XUUHQF\([FKDQJH5DWH5LVN</w:t>
      </w:r>
      <w:r>
        <w:rPr>
          <w:rFonts w:ascii="Times New Roman" w:cs="Times New Roman" w:eastAsia="Times New Roman" w:hAnsi="Times New Roman"/>
          <w:sz w:val="19"/>
          <w:szCs w:val="19"/>
          <w:color w:val="auto"/>
        </w:rPr>
        <w:t>. We have significant operations in Europe as well as in the U.S. The functional</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currency of each foreign subsidiary 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2025 by $63.7 million and $6.9 million, respectively.</w:t>
      </w:r>
      <w:r>
        <w:rPr>
          <w:rFonts w:ascii="PMingLiU" w:cs="PMingLiU" w:eastAsia="PMingLiU" w:hAnsi="PMingLiU"/>
          <w:sz w:val="21"/>
          <w:szCs w:val="21"/>
          <w:i w:val="1"/>
          <w:iCs w:val="1"/>
          <w:color w:val="auto"/>
        </w:rPr>
        <w:t/>
      </w:r>
    </w:p>
    <w:p>
      <w:pPr>
        <w:spacing w:after="0" w:line="89"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9"/>
          <w:szCs w:val="19"/>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2025, our exposure to transaction risk primarily related to sterling and euro denominated net monetary liabilities, including intercompany loans, held by subsidiaries with a U.S. dollar functional currency. We have entered into foreign exchange forward contracts to manage this currency risk. These foreign exchange forward contracts are not designated as hedges; gains and losses on these derivative instruments are designed to offset gains and losses on the underlying balance sheet exposures. As of December 31, 2025, we held foreign exchange forward contracts with notional amounts totaling</w:t>
      </w:r>
    </w:p>
    <w:p>
      <w:pPr>
        <w:spacing w:after="0" w:line="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$575.9 million. The net asset fair value of outstanding foreign exchange forward contracts was $2.5 million as of December 31, 2025. Based on our foreign currency exchange rate exposures as of December 31, 2025, a hypothetical 10% adverse fluctuation in exchange rates would decrease the fair value of our foreign exchange forward contracts by $21.1 million. The resulting loss on these forward contracts would be offset by a positive impact on the underlying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8.</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21" w:lineRule="exact"/>
        <w:rPr>
          <w:sz w:val="20"/>
          <w:szCs w:val="20"/>
          <w:color w:val="auto"/>
        </w:rPr>
      </w:pPr>
    </w:p>
    <w:p>
      <w:pPr>
        <w:ind w:right="500" w:firstLine="480"/>
        <w:spacing w:after="0" w:line="285" w:lineRule="auto"/>
        <w:rPr>
          <w:sz w:val="20"/>
          <w:szCs w:val="20"/>
          <w:color w:val="auto"/>
        </w:rPr>
      </w:pPr>
      <w:r>
        <w:rPr>
          <w:rFonts w:ascii="Times New Roman" w:cs="Times New Roman" w:eastAsia="Times New Roman" w:hAnsi="Times New Roman"/>
          <w:sz w:val="19"/>
          <w:szCs w:val="19"/>
          <w:color w:val="auto"/>
        </w:rPr>
        <w:t xml:space="preserve">Our consolidated financial statements as listed below </w:t>
      </w:r>
      <w:r>
        <w:rPr>
          <w:rFonts w:ascii="PMingLiU" w:cs="PMingLiU" w:eastAsia="PMingLiU" w:hAnsi="PMingLiU"/>
          <w:sz w:val="19"/>
          <w:szCs w:val="19"/>
          <w:color w:val="auto"/>
        </w:rPr>
        <w:t>DUHLQFOXGHGLQWKLV$QQXDO5HSRUWRQ)RUP .DVSDJHV)</w:t>
      </w:r>
      <w:r>
        <w:rPr>
          <w:rFonts w:ascii="Times New Roman" w:cs="Times New Roman" w:eastAsia="Times New Roman" w:hAnsi="Times New Roman"/>
          <w:sz w:val="19"/>
          <w:szCs w:val="19"/>
          <w:color w:val="auto"/>
        </w:rPr>
        <w:t>-1 through F-49.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Jazz Pharmaceuticals plc</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0"/>
        </w:trPr>
        <w:tc>
          <w:tcPr>
            <w:tcW w:w="93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w:t>
            </w:r>
            <w:r>
              <w:rPr>
                <w:rFonts w:ascii="PMingLiU" w:cs="PMingLiU" w:eastAsia="PMingLiU" w:hAnsi="PMingLiU"/>
                <w:sz w:val="19"/>
                <w:szCs w:val="19"/>
                <w:color w:val="auto"/>
              </w:rPr>
              <w:t>.30*</w:t>
            </w:r>
            <w:r>
              <w:rPr>
                <w:rFonts w:ascii="Times New Roman" w:cs="Times New Roman" w:eastAsia="Times New Roman" w:hAnsi="Times New Roman"/>
                <w:sz w:val="19"/>
                <w:szCs w:val="19"/>
                <w:color w:val="auto"/>
              </w:rPr>
              <w:t>, Dublin, Ireland, Auditor Firm ID: 1116)</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F-1</w:t>
            </w:r>
          </w:p>
        </w:tc>
        <w:tc>
          <w:tcPr>
            <w:tcW w:w="0" w:type="dxa"/>
            <w:vAlign w:val="bottom"/>
          </w:tcPr>
          <w:p>
            <w:pPr>
              <w:spacing w:after="0"/>
              <w:rPr>
                <w:sz w:val="1"/>
                <w:szCs w:val="1"/>
                <w:color w:val="auto"/>
              </w:rPr>
            </w:pPr>
          </w:p>
        </w:tc>
      </w:tr>
      <w:tr>
        <w:trPr>
          <w:trHeight w:val="256"/>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Balance Sheets</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F-3</w:t>
            </w:r>
          </w:p>
        </w:tc>
        <w:tc>
          <w:tcPr>
            <w:tcW w:w="0" w:type="dxa"/>
            <w:vAlign w:val="bottom"/>
          </w:tcPr>
          <w:p>
            <w:pPr>
              <w:spacing w:after="0"/>
              <w:rPr>
                <w:sz w:val="1"/>
                <w:szCs w:val="1"/>
                <w:color w:val="auto"/>
              </w:rPr>
            </w:pPr>
          </w:p>
        </w:tc>
      </w:tr>
      <w:tr>
        <w:trPr>
          <w:trHeight w:val="254"/>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Income (Loss)</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F-4</w:t>
            </w:r>
          </w:p>
        </w:tc>
        <w:tc>
          <w:tcPr>
            <w:tcW w:w="0" w:type="dxa"/>
            <w:vAlign w:val="bottom"/>
          </w:tcPr>
          <w:p>
            <w:pPr>
              <w:spacing w:after="0"/>
              <w:rPr>
                <w:sz w:val="1"/>
                <w:szCs w:val="1"/>
                <w:color w:val="auto"/>
              </w:rPr>
            </w:pPr>
          </w:p>
        </w:tc>
      </w:tr>
      <w:tr>
        <w:trPr>
          <w:trHeight w:val="256"/>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Comprehensive Income</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F-5</w:t>
            </w:r>
          </w:p>
        </w:tc>
        <w:tc>
          <w:tcPr>
            <w:tcW w:w="0" w:type="dxa"/>
            <w:vAlign w:val="bottom"/>
          </w:tcPr>
          <w:p>
            <w:pPr>
              <w:spacing w:after="0"/>
              <w:rPr>
                <w:sz w:val="1"/>
                <w:szCs w:val="1"/>
                <w:color w:val="auto"/>
              </w:rPr>
            </w:pPr>
          </w:p>
        </w:tc>
      </w:tr>
      <w:tr>
        <w:trPr>
          <w:trHeight w:val="254"/>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Shareholders’ Equity</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F-6</w:t>
            </w:r>
          </w:p>
        </w:tc>
        <w:tc>
          <w:tcPr>
            <w:tcW w:w="0" w:type="dxa"/>
            <w:vAlign w:val="bottom"/>
          </w:tcPr>
          <w:p>
            <w:pPr>
              <w:spacing w:after="0"/>
              <w:rPr>
                <w:sz w:val="1"/>
                <w:szCs w:val="1"/>
                <w:color w:val="auto"/>
              </w:rPr>
            </w:pPr>
          </w:p>
        </w:tc>
      </w:tr>
      <w:tr>
        <w:trPr>
          <w:trHeight w:val="256"/>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Cash Flows</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F-8</w:t>
            </w:r>
          </w:p>
        </w:tc>
        <w:tc>
          <w:tcPr>
            <w:tcW w:w="0" w:type="dxa"/>
            <w:vAlign w:val="bottom"/>
          </w:tcPr>
          <w:p>
            <w:pPr>
              <w:spacing w:after="0"/>
              <w:rPr>
                <w:sz w:val="1"/>
                <w:szCs w:val="1"/>
                <w:color w:val="auto"/>
              </w:rPr>
            </w:pPr>
          </w:p>
        </w:tc>
      </w:tr>
      <w:tr>
        <w:trPr>
          <w:trHeight w:val="258"/>
        </w:trPr>
        <w:tc>
          <w:tcPr>
            <w:tcW w:w="9380" w:type="dxa"/>
            <w:vAlign w:val="bottom"/>
          </w:tcPr>
          <w:p>
            <w:pPr>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F-9</w:t>
            </w:r>
          </w:p>
        </w:tc>
        <w:tc>
          <w:tcPr>
            <w:tcW w:w="0" w:type="dxa"/>
            <w:vAlign w:val="bottom"/>
          </w:tcPr>
          <w:p>
            <w:pPr>
              <w:spacing w:after="0"/>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9.</w:t>
            </w:r>
            <w:r>
              <w:rPr>
                <w:rFonts w:ascii="PMingLiU" w:cs="PMingLiU" w:eastAsia="PMingLiU" w:hAnsi="PMingLiU"/>
                <w:sz w:val="19"/>
                <w:szCs w:val="19"/>
                <w:b w:val="1"/>
                <w:bCs w:val="1"/>
                <w:color w:val="auto"/>
              </w:rPr>
              <w:t/>
            </w:r>
          </w:p>
        </w:tc>
        <w:tc>
          <w:tcPr>
            <w:tcW w:w="8520" w:type="dxa"/>
            <w:vAlign w:val="bottom"/>
            <w:gridSpan w:val="3"/>
          </w:tcPr>
          <w:p>
            <w:pPr>
              <w:ind w:left="260"/>
              <w:spacing w:after="0"/>
              <w:rPr>
                <w:sz w:val="20"/>
                <w:szCs w:val="20"/>
                <w:color w:val="auto"/>
              </w:rPr>
            </w:pPr>
            <w:r>
              <w:rPr>
                <w:rFonts w:ascii="Times New Roman" w:cs="Times New Roman" w:eastAsia="Times New Roman" w:hAnsi="Times New Roman"/>
                <w:sz w:val="19"/>
                <w:szCs w:val="19"/>
                <w:b w:val="1"/>
                <w:bCs w:val="1"/>
                <w:color w:val="auto"/>
              </w:rPr>
              <w:t>Changes in and Disagreements with Accountants on Accounting and Financial Disclosure</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6260" w:type="dxa"/>
            <w:vAlign w:val="bottom"/>
            <w:gridSpan w:val="3"/>
          </w:tcPr>
          <w:p>
            <w:pPr>
              <w:jc w:val="right"/>
              <w:ind w:right="4503"/>
              <w:spacing w:after="0"/>
              <w:rPr>
                <w:sz w:val="20"/>
                <w:szCs w:val="20"/>
                <w:color w:val="auto"/>
              </w:rPr>
            </w:pPr>
            <w:r>
              <w:rPr>
                <w:rFonts w:ascii="Times New Roman" w:cs="Times New Roman" w:eastAsia="Times New Roman" w:hAnsi="Times New Roman"/>
                <w:sz w:val="19"/>
                <w:szCs w:val="19"/>
                <w:color w:val="auto"/>
              </w:rPr>
              <w:t>Not applicable.</w:t>
            </w: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rPr>
              <w:t>105</w:t>
            </w:r>
          </w:p>
        </w:tc>
        <w:tc>
          <w:tcPr>
            <w:tcW w:w="3140" w:type="dxa"/>
            <w:vAlign w:val="bottom"/>
            <w:vMerge w:val="restart"/>
          </w:tcPr>
          <w:p>
            <w:pPr>
              <w:ind w:left="1140"/>
              <w:spacing w:after="0"/>
              <w:rPr>
                <w:sz w:val="20"/>
                <w:szCs w:val="20"/>
                <w:color w:val="auto"/>
              </w:rPr>
            </w:pPr>
            <w:r>
              <w:rPr>
                <w:rFonts w:ascii="Arial" w:cs="Arial" w:eastAsia="Arial" w:hAnsi="Arial"/>
                <w:sz w:val="16"/>
                <w:szCs w:val="16"/>
                <w:color w:val="auto"/>
              </w:rPr>
              <w:t>2025 ANNUAL REPORT</w:t>
            </w:r>
          </w:p>
        </w:tc>
        <w:tc>
          <w:tcPr>
            <w:tcW w:w="600" w:type="dxa"/>
            <w:vAlign w:val="bottom"/>
            <w:vMerge w:val="restart"/>
          </w:tcPr>
          <w:p>
            <w:pPr>
              <w:jc w:val="right"/>
              <w:spacing w:after="0"/>
              <w:rPr>
                <w:sz w:val="20"/>
                <w:szCs w:val="20"/>
                <w:color w:val="auto"/>
              </w:rPr>
            </w:pPr>
            <w:r>
              <w:rPr>
                <w:rFonts w:ascii="Arial" w:cs="Arial" w:eastAsia="Arial" w:hAnsi="Arial"/>
                <w:sz w:val="20"/>
                <w:szCs w:val="20"/>
                <w:b w:val="1"/>
                <w:bCs w:val="1"/>
                <w:color w:val="5C004B"/>
              </w:rPr>
              <w:t>105</w:t>
            </w: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1140" w:type="dxa"/>
            <w:vAlign w:val="bottom"/>
            <w:tcBorders>
              <w:right w:val="single" w:sz="8" w:color="5C004B"/>
            </w:tcBorders>
          </w:tcPr>
          <w:p>
            <w:pPr>
              <w:spacing w:after="0"/>
              <w:rPr>
                <w:sz w:val="12"/>
                <w:szCs w:val="12"/>
                <w:color w:val="auto"/>
              </w:rPr>
            </w:pPr>
          </w:p>
        </w:tc>
        <w:tc>
          <w:tcPr>
            <w:tcW w:w="4240" w:type="dxa"/>
            <w:vAlign w:val="bottom"/>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-269240</wp:posOffset>
            </wp:positionV>
            <wp:extent cx="1416050" cy="2546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620">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60" w:top="839" w:right="919" w:bottom="0" w:gutter="0" w:footer="0" w:header="0"/>
        </w:sectPr>
      </w:pPr>
    </w:p>
    <w:bookmarkStart w:id="229" w:name="page230"/>
    <w:bookmarkEnd w:id="229"/>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9A.</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21" w:lineRule="exact"/>
        <w:rPr>
          <w:sz w:val="20"/>
          <w:szCs w:val="20"/>
          <w:color w:val="auto"/>
        </w:rPr>
      </w:pPr>
    </w:p>
    <w:p>
      <w:pPr>
        <w:ind w:left="60" w:right="40" w:firstLine="480"/>
        <w:spacing w:after="0" w:line="293" w:lineRule="auto"/>
        <w:rPr>
          <w:sz w:val="20"/>
          <w:szCs w:val="20"/>
          <w:color w:val="auto"/>
        </w:rPr>
      </w:pPr>
      <w:r>
        <w:rPr>
          <w:rFonts w:ascii="PMingLiU" w:cs="PMingLiU" w:eastAsia="PMingLiU" w:hAnsi="PMingLiU"/>
          <w:sz w:val="17"/>
          <w:szCs w:val="17"/>
          <w:i w:val="1"/>
          <w:iCs w:val="1"/>
          <w:color w:val="auto"/>
        </w:rPr>
        <w:t>(YDOXDWLRQRI'LVFORVXUH&amp;RQWUROVDQG3URFHGXUHV</w:t>
      </w:r>
      <w:r>
        <w:rPr>
          <w:rFonts w:ascii="Times New Roman" w:cs="Times New Roman" w:eastAsia="Times New Roman" w:hAnsi="Times New Roman"/>
          <w:sz w:val="17"/>
          <w:szCs w:val="17"/>
          <w:color w:val="auto"/>
        </w:rPr>
        <w:t>. We have carried out an evaluation under the supervision and with the</w:t>
      </w:r>
      <w:r>
        <w:rPr>
          <w:rFonts w:ascii="PMingLiU" w:cs="PMingLiU" w:eastAsia="PMingLiU" w:hAnsi="PMingLiU"/>
          <w:sz w:val="17"/>
          <w:szCs w:val="17"/>
          <w:i w:val="1"/>
          <w:iCs w:val="1"/>
          <w:color w:val="auto"/>
        </w:rPr>
        <w:t xml:space="preserve"> </w:t>
      </w:r>
      <w:r>
        <w:rPr>
          <w:rFonts w:ascii="Times New Roman" w:cs="Times New Roman" w:eastAsia="Times New Roman" w:hAnsi="Times New Roman"/>
          <w:sz w:val="17"/>
          <w:szCs w:val="17"/>
          <w:color w:val="auto"/>
        </w:rPr>
        <w:t xml:space="preserve">participation of management, including our principal executive officer and principal financial officer, of our disclosure controls and procedures (as defined in Rule 13a-15(e) and 15d-15(e) of the Exchange Act) as of the end of the period covered by this Annual Report on Form </w:t>
      </w:r>
      <w:r>
        <w:rPr>
          <w:rFonts w:ascii="PMingLiU" w:cs="PMingLiU" w:eastAsia="PMingLiU" w:hAnsi="PMingLiU"/>
          <w:sz w:val="17"/>
          <w:szCs w:val="17"/>
          <w:color w:val="auto"/>
        </w:rPr>
        <w:t> .%DVHGRQWKHLUHYDOXDWLRQRXUSULQFLSDOH[HFXWLYHRIILFHUDQGSULQFLSDOILQDQFLDORIILFHU</w:t>
      </w:r>
      <w:r>
        <w:rPr>
          <w:rFonts w:ascii="Times New Roman" w:cs="Times New Roman" w:eastAsia="Times New Roman" w:hAnsi="Times New Roman"/>
          <w:sz w:val="17"/>
          <w:szCs w:val="17"/>
          <w:color w:val="auto"/>
        </w:rPr>
        <w:t xml:space="preserve"> concluded that our disclosure controls and procedures were effective as of December 31, 2025.</w:t>
      </w:r>
    </w:p>
    <w:p>
      <w:pPr>
        <w:spacing w:after="0" w:line="46" w:lineRule="exact"/>
        <w:rPr>
          <w:sz w:val="20"/>
          <w:szCs w:val="20"/>
          <w:color w:val="auto"/>
        </w:rPr>
      </w:pPr>
    </w:p>
    <w:p>
      <w:pPr>
        <w:ind w:left="60" w:right="20" w:firstLine="480"/>
        <w:spacing w:after="0" w:line="257" w:lineRule="auto"/>
        <w:rPr>
          <w:sz w:val="20"/>
          <w:szCs w:val="20"/>
          <w:color w:val="auto"/>
        </w:rPr>
      </w:pPr>
      <w:r>
        <w:rPr>
          <w:rFonts w:ascii="PMingLiU" w:cs="PMingLiU" w:eastAsia="PMingLiU" w:hAnsi="PMingLiU"/>
          <w:sz w:val="19"/>
          <w:szCs w:val="19"/>
          <w:i w:val="1"/>
          <w:iCs w:val="1"/>
          <w:color w:val="auto"/>
        </w:rPr>
        <w:t xml:space="preserve">/LPLWDWLRQVRQWKH(IIHFWLYHQHVVRI&amp;RQWUROV </w:t>
      </w:r>
      <w:r>
        <w:rPr>
          <w:rFonts w:ascii="Times New Roman" w:cs="Times New Roman" w:eastAsia="Times New Roman" w:hAnsi="Times New Roman"/>
          <w:sz w:val="19"/>
          <w:szCs w:val="19"/>
          <w:color w:val="auto"/>
        </w:rPr>
        <w:t>A control system, no matter how well conceived and operated, can provide</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80" w:lineRule="exact"/>
        <w:rPr>
          <w:sz w:val="20"/>
          <w:szCs w:val="20"/>
          <w:color w:val="auto"/>
        </w:rPr>
      </w:pPr>
    </w:p>
    <w:p>
      <w:pPr>
        <w:jc w:val="both"/>
        <w:ind w:left="60" w:right="440" w:firstLine="480"/>
        <w:spacing w:after="0" w:line="246" w:lineRule="auto"/>
        <w:rPr>
          <w:sz w:val="20"/>
          <w:szCs w:val="20"/>
          <w:color w:val="auto"/>
        </w:rPr>
      </w:pPr>
      <w:r>
        <w:rPr>
          <w:rFonts w:ascii="PMingLiU" w:cs="PMingLiU" w:eastAsia="PMingLiU" w:hAnsi="PMingLiU"/>
          <w:sz w:val="19"/>
          <w:szCs w:val="19"/>
          <w:i w:val="1"/>
          <w:iCs w:val="1"/>
          <w:color w:val="auto"/>
        </w:rPr>
        <w:t xml:space="preserve">&amp;KDQJHVLQ,QWHUQDO&amp;RQWURORYHU)LQDQFLDO5HSRUWLQJ </w:t>
      </w:r>
      <w:r>
        <w:rPr>
          <w:rFonts w:ascii="Times New Roman" w:cs="Times New Roman" w:eastAsia="Times New Roman" w:hAnsi="Times New Roman"/>
          <w:sz w:val="19"/>
          <w:szCs w:val="19"/>
          <w:color w:val="auto"/>
        </w:rPr>
        <w:t>During the quarter ended December 31, 2025, there were no</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changes to our internal control over financial reporting that have materially affected, or are reasonably likely to materially affect, our internal control over financial reporting.</w:t>
      </w:r>
      <w:r>
        <w:rPr>
          <w:rFonts w:ascii="PMingLiU" w:cs="PMingLiU" w:eastAsia="PMingLiU" w:hAnsi="PMingLiU"/>
          <w:sz w:val="21"/>
          <w:szCs w:val="21"/>
          <w:color w:val="auto"/>
        </w:rPr>
        <w:t/>
      </w:r>
    </w:p>
    <w:p>
      <w:pPr>
        <w:spacing w:after="0" w:line="79" w:lineRule="exact"/>
        <w:rPr>
          <w:sz w:val="20"/>
          <w:szCs w:val="20"/>
          <w:color w:val="auto"/>
        </w:rPr>
      </w:pPr>
    </w:p>
    <w:p>
      <w:pPr>
        <w:ind w:left="60" w:right="40" w:firstLine="480"/>
        <w:spacing w:after="0" w:line="298" w:lineRule="auto"/>
        <w:rPr>
          <w:sz w:val="20"/>
          <w:szCs w:val="20"/>
          <w:color w:val="auto"/>
        </w:rPr>
      </w:pPr>
      <w:r>
        <w:rPr>
          <w:rFonts w:ascii="PMingLiU" w:cs="PMingLiU" w:eastAsia="PMingLiU" w:hAnsi="PMingLiU"/>
          <w:sz w:val="18"/>
          <w:szCs w:val="18"/>
          <w:i w:val="1"/>
          <w:iCs w:val="1"/>
          <w:color w:val="auto"/>
        </w:rPr>
        <w:t>0DQDJHPHQW¶V5HSRUWRQ,QWHUQDO&amp;RQWURORYHU)LQDQFLDO5HSRUWLQJ</w:t>
      </w:r>
      <w:r>
        <w:rPr>
          <w:rFonts w:ascii="Times New Roman" w:cs="Times New Roman" w:eastAsia="Times New Roman" w:hAnsi="Times New Roman"/>
          <w:sz w:val="18"/>
          <w:szCs w:val="18"/>
          <w:color w:val="auto"/>
        </w:rPr>
        <w:t>The following report is provided by management in</w:t>
      </w:r>
      <w:r>
        <w:rPr>
          <w:rFonts w:ascii="PMingLiU" w:cs="PMingLiU" w:eastAsia="PMingLiU" w:hAnsi="PMingLiU"/>
          <w:sz w:val="18"/>
          <w:szCs w:val="18"/>
          <w:i w:val="1"/>
          <w:iCs w:val="1"/>
          <w:color w:val="auto"/>
        </w:rPr>
        <w:t xml:space="preserve"> </w:t>
      </w:r>
      <w:r>
        <w:rPr>
          <w:rFonts w:ascii="Times New Roman" w:cs="Times New Roman" w:eastAsia="Times New Roman" w:hAnsi="Times New Roman"/>
          <w:sz w:val="18"/>
          <w:szCs w:val="18"/>
          <w:color w:val="auto"/>
        </w:rPr>
        <w:t>respect of our internal control over financial reporting (as defined in Rule 13a-15(f) and 15d-15(f) of the Exchange Act):</w:t>
      </w:r>
    </w:p>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management is responsible for establishing and maintaining adequate internal control over financial reporting.</w:t>
      </w:r>
    </w:p>
    <w:p>
      <w:pPr>
        <w:spacing w:after="0" w:line="118" w:lineRule="exact"/>
        <w:rPr>
          <w:sz w:val="20"/>
          <w:szCs w:val="20"/>
          <w:color w:val="auto"/>
        </w:rPr>
      </w:pPr>
    </w:p>
    <w:p>
      <w:pPr>
        <w:ind w:left="940" w:hanging="348"/>
        <w:spacing w:after="0" w:line="261" w:lineRule="auto"/>
        <w:rPr>
          <w:sz w:val="20"/>
          <w:szCs w:val="20"/>
          <w:color w:val="auto"/>
        </w:rPr>
      </w:pPr>
      <w:r>
        <w:rPr>
          <w:rFonts w:ascii="Times New Roman" w:cs="Times New Roman" w:eastAsia="Times New Roman" w:hAnsi="Times New Roman"/>
          <w:sz w:val="19"/>
          <w:szCs w:val="19"/>
          <w:color w:val="auto"/>
        </w:rPr>
        <w:t>2.</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Our management used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74" w:lineRule="exact"/>
        <w:rPr>
          <w:sz w:val="20"/>
          <w:szCs w:val="20"/>
          <w:color w:val="auto"/>
        </w:rPr>
      </w:pPr>
    </w:p>
    <w:p>
      <w:pPr>
        <w:ind w:left="940" w:right="80" w:hanging="348"/>
        <w:spacing w:after="0" w:line="270" w:lineRule="auto"/>
        <w:rPr>
          <w:sz w:val="20"/>
          <w:szCs w:val="20"/>
          <w:color w:val="auto"/>
        </w:rPr>
      </w:pPr>
      <w:r>
        <w:rPr>
          <w:rFonts w:ascii="Times New Roman" w:cs="Times New Roman" w:eastAsia="Times New Roman" w:hAnsi="Times New Roman"/>
          <w:sz w:val="19"/>
          <w:szCs w:val="19"/>
          <w:color w:val="auto"/>
        </w:rPr>
        <w:t>3.</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Management has assessed the effectiveness of our internal control over financial reporting as of December 31, 2025 and has concluded that such internal control over financial reporting was effective. There were no material weaknesses in internal control over financial reporting identified by management.</w:t>
      </w:r>
    </w:p>
    <w:p>
      <w:pPr>
        <w:spacing w:after="0" w:line="63" w:lineRule="exact"/>
        <w:rPr>
          <w:sz w:val="20"/>
          <w:szCs w:val="20"/>
          <w:color w:val="auto"/>
        </w:rPr>
      </w:pPr>
    </w:p>
    <w:p>
      <w:pPr>
        <w:jc w:val="both"/>
        <w:ind w:left="940" w:right="20" w:hanging="348"/>
        <w:spacing w:after="0" w:line="366" w:lineRule="auto"/>
        <w:rPr>
          <w:sz w:val="20"/>
          <w:szCs w:val="20"/>
          <w:color w:val="auto"/>
        </w:rPr>
      </w:pPr>
      <w:r>
        <w:rPr>
          <w:rFonts w:ascii="Times New Roman" w:cs="Times New Roman" w:eastAsia="Times New Roman" w:hAnsi="Times New Roman"/>
          <w:sz w:val="15"/>
          <w:szCs w:val="15"/>
          <w:color w:val="auto"/>
        </w:rPr>
        <w:t>4.</w:t>
      </w:r>
      <w:r>
        <w:rPr>
          <w:rFonts w:ascii="PMingLiU" w:cs="PMingLiU" w:eastAsia="PMingLiU" w:hAnsi="PMingLiU"/>
          <w:sz w:val="15"/>
          <w:szCs w:val="15"/>
          <w:color w:val="auto"/>
        </w:rPr>
        <w:t/>
      </w:r>
      <w:r>
        <w:rPr>
          <w:rFonts w:ascii="Times New Roman" w:cs="Times New Roman" w:eastAsia="Times New Roman" w:hAnsi="Times New Roman"/>
          <w:sz w:val="15"/>
          <w:szCs w:val="15"/>
          <w:color w:val="auto"/>
        </w:rPr>
        <w:t xml:space="preserve"> </w:t>
      </w:r>
      <w:r>
        <w:rPr>
          <w:rFonts w:ascii="PMingLiU" w:cs="PMingLiU" w:eastAsia="PMingLiU" w:hAnsi="PMingLiU"/>
          <w:sz w:val="15"/>
          <w:szCs w:val="15"/>
          <w:color w:val="auto"/>
        </w:rPr>
        <w:t>.30*RXULQGHSHQGHQWUHJLVWHUHGSXEOLFDFFRXQWLQJILUPKDVDXGLWHGWKHFRQVROLGDWHGILQDQFLDOVWDWHPHQWVRI-D]]</w:t>
      </w:r>
      <w:r>
        <w:rPr>
          <w:rFonts w:ascii="Times New Roman" w:cs="Times New Roman" w:eastAsia="Times New Roman" w:hAnsi="Times New Roman"/>
          <w:sz w:val="15"/>
          <w:szCs w:val="15"/>
          <w:color w:val="auto"/>
        </w:rPr>
        <w:t xml:space="preserve"> Pharmaceuticals plc as of and for the year ended December 31, 2025, included herein, and has issued an audit report on our internal control over financial reporting, which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3190875</wp:posOffset>
            </wp:positionV>
            <wp:extent cx="259080" cy="2546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62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60"/>
              <w:spacing w:after="0"/>
              <w:rPr>
                <w:sz w:val="20"/>
                <w:szCs w:val="20"/>
                <w:color w:val="auto"/>
              </w:rPr>
            </w:pPr>
            <w:r>
              <w:rPr>
                <w:rFonts w:ascii="Arial" w:cs="Arial" w:eastAsia="Arial" w:hAnsi="Arial"/>
                <w:sz w:val="20"/>
                <w:szCs w:val="20"/>
                <w:b w:val="1"/>
                <w:bCs w:val="1"/>
                <w:color w:val="5C004B"/>
                <w:w w:val="95"/>
              </w:rPr>
              <w:t>106</w:t>
            </w:r>
          </w:p>
        </w:tc>
        <w:tc>
          <w:tcPr>
            <w:tcW w:w="316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62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1185" w:right="959" w:bottom="0" w:gutter="0" w:footer="0" w:header="0"/>
        </w:sectPr>
      </w:pPr>
    </w:p>
    <w:bookmarkStart w:id="230" w:name="page231"/>
    <w:bookmarkEnd w:id="230"/>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Board of Directors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Jazz Pharmaceuticals plc:</w:t>
      </w:r>
    </w:p>
    <w:p>
      <w:pPr>
        <w:spacing w:after="0" w:line="226"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2SLQLRQRQ,QWHUQDO&amp;RQWURO2YHU)LQDQFLDO5HSRUWLQJ</w:t>
      </w:r>
    </w:p>
    <w:p>
      <w:pPr>
        <w:spacing w:after="0" w:line="11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 xml:space="preserve">We have audited Jazz Pharmaceuticals Plc and subsidiaries’ (the Company) internal control over financial reporting as of December 31, 2025, based on criteria established in </w:t>
      </w:r>
      <w:r>
        <w:rPr>
          <w:rFonts w:ascii="PMingLiU" w:cs="PMingLiU" w:eastAsia="PMingLiU" w:hAnsi="PMingLiU"/>
          <w:sz w:val="17"/>
          <w:szCs w:val="17"/>
          <w:i w:val="1"/>
          <w:iCs w:val="1"/>
          <w:color w:val="auto"/>
        </w:rPr>
        <w:t>,QWHUQDO&amp;RQWURO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PMingLiU" w:cs="PMingLiU" w:eastAsia="PMingLiU" w:hAnsi="PMingLiU"/>
          <w:sz w:val="17"/>
          <w:szCs w:val="17"/>
          <w:i w:val="1"/>
          <w:iCs w:val="1"/>
          <w:color w:val="auto"/>
        </w:rPr>
        <w:t>,QWHJUDWHG)UDPHZRUN</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PMingLiU" w:cs="PMingLiU" w:eastAsia="PMingLiU" w:hAnsi="PMingLiU"/>
          <w:sz w:val="17"/>
          <w:szCs w:val="17"/>
          <w:i w:val="1"/>
          <w:iCs w:val="1"/>
          <w:color w:val="auto"/>
        </w:rPr>
        <w:t>,QWHUQDO&amp;RQWURO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PMingLiU" w:cs="PMingLiU" w:eastAsia="PMingLiU" w:hAnsi="PMingLiU"/>
          <w:sz w:val="17"/>
          <w:szCs w:val="17"/>
          <w:i w:val="1"/>
          <w:iCs w:val="1"/>
          <w:color w:val="auto"/>
        </w:rPr>
        <w:t xml:space="preserve">,QWHJUDWHG)UDPHZRUN </w:t>
      </w:r>
      <w:r>
        <w:rPr>
          <w:rFonts w:ascii="Times New Roman" w:cs="Times New Roman" w:eastAsia="Times New Roman" w:hAnsi="Times New Roman"/>
          <w:sz w:val="17"/>
          <w:szCs w:val="17"/>
          <w:color w:val="auto"/>
        </w:rPr>
        <w:t>issued by the Committee of Sponsoring Organizations of the Treadway Commission.</w:t>
      </w:r>
      <w:r>
        <w:rPr>
          <w:rFonts w:ascii="PMingLiU" w:cs="PMingLiU" w:eastAsia="PMingLiU" w:hAnsi="PMingLiU"/>
          <w:sz w:val="17"/>
          <w:szCs w:val="17"/>
          <w:color w:val="auto"/>
        </w:rPr>
        <w:t/>
      </w:r>
    </w:p>
    <w:p>
      <w:pPr>
        <w:spacing w:after="0" w:line="4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shareholders’ equity, and cash flows for each of the years in the three-year period ended December 31, 2025, and the related notes and financial statement schedules at item 15(a)2 (collectively, the consolidated financial statements), and our report dated February 24, 2026, expressed an unqualified opinion on those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Basis for Opinion</w:t>
      </w:r>
    </w:p>
    <w:p>
      <w:pPr>
        <w:spacing w:after="0" w:line="12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'HILQLWLRQDQG/LPLWDWLRQVRI,QWHUQDO&amp;RQWURO2YHU)LQDQFLDO5HSRUWLQJ</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jc w:val="both"/>
        <w:ind w:right="500"/>
        <w:spacing w:after="0" w:line="27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PMingLiU" w:cs="PMingLiU" w:eastAsia="PMingLiU" w:hAnsi="PMingLiU"/>
          <w:sz w:val="19"/>
          <w:szCs w:val="19"/>
          <w:color w:val="auto"/>
        </w:rPr>
        <w:t>V.30*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Dublin, Ireland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414655</wp:posOffset>
            </wp:positionV>
            <wp:extent cx="259080" cy="2546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62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2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w w:val="91"/>
              </w:rPr>
              <w:t>107</w:t>
            </w:r>
          </w:p>
        </w:tc>
        <w:tc>
          <w:tcPr>
            <w:tcW w:w="3140" w:type="dxa"/>
            <w:vAlign w:val="bottom"/>
          </w:tcPr>
          <w:p>
            <w:pPr>
              <w:ind w:left="1140"/>
              <w:spacing w:after="0"/>
              <w:rPr>
                <w:sz w:val="20"/>
                <w:szCs w:val="20"/>
                <w:color w:val="auto"/>
              </w:rPr>
            </w:pPr>
            <w:r>
              <w:rPr>
                <w:rFonts w:ascii="Arial" w:cs="Arial" w:eastAsia="Arial" w:hAnsi="Arial"/>
                <w:sz w:val="16"/>
                <w:szCs w:val="16"/>
                <w:color w:val="auto"/>
              </w:rPr>
              <w:t>2025 ANNUAL REPORT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5C004B"/>
              </w:rPr>
              <w:t>107</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62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31" w:name="page232"/>
    <w:bookmarkEnd w:id="231"/>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9B.</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Insider Trading Arrangements</w:t>
      </w:r>
    </w:p>
    <w:p>
      <w:pPr>
        <w:spacing w:after="0" w:line="133" w:lineRule="exact"/>
        <w:rPr>
          <w:sz w:val="20"/>
          <w:szCs w:val="20"/>
          <w:color w:val="auto"/>
        </w:rPr>
      </w:pPr>
    </w:p>
    <w:p>
      <w:pPr>
        <w:ind w:left="60" w:right="20" w:firstLine="480"/>
        <w:spacing w:after="0" w:line="277" w:lineRule="auto"/>
        <w:rPr>
          <w:sz w:val="20"/>
          <w:szCs w:val="20"/>
          <w:color w:val="auto"/>
        </w:rPr>
      </w:pPr>
      <w:r>
        <w:rPr>
          <w:rFonts w:ascii="Times New Roman" w:cs="Times New Roman" w:eastAsia="Times New Roman" w:hAnsi="Times New Roman"/>
          <w:sz w:val="19"/>
          <w:szCs w:val="19"/>
          <w:color w:val="auto"/>
        </w:rPr>
        <w:t>The following is a summary of the material terms of the contracts, instructions or written plans for the purchase or sale of the company’s securities adopted or terminated by our officers (as defined in Rule 16a-1(f) under the Exchange Act) and directors during the quarter ended December 31, 2025:</w:t>
      </w: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Type of Trading Arrangement</w:t>
      </w:r>
    </w:p>
    <w:p>
      <w:pPr>
        <w:spacing w:after="0" w:line="5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Ordinary</w:t>
            </w:r>
          </w:p>
        </w:tc>
      </w:tr>
      <w:tr>
        <w:trPr>
          <w:trHeight w:val="231"/>
        </w:trPr>
        <w:tc>
          <w:tcPr>
            <w:tcW w:w="29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Action</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Rule 10b5-1*</w:t>
            </w:r>
          </w:p>
        </w:tc>
        <w:tc>
          <w:tcPr>
            <w:tcW w:w="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 Date</w:t>
            </w:r>
          </w:p>
        </w:tc>
        <w:tc>
          <w:tcPr>
            <w:tcW w:w="80" w:type="dxa"/>
            <w:vAlign w:val="bottom"/>
          </w:tcPr>
          <w:p>
            <w:pPr>
              <w:spacing w:after="0"/>
              <w:rPr>
                <w:sz w:val="20"/>
                <w:szCs w:val="20"/>
                <w:color w:val="auto"/>
              </w:rPr>
            </w:pPr>
          </w:p>
        </w:tc>
        <w:tc>
          <w:tcPr>
            <w:tcW w:w="1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Shares to be Sold</w:t>
            </w:r>
          </w:p>
        </w:tc>
      </w:tr>
      <w:tr>
        <w:trPr>
          <w:trHeight w:val="258"/>
        </w:trPr>
        <w:tc>
          <w:tcPr>
            <w:tcW w:w="2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Bruce C. Cozadd (Chairman)</w:t>
            </w:r>
          </w:p>
        </w:tc>
        <w:tc>
          <w:tcPr>
            <w:tcW w:w="80" w:type="dxa"/>
            <w:vAlign w:val="bottom"/>
          </w:tcPr>
          <w:p>
            <w:pPr>
              <w:spacing w:after="0"/>
              <w:rPr>
                <w:sz w:val="22"/>
                <w:szCs w:val="22"/>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9"/>
                <w:szCs w:val="19"/>
                <w:color w:val="auto"/>
              </w:rPr>
              <w:t>11/26/2025</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c>
          <w:tcPr>
            <w:tcW w:w="60" w:type="dxa"/>
            <w:vAlign w:val="bottom"/>
          </w:tcPr>
          <w:p>
            <w:pPr>
              <w:spacing w:after="0"/>
              <w:rPr>
                <w:sz w:val="22"/>
                <w:szCs w:val="22"/>
                <w:color w:val="auto"/>
              </w:rPr>
            </w:pPr>
          </w:p>
        </w:tc>
        <w:tc>
          <w:tcPr>
            <w:tcW w:w="1400" w:type="dxa"/>
            <w:vAlign w:val="bottom"/>
          </w:tcPr>
          <w:p>
            <w:pPr>
              <w:jc w:val="right"/>
              <w:ind w:right="213"/>
              <w:spacing w:after="0"/>
              <w:rPr>
                <w:sz w:val="20"/>
                <w:szCs w:val="20"/>
                <w:color w:val="auto"/>
              </w:rPr>
            </w:pPr>
            <w:r>
              <w:rPr>
                <w:rFonts w:ascii="Times New Roman" w:cs="Times New Roman" w:eastAsia="Times New Roman" w:hAnsi="Times New Roman"/>
                <w:sz w:val="19"/>
                <w:szCs w:val="19"/>
                <w:color w:val="auto"/>
              </w:rPr>
              <w:t>2/26/2027</w:t>
            </w:r>
          </w:p>
        </w:tc>
        <w:tc>
          <w:tcPr>
            <w:tcW w:w="80" w:type="dxa"/>
            <w:vAlign w:val="bottom"/>
          </w:tcPr>
          <w:p>
            <w:pPr>
              <w:spacing w:after="0"/>
              <w:rPr>
                <w:sz w:val="22"/>
                <w:szCs w:val="22"/>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Up to 72,000</w:t>
            </w:r>
          </w:p>
        </w:tc>
      </w:tr>
    </w:tbl>
    <w:p>
      <w:pPr>
        <w:spacing w:after="0" w:line="200" w:lineRule="exact"/>
        <w:rPr>
          <w:sz w:val="20"/>
          <w:szCs w:val="20"/>
          <w:color w:val="auto"/>
        </w:rPr>
      </w:pPr>
    </w:p>
    <w:p>
      <w:pPr>
        <w:spacing w:after="0" w:line="396" w:lineRule="exact"/>
        <w:rPr>
          <w:sz w:val="20"/>
          <w:szCs w:val="20"/>
          <w:color w:val="auto"/>
        </w:rPr>
      </w:pPr>
    </w:p>
    <w:p>
      <w:pPr>
        <w:ind w:left="60" w:right="640" w:firstLine="2"/>
        <w:spacing w:after="0" w:line="267" w:lineRule="auto"/>
        <w:tabs>
          <w:tab w:leader="none" w:pos="20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instruction or written plan intended to satisfy the affirmative defense conditions of Rule 10b5-1(c) under the Exchange Act.</w:t>
      </w:r>
    </w:p>
    <w:p>
      <w:pPr>
        <w:spacing w:after="0" w:line="2" w:lineRule="exact"/>
        <w:rPr>
          <w:sz w:val="20"/>
          <w:szCs w:val="20"/>
          <w:color w:val="auto"/>
        </w:rPr>
      </w:pPr>
    </w:p>
    <w:p>
      <w:pPr>
        <w:ind w:left="60"/>
        <w:spacing w:after="0"/>
        <w:rPr>
          <w:sz w:val="20"/>
          <w:szCs w:val="20"/>
          <w:color w:val="auto"/>
        </w:rPr>
      </w:pPr>
      <w:r>
        <w:rPr>
          <w:rFonts w:ascii="PMingLiU" w:cs="PMingLiU" w:eastAsia="PMingLiU" w:hAnsi="PMingLiU"/>
          <w:sz w:val="23"/>
          <w:szCs w:val="23"/>
          <w:color w:val="auto"/>
        </w:rPr>
        <w:t/>
      </w:r>
    </w:p>
    <w:p>
      <w:pPr>
        <w:spacing w:after="0" w:line="84"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9C.</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Not applicable.</w:t>
      </w: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33" w:lineRule="exact"/>
        <w:rPr>
          <w:sz w:val="20"/>
          <w:szCs w:val="20"/>
          <w:color w:val="auto"/>
        </w:rPr>
      </w:pPr>
    </w:p>
    <w:p>
      <w:pPr>
        <w:ind w:left="60" w:right="20" w:firstLine="480"/>
        <w:spacing w:after="0" w:line="255" w:lineRule="auto"/>
        <w:rPr>
          <w:sz w:val="20"/>
          <w:szCs w:val="20"/>
          <w:color w:val="auto"/>
        </w:rPr>
      </w:pPr>
      <w:r>
        <w:rPr>
          <w:rFonts w:ascii="Times New Roman" w:cs="Times New Roman" w:eastAsia="Times New Roman" w:hAnsi="Times New Roman"/>
          <w:sz w:val="19"/>
          <w:szCs w:val="19"/>
          <w:color w:val="auto"/>
        </w:rPr>
        <w:t xml:space="preserve">Certain information required by Part III is omitted from this Annual Report on Form </w:t>
      </w:r>
      <w:r>
        <w:rPr>
          <w:rFonts w:ascii="PMingLiU" w:cs="PMingLiU" w:eastAsia="PMingLiU" w:hAnsi="PMingLiU"/>
          <w:sz w:val="19"/>
          <w:szCs w:val="19"/>
          <w:color w:val="auto"/>
        </w:rPr>
        <w:t> .DQGLQFRUSRUDWHGE\UHIHUHQFH</w:t>
      </w:r>
      <w:r>
        <w:rPr>
          <w:rFonts w:ascii="Times New Roman" w:cs="Times New Roman" w:eastAsia="Times New Roman" w:hAnsi="Times New Roman"/>
          <w:sz w:val="19"/>
          <w:szCs w:val="19"/>
          <w:color w:val="auto"/>
        </w:rPr>
        <w:t xml:space="preserve"> to our 2026 Proxy Statement, to be filed with the SEC pursuant to Regulation 14A of the Exchange Act. If our 2026 Proxy Statement is not filed within 120 days after the end of the fiscal year covered by this Annual Report on Form </w:t>
      </w:r>
      <w:r>
        <w:rPr>
          <w:rFonts w:ascii="PMingLiU" w:cs="PMingLiU" w:eastAsia="PMingLiU" w:hAnsi="PMingLiU"/>
          <w:sz w:val="19"/>
          <w:szCs w:val="19"/>
          <w:color w:val="auto"/>
        </w:rPr>
        <w:t> .WKHRPLWWHG</w:t>
      </w:r>
      <w:r>
        <w:rPr>
          <w:rFonts w:ascii="Times New Roman" w:cs="Times New Roman" w:eastAsia="Times New Roman" w:hAnsi="Times New Roman"/>
          <w:sz w:val="19"/>
          <w:szCs w:val="19"/>
          <w:color w:val="auto"/>
        </w:rPr>
        <w:t xml:space="preserve"> information will be included in an amendment to this Annual Report on Form </w:t>
      </w:r>
      <w:r>
        <w:rPr>
          <w:rFonts w:ascii="PMingLiU" w:cs="PMingLiU" w:eastAsia="PMingLiU" w:hAnsi="PMingLiU"/>
          <w:sz w:val="19"/>
          <w:szCs w:val="19"/>
          <w:color w:val="auto"/>
        </w:rPr>
        <w:t> .ILOHGQRWODWHUWKDQWKHHQGRIVXFK</w:t>
      </w:r>
      <w:r>
        <w:rPr>
          <w:rFonts w:ascii="Times New Roman" w:cs="Times New Roman" w:eastAsia="Times New Roman" w:hAnsi="Times New Roman"/>
          <w:sz w:val="19"/>
          <w:szCs w:val="19"/>
          <w:color w:val="auto"/>
        </w:rPr>
        <w:t>-day period.</w:t>
      </w: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10.</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21" w:lineRule="exact"/>
        <w:rPr>
          <w:sz w:val="20"/>
          <w:szCs w:val="20"/>
          <w:color w:val="auto"/>
        </w:rPr>
      </w:pPr>
    </w:p>
    <w:p>
      <w:pPr>
        <w:ind w:left="60" w:right="360" w:firstLine="480"/>
        <w:spacing w:after="0" w:line="301"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2026 Proxy Statement to be filed with the SEC and is incorporated herein by reference, provided that if the 2026 Proxy Statement is not filed within 120 days after the end of the fiscal year covered by this Annual Report on Form 10-</w:t>
      </w:r>
      <w:r>
        <w:rPr>
          <w:rFonts w:ascii="PMingLiU" w:cs="PMingLiU" w:eastAsia="PMingLiU" w:hAnsi="PMingLiU"/>
          <w:sz w:val="17"/>
          <w:szCs w:val="17"/>
          <w:color w:val="auto"/>
        </w:rPr>
        <w:t>.WKHRPLWWHGLQIRUPDWLRQZLOOEHLQFOXGHGLQDQDPHQGPHQWWRWKLV</w:t>
      </w:r>
      <w:r>
        <w:rPr>
          <w:rFonts w:ascii="Times New Roman" w:cs="Times New Roman" w:eastAsia="Times New Roman" w:hAnsi="Times New Roman"/>
          <w:sz w:val="17"/>
          <w:szCs w:val="17"/>
          <w:color w:val="auto"/>
        </w:rPr>
        <w:t xml:space="preserve"> Annual Report on Form 10-</w:t>
      </w:r>
      <w:r>
        <w:rPr>
          <w:rFonts w:ascii="PMingLiU" w:cs="PMingLiU" w:eastAsia="PMingLiU" w:hAnsi="PMingLiU"/>
          <w:sz w:val="17"/>
          <w:szCs w:val="17"/>
          <w:color w:val="auto"/>
        </w:rPr>
        <w:t>.ILOHGQRWODWHUWKDQWKHHQGRIVXFK</w:t>
      </w:r>
      <w:r>
        <w:rPr>
          <w:rFonts w:ascii="Times New Roman" w:cs="Times New Roman" w:eastAsia="Times New Roman" w:hAnsi="Times New Roman"/>
          <w:sz w:val="17"/>
          <w:szCs w:val="17"/>
          <w:color w:val="auto"/>
        </w:rPr>
        <w:t>-day period.</w:t>
      </w:r>
    </w:p>
    <w:p>
      <w:pPr>
        <w:spacing w:after="0" w:line="39" w:lineRule="exact"/>
        <w:rPr>
          <w:sz w:val="20"/>
          <w:szCs w:val="20"/>
          <w:color w:val="auto"/>
        </w:rPr>
      </w:pPr>
    </w:p>
    <w:p>
      <w:pPr>
        <w:ind w:left="60" w:firstLine="698"/>
        <w:spacing w:after="0" w:line="261" w:lineRule="auto"/>
        <w:rPr>
          <w:sz w:val="20"/>
          <w:szCs w:val="20"/>
          <w:color w:val="auto"/>
        </w:rPr>
      </w:pPr>
      <w:r>
        <w:rPr>
          <w:rFonts w:ascii="Times New Roman" w:cs="Times New Roman" w:eastAsia="Times New Roman" w:hAnsi="Times New Roman"/>
          <w:sz w:val="19"/>
          <w:szCs w:val="19"/>
          <w:color w:val="auto"/>
        </w:rPr>
        <w:t>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www.jazzpharmaceuticals.com under the section entitled “Our Purpose” under “Ethical Standards.” We intend to satisfy the disclosure requirements under Item 5.05 of the SEC Form 8-</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20"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11.</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21" w:lineRule="exact"/>
        <w:rPr>
          <w:sz w:val="20"/>
          <w:szCs w:val="20"/>
          <w:color w:val="auto"/>
        </w:rPr>
      </w:pPr>
    </w:p>
    <w:p>
      <w:pPr>
        <w:ind w:left="60" w:right="360" w:firstLine="480"/>
        <w:spacing w:after="0" w:line="301"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w:t>
      </w:r>
      <w:r>
        <w:rPr>
          <w:rFonts w:ascii="PMingLiU" w:cs="PMingLiU" w:eastAsia="PMingLiU" w:hAnsi="PMingLiU"/>
          <w:sz w:val="17"/>
          <w:szCs w:val="17"/>
          <w:color w:val="auto"/>
        </w:rPr>
        <w:t>.WKHRPLWWHGLQIRUPDWLRQZLOOEHLQFOXGHGLQDQDPHQGPHQWWRWKLV</w:t>
      </w:r>
      <w:r>
        <w:rPr>
          <w:rFonts w:ascii="Times New Roman" w:cs="Times New Roman" w:eastAsia="Times New Roman" w:hAnsi="Times New Roman"/>
          <w:sz w:val="17"/>
          <w:szCs w:val="17"/>
          <w:color w:val="auto"/>
        </w:rPr>
        <w:t xml:space="preserve"> Annual Report on Form 10-</w:t>
      </w:r>
      <w:r>
        <w:rPr>
          <w:rFonts w:ascii="PMingLiU" w:cs="PMingLiU" w:eastAsia="PMingLiU" w:hAnsi="PMingLiU"/>
          <w:sz w:val="17"/>
          <w:szCs w:val="17"/>
          <w:color w:val="auto"/>
        </w:rPr>
        <w:t>.ILOHGQRWODWHUWKDQWKHHQGRIVXFK</w:t>
      </w:r>
      <w:r>
        <w:rPr>
          <w:rFonts w:ascii="Times New Roman" w:cs="Times New Roman" w:eastAsia="Times New Roman" w:hAnsi="Times New Roman"/>
          <w:sz w:val="17"/>
          <w:szCs w:val="17"/>
          <w:color w:val="auto"/>
        </w:rPr>
        <w:t>-day period.</w:t>
      </w:r>
    </w:p>
    <w:p>
      <w:pPr>
        <w:spacing w:after="0" w:line="38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9"/>
          <w:szCs w:val="19"/>
          <w:b w:val="1"/>
          <w:bCs w:val="1"/>
          <w:color w:val="auto"/>
        </w:rPr>
        <w:t>Item 12.</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left="60" w:right="160" w:firstLine="480"/>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2026 Proxy Statement to be filed with the SEC and, other than the information required by Item 402(v) of Regulation S-</w:t>
      </w:r>
      <w:r>
        <w:rPr>
          <w:rFonts w:ascii="PMingLiU" w:cs="PMingLiU" w:eastAsia="PMingLiU" w:hAnsi="PMingLiU"/>
          <w:sz w:val="18"/>
          <w:szCs w:val="18"/>
          <w:color w:val="auto"/>
        </w:rPr>
        <w:t>.LVLQFRUSRUDWHGKHUHLQE\UHIHUHQFHSURYLGHGWKDWLIWKH</w:t>
      </w:r>
      <w:r>
        <w:rPr>
          <w:rFonts w:ascii="Times New Roman" w:cs="Times New Roman" w:eastAsia="Times New Roman" w:hAnsi="Times New Roman"/>
          <w:sz w:val="18"/>
          <w:szCs w:val="18"/>
          <w:color w:val="auto"/>
        </w:rPr>
        <w:t xml:space="preserve"> Proxy Statement is not filed within 120 days after the end of the fiscal year covered by this Annual Report on Form 10-</w:t>
      </w:r>
      <w:r>
        <w:rPr>
          <w:rFonts w:ascii="PMingLiU" w:cs="PMingLiU" w:eastAsia="PMingLiU" w:hAnsi="PMingLiU"/>
          <w:sz w:val="18"/>
          <w:szCs w:val="18"/>
          <w:color w:val="auto"/>
        </w:rPr>
        <w:t>.WKH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274320</wp:posOffset>
            </wp:positionV>
            <wp:extent cx="259080" cy="2546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62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60"/>
              <w:spacing w:after="0"/>
              <w:rPr>
                <w:sz w:val="20"/>
                <w:szCs w:val="20"/>
                <w:color w:val="auto"/>
              </w:rPr>
            </w:pPr>
            <w:r>
              <w:rPr>
                <w:rFonts w:ascii="Arial" w:cs="Arial" w:eastAsia="Arial" w:hAnsi="Arial"/>
                <w:sz w:val="20"/>
                <w:szCs w:val="20"/>
                <w:b w:val="1"/>
                <w:bCs w:val="1"/>
                <w:color w:val="5C004B"/>
                <w:w w:val="95"/>
              </w:rPr>
              <w:t>108</w:t>
            </w:r>
          </w:p>
        </w:tc>
        <w:tc>
          <w:tcPr>
            <w:tcW w:w="316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62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6" w:right="979" w:bottom="0" w:gutter="0" w:footer="0" w:header="0"/>
        </w:sectPr>
      </w:pPr>
    </w:p>
    <w:bookmarkStart w:id="232" w:name="page233"/>
    <w:bookmarkEnd w:id="232"/>
    <w:p>
      <w:pPr>
        <w:ind w:left="80" w:right="120"/>
        <w:spacing w:after="0" w:line="263" w:lineRule="auto"/>
        <w:rPr>
          <w:sz w:val="20"/>
          <w:szCs w:val="20"/>
          <w:color w:val="auto"/>
        </w:rPr>
      </w:pPr>
      <w:r>
        <w:rPr>
          <w:rFonts w:ascii="Times New Roman" w:cs="Times New Roman" w:eastAsia="Times New Roman" w:hAnsi="Times New Roman"/>
          <w:sz w:val="19"/>
          <w:szCs w:val="19"/>
          <w:color w:val="auto"/>
        </w:rPr>
        <w:t>omitted information will be included in an amendment to this Annual Report on Form 10-</w:t>
      </w:r>
      <w:r>
        <w:rPr>
          <w:rFonts w:ascii="PMingLiU" w:cs="PMingLiU" w:eastAsia="PMingLiU" w:hAnsi="PMingLiU"/>
          <w:sz w:val="19"/>
          <w:szCs w:val="19"/>
          <w:color w:val="auto"/>
        </w:rPr>
        <w:t>.ILOHGQRWODWHUWKDQWKHHQGRIVXFK</w:t>
      </w:r>
      <w:r>
        <w:rPr>
          <w:rFonts w:ascii="Times New Roman" w:cs="Times New Roman" w:eastAsia="Times New Roman" w:hAnsi="Times New Roman"/>
          <w:sz w:val="19"/>
          <w:szCs w:val="19"/>
          <w:color w:val="auto"/>
        </w:rPr>
        <w:t xml:space="preserve"> 120-day period.</w:t>
      </w:r>
      <w:r>
        <w:rPr>
          <w:rFonts w:ascii="PMingLiU" w:cs="PMingLiU" w:eastAsia="PMingLiU" w:hAnsi="PMingLiU"/>
          <w:sz w:val="21"/>
          <w:szCs w:val="21"/>
          <w:color w:val="auto"/>
        </w:rPr>
        <w:t/>
      </w:r>
    </w:p>
    <w:p>
      <w:pPr>
        <w:spacing w:after="0" w:line="200" w:lineRule="exact"/>
        <w:rPr>
          <w:sz w:val="20"/>
          <w:szCs w:val="20"/>
          <w:color w:val="auto"/>
        </w:rPr>
      </w:pPr>
    </w:p>
    <w:p>
      <w:pPr>
        <w:spacing w:after="0" w:line="209"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9"/>
          <w:szCs w:val="19"/>
          <w:b w:val="1"/>
          <w:bCs w:val="1"/>
          <w:color w:val="auto"/>
        </w:rPr>
        <w:t>Item 13.</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1" w:lineRule="exact"/>
        <w:rPr>
          <w:sz w:val="20"/>
          <w:szCs w:val="20"/>
          <w:color w:val="auto"/>
        </w:rPr>
      </w:pPr>
    </w:p>
    <w:p>
      <w:pPr>
        <w:ind w:left="80" w:right="420" w:firstLine="480"/>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w:t>
      </w:r>
      <w:r>
        <w:rPr>
          <w:rFonts w:ascii="PMingLiU" w:cs="PMingLiU" w:eastAsia="PMingLiU" w:hAnsi="PMingLiU"/>
          <w:sz w:val="17"/>
          <w:szCs w:val="17"/>
          <w:color w:val="auto"/>
        </w:rPr>
        <w:t>.WKHRPLWWHGLQIRUPDWLRQZLOOEHLQFOXGHGLQDQDPHQGPHQWWRWKLV</w:t>
      </w:r>
      <w:r>
        <w:rPr>
          <w:rFonts w:ascii="Times New Roman" w:cs="Times New Roman" w:eastAsia="Times New Roman" w:hAnsi="Times New Roman"/>
          <w:sz w:val="17"/>
          <w:szCs w:val="17"/>
          <w:color w:val="auto"/>
        </w:rPr>
        <w:t xml:space="preserve"> Annual Report on Form 10-</w:t>
      </w:r>
      <w:r>
        <w:rPr>
          <w:rFonts w:ascii="PMingLiU" w:cs="PMingLiU" w:eastAsia="PMingLiU" w:hAnsi="PMingLiU"/>
          <w:sz w:val="17"/>
          <w:szCs w:val="17"/>
          <w:color w:val="auto"/>
        </w:rPr>
        <w:t>.ILOHGQRWODWHUWKDQWKHHQGRIVXFK</w:t>
      </w:r>
      <w:r>
        <w:rPr>
          <w:rFonts w:ascii="Times New Roman" w:cs="Times New Roman" w:eastAsia="Times New Roman" w:hAnsi="Times New Roman"/>
          <w:sz w:val="17"/>
          <w:szCs w:val="17"/>
          <w:color w:val="auto"/>
        </w:rPr>
        <w:t>-day period.</w:t>
      </w:r>
      <w:r>
        <w:rPr>
          <w:rFonts w:ascii="PMingLiU" w:cs="PMingLiU" w:eastAsia="PMingLiU" w:hAnsi="PMingLiU"/>
          <w:sz w:val="19"/>
          <w:szCs w:val="19"/>
          <w:color w:val="auto"/>
        </w:rPr>
        <w:t/>
      </w:r>
    </w:p>
    <w:p>
      <w:pPr>
        <w:spacing w:after="0" w:line="386"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9"/>
          <w:szCs w:val="19"/>
          <w:b w:val="1"/>
          <w:bCs w:val="1"/>
          <w:color w:val="auto"/>
        </w:rPr>
        <w:t>Item 14.</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121" w:lineRule="exact"/>
        <w:rPr>
          <w:sz w:val="20"/>
          <w:szCs w:val="20"/>
          <w:color w:val="auto"/>
        </w:rPr>
      </w:pPr>
    </w:p>
    <w:p>
      <w:pPr>
        <w:ind w:left="80" w:right="420" w:firstLine="480"/>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w:t>
      </w:r>
      <w:r>
        <w:rPr>
          <w:rFonts w:ascii="PMingLiU" w:cs="PMingLiU" w:eastAsia="PMingLiU" w:hAnsi="PMingLiU"/>
          <w:sz w:val="17"/>
          <w:szCs w:val="17"/>
          <w:color w:val="auto"/>
        </w:rPr>
        <w:t>.WKHRPLWWHGLQIRUPDWLRQZLOOEHLQFOXGHGLQDQDPHQGPHQWWRWKLV</w:t>
      </w:r>
      <w:r>
        <w:rPr>
          <w:rFonts w:ascii="Times New Roman" w:cs="Times New Roman" w:eastAsia="Times New Roman" w:hAnsi="Times New Roman"/>
          <w:sz w:val="17"/>
          <w:szCs w:val="17"/>
          <w:color w:val="auto"/>
        </w:rPr>
        <w:t xml:space="preserve"> Annual Report on Form 10-</w:t>
      </w:r>
      <w:r>
        <w:rPr>
          <w:rFonts w:ascii="PMingLiU" w:cs="PMingLiU" w:eastAsia="PMingLiU" w:hAnsi="PMingLiU"/>
          <w:sz w:val="17"/>
          <w:szCs w:val="17"/>
          <w:color w:val="auto"/>
        </w:rPr>
        <w:t>.ILOHGQRWODWHUWKDQWKHHQGRIVXFK</w:t>
      </w:r>
      <w:r>
        <w:rPr>
          <w:rFonts w:ascii="Times New Roman" w:cs="Times New Roman" w:eastAsia="Times New Roman" w:hAnsi="Times New Roman"/>
          <w:sz w:val="17"/>
          <w:szCs w:val="17"/>
          <w:color w:val="auto"/>
        </w:rPr>
        <w:t>-day period.</w:t>
      </w:r>
      <w:r>
        <w:rPr>
          <w:rFonts w:ascii="PMingLiU" w:cs="PMingLiU" w:eastAsia="PMingLiU" w:hAnsi="PMingLiU"/>
          <w:sz w:val="19"/>
          <w:szCs w:val="19"/>
          <w:color w:val="auto"/>
        </w:rPr>
        <w:t/>
      </w:r>
    </w:p>
    <w:p>
      <w:pPr>
        <w:spacing w:after="0" w:line="3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30" w:lineRule="exact"/>
        <w:rPr>
          <w:sz w:val="20"/>
          <w:szCs w:val="20"/>
          <w:color w:val="auto"/>
        </w:rPr>
      </w:pPr>
    </w:p>
    <w:p>
      <w:pPr>
        <w:ind w:left="80"/>
        <w:spacing w:after="0"/>
        <w:tabs>
          <w:tab w:leader="none" w:pos="1200" w:val="left"/>
        </w:tabs>
        <w:rPr>
          <w:sz w:val="20"/>
          <w:szCs w:val="20"/>
          <w:color w:val="auto"/>
        </w:rPr>
      </w:pPr>
      <w:r>
        <w:rPr>
          <w:rFonts w:ascii="Times New Roman" w:cs="Times New Roman" w:eastAsia="Times New Roman" w:hAnsi="Times New Roman"/>
          <w:sz w:val="19"/>
          <w:szCs w:val="19"/>
          <w:b w:val="1"/>
          <w:bCs w:val="1"/>
          <w:color w:val="auto"/>
        </w:rPr>
        <w:t>Item 15.</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25" w:lineRule="exact"/>
        <w:rPr>
          <w:sz w:val="20"/>
          <w:szCs w:val="20"/>
          <w:color w:val="auto"/>
        </w:rPr>
      </w:pPr>
    </w:p>
    <w:p>
      <w:pPr>
        <w:ind w:left="560"/>
        <w:spacing w:after="0"/>
        <w:rPr>
          <w:sz w:val="20"/>
          <w:szCs w:val="20"/>
          <w:color w:val="auto"/>
        </w:rPr>
      </w:pPr>
      <w:r>
        <w:rPr>
          <w:rFonts w:ascii="PMingLiU" w:cs="PMingLiU" w:eastAsia="PMingLiU" w:hAnsi="PMingLiU"/>
          <w:sz w:val="19"/>
          <w:szCs w:val="19"/>
          <w:i w:val="1"/>
          <w:iCs w:val="1"/>
          <w:color w:val="auto"/>
        </w:rPr>
        <w:t>D7KHIROORZLQJGRFXPHQWVDUHILOHGDVSDUWRIWKLV$QQXDO5HSRUWRQ)RUP  .</w:t>
      </w:r>
    </w:p>
    <w:p>
      <w:pPr>
        <w:spacing w:after="0" w:line="121" w:lineRule="exact"/>
        <w:rPr>
          <w:sz w:val="20"/>
          <w:szCs w:val="20"/>
          <w:color w:val="auto"/>
        </w:rPr>
      </w:pPr>
    </w:p>
    <w:p>
      <w:pPr>
        <w:ind w:left="80"/>
        <w:spacing w:after="0"/>
        <w:tabs>
          <w:tab w:leader="none" w:pos="500" w:val="left"/>
        </w:tabs>
        <w:rPr>
          <w:sz w:val="20"/>
          <w:szCs w:val="20"/>
          <w:color w:val="auto"/>
        </w:rPr>
      </w:pPr>
      <w:r>
        <w:rPr>
          <w:rFonts w:ascii="PMingLiU" w:cs="PMingLiU" w:eastAsia="PMingLiU" w:hAnsi="PMingLiU"/>
          <w:sz w:val="19"/>
          <w:szCs w:val="19"/>
          <w:i w:val="1"/>
          <w:iCs w:val="1"/>
          <w:color w:val="auto"/>
        </w:rPr>
        <w:t/>
      </w:r>
      <w:r>
        <w:rPr>
          <w:sz w:val="20"/>
          <w:szCs w:val="20"/>
          <w:color w:val="auto"/>
        </w:rPr>
        <w:tab/>
      </w:r>
      <w:r>
        <w:rPr>
          <w:rFonts w:ascii="PMingLiU" w:cs="PMingLiU" w:eastAsia="PMingLiU" w:hAnsi="PMingLiU"/>
          <w:sz w:val="13"/>
          <w:szCs w:val="13"/>
          <w:i w:val="1"/>
          <w:iCs w:val="1"/>
          <w:color w:val="auto"/>
        </w:rPr>
        <w:t>)LQDQFLDO6WDWHPHQWV</w:t>
      </w:r>
    </w:p>
    <w:p>
      <w:pPr>
        <w:spacing w:after="0" w:line="117" w:lineRule="exact"/>
        <w:rPr>
          <w:sz w:val="20"/>
          <w:szCs w:val="20"/>
          <w:color w:val="auto"/>
        </w:rPr>
      </w:pPr>
    </w:p>
    <w:p>
      <w:pPr>
        <w:ind w:left="80" w:right="2240" w:firstLine="479"/>
        <w:spacing w:after="0" w:line="362" w:lineRule="auto"/>
        <w:rPr>
          <w:sz w:val="20"/>
          <w:szCs w:val="20"/>
          <w:color w:val="auto"/>
        </w:rPr>
      </w:pPr>
      <w:r>
        <w:rPr>
          <w:rFonts w:ascii="Times New Roman" w:cs="Times New Roman" w:eastAsia="Times New Roman" w:hAnsi="Times New Roman"/>
          <w:sz w:val="19"/>
          <w:szCs w:val="19"/>
          <w:color w:val="auto"/>
        </w:rPr>
        <w:t xml:space="preserve">See Consolidated Financial Statements in Part II, Item 8 of this Annual Report on Form </w:t>
      </w:r>
      <w:r>
        <w:rPr>
          <w:rFonts w:ascii="PMingLiU" w:cs="PMingLiU" w:eastAsia="PMingLiU" w:hAnsi="PMingLiU"/>
          <w:sz w:val="19"/>
          <w:szCs w:val="19"/>
          <w:color w:val="auto"/>
        </w:rPr>
        <w:t> .</w:t>
      </w:r>
      <w:r>
        <w:rPr>
          <w:rFonts w:ascii="Times New Roman" w:cs="Times New Roman" w:eastAsia="Times New Roman" w:hAnsi="Times New Roman"/>
          <w:sz w:val="19"/>
          <w:szCs w:val="19"/>
          <w:color w:val="auto"/>
        </w:rPr>
        <w:t xml:space="preserve"> </w:t>
      </w:r>
      <w:r>
        <w:rPr>
          <w:rFonts w:ascii="PMingLiU" w:cs="PMingLiU" w:eastAsia="PMingLiU" w:hAnsi="PMingLiU"/>
          <w:sz w:val="19"/>
          <w:szCs w:val="19"/>
          <w:i w:val="1"/>
          <w:iCs w:val="1"/>
          <w:color w:val="auto"/>
        </w:rPr>
        <w:t> )LQDQFLDO6WDWHPHQW6FKHGXOHV</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financial statement schedule of Jazz Pharmaceuticals plc is filed as part of this Annual Report on</w:t>
      </w:r>
    </w:p>
    <w:p>
      <w:pPr>
        <w:spacing w:after="0" w:line="40"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9"/>
          <w:szCs w:val="19"/>
          <w:color w:val="auto"/>
        </w:rPr>
        <w:t xml:space="preserve">Form </w:t>
      </w:r>
      <w:r>
        <w:rPr>
          <w:rFonts w:ascii="PMingLiU" w:cs="PMingLiU" w:eastAsia="PMingLiU" w:hAnsi="PMingLiU"/>
          <w:sz w:val="19"/>
          <w:szCs w:val="19"/>
          <w:color w:val="auto"/>
        </w:rPr>
        <w:t> .RQSDJH</w:t>
      </w:r>
      <w:r>
        <w:rPr>
          <w:rFonts w:ascii="Times New Roman" w:cs="Times New Roman" w:eastAsia="Times New Roman" w:hAnsi="Times New Roman"/>
          <w:sz w:val="19"/>
          <w:szCs w:val="19"/>
          <w:color w:val="auto"/>
        </w:rPr>
        <w:t xml:space="preserve"> F-49 and should be read in conjunction with the consolidated financial statements of Jazz Pharmaceuticals plc.</w:t>
      </w:r>
    </w:p>
    <w:p>
      <w:pPr>
        <w:spacing w:after="0" w:line="3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Schedule II: Valuation and Qualifying Accounts</w:t>
      </w:r>
    </w:p>
    <w:p>
      <w:pPr>
        <w:spacing w:after="0" w:line="131" w:lineRule="exact"/>
        <w:rPr>
          <w:sz w:val="20"/>
          <w:szCs w:val="20"/>
          <w:color w:val="auto"/>
        </w:rPr>
      </w:pPr>
    </w:p>
    <w:p>
      <w:pPr>
        <w:ind w:left="80" w:right="500" w:firstLine="480"/>
        <w:spacing w:after="0" w:line="299" w:lineRule="auto"/>
        <w:rPr>
          <w:sz w:val="20"/>
          <w:szCs w:val="20"/>
          <w:color w:val="auto"/>
        </w:rPr>
      </w:pPr>
      <w:r>
        <w:rPr>
          <w:rFonts w:ascii="Times New Roman" w:cs="Times New Roman" w:eastAsia="Times New Roman" w:hAnsi="Times New Roman"/>
          <w:sz w:val="19"/>
          <w:szCs w:val="19"/>
          <w:color w:val="auto"/>
        </w:rPr>
        <w:t>All other schedules are omitted because they are not applicable, not required under the instructions, or the requested information is shown in the consolidated financial statements or related notes thereto.</w:t>
      </w:r>
    </w:p>
    <w:p>
      <w:pPr>
        <w:spacing w:after="0" w:line="42" w:lineRule="exact"/>
        <w:rPr>
          <w:sz w:val="20"/>
          <w:szCs w:val="20"/>
          <w:color w:val="auto"/>
        </w:rPr>
      </w:pPr>
    </w:p>
    <w:p>
      <w:pPr>
        <w:ind w:left="440"/>
        <w:spacing w:after="0"/>
        <w:rPr>
          <w:sz w:val="20"/>
          <w:szCs w:val="20"/>
          <w:color w:val="auto"/>
        </w:rPr>
      </w:pPr>
      <w:r>
        <w:rPr>
          <w:rFonts w:ascii="PMingLiU" w:cs="PMingLiU" w:eastAsia="PMingLiU" w:hAnsi="PMingLiU"/>
          <w:sz w:val="19"/>
          <w:szCs w:val="19"/>
          <w:i w:val="1"/>
          <w:iCs w:val="1"/>
          <w:color w:val="auto"/>
        </w:rPr>
        <w:t>E([KLELWV</w:t>
      </w: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7KHIROORZLQJH[KLELWVDUHLQFOXGHGKHUHLQRULQFRUSRUDWHGKHUHLQE\UHIHUHQFH</w:t>
      </w:r>
    </w:p>
    <w:p>
      <w:pPr>
        <w:sectPr>
          <w:pgSz w:w="11880" w:h="15479" w:orient="portrait"/>
          <w:cols w:equalWidth="0" w:num="1">
            <w:col w:w="10080"/>
          </w:cols>
          <w:pgMar w:left="880" w:top="839" w:right="919" w:bottom="0" w:gutter="0" w:footer="0" w:header="0"/>
        </w:sectPr>
      </w:pP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Description of Document</w:t>
            </w:r>
          </w:p>
        </w:tc>
        <w:tc>
          <w:tcPr>
            <w:tcW w:w="28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Borders>
              <w:bottom w:val="single" w:sz="8" w:color="auto"/>
            </w:tcBorders>
            <w:gridSpan w:val="3"/>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960" w:type="dxa"/>
            <w:vAlign w:val="bottom"/>
            <w:gridSpan w:val="3"/>
          </w:tcPr>
          <w:p>
            <w:pPr>
              <w:spacing w:after="0" w:line="202" w:lineRule="exact"/>
              <w:rPr>
                <w:sz w:val="20"/>
                <w:szCs w:val="20"/>
                <w:color w:val="auto"/>
              </w:rPr>
            </w:pPr>
            <w:r>
              <w:rPr>
                <w:rFonts w:ascii="Times New Roman" w:cs="Times New Roman" w:eastAsia="Times New Roman" w:hAnsi="Times New Roman"/>
                <w:sz w:val="19"/>
                <w:szCs w:val="19"/>
                <w:color w:val="auto"/>
              </w:rPr>
              <w:t>2.1‡</w:t>
            </w:r>
          </w:p>
        </w:tc>
        <w:tc>
          <w:tcPr>
            <w:tcW w:w="1660" w:type="dxa"/>
            <w:vAlign w:val="bottom"/>
            <w:gridSpan w:val="3"/>
          </w:tcPr>
          <w:p>
            <w:pPr>
              <w:spacing w:after="0" w:line="202" w:lineRule="exact"/>
              <w:rPr>
                <w:sz w:val="20"/>
                <w:szCs w:val="20"/>
                <w:color w:val="auto"/>
              </w:rPr>
            </w:pPr>
            <w:r>
              <w:rPr>
                <w:rFonts w:ascii="Times New Roman" w:cs="Times New Roman" w:eastAsia="Times New Roman" w:hAnsi="Times New Roman"/>
                <w:sz w:val="19"/>
                <w:szCs w:val="19"/>
                <w:color w:val="auto"/>
              </w:rPr>
              <w:t>Agreement and Plan</w:t>
            </w:r>
          </w:p>
        </w:tc>
        <w:tc>
          <w:tcPr>
            <w:tcW w:w="2800" w:type="dxa"/>
            <w:vAlign w:val="bottom"/>
          </w:tcPr>
          <w:p>
            <w:pPr>
              <w:jc w:val="right"/>
              <w:ind w:right="263"/>
              <w:spacing w:after="0" w:line="202" w:lineRule="exact"/>
              <w:rPr>
                <w:sz w:val="20"/>
                <w:szCs w:val="20"/>
                <w:color w:val="auto"/>
              </w:rPr>
            </w:pPr>
            <w:r>
              <w:rPr>
                <w:rFonts w:ascii="Times New Roman" w:cs="Times New Roman" w:eastAsia="Times New Roman" w:hAnsi="Times New Roman"/>
                <w:sz w:val="19"/>
                <w:szCs w:val="19"/>
                <w:color w:val="auto"/>
              </w:rPr>
              <w:t>of Merger, dated as of March 4,</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60" w:type="dxa"/>
            <w:vAlign w:val="bottom"/>
            <w:gridSpan w:val="4"/>
          </w:tcPr>
          <w:p>
            <w:pPr>
              <w:spacing w:after="0" w:line="179" w:lineRule="exact"/>
              <w:rPr>
                <w:sz w:val="20"/>
                <w:szCs w:val="20"/>
                <w:color w:val="auto"/>
              </w:rPr>
            </w:pPr>
            <w:r>
              <w:rPr>
                <w:rFonts w:ascii="Times New Roman" w:cs="Times New Roman" w:eastAsia="Times New Roman" w:hAnsi="Times New Roman"/>
                <w:sz w:val="19"/>
                <w:szCs w:val="19"/>
                <w:color w:val="auto"/>
              </w:rPr>
              <w:t>2025, by and among Chimerix, Inc, Jazz Pharmaceuticals</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4"/>
          </w:tcPr>
          <w:p>
            <w:pPr>
              <w:spacing w:after="0" w:line="210" w:lineRule="exact"/>
              <w:rPr>
                <w:sz w:val="20"/>
                <w:szCs w:val="20"/>
                <w:color w:val="auto"/>
              </w:rPr>
            </w:pPr>
            <w:r>
              <w:rPr>
                <w:rFonts w:ascii="Times New Roman" w:cs="Times New Roman" w:eastAsia="Times New Roman" w:hAnsi="Times New Roman"/>
                <w:sz w:val="19"/>
                <w:szCs w:val="19"/>
                <w:color w:val="auto"/>
              </w:rPr>
              <w:t>Public Limited Company, and Pinetree Acquisition Sub,</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4"/>
          </w:tcPr>
          <w:p>
            <w:pPr>
              <w:spacing w:after="0" w:line="207" w:lineRule="exact"/>
              <w:rPr>
                <w:sz w:val="20"/>
                <w:szCs w:val="20"/>
                <w:color w:val="auto"/>
              </w:rPr>
            </w:pPr>
            <w:r>
              <w:rPr>
                <w:rFonts w:ascii="Times New Roman" w:cs="Times New Roman" w:eastAsia="Times New Roman" w:hAnsi="Times New Roman"/>
                <w:sz w:val="19"/>
                <w:szCs w:val="19"/>
                <w:color w:val="auto"/>
              </w:rPr>
              <w:t>Inc.</w:t>
            </w:r>
          </w:p>
        </w:tc>
        <w:tc>
          <w:tcPr>
            <w:tcW w:w="0" w:type="dxa"/>
            <w:vAlign w:val="bottom"/>
          </w:tcPr>
          <w:p>
            <w:pPr>
              <w:spacing w:after="0"/>
              <w:rPr>
                <w:sz w:val="1"/>
                <w:szCs w:val="1"/>
                <w:color w:val="auto"/>
              </w:rPr>
            </w:pPr>
          </w:p>
        </w:tc>
      </w:tr>
      <w:tr>
        <w:trPr>
          <w:trHeight w:val="235"/>
        </w:trPr>
        <w:tc>
          <w:tcPr>
            <w:tcW w:w="9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2.2‡</w:t>
            </w: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Transaction Agreement, dated as of February 3, 2021, by</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60" w:type="dxa"/>
            <w:vAlign w:val="bottom"/>
            <w:gridSpan w:val="4"/>
          </w:tcPr>
          <w:p>
            <w:pPr>
              <w:spacing w:after="0" w:line="179" w:lineRule="exact"/>
              <w:rPr>
                <w:sz w:val="20"/>
                <w:szCs w:val="20"/>
                <w:color w:val="auto"/>
              </w:rPr>
            </w:pPr>
            <w:r>
              <w:rPr>
                <w:rFonts w:ascii="PMingLiU" w:cs="PMingLiU" w:eastAsia="PMingLiU" w:hAnsi="PMingLiU"/>
                <w:sz w:val="19"/>
                <w:szCs w:val="19"/>
                <w:color w:val="auto"/>
                <w:w w:val="90"/>
              </w:rPr>
              <w:t>DQGDPRQJ-D]]3KDUPDFHXWLFDOV8.+ROGLQJV/LPLWHG</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4"/>
          </w:tcPr>
          <w:p>
            <w:pPr>
              <w:spacing w:after="0" w:line="207" w:lineRule="exact"/>
              <w:rPr>
                <w:sz w:val="20"/>
                <w:szCs w:val="20"/>
                <w:color w:val="auto"/>
              </w:rPr>
            </w:pPr>
            <w:r>
              <w:rPr>
                <w:rFonts w:ascii="Times New Roman" w:cs="Times New Roman" w:eastAsia="Times New Roman" w:hAnsi="Times New Roman"/>
                <w:sz w:val="19"/>
                <w:szCs w:val="19"/>
                <w:color w:val="auto"/>
              </w:rPr>
              <w:t>Jazz Pharmaceuticals Public Limited Company and GW</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4"/>
          </w:tcPr>
          <w:p>
            <w:pPr>
              <w:spacing w:after="0" w:line="210" w:lineRule="exact"/>
              <w:rPr>
                <w:sz w:val="20"/>
                <w:szCs w:val="20"/>
                <w:color w:val="auto"/>
              </w:rPr>
            </w:pPr>
            <w:r>
              <w:rPr>
                <w:rFonts w:ascii="Times New Roman" w:cs="Times New Roman" w:eastAsia="Times New Roman" w:hAnsi="Times New Roman"/>
                <w:sz w:val="19"/>
                <w:szCs w:val="19"/>
                <w:color w:val="auto"/>
              </w:rPr>
              <w:t>Pharmaceuticals PLC</w:t>
            </w: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2.3#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License and Collaboration Agreement, dated October 18,</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60" w:type="dxa"/>
            <w:vAlign w:val="bottom"/>
            <w:gridSpan w:val="4"/>
          </w:tcPr>
          <w:p>
            <w:pPr>
              <w:spacing w:after="0" w:line="179" w:lineRule="exact"/>
              <w:rPr>
                <w:sz w:val="20"/>
                <w:szCs w:val="20"/>
                <w:color w:val="auto"/>
              </w:rPr>
            </w:pPr>
            <w:r>
              <w:rPr>
                <w:rFonts w:ascii="Times New Roman" w:cs="Times New Roman" w:eastAsia="Times New Roman" w:hAnsi="Times New Roman"/>
                <w:sz w:val="19"/>
                <w:szCs w:val="19"/>
                <w:color w:val="auto"/>
              </w:rPr>
              <w:t>2022, between Jazz Pharmaceuticals Ireland Limited and</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4"/>
          </w:tcPr>
          <w:p>
            <w:pPr>
              <w:spacing w:after="0" w:line="207" w:lineRule="exact"/>
              <w:rPr>
                <w:sz w:val="20"/>
                <w:szCs w:val="20"/>
                <w:color w:val="auto"/>
              </w:rPr>
            </w:pPr>
            <w:r>
              <w:rPr>
                <w:rFonts w:ascii="Times New Roman" w:cs="Times New Roman" w:eastAsia="Times New Roman" w:hAnsi="Times New Roman"/>
                <w:sz w:val="19"/>
                <w:szCs w:val="19"/>
                <w:color w:val="auto"/>
              </w:rPr>
              <w:t>Zymeworks BC Inc.</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Amended and Restated Memorandum and Articles of</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60" w:type="dxa"/>
            <w:vAlign w:val="bottom"/>
            <w:gridSpan w:val="4"/>
          </w:tcPr>
          <w:p>
            <w:pPr>
              <w:spacing w:after="0" w:line="179" w:lineRule="exact"/>
              <w:rPr>
                <w:sz w:val="20"/>
                <w:szCs w:val="20"/>
                <w:color w:val="auto"/>
              </w:rPr>
            </w:pPr>
            <w:r>
              <w:rPr>
                <w:rFonts w:ascii="Times New Roman" w:cs="Times New Roman" w:eastAsia="Times New Roman" w:hAnsi="Times New Roman"/>
                <w:sz w:val="19"/>
                <w:szCs w:val="19"/>
                <w:color w:val="auto"/>
              </w:rPr>
              <w:t>Association of Jazz Pharmaceuticals Public Limited</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Company, as amended on August 4, 2016</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Description of Share Capital</w:t>
            </w:r>
          </w:p>
        </w:tc>
        <w:tc>
          <w:tcPr>
            <w:tcW w:w="0" w:type="dxa"/>
            <w:vAlign w:val="bottom"/>
          </w:tcPr>
          <w:p>
            <w:pPr>
              <w:spacing w:after="0"/>
              <w:rPr>
                <w:sz w:val="1"/>
                <w:szCs w:val="1"/>
                <w:color w:val="auto"/>
              </w:rPr>
            </w:pPr>
          </w:p>
        </w:tc>
      </w:tr>
      <w:tr>
        <w:trPr>
          <w:trHeight w:val="212"/>
        </w:trPr>
        <w:tc>
          <w:tcPr>
            <w:tcW w:w="960" w:type="dxa"/>
            <w:vAlign w:val="bottom"/>
            <w:gridSpan w:val="3"/>
          </w:tcPr>
          <w:p>
            <w:pPr>
              <w:spacing w:after="0" w:line="212" w:lineRule="exact"/>
              <w:rPr>
                <w:sz w:val="20"/>
                <w:szCs w:val="20"/>
                <w:color w:val="auto"/>
              </w:rPr>
            </w:pPr>
            <w:r>
              <w:rPr>
                <w:rFonts w:ascii="Times New Roman" w:cs="Times New Roman" w:eastAsia="Times New Roman" w:hAnsi="Times New Roman"/>
                <w:sz w:val="19"/>
                <w:szCs w:val="19"/>
                <w:color w:val="auto"/>
              </w:rPr>
              <w:t>4.2A</w:t>
            </w:r>
          </w:p>
        </w:tc>
        <w:tc>
          <w:tcPr>
            <w:tcW w:w="4460" w:type="dxa"/>
            <w:vAlign w:val="bottom"/>
            <w:gridSpan w:val="4"/>
          </w:tcPr>
          <w:p>
            <w:pPr>
              <w:spacing w:after="0" w:line="212" w:lineRule="exact"/>
              <w:rPr>
                <w:sz w:val="20"/>
                <w:szCs w:val="20"/>
                <w:color w:val="auto"/>
              </w:rPr>
            </w:pPr>
            <w:r>
              <w:rPr>
                <w:rFonts w:ascii="Times New Roman" w:cs="Times New Roman" w:eastAsia="Times New Roman" w:hAnsi="Times New Roman"/>
                <w:sz w:val="19"/>
                <w:szCs w:val="19"/>
                <w:color w:val="auto"/>
              </w:rPr>
              <w:t>Indenture, dated as of August 23, 2017, among Jazz</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4"/>
          </w:tcPr>
          <w:p>
            <w:pPr>
              <w:spacing w:after="0" w:line="191" w:lineRule="exact"/>
              <w:rPr>
                <w:sz w:val="20"/>
                <w:szCs w:val="20"/>
                <w:color w:val="auto"/>
              </w:rPr>
            </w:pPr>
            <w:r>
              <w:rPr>
                <w:rFonts w:ascii="Times New Roman" w:cs="Times New Roman" w:eastAsia="Times New Roman" w:hAnsi="Times New Roman"/>
                <w:sz w:val="19"/>
                <w:szCs w:val="19"/>
                <w:color w:val="auto"/>
              </w:rPr>
              <w:t>Pharmaceuticals Public Limited Company, Jazz</w:t>
            </w: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60" w:type="dxa"/>
            <w:vAlign w:val="bottom"/>
            <w:gridSpan w:val="4"/>
          </w:tcPr>
          <w:p>
            <w:pPr>
              <w:spacing w:after="0" w:line="193" w:lineRule="exact"/>
              <w:rPr>
                <w:sz w:val="20"/>
                <w:szCs w:val="20"/>
                <w:color w:val="auto"/>
              </w:rPr>
            </w:pPr>
            <w:r>
              <w:rPr>
                <w:rFonts w:ascii="Times New Roman" w:cs="Times New Roman" w:eastAsia="Times New Roman" w:hAnsi="Times New Roman"/>
                <w:sz w:val="19"/>
                <w:szCs w:val="19"/>
                <w:color w:val="auto"/>
              </w:rPr>
              <w:t>Investments I Limited and U.S. Bank National</w:t>
            </w: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Association</w:t>
            </w:r>
          </w:p>
        </w:tc>
        <w:tc>
          <w:tcPr>
            <w:tcW w:w="0" w:type="dxa"/>
            <w:vAlign w:val="bottom"/>
          </w:tcPr>
          <w:p>
            <w:pPr>
              <w:spacing w:after="0"/>
              <w:rPr>
                <w:sz w:val="1"/>
                <w:szCs w:val="1"/>
                <w:color w:val="auto"/>
              </w:rPr>
            </w:pPr>
          </w:p>
        </w:tc>
      </w:tr>
      <w:tr>
        <w:trPr>
          <w:trHeight w:val="279"/>
        </w:trPr>
        <w:tc>
          <w:tcPr>
            <w:tcW w:w="9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4.2B</w:t>
            </w:r>
          </w:p>
        </w:tc>
        <w:tc>
          <w:tcPr>
            <w:tcW w:w="44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Form of 1.50% Exchangeable Senior Note due 2024</w:t>
            </w:r>
          </w:p>
        </w:tc>
        <w:tc>
          <w:tcPr>
            <w:tcW w:w="0" w:type="dxa"/>
            <w:vAlign w:val="bottom"/>
          </w:tcPr>
          <w:p>
            <w:pPr>
              <w:spacing w:after="0"/>
              <w:rPr>
                <w:sz w:val="1"/>
                <w:szCs w:val="1"/>
                <w:color w:val="auto"/>
              </w:rPr>
            </w:pPr>
          </w:p>
        </w:tc>
      </w:tr>
      <w:tr>
        <w:trPr>
          <w:trHeight w:val="456"/>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spacing w:after="0"/>
              <w:rPr>
                <w:sz w:val="12"/>
                <w:szCs w:val="12"/>
                <w:color w:val="auto"/>
              </w:rPr>
            </w:pPr>
          </w:p>
        </w:tc>
        <w:tc>
          <w:tcPr>
            <w:tcW w:w="20" w:type="dxa"/>
            <w:vAlign w:val="bottom"/>
            <w:shd w:val="clear" w:color="auto" w:fill="5C004B"/>
          </w:tcPr>
          <w:p>
            <w:pPr>
              <w:spacing w:after="0"/>
              <w:rPr>
                <w:sz w:val="12"/>
                <w:szCs w:val="12"/>
                <w:color w:val="auto"/>
              </w:rPr>
            </w:pPr>
          </w:p>
        </w:tc>
        <w:tc>
          <w:tcPr>
            <w:tcW w:w="340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1416050" cy="2546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627">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2"/>
              </w:rPr>
              <w:t>Filed</w:t>
            </w:r>
          </w:p>
        </w:tc>
        <w:tc>
          <w:tcPr>
            <w:tcW w:w="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20" w:type="dxa"/>
            <w:vAlign w:val="bottom"/>
            <w:gridSpan w:val="3"/>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2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28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3/5/2025</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1"/>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2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2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2/4/2021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2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2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12/5/2022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2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8/9/2016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X</w:t>
            </w:r>
          </w:p>
        </w:tc>
        <w:tc>
          <w:tcPr>
            <w:tcW w:w="0" w:type="dxa"/>
            <w:vAlign w:val="bottom"/>
          </w:tcPr>
          <w:p>
            <w:pPr>
              <w:spacing w:after="0"/>
              <w:rPr>
                <w:sz w:val="1"/>
                <w:szCs w:val="1"/>
                <w:color w:val="auto"/>
              </w:rPr>
            </w:pPr>
          </w:p>
        </w:tc>
      </w:tr>
      <w:tr>
        <w:trPr>
          <w:trHeight w:val="272"/>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2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28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8/23/2017</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6"/>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2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001-33500</w:t>
            </w:r>
          </w:p>
        </w:tc>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2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8/23/2017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4"/>
          </w:tcPr>
          <w:p>
            <w:pPr>
              <w:ind w:left="80"/>
              <w:spacing w:after="0"/>
              <w:rPr>
                <w:sz w:val="20"/>
                <w:szCs w:val="20"/>
                <w:color w:val="auto"/>
              </w:rPr>
            </w:pPr>
            <w:r>
              <w:rPr>
                <w:rFonts w:ascii="Arial" w:cs="Arial" w:eastAsia="Arial" w:hAnsi="Arial"/>
                <w:sz w:val="16"/>
                <w:szCs w:val="16"/>
                <w:color w:val="auto"/>
                <w:w w:val="99"/>
              </w:rPr>
              <w:t>2025 ANNUAL REPORT</w:t>
            </w:r>
          </w:p>
        </w:tc>
        <w:tc>
          <w:tcPr>
            <w:tcW w:w="820" w:type="dxa"/>
            <w:vAlign w:val="bottom"/>
            <w:gridSpan w:val="3"/>
          </w:tcPr>
          <w:p>
            <w:pPr>
              <w:jc w:val="right"/>
              <w:spacing w:after="0"/>
              <w:rPr>
                <w:sz w:val="20"/>
                <w:szCs w:val="20"/>
                <w:color w:val="auto"/>
              </w:rPr>
            </w:pPr>
            <w:r>
              <w:rPr>
                <w:rFonts w:ascii="Arial" w:cs="Arial" w:eastAsia="Arial" w:hAnsi="Arial"/>
                <w:sz w:val="20"/>
                <w:szCs w:val="20"/>
                <w:b w:val="1"/>
                <w:bCs w:val="1"/>
                <w:color w:val="5C004B"/>
              </w:rPr>
              <w:t>109</w:t>
            </w:r>
          </w:p>
        </w:tc>
        <w:tc>
          <w:tcPr>
            <w:tcW w:w="0" w:type="dxa"/>
            <w:vAlign w:val="bottom"/>
          </w:tcPr>
          <w:p>
            <w:pPr>
              <w:spacing w:after="0"/>
              <w:rPr>
                <w:sz w:val="1"/>
                <w:szCs w:val="1"/>
                <w:color w:val="auto"/>
              </w:rPr>
            </w:pPr>
          </w:p>
        </w:tc>
      </w:tr>
    </w:tbl>
    <w:p>
      <w:pPr>
        <w:sectPr>
          <w:pgSz w:w="11880" w:h="15479" w:orient="portrait"/>
          <w:cols w:equalWidth="0" w:num="2">
            <w:col w:w="5500" w:space="260"/>
            <w:col w:w="4320"/>
          </w:cols>
          <w:pgMar w:left="880" w:top="839" w:right="919" w:bottom="0" w:gutter="0" w:footer="0" w:header="0"/>
          <w:type w:val="continuous"/>
        </w:sectPr>
      </w:pPr>
    </w:p>
    <w:bookmarkStart w:id="233" w:name="page234"/>
    <w:bookmarkEnd w:id="233"/>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4.3A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4.3B</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4.4B</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4.6A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4.6B</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10.2A#</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10.2B#</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5C004B"/>
        </w:rPr>
        <w:t>110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Indenture, dated as of June 11, 2020 among Jazz</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4.1</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6/11/2020</w:t>
            </w:r>
          </w:p>
        </w:tc>
        <w:tc>
          <w:tcPr>
            <w:tcW w:w="0" w:type="dxa"/>
            <w:vAlign w:val="bottom"/>
          </w:tcPr>
          <w:p>
            <w:pPr>
              <w:spacing w:after="0"/>
              <w:rPr>
                <w:sz w:val="1"/>
                <w:szCs w:val="1"/>
                <w:color w:val="auto"/>
              </w:rPr>
            </w:pPr>
          </w:p>
        </w:tc>
      </w:tr>
      <w:tr>
        <w:trPr>
          <w:trHeight w:val="172"/>
        </w:trPr>
        <w:tc>
          <w:tcPr>
            <w:tcW w:w="4640" w:type="dxa"/>
            <w:vAlign w:val="bottom"/>
          </w:tcPr>
          <w:p>
            <w:pPr>
              <w:spacing w:after="0" w:line="173" w:lineRule="exact"/>
              <w:rPr>
                <w:sz w:val="20"/>
                <w:szCs w:val="20"/>
                <w:color w:val="auto"/>
              </w:rPr>
            </w:pPr>
            <w:r>
              <w:rPr>
                <w:rFonts w:ascii="Times New Roman" w:cs="Times New Roman" w:eastAsia="Times New Roman" w:hAnsi="Times New Roman"/>
                <w:sz w:val="19"/>
                <w:szCs w:val="19"/>
                <w:color w:val="auto"/>
              </w:rPr>
              <w:t>Pharmaceuticals Public Limited Company, Jazz</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Investments I Limited and U.S. Bank National</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Association</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Form of 2.000% Exchangeable Senior Note due 2026</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4.2</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6/11/2020</w:t>
            </w: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Indenture, dated as of April 29, 2021, among Jazz</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4.1</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4/29/2021</w:t>
            </w:r>
          </w:p>
        </w:tc>
        <w:tc>
          <w:tcPr>
            <w:tcW w:w="0" w:type="dxa"/>
            <w:vAlign w:val="bottom"/>
          </w:tcPr>
          <w:p>
            <w:pPr>
              <w:spacing w:after="0"/>
              <w:rPr>
                <w:sz w:val="1"/>
                <w:szCs w:val="1"/>
                <w:color w:val="auto"/>
              </w:rPr>
            </w:pPr>
          </w:p>
        </w:tc>
      </w:tr>
      <w:tr>
        <w:trPr>
          <w:trHeight w:val="170"/>
        </w:trPr>
        <w:tc>
          <w:tcPr>
            <w:tcW w:w="4640" w:type="dxa"/>
            <w:vAlign w:val="bottom"/>
          </w:tcPr>
          <w:p>
            <w:pPr>
              <w:spacing w:after="0" w:line="170" w:lineRule="exact"/>
              <w:rPr>
                <w:sz w:val="20"/>
                <w:szCs w:val="20"/>
                <w:color w:val="auto"/>
              </w:rPr>
            </w:pPr>
            <w:r>
              <w:rPr>
                <w:rFonts w:ascii="Times New Roman" w:cs="Times New Roman" w:eastAsia="Times New Roman" w:hAnsi="Times New Roman"/>
                <w:sz w:val="19"/>
                <w:szCs w:val="19"/>
                <w:color w:val="auto"/>
              </w:rPr>
              <w:t>Securities Designated Activity Company, the guarantors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party thereto, U.S. Bank National Association, as trustee</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and acknowledged by U.S. Bank National Association, as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collateral trustee</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Form of 4.375% Senior Notes due 2029</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4.2</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4/29/2021</w:t>
            </w: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First Supplemental Indenture, dated as of July 21, 2021,</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4.5C</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8/3/2021</w:t>
            </w:r>
          </w:p>
        </w:tc>
        <w:tc>
          <w:tcPr>
            <w:tcW w:w="0" w:type="dxa"/>
            <w:vAlign w:val="bottom"/>
          </w:tcPr>
          <w:p>
            <w:pPr>
              <w:spacing w:after="0"/>
              <w:rPr>
                <w:sz w:val="1"/>
                <w:szCs w:val="1"/>
                <w:color w:val="auto"/>
              </w:rPr>
            </w:pPr>
          </w:p>
        </w:tc>
      </w:tr>
      <w:tr>
        <w:trPr>
          <w:trHeight w:val="170"/>
        </w:trPr>
        <w:tc>
          <w:tcPr>
            <w:tcW w:w="4640" w:type="dxa"/>
            <w:vAlign w:val="bottom"/>
          </w:tcPr>
          <w:p>
            <w:pPr>
              <w:spacing w:after="0" w:line="170" w:lineRule="exact"/>
              <w:rPr>
                <w:sz w:val="20"/>
                <w:szCs w:val="20"/>
                <w:color w:val="auto"/>
              </w:rPr>
            </w:pPr>
            <w:r>
              <w:rPr>
                <w:rFonts w:ascii="Times New Roman" w:cs="Times New Roman" w:eastAsia="Times New Roman" w:hAnsi="Times New Roman"/>
                <w:sz w:val="19"/>
                <w:szCs w:val="19"/>
                <w:color w:val="auto"/>
              </w:rPr>
              <w:t>among GW Pharmaceuticals Limited, GW Global</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Services (International) Limited, GW Pharma Limited,</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PMingLiU" w:cs="PMingLiU" w:eastAsia="PMingLiU" w:hAnsi="PMingLiU"/>
                <w:sz w:val="19"/>
                <w:szCs w:val="19"/>
                <w:color w:val="auto"/>
              </w:rPr>
              <w:t>*:5HVHDUFK/LPLWHG*:8.6HUYLFHV/LPLWHGDQG</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Greenwich Biosciences, Inc., Jazz Securities Designated</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Activity Company, and U.S. Bank National Association,</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as trustee under the Indenture, dated as of April 29, 2021</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Indenture, dated as of September 6, 2024 among Jazz</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4.1</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9/6/2024</w:t>
            </w:r>
          </w:p>
        </w:tc>
        <w:tc>
          <w:tcPr>
            <w:tcW w:w="0" w:type="dxa"/>
            <w:vAlign w:val="bottom"/>
          </w:tcPr>
          <w:p>
            <w:pPr>
              <w:spacing w:after="0"/>
              <w:rPr>
                <w:sz w:val="1"/>
                <w:szCs w:val="1"/>
                <w:color w:val="auto"/>
              </w:rPr>
            </w:pPr>
          </w:p>
        </w:tc>
      </w:tr>
      <w:tr>
        <w:trPr>
          <w:trHeight w:val="172"/>
        </w:trPr>
        <w:tc>
          <w:tcPr>
            <w:tcW w:w="4640" w:type="dxa"/>
            <w:vAlign w:val="bottom"/>
          </w:tcPr>
          <w:p>
            <w:pPr>
              <w:spacing w:after="0" w:line="173" w:lineRule="exact"/>
              <w:rPr>
                <w:sz w:val="20"/>
                <w:szCs w:val="20"/>
                <w:color w:val="auto"/>
              </w:rPr>
            </w:pPr>
            <w:r>
              <w:rPr>
                <w:rFonts w:ascii="Times New Roman" w:cs="Times New Roman" w:eastAsia="Times New Roman" w:hAnsi="Times New Roman"/>
                <w:sz w:val="19"/>
                <w:szCs w:val="19"/>
                <w:color w:val="auto"/>
              </w:rPr>
              <w:t>Pharmaceuticals Public Limited Company, Jazz</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Investments I Limited and U.S. Bank Trust Company,</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National Association</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Form of 3.125% Exchangeable Senior Note due 2030</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4.2</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9/6/2024</w:t>
            </w: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Credit Agreement, dated as of May 5, 2021, by and among</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5/5/2021</w:t>
            </w:r>
          </w:p>
        </w:tc>
        <w:tc>
          <w:tcPr>
            <w:tcW w:w="0" w:type="dxa"/>
            <w:vAlign w:val="bottom"/>
          </w:tcPr>
          <w:p>
            <w:pPr>
              <w:spacing w:after="0"/>
              <w:rPr>
                <w:sz w:val="1"/>
                <w:szCs w:val="1"/>
                <w:color w:val="auto"/>
              </w:rPr>
            </w:pPr>
          </w:p>
        </w:tc>
      </w:tr>
      <w:tr>
        <w:trPr>
          <w:trHeight w:val="170"/>
        </w:trPr>
        <w:tc>
          <w:tcPr>
            <w:tcW w:w="4640" w:type="dxa"/>
            <w:vAlign w:val="bottom"/>
          </w:tcPr>
          <w:p>
            <w:pPr>
              <w:spacing w:after="0" w:line="170" w:lineRule="exact"/>
              <w:rPr>
                <w:sz w:val="20"/>
                <w:szCs w:val="20"/>
                <w:color w:val="auto"/>
              </w:rPr>
            </w:pPr>
            <w:r>
              <w:rPr>
                <w:rFonts w:ascii="Times New Roman" w:cs="Times New Roman" w:eastAsia="Times New Roman" w:hAnsi="Times New Roman"/>
                <w:sz w:val="19"/>
                <w:szCs w:val="19"/>
                <w:color w:val="auto"/>
              </w:rPr>
              <w:t>Jazz Pharmaceuticals Public Limited Company, the other</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borrowers from time to time party thereto, the lenders and</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issuing banks from time to time party thereto, Bank of</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America, N.A., as administrative agent, and U.S. Bank</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National Association, as collateral trustee</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Conforming Changes Amendment, dated as of June 7,</w:t>
            </w:r>
          </w:p>
        </w:tc>
        <w:tc>
          <w:tcPr>
            <w:tcW w:w="6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8/9/2023</w:t>
            </w:r>
          </w:p>
        </w:tc>
        <w:tc>
          <w:tcPr>
            <w:tcW w:w="0" w:type="dxa"/>
            <w:vAlign w:val="bottom"/>
          </w:tcPr>
          <w:p>
            <w:pPr>
              <w:spacing w:after="0"/>
              <w:rPr>
                <w:sz w:val="1"/>
                <w:szCs w:val="1"/>
                <w:color w:val="auto"/>
              </w:rPr>
            </w:pPr>
          </w:p>
        </w:tc>
      </w:tr>
      <w:tr>
        <w:trPr>
          <w:trHeight w:val="172"/>
        </w:trPr>
        <w:tc>
          <w:tcPr>
            <w:tcW w:w="4640" w:type="dxa"/>
            <w:vAlign w:val="bottom"/>
          </w:tcPr>
          <w:p>
            <w:pPr>
              <w:spacing w:after="0" w:line="173" w:lineRule="exact"/>
              <w:rPr>
                <w:sz w:val="20"/>
                <w:szCs w:val="20"/>
                <w:color w:val="auto"/>
              </w:rPr>
            </w:pPr>
            <w:r>
              <w:rPr>
                <w:rFonts w:ascii="Times New Roman" w:cs="Times New Roman" w:eastAsia="Times New Roman" w:hAnsi="Times New Roman"/>
                <w:sz w:val="19"/>
                <w:szCs w:val="19"/>
                <w:color w:val="auto"/>
              </w:rPr>
              <w:t>2023, entered into by Bank of America, N.A. as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administrative agent to Credit Agreement, dated as of May</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5, 2021, by and among Jazz Pharmaceuticals Public</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Limited Company, the other borrowers from time to time</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party thereto, the lenders and issuing banks from time to</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time party thereto, Bank of America, N.A., as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administrative agent, and U.S. Bank National Association,</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as collateral trustee</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Amendment No. 1, dated as of January 19, 2024, to Credit</w:t>
            </w: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line="203" w:lineRule="exact"/>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140"/>
              <w:spacing w:after="0" w:line="203" w:lineRule="exact"/>
              <w:rPr>
                <w:sz w:val="20"/>
                <w:szCs w:val="20"/>
                <w:color w:val="auto"/>
              </w:rPr>
            </w:pPr>
            <w:r>
              <w:rPr>
                <w:rFonts w:ascii="Times New Roman" w:cs="Times New Roman" w:eastAsia="Times New Roman" w:hAnsi="Times New Roman"/>
                <w:sz w:val="19"/>
                <w:szCs w:val="19"/>
                <w:color w:val="auto"/>
              </w:rPr>
              <w:t>1/25/2024</w:t>
            </w:r>
          </w:p>
        </w:tc>
        <w:tc>
          <w:tcPr>
            <w:tcW w:w="0" w:type="dxa"/>
            <w:vAlign w:val="bottom"/>
          </w:tcPr>
          <w:p>
            <w:pPr>
              <w:spacing w:after="0"/>
              <w:rPr>
                <w:sz w:val="1"/>
                <w:szCs w:val="1"/>
                <w:color w:val="auto"/>
              </w:rPr>
            </w:pP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Agreement dated as of May 5, 2021, by and among Jazz</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Pharmaceuticals Public Limited Company, the other</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borrowers from time to time party thereto, the lenders and</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issuing banks from time to time party thereto, Bank of</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America, N.A., as administrative agent, and U.S. Bank</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Trust Company, National Association, as collateral trustee</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Amendment No. 2, dated as of January 19, 2024, to Credit</w:t>
            </w: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line="203" w:lineRule="exact"/>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140"/>
              <w:spacing w:after="0" w:line="203" w:lineRule="exact"/>
              <w:rPr>
                <w:sz w:val="20"/>
                <w:szCs w:val="20"/>
                <w:color w:val="auto"/>
              </w:rPr>
            </w:pPr>
            <w:r>
              <w:rPr>
                <w:rFonts w:ascii="Times New Roman" w:cs="Times New Roman" w:eastAsia="Times New Roman" w:hAnsi="Times New Roman"/>
                <w:sz w:val="19"/>
                <w:szCs w:val="19"/>
                <w:color w:val="auto"/>
              </w:rPr>
              <w:t>7/22/2024</w:t>
            </w:r>
          </w:p>
        </w:tc>
        <w:tc>
          <w:tcPr>
            <w:tcW w:w="0" w:type="dxa"/>
            <w:vAlign w:val="bottom"/>
          </w:tcPr>
          <w:p>
            <w:pPr>
              <w:spacing w:after="0"/>
              <w:rPr>
                <w:sz w:val="1"/>
                <w:szCs w:val="1"/>
                <w:color w:val="auto"/>
              </w:rPr>
            </w:pP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Agreement dated as of May 5, 2021, by and among Jazz</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Pharmaceuticals Public Limited Company, the other</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borrowers party thereto, the guarantors party thereto, the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lenders party thereto, Bank of America, N.A., as</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administrative agent, and U.S. Bank Trust Company,</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National Association, (as successor in interest to U.S.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Bank National Association), as collateral trustee</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Amendment No. 3, dated as of November 26, 2024, to</w:t>
            </w: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right"/>
              <w:ind w:right="3"/>
              <w:spacing w:after="0" w:line="203" w:lineRule="exact"/>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140"/>
              <w:spacing w:after="0" w:line="203" w:lineRule="exact"/>
              <w:rPr>
                <w:sz w:val="20"/>
                <w:szCs w:val="20"/>
                <w:color w:val="auto"/>
              </w:rPr>
            </w:pPr>
            <w:r>
              <w:rPr>
                <w:rFonts w:ascii="Times New Roman" w:cs="Times New Roman" w:eastAsia="Times New Roman" w:hAnsi="Times New Roman"/>
                <w:sz w:val="19"/>
                <w:szCs w:val="19"/>
                <w:color w:val="auto"/>
                <w:w w:val="99"/>
              </w:rPr>
              <w:t>11/26/2024</w:t>
            </w:r>
          </w:p>
        </w:tc>
        <w:tc>
          <w:tcPr>
            <w:tcW w:w="0" w:type="dxa"/>
            <w:vAlign w:val="bottom"/>
          </w:tcPr>
          <w:p>
            <w:pPr>
              <w:spacing w:after="0"/>
              <w:rPr>
                <w:sz w:val="1"/>
                <w:szCs w:val="1"/>
                <w:color w:val="auto"/>
              </w:rPr>
            </w:pP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Credit Agreement dated as of May 5, 2021, by and among</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Jazz Pharmaceuticals Public Limited Company, the other</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borrowers party thereto, the guarantors party thereto, the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lenders and issuing banks party thereto, Bank of America,</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N.A., as administrative agent, and U.S. Bank Trust</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Company, National Association (as successor in interest to</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U.S. Bank National Association), as collateral trustee</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License and Option Agreement, dated July 27, 2016, by</w:t>
            </w:r>
          </w:p>
        </w:tc>
        <w:tc>
          <w:tcPr>
            <w:tcW w:w="60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line="203" w:lineRule="exact"/>
              <w:rPr>
                <w:sz w:val="20"/>
                <w:szCs w:val="20"/>
                <w:color w:val="auto"/>
              </w:rPr>
            </w:pPr>
            <w:r>
              <w:rPr>
                <w:rFonts w:ascii="Times New Roman" w:cs="Times New Roman" w:eastAsia="Times New Roman" w:hAnsi="Times New Roman"/>
                <w:sz w:val="19"/>
                <w:szCs w:val="19"/>
                <w:color w:val="auto"/>
              </w:rPr>
              <w:t>001-33500</w:t>
            </w:r>
          </w:p>
        </w:tc>
        <w:tc>
          <w:tcPr>
            <w:tcW w:w="720" w:type="dxa"/>
            <w:vAlign w:val="bottom"/>
          </w:tcPr>
          <w:p>
            <w:pPr>
              <w:ind w:left="80"/>
              <w:spacing w:after="0" w:line="203" w:lineRule="exact"/>
              <w:rPr>
                <w:sz w:val="20"/>
                <w:szCs w:val="20"/>
                <w:color w:val="auto"/>
              </w:rPr>
            </w:pPr>
            <w:r>
              <w:rPr>
                <w:rFonts w:ascii="Times New Roman" w:cs="Times New Roman" w:eastAsia="Times New Roman" w:hAnsi="Times New Roman"/>
                <w:sz w:val="19"/>
                <w:szCs w:val="19"/>
                <w:color w:val="auto"/>
              </w:rPr>
              <w:t>10.1A</w:t>
            </w:r>
          </w:p>
        </w:tc>
        <w:tc>
          <w:tcPr>
            <w:tcW w:w="1020" w:type="dxa"/>
            <w:vAlign w:val="bottom"/>
          </w:tcPr>
          <w:p>
            <w:pPr>
              <w:ind w:left="140"/>
              <w:spacing w:after="0" w:line="203" w:lineRule="exact"/>
              <w:rPr>
                <w:sz w:val="20"/>
                <w:szCs w:val="20"/>
                <w:color w:val="auto"/>
              </w:rPr>
            </w:pPr>
            <w:r>
              <w:rPr>
                <w:rFonts w:ascii="Times New Roman" w:cs="Times New Roman" w:eastAsia="Times New Roman" w:hAnsi="Times New Roman"/>
                <w:sz w:val="19"/>
                <w:szCs w:val="19"/>
                <w:color w:val="auto"/>
              </w:rPr>
              <w:t>8/6/2025</w:t>
            </w:r>
          </w:p>
        </w:tc>
        <w:tc>
          <w:tcPr>
            <w:tcW w:w="0" w:type="dxa"/>
            <w:vAlign w:val="bottom"/>
          </w:tcPr>
          <w:p>
            <w:pPr>
              <w:spacing w:after="0"/>
              <w:rPr>
                <w:sz w:val="1"/>
                <w:szCs w:val="1"/>
                <w:color w:val="auto"/>
              </w:rPr>
            </w:pP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and between Pfenex Inc. and Jazz Pharmaceuticals Ireland</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Limited</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10.1B</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auto"/>
              </w:rPr>
              <w:t>8/6/2025</w:t>
            </w:r>
          </w:p>
        </w:tc>
        <w:tc>
          <w:tcPr>
            <w:tcW w:w="0" w:type="dxa"/>
            <w:vAlign w:val="bottom"/>
          </w:tcPr>
          <w:p>
            <w:pPr>
              <w:spacing w:after="0"/>
              <w:rPr>
                <w:sz w:val="1"/>
                <w:szCs w:val="1"/>
                <w:color w:val="auto"/>
              </w:rPr>
            </w:pPr>
          </w:p>
        </w:tc>
      </w:tr>
      <w:tr>
        <w:trPr>
          <w:trHeight w:val="268"/>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Amended and Restated License and Option Agreement,</w:t>
            </w:r>
          </w:p>
        </w:tc>
        <w:tc>
          <w:tcPr>
            <w:tcW w:w="600" w:type="dxa"/>
            <w:vAlign w:val="bottom"/>
            <w:vMerge w:val="continue"/>
          </w:tcPr>
          <w:p>
            <w:pPr>
              <w:spacing w:after="0"/>
              <w:rPr>
                <w:sz w:val="23"/>
                <w:szCs w:val="23"/>
                <w:color w:val="auto"/>
              </w:rPr>
            </w:pPr>
          </w:p>
        </w:tc>
        <w:tc>
          <w:tcPr>
            <w:tcW w:w="10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146685</wp:posOffset>
            </wp:positionV>
            <wp:extent cx="259080" cy="2546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62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-208915</wp:posOffset>
            </wp:positionV>
            <wp:extent cx="1134745" cy="1168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62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2">
            <w:col w:w="640" w:space="220"/>
            <w:col w:w="8679"/>
          </w:cols>
          <w:pgMar w:left="900" w:top="839" w:right="1440" w:bottom="0" w:gutter="0" w:footer="0" w:header="0"/>
        </w:sectPr>
      </w:pPr>
    </w:p>
    <w:bookmarkStart w:id="234" w:name="page235"/>
    <w:bookmarkEnd w:id="234"/>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10.8A‡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10.8B‡</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10.13A+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10.13B+</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10.13C+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10.15A+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10.15B+</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10.15C+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10.15D+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10.16A+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10.16B+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276860</wp:posOffset>
            </wp:positionV>
            <wp:extent cx="574040" cy="2546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630">
                      <a:extLst>
                        <a:ext uri="{28A0092B-C50C-407E-A947-70E740481C1C}"/>
                      </a:extLst>
                    </a:blip>
                    <a:srcRect/>
                    <a:stretch>
                      <a:fillRect/>
                    </a:stretch>
                  </pic:blipFill>
                  <pic:spPr bwMode="auto">
                    <a:xfrm>
                      <a:off x="0" y="0"/>
                      <a:ext cx="574040"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dated December 18, 2017, by and between Pfenex Inc.</w:t>
      </w:r>
    </w:p>
    <w:p>
      <w:pPr>
        <w:spacing w:after="0" w:line="238" w:lineRule="auto"/>
        <w:rPr>
          <w:sz w:val="20"/>
          <w:szCs w:val="20"/>
          <w:color w:val="auto"/>
        </w:rPr>
      </w:pPr>
      <w:r>
        <w:rPr>
          <w:rFonts w:ascii="Times New Roman" w:cs="Times New Roman" w:eastAsia="Times New Roman" w:hAnsi="Times New Roman"/>
          <w:sz w:val="19"/>
          <w:szCs w:val="19"/>
          <w:color w:val="auto"/>
        </w:rPr>
        <w:t>and Jazz Pharmaceuticals Ireland Limited</w:t>
      </w:r>
    </w:p>
    <w:p>
      <w:pPr>
        <w:spacing w:after="0" w:line="227" w:lineRule="auto"/>
        <w:rPr>
          <w:sz w:val="20"/>
          <w:szCs w:val="20"/>
          <w:color w:val="auto"/>
        </w:rPr>
      </w:pPr>
      <w:r>
        <w:rPr>
          <w:rFonts w:ascii="Times New Roman" w:cs="Times New Roman" w:eastAsia="Times New Roman" w:hAnsi="Times New Roman"/>
          <w:sz w:val="19"/>
          <w:szCs w:val="19"/>
          <w:color w:val="auto"/>
        </w:rPr>
        <w:t>Settlement Agreement, dated as of April 5, 2017, by and</w:t>
      </w:r>
    </w:p>
    <w:p>
      <w:pPr>
        <w:spacing w:after="0" w:line="230" w:lineRule="auto"/>
        <w:rPr>
          <w:sz w:val="20"/>
          <w:szCs w:val="20"/>
          <w:color w:val="auto"/>
        </w:rPr>
      </w:pPr>
      <w:r>
        <w:rPr>
          <w:rFonts w:ascii="Times New Roman" w:cs="Times New Roman" w:eastAsia="Times New Roman" w:hAnsi="Times New Roman"/>
          <w:sz w:val="19"/>
          <w:szCs w:val="19"/>
          <w:color w:val="auto"/>
        </w:rPr>
        <w:t>between Jazz Pharmaceuticals, Inc. and Jazz</w:t>
      </w:r>
    </w:p>
    <w:p>
      <w:pPr>
        <w:spacing w:after="0" w:line="228" w:lineRule="auto"/>
        <w:rPr>
          <w:sz w:val="20"/>
          <w:szCs w:val="20"/>
          <w:color w:val="auto"/>
        </w:rPr>
      </w:pPr>
      <w:r>
        <w:rPr>
          <w:rFonts w:ascii="Times New Roman" w:cs="Times New Roman" w:eastAsia="Times New Roman" w:hAnsi="Times New Roman"/>
          <w:sz w:val="19"/>
          <w:szCs w:val="19"/>
          <w:color w:val="auto"/>
        </w:rPr>
        <w:t>Pharmaceuticals Ireland Limited, and Roxane</w:t>
      </w:r>
    </w:p>
    <w:p>
      <w:pPr>
        <w:spacing w:after="0" w:line="228" w:lineRule="auto"/>
        <w:rPr>
          <w:sz w:val="20"/>
          <w:szCs w:val="20"/>
          <w:color w:val="auto"/>
        </w:rPr>
      </w:pPr>
      <w:r>
        <w:rPr>
          <w:rFonts w:ascii="Times New Roman" w:cs="Times New Roman" w:eastAsia="Times New Roman" w:hAnsi="Times New Roman"/>
          <w:sz w:val="19"/>
          <w:szCs w:val="19"/>
          <w:color w:val="auto"/>
        </w:rPr>
        <w:t>Laboratories, Inc., West-Ward Pharmaceuticals Corp.,</w:t>
      </w:r>
    </w:p>
    <w:p>
      <w:pPr>
        <w:spacing w:after="0" w:line="227" w:lineRule="auto"/>
        <w:rPr>
          <w:sz w:val="20"/>
          <w:szCs w:val="20"/>
          <w:color w:val="auto"/>
        </w:rPr>
      </w:pPr>
      <w:r>
        <w:rPr>
          <w:rFonts w:ascii="Times New Roman" w:cs="Times New Roman" w:eastAsia="Times New Roman" w:hAnsi="Times New Roman"/>
          <w:sz w:val="19"/>
          <w:szCs w:val="19"/>
          <w:color w:val="auto"/>
        </w:rPr>
        <w:t>Eurohealth (USA), Inc., and Hikma Pharmaceuticals PLC</w:t>
      </w:r>
    </w:p>
    <w:p>
      <w:pPr>
        <w:spacing w:after="0" w:line="230" w:lineRule="auto"/>
        <w:rPr>
          <w:sz w:val="20"/>
          <w:szCs w:val="20"/>
          <w:color w:val="auto"/>
        </w:rPr>
      </w:pPr>
      <w:r>
        <w:rPr>
          <w:rFonts w:ascii="Times New Roman" w:cs="Times New Roman" w:eastAsia="Times New Roman" w:hAnsi="Times New Roman"/>
          <w:sz w:val="19"/>
          <w:szCs w:val="19"/>
          <w:color w:val="auto"/>
        </w:rPr>
        <w:t>Supply Agreement, dated as of April 1, 2010, by and</w:t>
      </w:r>
    </w:p>
    <w:p>
      <w:pPr>
        <w:spacing w:after="0" w:line="228" w:lineRule="auto"/>
        <w:rPr>
          <w:sz w:val="20"/>
          <w:szCs w:val="20"/>
          <w:color w:val="auto"/>
        </w:rPr>
      </w:pPr>
      <w:r>
        <w:rPr>
          <w:rFonts w:ascii="Times New Roman" w:cs="Times New Roman" w:eastAsia="Times New Roman" w:hAnsi="Times New Roman"/>
          <w:sz w:val="19"/>
          <w:szCs w:val="19"/>
          <w:color w:val="auto"/>
        </w:rPr>
        <w:t>between Jazz Pharmaceuticals, Inc. and Siegfried (USA)</w:t>
      </w:r>
    </w:p>
    <w:p>
      <w:pPr>
        <w:spacing w:after="0" w:line="228" w:lineRule="auto"/>
        <w:rPr>
          <w:sz w:val="20"/>
          <w:szCs w:val="20"/>
          <w:color w:val="auto"/>
        </w:rPr>
      </w:pPr>
      <w:r>
        <w:rPr>
          <w:rFonts w:ascii="Times New Roman" w:cs="Times New Roman" w:eastAsia="Times New Roman" w:hAnsi="Times New Roman"/>
          <w:sz w:val="19"/>
          <w:szCs w:val="19"/>
          <w:color w:val="auto"/>
        </w:rPr>
        <w:t>Inc.</w:t>
      </w:r>
    </w:p>
    <w:p>
      <w:pPr>
        <w:jc w:val="both"/>
        <w:ind w:right="260"/>
        <w:spacing w:after="0" w:line="238" w:lineRule="auto"/>
        <w:rPr>
          <w:sz w:val="20"/>
          <w:szCs w:val="20"/>
          <w:color w:val="auto"/>
        </w:rPr>
      </w:pPr>
      <w:r>
        <w:rPr>
          <w:rFonts w:ascii="Times New Roman" w:cs="Times New Roman" w:eastAsia="Times New Roman" w:hAnsi="Times New Roman"/>
          <w:sz w:val="19"/>
          <w:szCs w:val="19"/>
          <w:color w:val="auto"/>
        </w:rPr>
        <w:t>Master Manufacturing Services Agreement, dated as of October 1, 2015, by and between Jazz Pharmaceuticals Ireland Limited and Patheon Pharmaceuticals Inc.</w:t>
      </w:r>
    </w:p>
    <w:p>
      <w:pPr>
        <w:spacing w:after="0" w:line="2" w:lineRule="exact"/>
        <w:rPr>
          <w:sz w:val="20"/>
          <w:szCs w:val="20"/>
          <w:color w:val="auto"/>
        </w:rPr>
      </w:pPr>
    </w:p>
    <w:p>
      <w:pPr>
        <w:jc w:val="both"/>
        <w:ind w:right="180"/>
        <w:spacing w:after="0" w:line="228" w:lineRule="auto"/>
        <w:rPr>
          <w:sz w:val="20"/>
          <w:szCs w:val="20"/>
          <w:color w:val="auto"/>
        </w:rPr>
      </w:pPr>
      <w:r>
        <w:rPr>
          <w:rFonts w:ascii="Times New Roman" w:cs="Times New Roman" w:eastAsia="Times New Roman" w:hAnsi="Times New Roman"/>
          <w:sz w:val="19"/>
          <w:szCs w:val="19"/>
          <w:color w:val="auto"/>
        </w:rPr>
        <w:t>Contract Manufacturing Agreement, dated as of January 20, 2020, by and between Jazz Pharmaceuticals Ireland Limited and Siegfried AG</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Pharmacy Master Services Agreement, dated as of December 1, 2022, by and between Jazz Pharmaceuticals, Inc. and Express Scripts Specialty Distribution Services, Inc.</w:t>
      </w:r>
    </w:p>
    <w:p>
      <w:pPr>
        <w:jc w:val="both"/>
        <w:ind w:right="240"/>
        <w:spacing w:after="0" w:line="238" w:lineRule="auto"/>
        <w:rPr>
          <w:sz w:val="20"/>
          <w:szCs w:val="20"/>
          <w:color w:val="auto"/>
        </w:rPr>
      </w:pPr>
      <w:r>
        <w:rPr>
          <w:rFonts w:ascii="Times New Roman" w:cs="Times New Roman" w:eastAsia="Times New Roman" w:hAnsi="Times New Roman"/>
          <w:sz w:val="19"/>
          <w:szCs w:val="19"/>
          <w:color w:val="auto"/>
        </w:rPr>
        <w:t>Amended and Restated License Agreement, dated as of October 14, 2020, between Pharma Mar, S.A. and Jazz Pharmaceuticals Ireland Limited</w:t>
      </w:r>
    </w:p>
    <w:p>
      <w:pPr>
        <w:spacing w:after="0" w:line="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9"/>
          <w:szCs w:val="19"/>
          <w:color w:val="auto"/>
        </w:rPr>
        <w:t>Amendment No. 1, dated as of May 6, 2021, to Amended and Restated License Agreement, dated as of October 14, 2020, between Pharma Mar, S.A. and Jazz Pharmaceuticals Ireland Limited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Lease, dated May 8, 2012, by and between John Ronan and Castle Cove Property Developments Limited and Jazz Pharmaceuticals plc</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Preliminary Settlement Agreement, dated April 7, 2025, by and between Jazz Pharmaceuticals Ireland Limited and the Class Plaintiffs named therein, individually and on behalf of the Proposed Settlement Class</w:t>
      </w:r>
    </w:p>
    <w:p>
      <w:pPr>
        <w:spacing w:after="0" w:line="2"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9"/>
          <w:szCs w:val="19"/>
          <w:color w:val="auto"/>
        </w:rPr>
        <w:t>Form of Indemnification Agreement between Jazz Pharmaceuticals plc and its officers and directors Offer Letter from Jazz Pharmaceuticals, Inc. to Robert Iannone dated as of April 11, 2019</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Employment Agreement, dated as of May 16, 2012 by and between Patricia Carr and Jazz Pharmaceuticals plc Change in Control Severance Terms, dated as of May 15, 2016, by and between Jazz Pharmaceuticals Ireland Ltd. and Patricia Carr</w:t>
      </w:r>
    </w:p>
    <w:p>
      <w:pPr>
        <w:spacing w:after="0" w:line="3"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Change in Control Stock Award Acceleration Agreement, dated as of May 15, 2016 by and between Jazz Pharmaceuticals plc and Patricia Carr</w:t>
      </w:r>
    </w:p>
    <w:p>
      <w:pPr>
        <w:spacing w:after="0" w:line="231" w:lineRule="auto"/>
        <w:rPr>
          <w:sz w:val="20"/>
          <w:szCs w:val="20"/>
          <w:color w:val="auto"/>
        </w:rPr>
      </w:pPr>
      <w:r>
        <w:rPr>
          <w:rFonts w:ascii="Times New Roman" w:cs="Times New Roman" w:eastAsia="Times New Roman" w:hAnsi="Times New Roman"/>
          <w:sz w:val="19"/>
          <w:szCs w:val="19"/>
          <w:color w:val="auto"/>
        </w:rPr>
        <w:t>Offer Letter, dated as of July 5, 2019 by and between Jazz</w:t>
      </w:r>
    </w:p>
    <w:p>
      <w:pPr>
        <w:spacing w:after="0" w:line="228" w:lineRule="auto"/>
        <w:rPr>
          <w:sz w:val="20"/>
          <w:szCs w:val="20"/>
          <w:color w:val="auto"/>
        </w:rPr>
      </w:pPr>
      <w:r>
        <w:rPr>
          <w:rFonts w:ascii="Times New Roman" w:cs="Times New Roman" w:eastAsia="Times New Roman" w:hAnsi="Times New Roman"/>
          <w:sz w:val="19"/>
          <w:szCs w:val="19"/>
          <w:color w:val="auto"/>
        </w:rPr>
        <w:t>Pharmaceuticals, Inc. and Neena M. Patil</w:t>
      </w:r>
    </w:p>
    <w:p>
      <w:pPr>
        <w:spacing w:after="0" w:line="228" w:lineRule="auto"/>
        <w:rPr>
          <w:sz w:val="20"/>
          <w:szCs w:val="20"/>
          <w:color w:val="auto"/>
        </w:rPr>
      </w:pPr>
      <w:r>
        <w:rPr>
          <w:rFonts w:ascii="Times New Roman" w:cs="Times New Roman" w:eastAsia="Times New Roman" w:hAnsi="Times New Roman"/>
          <w:sz w:val="19"/>
          <w:szCs w:val="19"/>
          <w:color w:val="auto"/>
        </w:rPr>
        <w:t>Employment Contract, dated as of December 14, 2019, by</w:t>
      </w:r>
    </w:p>
    <w:p>
      <w:pPr>
        <w:spacing w:after="0" w:line="230" w:lineRule="auto"/>
        <w:rPr>
          <w:sz w:val="20"/>
          <w:szCs w:val="20"/>
          <w:color w:val="auto"/>
        </w:rPr>
      </w:pPr>
      <w:r>
        <w:rPr>
          <w:rFonts w:ascii="PMingLiU" w:cs="PMingLiU" w:eastAsia="PMingLiU" w:hAnsi="PMingLiU"/>
          <w:sz w:val="18"/>
          <w:szCs w:val="18"/>
          <w:color w:val="auto"/>
        </w:rPr>
        <w:t>DQGEHWZHHQ-D]]3KDUPDFHXWLFDOV8./LPLWHGDQG</w:t>
      </w:r>
    </w:p>
    <w:p>
      <w:pPr>
        <w:spacing w:after="0" w:line="228" w:lineRule="auto"/>
        <w:rPr>
          <w:sz w:val="20"/>
          <w:szCs w:val="20"/>
          <w:color w:val="auto"/>
        </w:rPr>
      </w:pPr>
      <w:r>
        <w:rPr>
          <w:rFonts w:ascii="Times New Roman" w:cs="Times New Roman" w:eastAsia="Times New Roman" w:hAnsi="Times New Roman"/>
          <w:sz w:val="19"/>
          <w:szCs w:val="19"/>
          <w:color w:val="auto"/>
        </w:rPr>
        <w:t>Samantha Pearce</w:t>
      </w:r>
    </w:p>
    <w:p>
      <w:pPr>
        <w:ind w:right="260"/>
        <w:spacing w:after="0" w:line="245" w:lineRule="auto"/>
        <w:rPr>
          <w:sz w:val="20"/>
          <w:szCs w:val="20"/>
          <w:color w:val="auto"/>
        </w:rPr>
      </w:pPr>
      <w:r>
        <w:rPr>
          <w:rFonts w:ascii="Times New Roman" w:cs="Times New Roman" w:eastAsia="Times New Roman" w:hAnsi="Times New Roman"/>
          <w:sz w:val="17"/>
          <w:szCs w:val="17"/>
          <w:color w:val="auto"/>
        </w:rPr>
        <w:t xml:space="preserve">Equity Award Letter, dated as of December 9, 2019, by </w:t>
      </w:r>
      <w:r>
        <w:rPr>
          <w:rFonts w:ascii="PMingLiU" w:cs="PMingLiU" w:eastAsia="PMingLiU" w:hAnsi="PMingLiU"/>
          <w:sz w:val="17"/>
          <w:szCs w:val="17"/>
          <w:color w:val="auto"/>
        </w:rPr>
        <w:t xml:space="preserve">DQGEHWZHHQ-D]]3KDUPDFHXWLFDOV8./LPLWHGDQG </w:t>
      </w:r>
      <w:r>
        <w:rPr>
          <w:rFonts w:ascii="Times New Roman" w:cs="Times New Roman" w:eastAsia="Times New Roman" w:hAnsi="Times New Roman"/>
          <w:sz w:val="17"/>
          <w:szCs w:val="17"/>
          <w:color w:val="auto"/>
        </w:rPr>
        <w:t>Samantha Pearce</w:t>
      </w:r>
    </w:p>
    <w:p>
      <w:pPr>
        <w:spacing w:after="0" w:line="2" w:lineRule="exact"/>
        <w:rPr>
          <w:sz w:val="20"/>
          <w:szCs w:val="20"/>
          <w:color w:val="auto"/>
        </w:rPr>
      </w:pPr>
    </w:p>
    <w:p>
      <w:pPr>
        <w:ind w:right="240"/>
        <w:spacing w:after="0" w:line="219" w:lineRule="auto"/>
        <w:rPr>
          <w:sz w:val="20"/>
          <w:szCs w:val="20"/>
          <w:color w:val="auto"/>
        </w:rPr>
      </w:pPr>
      <w:r>
        <w:rPr>
          <w:rFonts w:ascii="Times New Roman" w:cs="Times New Roman" w:eastAsia="Times New Roman" w:hAnsi="Times New Roman"/>
          <w:sz w:val="19"/>
          <w:szCs w:val="19"/>
          <w:color w:val="auto"/>
        </w:rPr>
        <w:t xml:space="preserve">Amendment to Employment Contract, dated as of April </w:t>
      </w:r>
      <w:r>
        <w:rPr>
          <w:rFonts w:ascii="PMingLiU" w:cs="PMingLiU" w:eastAsia="PMingLiU" w:hAnsi="PMingLiU"/>
          <w:sz w:val="19"/>
          <w:szCs w:val="19"/>
          <w:color w:val="auto"/>
        </w:rPr>
        <w:t xml:space="preserve">E\DQGEHWZHHQ-D]]3KDUPDFHXWLFDOV8. </w:t>
      </w:r>
      <w:r>
        <w:rPr>
          <w:rFonts w:ascii="Times New Roman" w:cs="Times New Roman" w:eastAsia="Times New Roman" w:hAnsi="Times New Roman"/>
          <w:sz w:val="19"/>
          <w:szCs w:val="19"/>
          <w:color w:val="auto"/>
        </w:rPr>
        <w:t>Limited and Samantha Pearce</w:t>
      </w:r>
    </w:p>
    <w:p>
      <w:pPr>
        <w:spacing w:after="0" w:line="3"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Offer Letter from Jazz Pharmaceuticals, Inc. to Samantha Pearce</w:t>
      </w:r>
    </w:p>
    <w:p>
      <w:pPr>
        <w:spacing w:after="0" w:line="1" w:lineRule="exact"/>
        <w:rPr>
          <w:sz w:val="20"/>
          <w:szCs w:val="20"/>
          <w:color w:val="auto"/>
        </w:rPr>
      </w:pPr>
    </w:p>
    <w:p>
      <w:pPr>
        <w:ind w:right="280"/>
        <w:spacing w:after="0" w:line="232" w:lineRule="auto"/>
        <w:rPr>
          <w:sz w:val="20"/>
          <w:szCs w:val="20"/>
          <w:color w:val="auto"/>
        </w:rPr>
      </w:pPr>
      <w:r>
        <w:rPr>
          <w:rFonts w:ascii="Times New Roman" w:cs="Times New Roman" w:eastAsia="Times New Roman" w:hAnsi="Times New Roman"/>
          <w:sz w:val="19"/>
          <w:szCs w:val="19"/>
          <w:color w:val="auto"/>
        </w:rPr>
        <w:t>Offer Letter, dated as of February 23, 2020, by and between Jazz Pharmaceuticals, Inc. and Renee Gala Letter Agreement, dated as of July 30, 2025, by and between Jazz Pharmaceuticals, Inc. and Renee Gala Offer Letter, dated as of April 4, 2023, by and between Jazz Pharmaceuticals Ireland and Liz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209550</wp:posOffset>
            </wp:positionV>
            <wp:extent cx="833120" cy="1168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631">
                      <a:extLst>
                        <a:ext uri="{28A0092B-C50C-407E-A947-70E740481C1C}"/>
                      </a:extLst>
                    </a:blip>
                    <a:srcRect/>
                    <a:stretch>
                      <a:fillRect/>
                    </a:stretch>
                  </pic:blipFill>
                  <pic:spPr bwMode="auto">
                    <a:xfrm>
                      <a:off x="0" y="0"/>
                      <a:ext cx="833120" cy="116840"/>
                    </a:xfrm>
                    <a:prstGeom prst="rect">
                      <a:avLst/>
                    </a:prstGeom>
                    <a:noFill/>
                  </pic:spPr>
                </pic:pic>
              </a:graphicData>
            </a:graphic>
          </wp:anchor>
        </w:drawing>
      </w:r>
    </w:p>
    <w:p>
      <w:pPr>
        <w:spacing w:after="0" w:line="38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10.1</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11/9/2022</w:t>
            </w:r>
          </w:p>
        </w:tc>
        <w:tc>
          <w:tcPr>
            <w:tcW w:w="560" w:type="dxa"/>
            <w:vAlign w:val="bottom"/>
          </w:tcPr>
          <w:p>
            <w:pPr>
              <w:spacing w:after="0"/>
              <w:rPr>
                <w:sz w:val="22"/>
                <w:szCs w:val="22"/>
                <w:color w:val="auto"/>
              </w:rPr>
            </w:pPr>
          </w:p>
        </w:tc>
      </w:tr>
      <w:tr>
        <w:trPr>
          <w:trHeight w:val="1038"/>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10.54</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5/7/2010</w:t>
            </w:r>
          </w:p>
        </w:tc>
        <w:tc>
          <w:tcPr>
            <w:tcW w:w="560" w:type="dxa"/>
            <w:vAlign w:val="bottom"/>
          </w:tcPr>
          <w:p>
            <w:pPr>
              <w:spacing w:after="0"/>
              <w:rPr>
                <w:sz w:val="24"/>
                <w:szCs w:val="24"/>
                <w:color w:val="auto"/>
              </w:rPr>
            </w:pPr>
          </w:p>
        </w:tc>
      </w:tr>
      <w:tr>
        <w:trPr>
          <w:trHeight w:val="624"/>
        </w:trPr>
        <w:tc>
          <w:tcPr>
            <w:tcW w:w="2320" w:type="dxa"/>
            <w:vAlign w:val="bottom"/>
            <w:gridSpan w:val="3"/>
          </w:tcPr>
          <w:p>
            <w:pPr>
              <w:jc w:val="right"/>
              <w:ind w:right="244"/>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10.8</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2/23/2021</w:t>
            </w:r>
          </w:p>
        </w:tc>
        <w:tc>
          <w:tcPr>
            <w:tcW w:w="560" w:type="dxa"/>
            <w:vAlign w:val="bottom"/>
          </w:tcPr>
          <w:p>
            <w:pPr>
              <w:spacing w:after="0"/>
              <w:rPr>
                <w:sz w:val="24"/>
                <w:szCs w:val="24"/>
                <w:color w:val="auto"/>
              </w:rPr>
            </w:pPr>
          </w:p>
        </w:tc>
      </w:tr>
      <w:tr>
        <w:trPr>
          <w:trHeight w:val="652"/>
        </w:trPr>
        <w:tc>
          <w:tcPr>
            <w:tcW w:w="2320" w:type="dxa"/>
            <w:vAlign w:val="bottom"/>
            <w:gridSpan w:val="3"/>
          </w:tcPr>
          <w:p>
            <w:pPr>
              <w:jc w:val="center"/>
              <w:ind w:right="144"/>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10.10</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2/25/2020</w:t>
            </w:r>
          </w:p>
        </w:tc>
        <w:tc>
          <w:tcPr>
            <w:tcW w:w="560" w:type="dxa"/>
            <w:vAlign w:val="bottom"/>
          </w:tcPr>
          <w:p>
            <w:pPr>
              <w:spacing w:after="0"/>
              <w:rPr>
                <w:sz w:val="24"/>
                <w:szCs w:val="24"/>
                <w:color w:val="auto"/>
              </w:rPr>
            </w:pPr>
          </w:p>
        </w:tc>
      </w:tr>
      <w:tr>
        <w:trPr>
          <w:trHeight w:val="622"/>
        </w:trPr>
        <w:tc>
          <w:tcPr>
            <w:tcW w:w="2320" w:type="dxa"/>
            <w:vAlign w:val="bottom"/>
            <w:gridSpan w:val="3"/>
          </w:tcPr>
          <w:p>
            <w:pPr>
              <w:jc w:val="right"/>
              <w:ind w:right="244"/>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10.8</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3/1/2023</w:t>
            </w:r>
          </w:p>
        </w:tc>
        <w:tc>
          <w:tcPr>
            <w:tcW w:w="560" w:type="dxa"/>
            <w:vAlign w:val="bottom"/>
          </w:tcPr>
          <w:p>
            <w:pPr>
              <w:spacing w:after="0"/>
              <w:rPr>
                <w:sz w:val="24"/>
                <w:szCs w:val="24"/>
                <w:color w:val="auto"/>
              </w:rPr>
            </w:pPr>
          </w:p>
        </w:tc>
      </w:tr>
      <w:tr>
        <w:trPr>
          <w:trHeight w:val="873"/>
        </w:trPr>
        <w:tc>
          <w:tcPr>
            <w:tcW w:w="2320" w:type="dxa"/>
            <w:vAlign w:val="bottom"/>
            <w:gridSpan w:val="3"/>
          </w:tcPr>
          <w:p>
            <w:pPr>
              <w:jc w:val="center"/>
              <w:ind w:right="144"/>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10.12</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2/23/2021</w:t>
            </w:r>
          </w:p>
        </w:tc>
        <w:tc>
          <w:tcPr>
            <w:tcW w:w="560" w:type="dxa"/>
            <w:vAlign w:val="bottom"/>
          </w:tcPr>
          <w:p>
            <w:pPr>
              <w:spacing w:after="0"/>
              <w:rPr>
                <w:sz w:val="24"/>
                <w:szCs w:val="24"/>
                <w:color w:val="auto"/>
              </w:rPr>
            </w:pPr>
          </w:p>
        </w:tc>
      </w:tr>
      <w:tr>
        <w:trPr>
          <w:trHeight w:val="652"/>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10.2</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c>
          <w:tcPr>
            <w:tcW w:w="560" w:type="dxa"/>
            <w:vAlign w:val="bottom"/>
          </w:tcPr>
          <w:p>
            <w:pPr>
              <w:spacing w:after="0"/>
              <w:rPr>
                <w:sz w:val="24"/>
                <w:szCs w:val="24"/>
                <w:color w:val="auto"/>
              </w:rPr>
            </w:pPr>
          </w:p>
        </w:tc>
      </w:tr>
      <w:tr>
        <w:trPr>
          <w:trHeight w:val="831"/>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10.2</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8/7/2012</w:t>
            </w:r>
          </w:p>
        </w:tc>
        <w:tc>
          <w:tcPr>
            <w:tcW w:w="560" w:type="dxa"/>
            <w:vAlign w:val="bottom"/>
          </w:tcPr>
          <w:p>
            <w:pPr>
              <w:spacing w:after="0"/>
              <w:rPr>
                <w:sz w:val="24"/>
                <w:szCs w:val="24"/>
                <w:color w:val="auto"/>
              </w:rPr>
            </w:pP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10.1</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4/8/2025</w:t>
            </w:r>
          </w:p>
        </w:tc>
        <w:tc>
          <w:tcPr>
            <w:tcW w:w="560" w:type="dxa"/>
            <w:vAlign w:val="bottom"/>
          </w:tcPr>
          <w:p>
            <w:pPr>
              <w:spacing w:after="0"/>
              <w:rPr>
                <w:sz w:val="24"/>
                <w:szCs w:val="24"/>
                <w:color w:val="auto"/>
              </w:rPr>
            </w:pPr>
          </w:p>
        </w:tc>
      </w:tr>
      <w:tr>
        <w:trPr>
          <w:trHeight w:val="829"/>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8-</w:t>
            </w:r>
            <w:r>
              <w:rPr>
                <w:rFonts w:ascii="PMingLiU" w:cs="PMingLiU" w:eastAsia="PMingLiU" w:hAnsi="PMingLiU"/>
                <w:sz w:val="19"/>
                <w:szCs w:val="19"/>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10.1</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1/18/2012</w:t>
            </w:r>
          </w:p>
        </w:tc>
        <w:tc>
          <w:tcPr>
            <w:tcW w:w="560" w:type="dxa"/>
            <w:vAlign w:val="bottom"/>
          </w:tcPr>
          <w:p>
            <w:pPr>
              <w:spacing w:after="0"/>
              <w:rPr>
                <w:sz w:val="24"/>
                <w:szCs w:val="24"/>
                <w:color w:val="auto"/>
              </w:rPr>
            </w:pP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10.4</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8/6/2019</w:t>
            </w:r>
          </w:p>
        </w:tc>
        <w:tc>
          <w:tcPr>
            <w:tcW w:w="560" w:type="dxa"/>
            <w:vAlign w:val="bottom"/>
          </w:tcPr>
          <w:p>
            <w:pPr>
              <w:spacing w:after="0"/>
              <w:rPr>
                <w:sz w:val="24"/>
                <w:szCs w:val="24"/>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10.1</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11/5/2019</w:t>
            </w:r>
          </w:p>
        </w:tc>
        <w:tc>
          <w:tcPr>
            <w:tcW w:w="560" w:type="dxa"/>
            <w:vAlign w:val="bottom"/>
          </w:tcPr>
          <w:p>
            <w:pPr>
              <w:spacing w:after="0"/>
              <w:rPr>
                <w:sz w:val="24"/>
                <w:szCs w:val="24"/>
                <w:color w:val="auto"/>
              </w:rPr>
            </w:pP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10.2</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11/5/2019</w:t>
            </w:r>
          </w:p>
        </w:tc>
        <w:tc>
          <w:tcPr>
            <w:tcW w:w="560" w:type="dxa"/>
            <w:vAlign w:val="bottom"/>
          </w:tcPr>
          <w:p>
            <w:pPr>
              <w:spacing w:after="0"/>
              <w:rPr>
                <w:sz w:val="24"/>
                <w:szCs w:val="24"/>
                <w:color w:val="auto"/>
              </w:rPr>
            </w:pP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10.3</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11/5/2019</w:t>
            </w:r>
          </w:p>
        </w:tc>
        <w:tc>
          <w:tcPr>
            <w:tcW w:w="560" w:type="dxa"/>
            <w:vAlign w:val="bottom"/>
          </w:tcPr>
          <w:p>
            <w:pPr>
              <w:spacing w:after="0"/>
              <w:rPr>
                <w:sz w:val="24"/>
                <w:szCs w:val="24"/>
                <w:color w:val="auto"/>
              </w:rPr>
            </w:pPr>
          </w:p>
        </w:tc>
      </w:tr>
      <w:tr>
        <w:trPr>
          <w:trHeight w:val="622"/>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10.4</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11/5/2019</w:t>
            </w:r>
          </w:p>
        </w:tc>
        <w:tc>
          <w:tcPr>
            <w:tcW w:w="560" w:type="dxa"/>
            <w:vAlign w:val="bottom"/>
          </w:tcPr>
          <w:p>
            <w:pPr>
              <w:spacing w:after="0"/>
              <w:rPr>
                <w:sz w:val="24"/>
                <w:szCs w:val="24"/>
                <w:color w:val="auto"/>
              </w:rPr>
            </w:pPr>
          </w:p>
        </w:tc>
      </w:tr>
      <w:tr>
        <w:trPr>
          <w:trHeight w:val="417"/>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10.28A</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2/25/2020</w:t>
            </w:r>
          </w:p>
        </w:tc>
        <w:tc>
          <w:tcPr>
            <w:tcW w:w="560" w:type="dxa"/>
            <w:vAlign w:val="bottom"/>
          </w:tcPr>
          <w:p>
            <w:pPr>
              <w:spacing w:after="0"/>
              <w:rPr>
                <w:sz w:val="24"/>
                <w:szCs w:val="24"/>
                <w:color w:val="auto"/>
              </w:rPr>
            </w:pPr>
          </w:p>
        </w:tc>
      </w:tr>
      <w:tr>
        <w:trPr>
          <w:trHeight w:val="622"/>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  10.28B</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2/25/2020</w:t>
            </w:r>
          </w:p>
        </w:tc>
        <w:tc>
          <w:tcPr>
            <w:tcW w:w="560" w:type="dxa"/>
            <w:vAlign w:val="bottom"/>
          </w:tcPr>
          <w:p>
            <w:pPr>
              <w:spacing w:after="0"/>
              <w:rPr>
                <w:sz w:val="24"/>
                <w:szCs w:val="24"/>
                <w:color w:val="auto"/>
              </w:rPr>
            </w:pP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10.4</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5/5/2020</w:t>
            </w:r>
          </w:p>
        </w:tc>
        <w:tc>
          <w:tcPr>
            <w:tcW w:w="560" w:type="dxa"/>
            <w:vAlign w:val="bottom"/>
          </w:tcPr>
          <w:p>
            <w:pPr>
              <w:spacing w:after="0"/>
              <w:rPr>
                <w:sz w:val="24"/>
                <w:szCs w:val="24"/>
                <w:color w:val="auto"/>
              </w:rPr>
            </w:pP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10.4</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8/1/2024</w:t>
            </w:r>
          </w:p>
        </w:tc>
        <w:tc>
          <w:tcPr>
            <w:tcW w:w="560" w:type="dxa"/>
            <w:vAlign w:val="bottom"/>
          </w:tcPr>
          <w:p>
            <w:pPr>
              <w:spacing w:after="0"/>
              <w:rPr>
                <w:sz w:val="24"/>
                <w:szCs w:val="24"/>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10.1</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5/5/2020</w:t>
            </w:r>
          </w:p>
        </w:tc>
        <w:tc>
          <w:tcPr>
            <w:tcW w:w="560" w:type="dxa"/>
            <w:vAlign w:val="bottom"/>
          </w:tcPr>
          <w:p>
            <w:pPr>
              <w:spacing w:after="0"/>
              <w:rPr>
                <w:sz w:val="24"/>
                <w:szCs w:val="24"/>
                <w:color w:val="auto"/>
              </w:rPr>
            </w:pP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10.2</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8/6/2025</w:t>
            </w:r>
          </w:p>
        </w:tc>
        <w:tc>
          <w:tcPr>
            <w:tcW w:w="560" w:type="dxa"/>
            <w:vAlign w:val="bottom"/>
          </w:tcPr>
          <w:p>
            <w:pPr>
              <w:spacing w:after="0"/>
              <w:rPr>
                <w:sz w:val="24"/>
                <w:szCs w:val="24"/>
                <w:color w:val="auto"/>
              </w:rPr>
            </w:pPr>
          </w:p>
        </w:tc>
      </w:tr>
      <w:tr>
        <w:trPr>
          <w:trHeight w:val="414"/>
        </w:trPr>
        <w:tc>
          <w:tcPr>
            <w:tcW w:w="1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 xml:space="preserve">  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10.17A</w:t>
            </w: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2/28/2024</w:t>
            </w:r>
          </w:p>
        </w:tc>
        <w:tc>
          <w:tcPr>
            <w:tcW w:w="560" w:type="dxa"/>
            <w:vAlign w:val="bottom"/>
          </w:tcPr>
          <w:p>
            <w:pPr>
              <w:spacing w:after="0"/>
              <w:rPr>
                <w:sz w:val="24"/>
                <w:szCs w:val="24"/>
                <w:color w:val="auto"/>
              </w:rPr>
            </w:pPr>
          </w:p>
        </w:tc>
      </w:tr>
      <w:tr>
        <w:trPr>
          <w:trHeight w:val="720"/>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gridSpan w:val="2"/>
          </w:tcPr>
          <w:p>
            <w:pPr>
              <w:ind w:left="18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jc w:val="right"/>
              <w:spacing w:after="0"/>
              <w:rPr>
                <w:sz w:val="20"/>
                <w:szCs w:val="20"/>
                <w:color w:val="auto"/>
              </w:rPr>
            </w:pPr>
            <w:r>
              <w:rPr>
                <w:rFonts w:ascii="Arial" w:cs="Arial" w:eastAsia="Arial" w:hAnsi="Arial"/>
                <w:sz w:val="20"/>
                <w:szCs w:val="20"/>
                <w:b w:val="1"/>
                <w:bCs w:val="1"/>
                <w:color w:val="5C004B"/>
              </w:rPr>
              <w:t>111</w:t>
            </w:r>
          </w:p>
        </w:tc>
      </w:tr>
    </w:tbl>
    <w:p>
      <w:pPr>
        <w:sectPr>
          <w:pgSz w:w="11880" w:h="15479" w:orient="portrait"/>
          <w:cols w:equalWidth="0" w:num="3">
            <w:col w:w="700" w:space="260"/>
            <w:col w:w="4540" w:space="180"/>
            <w:col w:w="4320"/>
          </w:cols>
          <w:pgMar w:left="960" w:top="839" w:right="919" w:bottom="0" w:gutter="0" w:footer="0" w:header="0"/>
        </w:sectPr>
      </w:pPr>
    </w:p>
    <w:bookmarkStart w:id="235" w:name="page236"/>
    <w:bookmarkEnd w:id="235"/>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10.17B+</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10.18A+</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10.18B+</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10.19A+</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10.19B+</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10.19C+</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10.19G+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10.20A+</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10.20B+</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10.21A+</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10.21B+</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10.21C+</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10.21D+</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10.22A+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10.22B+</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10.23+</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10.24+</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10.25+</w:t>
      </w:r>
    </w:p>
    <w:p>
      <w:pPr>
        <w:spacing w:after="0" w:line="20" w:lineRule="exact"/>
        <w:rPr>
          <w:sz w:val="20"/>
          <w:szCs w:val="20"/>
          <w:color w:val="auto"/>
        </w:rPr>
      </w:pPr>
      <w:r>
        <w:rPr>
          <w:sz w:val="20"/>
          <w:szCs w:val="20"/>
          <w:color w:val="auto"/>
        </w:rPr>
        <w:br w:type="column"/>
      </w:r>
    </w:p>
    <w:p>
      <w:pPr>
        <w:ind w:right="240"/>
        <w:spacing w:after="0" w:line="244" w:lineRule="auto"/>
        <w:rPr>
          <w:sz w:val="20"/>
          <w:szCs w:val="20"/>
          <w:color w:val="auto"/>
        </w:rPr>
      </w:pPr>
      <w:r>
        <w:rPr>
          <w:rFonts w:ascii="Times New Roman" w:cs="Times New Roman" w:eastAsia="Times New Roman" w:hAnsi="Times New Roman"/>
          <w:sz w:val="19"/>
          <w:szCs w:val="19"/>
          <w:color w:val="auto"/>
        </w:rPr>
        <w:t>New Hire Equity Letter, dated as of April 4, 2023, from Jazz Pharmaceuticals to Liz Henderson</w:t>
      </w:r>
    </w:p>
    <w:p>
      <w:pPr>
        <w:spacing w:after="0" w:line="227" w:lineRule="auto"/>
        <w:rPr>
          <w:sz w:val="20"/>
          <w:szCs w:val="20"/>
          <w:color w:val="auto"/>
        </w:rPr>
      </w:pPr>
      <w:r>
        <w:rPr>
          <w:rFonts w:ascii="Times New Roman" w:cs="Times New Roman" w:eastAsia="Times New Roman" w:hAnsi="Times New Roman"/>
          <w:sz w:val="19"/>
          <w:szCs w:val="19"/>
          <w:color w:val="auto"/>
        </w:rPr>
        <w:t>Offer Letter, dated as of January 30, 2024, by and between Jazz Pharmaceuticals, Inc. and Philip Johnson</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9"/>
          <w:szCs w:val="19"/>
          <w:color w:val="auto"/>
        </w:rPr>
        <w:t>Sign-On Bonus Repayment Agreement, dated as of February 25, 2024, by and between Jazz Pharmaceuticals, Inc. and Philip Johnson.</w:t>
      </w:r>
    </w:p>
    <w:p>
      <w:pPr>
        <w:spacing w:after="0" w:line="1" w:lineRule="exact"/>
        <w:rPr>
          <w:sz w:val="20"/>
          <w:szCs w:val="20"/>
          <w:color w:val="auto"/>
        </w:rPr>
      </w:pPr>
    </w:p>
    <w:p>
      <w:pPr>
        <w:ind w:right="600"/>
        <w:spacing w:after="0" w:line="227" w:lineRule="auto"/>
        <w:rPr>
          <w:sz w:val="20"/>
          <w:szCs w:val="20"/>
          <w:color w:val="auto"/>
        </w:rPr>
      </w:pPr>
      <w:r>
        <w:rPr>
          <w:rFonts w:ascii="Times New Roman" w:cs="Times New Roman" w:eastAsia="Times New Roman" w:hAnsi="Times New Roman"/>
          <w:sz w:val="19"/>
          <w:szCs w:val="19"/>
          <w:color w:val="auto"/>
        </w:rPr>
        <w:t>Amended and Restated 2011 Equity Incentive Plan (approved November 1, 2023)</w:t>
      </w:r>
    </w:p>
    <w:p>
      <w:pPr>
        <w:spacing w:after="0" w:line="1" w:lineRule="exact"/>
        <w:rPr>
          <w:sz w:val="20"/>
          <w:szCs w:val="20"/>
          <w:color w:val="auto"/>
        </w:rPr>
      </w:pPr>
    </w:p>
    <w:p>
      <w:pPr>
        <w:ind w:right="360"/>
        <w:spacing w:after="0" w:line="228" w:lineRule="auto"/>
        <w:rPr>
          <w:sz w:val="20"/>
          <w:szCs w:val="20"/>
          <w:color w:val="auto"/>
        </w:rPr>
      </w:pPr>
      <w:r>
        <w:rPr>
          <w:rFonts w:ascii="Times New Roman" w:cs="Times New Roman" w:eastAsia="Times New Roman" w:hAnsi="Times New Roman"/>
          <w:sz w:val="19"/>
          <w:szCs w:val="19"/>
          <w:color w:val="auto"/>
        </w:rPr>
        <w:t>Form of U.S. Option Grant Notice and Form of U.S. Option Agreement under the Jazz Pharmaceuticals plc Amended and Restated 2011 Equity Incentive Plan Form of Non-U.S. Option Grant Notice and Non-U.S. Option Agreement under the Jazz Pharmaceuticals plc 2011 Equity Incentive Plan</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Form of U.S. Restricted Stock Unit Award Grant Notice and Form of U.S. Restricted Stock Unit Award Agreement under the Jazz Pharmaceuticals plc Amended and Restated 2011 Equity Incentive Plan</w:t>
      </w:r>
    </w:p>
    <w:p>
      <w:pPr>
        <w:spacing w:after="0" w:line="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9"/>
          <w:szCs w:val="19"/>
          <w:color w:val="auto"/>
        </w:rPr>
        <w:t>Form of Non-U.S. Restricted Stock Unit Award Grant Notice and Form of Non -U.S. Restricted Stock Unit Award Agreement under the Jazz Pharmaceuticals plc Amended and Restated 2011 Equity Incentive Plan Form of U.S. Performance Restricted Stock Unit Award Grant Notice and Form of U.S. Performance Restricted Stock Unit Award Agreement under the Jazz Pharmaceuticals plc Amended and Restated 2011 Equity Incentive Plan</w:t>
      </w:r>
    </w:p>
    <w:p>
      <w:pPr>
        <w:spacing w:after="0" w:line="122"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9"/>
          <w:szCs w:val="19"/>
          <w:color w:val="auto"/>
        </w:rPr>
        <w:t>Form of Non -U.S. Performance Restricted Stock Unit Award Grant Notice and Form of Non-U.S. Performance Restricted Stock Unit Award Agreement under the Jazz Pharmaceuticals plc Amended and Restated 2011 Equity Incentive Plan</w:t>
      </w:r>
    </w:p>
    <w:p>
      <w:pPr>
        <w:spacing w:after="0" w:line="1" w:lineRule="exact"/>
        <w:rPr>
          <w:sz w:val="20"/>
          <w:szCs w:val="20"/>
          <w:color w:val="auto"/>
        </w:rPr>
      </w:pPr>
    </w:p>
    <w:p>
      <w:pPr>
        <w:jc w:val="both"/>
        <w:ind w:right="320"/>
        <w:spacing w:after="0" w:line="227" w:lineRule="auto"/>
        <w:rPr>
          <w:sz w:val="20"/>
          <w:szCs w:val="20"/>
          <w:color w:val="auto"/>
        </w:rPr>
      </w:pPr>
      <w:r>
        <w:rPr>
          <w:rFonts w:ascii="Times New Roman" w:cs="Times New Roman" w:eastAsia="Times New Roman" w:hAnsi="Times New Roman"/>
          <w:sz w:val="19"/>
          <w:szCs w:val="19"/>
          <w:color w:val="auto"/>
        </w:rPr>
        <w:t>Amended and Restated 2007 Non -Employee Directors Stock Award Plan (approved July 30, 2020)</w:t>
      </w:r>
    </w:p>
    <w:p>
      <w:pPr>
        <w:spacing w:after="0" w:line="1" w:lineRule="exact"/>
        <w:rPr>
          <w:sz w:val="20"/>
          <w:szCs w:val="20"/>
          <w:color w:val="auto"/>
        </w:rPr>
      </w:pPr>
    </w:p>
    <w:p>
      <w:pPr>
        <w:jc w:val="both"/>
        <w:ind w:right="320"/>
        <w:spacing w:after="0" w:line="228" w:lineRule="auto"/>
        <w:rPr>
          <w:sz w:val="20"/>
          <w:szCs w:val="20"/>
          <w:color w:val="auto"/>
        </w:rPr>
      </w:pPr>
      <w:r>
        <w:rPr>
          <w:rFonts w:ascii="Times New Roman" w:cs="Times New Roman" w:eastAsia="Times New Roman" w:hAnsi="Times New Roman"/>
          <w:sz w:val="19"/>
          <w:szCs w:val="19"/>
          <w:color w:val="auto"/>
        </w:rPr>
        <w:t>Form of Non-U.S. Option Grant Notice and Non-U.S. Option Agreement under the Jazz Pharmaceuticals plc Amended and Restated 2007 Non-Employee Directors Stock Award Plan</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9"/>
          <w:szCs w:val="19"/>
          <w:color w:val="auto"/>
        </w:rPr>
        <w:t>Form of Non-U.S. Restricted Stock Unit Award Grant Notice and Non-U.S. Restricted Stock Unit Award Agreement under the Jazz Pharmaceuticals plc Amended and Restated 2007 Non-Employee Directors Stock Award Plan</w:t>
      </w:r>
    </w:p>
    <w:p>
      <w:pPr>
        <w:spacing w:after="0" w:line="3"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Amended and Restated GW Pharmaceuticals plc 2020 Long-Term Incentive Plan.</w:t>
      </w:r>
    </w:p>
    <w:p>
      <w:pPr>
        <w:spacing w:after="0" w:line="1" w:lineRule="exact"/>
        <w:rPr>
          <w:sz w:val="20"/>
          <w:szCs w:val="20"/>
          <w:color w:val="auto"/>
        </w:rPr>
      </w:pPr>
    </w:p>
    <w:p>
      <w:pPr>
        <w:jc w:val="both"/>
        <w:ind w:right="200"/>
        <w:spacing w:after="0" w:line="228" w:lineRule="auto"/>
        <w:rPr>
          <w:sz w:val="20"/>
          <w:szCs w:val="20"/>
          <w:color w:val="auto"/>
        </w:rPr>
      </w:pPr>
      <w:r>
        <w:rPr>
          <w:rFonts w:ascii="Times New Roman" w:cs="Times New Roman" w:eastAsia="Times New Roman" w:hAnsi="Times New Roman"/>
          <w:sz w:val="19"/>
          <w:szCs w:val="19"/>
          <w:color w:val="auto"/>
        </w:rPr>
        <w:t>Form of Restricted Stock Unit Award Agreement under the GW Pharmaceuticals plc 2020 Long-Term Incentive Plan</w:t>
      </w:r>
    </w:p>
    <w:p>
      <w:pPr>
        <w:spacing w:after="0" w:line="1"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Form of Replacement Stock Option Award Agreement under the GW Pharmaceuticals plc 2020 Long-Term Incentive Plan</w:t>
      </w:r>
    </w:p>
    <w:p>
      <w:pPr>
        <w:spacing w:after="0" w:line="2" w:lineRule="exact"/>
        <w:rPr>
          <w:sz w:val="20"/>
          <w:szCs w:val="20"/>
          <w:color w:val="auto"/>
        </w:rPr>
      </w:pPr>
    </w:p>
    <w:p>
      <w:pPr>
        <w:jc w:val="both"/>
        <w:ind w:right="500"/>
        <w:spacing w:after="0" w:line="228" w:lineRule="auto"/>
        <w:rPr>
          <w:sz w:val="20"/>
          <w:szCs w:val="20"/>
          <w:color w:val="auto"/>
        </w:rPr>
      </w:pPr>
      <w:r>
        <w:rPr>
          <w:rFonts w:ascii="Times New Roman" w:cs="Times New Roman" w:eastAsia="Times New Roman" w:hAnsi="Times New Roman"/>
          <w:sz w:val="19"/>
          <w:szCs w:val="19"/>
          <w:color w:val="auto"/>
        </w:rPr>
        <w:t>Form of Replacement Restricted Stock Unit Award Agreement under the GW Pharmaceuticals plc 2020 Long-Term Incentive Plan</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9"/>
          <w:szCs w:val="19"/>
          <w:color w:val="auto"/>
        </w:rPr>
        <w:t>Amended and Restated 2007 Employee Stock Purchase Plan (approved November 1, 2023)</w:t>
      </w:r>
    </w:p>
    <w:p>
      <w:pPr>
        <w:spacing w:after="0" w:line="2" w:lineRule="exact"/>
        <w:rPr>
          <w:sz w:val="20"/>
          <w:szCs w:val="20"/>
          <w:color w:val="auto"/>
        </w:rPr>
      </w:pPr>
    </w:p>
    <w:p>
      <w:pPr>
        <w:jc w:val="both"/>
        <w:ind w:right="100"/>
        <w:spacing w:after="0" w:line="227" w:lineRule="auto"/>
        <w:rPr>
          <w:sz w:val="20"/>
          <w:szCs w:val="20"/>
          <w:color w:val="auto"/>
        </w:rPr>
      </w:pPr>
      <w:r>
        <w:rPr>
          <w:rFonts w:ascii="Times New Roman" w:cs="Times New Roman" w:eastAsia="Times New Roman" w:hAnsi="Times New Roman"/>
          <w:sz w:val="19"/>
          <w:szCs w:val="19"/>
          <w:color w:val="auto"/>
        </w:rPr>
        <w:t>Jazz Pharmaceuticals plc 2007 Employee Stock Purchase Plan Sub-Plan Governing Purchase Rights to Participants in the Republic of Ireland</w:t>
      </w:r>
    </w:p>
    <w:p>
      <w:pPr>
        <w:spacing w:after="0" w:line="2" w:lineRule="exact"/>
        <w:rPr>
          <w:sz w:val="20"/>
          <w:szCs w:val="20"/>
          <w:color w:val="auto"/>
        </w:rPr>
      </w:pPr>
    </w:p>
    <w:p>
      <w:pPr>
        <w:ind w:right="660"/>
        <w:spacing w:after="0" w:line="228" w:lineRule="auto"/>
        <w:rPr>
          <w:sz w:val="20"/>
          <w:szCs w:val="20"/>
          <w:color w:val="auto"/>
        </w:rPr>
      </w:pPr>
      <w:r>
        <w:rPr>
          <w:rFonts w:ascii="Times New Roman" w:cs="Times New Roman" w:eastAsia="Times New Roman" w:hAnsi="Times New Roman"/>
          <w:sz w:val="19"/>
          <w:szCs w:val="19"/>
          <w:color w:val="auto"/>
        </w:rPr>
        <w:t>Jazz Pharmaceuticals plc Global Cash Bonus Plan (approved November, 2021)</w:t>
      </w:r>
    </w:p>
    <w:p>
      <w:pPr>
        <w:spacing w:after="0" w:line="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9"/>
          <w:szCs w:val="19"/>
          <w:color w:val="auto"/>
        </w:rPr>
        <w:t>Amended and Restated Executive Change in Control and Severance Benefit Plan, dated as of May 3, 2023</w:t>
      </w:r>
    </w:p>
    <w:p>
      <w:pPr>
        <w:spacing w:after="0"/>
        <w:rPr>
          <w:sz w:val="20"/>
          <w:szCs w:val="20"/>
          <w:color w:val="auto"/>
        </w:rPr>
      </w:pPr>
      <w:r>
        <w:rPr>
          <w:rFonts w:ascii="Times New Roman" w:cs="Times New Roman" w:eastAsia="Times New Roman" w:hAnsi="Times New Roman"/>
          <w:sz w:val="19"/>
          <w:szCs w:val="19"/>
          <w:color w:val="auto"/>
        </w:rPr>
        <w:t>Jazz Pharmaceuticals plc Executive Committee Severance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10.17B</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2/28/2024</w:t>
            </w: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5/2/2024</w:t>
            </w:r>
          </w:p>
        </w:tc>
      </w:tr>
      <w:tr>
        <w:trPr>
          <w:trHeight w:val="414"/>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10.17B</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2/26/2025</w:t>
            </w:r>
          </w:p>
        </w:tc>
      </w:tr>
      <w:tr>
        <w:trPr>
          <w:trHeight w:val="624"/>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10.18I</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2/28/2024</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10.7</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11/8/2016</w:t>
            </w: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10.4</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5/7/2019</w:t>
            </w: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10.8</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831"/>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11/9/2021</w:t>
            </w:r>
          </w:p>
        </w:tc>
      </w:tr>
      <w:tr>
        <w:trPr>
          <w:trHeight w:val="831"/>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10.6</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1038"/>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10.7</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1038"/>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10.2</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5/2/2024</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10.2</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11/2/2020</w:t>
            </w:r>
          </w:p>
        </w:tc>
      </w:tr>
      <w:tr>
        <w:trPr>
          <w:trHeight w:val="831"/>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10.3</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11/2/2020</w:t>
            </w:r>
          </w:p>
        </w:tc>
      </w:tr>
      <w:tr>
        <w:trPr>
          <w:trHeight w:val="1041"/>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10.20A</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2/28/2024</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10.10B</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62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10.10C</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622"/>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10.10D</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8/3/2021</w:t>
            </w:r>
          </w:p>
        </w:tc>
      </w:tr>
      <w:tr>
        <w:trPr>
          <w:trHeight w:val="624"/>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10.21C</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2/28/2024</w:t>
            </w: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10.14C</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5/8/2012</w:t>
            </w:r>
          </w:p>
        </w:tc>
      </w:tr>
      <w:tr>
        <w:trPr>
          <w:trHeight w:val="622"/>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10-.  001-33500  10.34E</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3/1/2022</w:t>
            </w: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10.2</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8/9/2023</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10.4</w:t>
            </w:r>
          </w:p>
        </w:tc>
        <w:tc>
          <w:tcPr>
            <w:tcW w:w="9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5/7/2025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176530</wp:posOffset>
            </wp:positionV>
            <wp:extent cx="259080" cy="2546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63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ectPr>
          <w:pgSz w:w="11880" w:h="15479" w:orient="portrait"/>
          <w:cols w:equalWidth="0" w:num="3">
            <w:col w:w="760" w:space="260"/>
            <w:col w:w="4560" w:space="160"/>
            <w:col w:w="3799"/>
          </w:cols>
          <w:pgMar w:left="900" w:top="839" w:right="1440" w:bottom="0" w:gutter="0" w:footer="0" w:header="0"/>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112</w:t>
            </w:r>
          </w:p>
        </w:tc>
        <w:tc>
          <w:tcPr>
            <w:tcW w:w="314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63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539"/>
          </w:cols>
          <w:pgMar w:left="900" w:top="839" w:right="1440" w:bottom="0" w:gutter="0" w:footer="0" w:header="0"/>
          <w:type w:val="continuous"/>
        </w:sectPr>
      </w:pPr>
    </w:p>
    <w:bookmarkStart w:id="236" w:name="page237"/>
    <w:bookmarkEnd w:id="236"/>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18"/>
                <w:szCs w:val="18"/>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Benefit Plan</w:t>
            </w: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10.24+</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Amended and Restated Non-Employee Director</w:t>
            </w:r>
          </w:p>
        </w:tc>
      </w:tr>
      <w:tr>
        <w:trPr>
          <w:trHeight w:val="203"/>
        </w:trPr>
        <w:tc>
          <w:tcPr>
            <w:tcW w:w="840" w:type="dxa"/>
            <w:vAlign w:val="bottom"/>
          </w:tcPr>
          <w:p>
            <w:pPr>
              <w:spacing w:after="0"/>
              <w:rPr>
                <w:sz w:val="17"/>
                <w:szCs w:val="17"/>
                <w:color w:val="auto"/>
              </w:rPr>
            </w:pP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Compensation Policy (approved October 23, 2025)</w:t>
            </w:r>
          </w:p>
        </w:tc>
      </w:tr>
      <w:tr>
        <w:trPr>
          <w:trHeight w:val="256"/>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19.1</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Jazz Pharmaceuticals plc Insider Trading Policy</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21.1</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Subsidiaries of Jazz Pharmaceuticals plc.</w:t>
            </w:r>
          </w:p>
        </w:tc>
      </w:tr>
      <w:tr>
        <w:trPr>
          <w:trHeight w:val="2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4600" w:type="dxa"/>
            <w:vAlign w:val="bottom"/>
          </w:tcPr>
          <w:p>
            <w:pPr>
              <w:ind w:left="120"/>
              <w:spacing w:after="0"/>
              <w:rPr>
                <w:sz w:val="20"/>
                <w:szCs w:val="20"/>
                <w:color w:val="auto"/>
              </w:rPr>
            </w:pPr>
            <w:r>
              <w:rPr>
                <w:rFonts w:ascii="PMingLiU" w:cs="PMingLiU" w:eastAsia="PMingLiU" w:hAnsi="PMingLiU"/>
                <w:sz w:val="19"/>
                <w:szCs w:val="19"/>
                <w:color w:val="auto"/>
                <w:w w:val="95"/>
              </w:rPr>
              <w:t>&amp;RQVHQWRI.30*,QGHSHQGHQW5HJLVWHUHG3XEOLF</w:t>
            </w:r>
          </w:p>
        </w:tc>
      </w:tr>
      <w:tr>
        <w:trPr>
          <w:trHeight w:val="182"/>
        </w:trPr>
        <w:tc>
          <w:tcPr>
            <w:tcW w:w="840" w:type="dxa"/>
            <w:vAlign w:val="bottom"/>
          </w:tcPr>
          <w:p>
            <w:pPr>
              <w:spacing w:after="0"/>
              <w:rPr>
                <w:sz w:val="15"/>
                <w:szCs w:val="15"/>
                <w:color w:val="auto"/>
              </w:rPr>
            </w:pPr>
          </w:p>
        </w:tc>
        <w:tc>
          <w:tcPr>
            <w:tcW w:w="4600" w:type="dxa"/>
            <w:vAlign w:val="bottom"/>
          </w:tcPr>
          <w:p>
            <w:pPr>
              <w:ind w:left="120"/>
              <w:spacing w:after="0" w:line="182" w:lineRule="exact"/>
              <w:rPr>
                <w:sz w:val="20"/>
                <w:szCs w:val="20"/>
                <w:color w:val="auto"/>
              </w:rPr>
            </w:pPr>
            <w:r>
              <w:rPr>
                <w:rFonts w:ascii="Times New Roman" w:cs="Times New Roman" w:eastAsia="Times New Roman" w:hAnsi="Times New Roman"/>
                <w:sz w:val="19"/>
                <w:szCs w:val="19"/>
                <w:color w:val="auto"/>
              </w:rPr>
              <w:t>Accounting Firm.</w:t>
            </w:r>
          </w:p>
        </w:tc>
      </w:tr>
      <w:tr>
        <w:trPr>
          <w:trHeight w:val="2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Certification of Principal Executive Officer pursuant to</w:t>
            </w:r>
          </w:p>
        </w:tc>
      </w:tr>
      <w:tr>
        <w:trPr>
          <w:trHeight w:val="179"/>
        </w:trPr>
        <w:tc>
          <w:tcPr>
            <w:tcW w:w="840" w:type="dxa"/>
            <w:vAlign w:val="bottom"/>
          </w:tcPr>
          <w:p>
            <w:pPr>
              <w:spacing w:after="0"/>
              <w:rPr>
                <w:sz w:val="15"/>
                <w:szCs w:val="15"/>
                <w:color w:val="auto"/>
              </w:rPr>
            </w:pPr>
          </w:p>
        </w:tc>
        <w:tc>
          <w:tcPr>
            <w:tcW w:w="4600" w:type="dxa"/>
            <w:vAlign w:val="bottom"/>
          </w:tcPr>
          <w:p>
            <w:pPr>
              <w:ind w:left="120"/>
              <w:spacing w:after="0" w:line="179" w:lineRule="exact"/>
              <w:rPr>
                <w:sz w:val="20"/>
                <w:szCs w:val="20"/>
                <w:color w:val="auto"/>
              </w:rPr>
            </w:pPr>
            <w:r>
              <w:rPr>
                <w:rFonts w:ascii="Times New Roman" w:cs="Times New Roman" w:eastAsia="Times New Roman" w:hAnsi="Times New Roman"/>
                <w:sz w:val="19"/>
                <w:szCs w:val="19"/>
                <w:color w:val="auto"/>
              </w:rPr>
              <w:t>Rules 13a-14(a) and 15d-14(a) promulgated under the</w:t>
            </w:r>
          </w:p>
        </w:tc>
      </w:tr>
      <w:tr>
        <w:trPr>
          <w:trHeight w:val="207"/>
        </w:trPr>
        <w:tc>
          <w:tcPr>
            <w:tcW w:w="840" w:type="dxa"/>
            <w:vAlign w:val="bottom"/>
          </w:tcPr>
          <w:p>
            <w:pPr>
              <w:spacing w:after="0"/>
              <w:rPr>
                <w:sz w:val="18"/>
                <w:szCs w:val="18"/>
                <w:color w:val="auto"/>
              </w:rPr>
            </w:pPr>
          </w:p>
        </w:tc>
        <w:tc>
          <w:tcPr>
            <w:tcW w:w="4600" w:type="dxa"/>
            <w:vAlign w:val="bottom"/>
          </w:tcPr>
          <w:p>
            <w:pPr>
              <w:ind w:left="120"/>
              <w:spacing w:after="0" w:line="207" w:lineRule="exact"/>
              <w:rPr>
                <w:sz w:val="20"/>
                <w:szCs w:val="20"/>
                <w:color w:val="auto"/>
              </w:rPr>
            </w:pPr>
            <w:r>
              <w:rPr>
                <w:rFonts w:ascii="Times New Roman" w:cs="Times New Roman" w:eastAsia="Times New Roman" w:hAnsi="Times New Roman"/>
                <w:sz w:val="19"/>
                <w:szCs w:val="19"/>
                <w:color w:val="auto"/>
              </w:rPr>
              <w:t>Securities Exchange Act of 1934, as amended.</w:t>
            </w: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31.2</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Certification of Principal Financial Officer pursuant to</w:t>
            </w:r>
          </w:p>
        </w:tc>
      </w:tr>
      <w:tr>
        <w:trPr>
          <w:trHeight w:val="179"/>
        </w:trPr>
        <w:tc>
          <w:tcPr>
            <w:tcW w:w="840" w:type="dxa"/>
            <w:vAlign w:val="bottom"/>
          </w:tcPr>
          <w:p>
            <w:pPr>
              <w:spacing w:after="0"/>
              <w:rPr>
                <w:sz w:val="15"/>
                <w:szCs w:val="15"/>
                <w:color w:val="auto"/>
              </w:rPr>
            </w:pPr>
          </w:p>
        </w:tc>
        <w:tc>
          <w:tcPr>
            <w:tcW w:w="4600" w:type="dxa"/>
            <w:vAlign w:val="bottom"/>
          </w:tcPr>
          <w:p>
            <w:pPr>
              <w:ind w:left="120"/>
              <w:spacing w:after="0" w:line="179" w:lineRule="exact"/>
              <w:rPr>
                <w:sz w:val="20"/>
                <w:szCs w:val="20"/>
                <w:color w:val="auto"/>
              </w:rPr>
            </w:pPr>
            <w:r>
              <w:rPr>
                <w:rFonts w:ascii="Times New Roman" w:cs="Times New Roman" w:eastAsia="Times New Roman" w:hAnsi="Times New Roman"/>
                <w:sz w:val="19"/>
                <w:szCs w:val="19"/>
                <w:color w:val="auto"/>
              </w:rPr>
              <w:t>Rules 13a-14(a) and 15d-14(a) promulgated under the</w:t>
            </w:r>
          </w:p>
        </w:tc>
      </w:tr>
      <w:tr>
        <w:trPr>
          <w:trHeight w:val="207"/>
        </w:trPr>
        <w:tc>
          <w:tcPr>
            <w:tcW w:w="840" w:type="dxa"/>
            <w:vAlign w:val="bottom"/>
          </w:tcPr>
          <w:p>
            <w:pPr>
              <w:spacing w:after="0"/>
              <w:rPr>
                <w:sz w:val="18"/>
                <w:szCs w:val="18"/>
                <w:color w:val="auto"/>
              </w:rPr>
            </w:pPr>
          </w:p>
        </w:tc>
        <w:tc>
          <w:tcPr>
            <w:tcW w:w="4600" w:type="dxa"/>
            <w:vAlign w:val="bottom"/>
          </w:tcPr>
          <w:p>
            <w:pPr>
              <w:ind w:left="120"/>
              <w:spacing w:after="0" w:line="207" w:lineRule="exact"/>
              <w:rPr>
                <w:sz w:val="20"/>
                <w:szCs w:val="20"/>
                <w:color w:val="auto"/>
              </w:rPr>
            </w:pPr>
            <w:r>
              <w:rPr>
                <w:rFonts w:ascii="Times New Roman" w:cs="Times New Roman" w:eastAsia="Times New Roman" w:hAnsi="Times New Roman"/>
                <w:sz w:val="19"/>
                <w:szCs w:val="19"/>
                <w:color w:val="auto"/>
              </w:rPr>
              <w:t>Securities Exchange Act of 1934, as amended.</w:t>
            </w:r>
          </w:p>
        </w:tc>
      </w:tr>
      <w:tr>
        <w:trPr>
          <w:trHeight w:val="23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32.1*</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Certification of Principal Executive Officer and Principal</w:t>
            </w:r>
          </w:p>
        </w:tc>
      </w:tr>
      <w:tr>
        <w:trPr>
          <w:trHeight w:val="179"/>
        </w:trPr>
        <w:tc>
          <w:tcPr>
            <w:tcW w:w="840" w:type="dxa"/>
            <w:vAlign w:val="bottom"/>
          </w:tcPr>
          <w:p>
            <w:pPr>
              <w:spacing w:after="0"/>
              <w:rPr>
                <w:sz w:val="15"/>
                <w:szCs w:val="15"/>
                <w:color w:val="auto"/>
              </w:rPr>
            </w:pPr>
          </w:p>
        </w:tc>
        <w:tc>
          <w:tcPr>
            <w:tcW w:w="4600" w:type="dxa"/>
            <w:vAlign w:val="bottom"/>
          </w:tcPr>
          <w:p>
            <w:pPr>
              <w:ind w:left="120"/>
              <w:spacing w:after="0" w:line="179" w:lineRule="exact"/>
              <w:rPr>
                <w:sz w:val="20"/>
                <w:szCs w:val="20"/>
                <w:color w:val="auto"/>
              </w:rPr>
            </w:pPr>
            <w:r>
              <w:rPr>
                <w:rFonts w:ascii="Times New Roman" w:cs="Times New Roman" w:eastAsia="Times New Roman" w:hAnsi="Times New Roman"/>
                <w:sz w:val="19"/>
                <w:szCs w:val="19"/>
                <w:color w:val="auto"/>
              </w:rPr>
              <w:t>Financial Officer pursuant to 18 U.S.C. Section 1350, as</w:t>
            </w:r>
          </w:p>
        </w:tc>
      </w:tr>
      <w:tr>
        <w:trPr>
          <w:trHeight w:val="210"/>
        </w:trPr>
        <w:tc>
          <w:tcPr>
            <w:tcW w:w="840" w:type="dxa"/>
            <w:vAlign w:val="bottom"/>
          </w:tcPr>
          <w:p>
            <w:pPr>
              <w:spacing w:after="0"/>
              <w:rPr>
                <w:sz w:val="18"/>
                <w:szCs w:val="18"/>
                <w:color w:val="auto"/>
              </w:rPr>
            </w:pPr>
          </w:p>
        </w:tc>
        <w:tc>
          <w:tcPr>
            <w:tcW w:w="4600" w:type="dxa"/>
            <w:vAlign w:val="bottom"/>
          </w:tcPr>
          <w:p>
            <w:pPr>
              <w:ind w:left="120"/>
              <w:spacing w:after="0" w:line="210" w:lineRule="exact"/>
              <w:rPr>
                <w:sz w:val="20"/>
                <w:szCs w:val="20"/>
                <w:color w:val="auto"/>
              </w:rPr>
            </w:pPr>
            <w:r>
              <w:rPr>
                <w:rFonts w:ascii="Times New Roman" w:cs="Times New Roman" w:eastAsia="Times New Roman" w:hAnsi="Times New Roman"/>
                <w:sz w:val="19"/>
                <w:szCs w:val="19"/>
                <w:color w:val="auto"/>
              </w:rPr>
              <w:t>adopted pursuant to Section 906 of the Sarbanes-Oxley</w:t>
            </w:r>
          </w:p>
        </w:tc>
      </w:tr>
      <w:tr>
        <w:trPr>
          <w:trHeight w:val="258"/>
        </w:trPr>
        <w:tc>
          <w:tcPr>
            <w:tcW w:w="840" w:type="dxa"/>
            <w:vAlign w:val="bottom"/>
          </w:tcPr>
          <w:p>
            <w:pPr>
              <w:spacing w:after="0"/>
              <w:rPr>
                <w:sz w:val="22"/>
                <w:szCs w:val="22"/>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Act of 2002.</w:t>
            </w:r>
          </w:p>
        </w:tc>
      </w:tr>
      <w:tr>
        <w:trPr>
          <w:trHeight w:val="210"/>
        </w:trPr>
        <w:tc>
          <w:tcPr>
            <w:tcW w:w="8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97.1</w:t>
            </w:r>
          </w:p>
        </w:tc>
        <w:tc>
          <w:tcPr>
            <w:tcW w:w="4600" w:type="dxa"/>
            <w:vAlign w:val="bottom"/>
          </w:tcPr>
          <w:p>
            <w:pPr>
              <w:ind w:left="120"/>
              <w:spacing w:after="0" w:line="210" w:lineRule="exact"/>
              <w:rPr>
                <w:sz w:val="20"/>
                <w:szCs w:val="20"/>
                <w:color w:val="auto"/>
              </w:rPr>
            </w:pPr>
            <w:r>
              <w:rPr>
                <w:rFonts w:ascii="Times New Roman" w:cs="Times New Roman" w:eastAsia="Times New Roman" w:hAnsi="Times New Roman"/>
                <w:sz w:val="19"/>
                <w:szCs w:val="19"/>
                <w:color w:val="auto"/>
              </w:rPr>
              <w:t>Jazz Pharmaceuticals plc Policy for Recoupment of</w:t>
            </w:r>
          </w:p>
        </w:tc>
      </w:tr>
      <w:tr>
        <w:trPr>
          <w:trHeight w:val="247"/>
        </w:trPr>
        <w:tc>
          <w:tcPr>
            <w:tcW w:w="84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Incentive Compensation</w:t>
            </w:r>
          </w:p>
        </w:tc>
      </w:tr>
      <w:tr>
        <w:trPr>
          <w:trHeight w:val="202"/>
        </w:trPr>
        <w:tc>
          <w:tcPr>
            <w:tcW w:w="8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101.INS</w:t>
            </w: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XBRL Instance Document - The instance document does</w:t>
            </w:r>
          </w:p>
        </w:tc>
      </w:tr>
      <w:tr>
        <w:trPr>
          <w:trHeight w:val="191"/>
        </w:trPr>
        <w:tc>
          <w:tcPr>
            <w:tcW w:w="840" w:type="dxa"/>
            <w:vAlign w:val="bottom"/>
          </w:tcPr>
          <w:p>
            <w:pPr>
              <w:spacing w:after="0"/>
              <w:rPr>
                <w:sz w:val="16"/>
                <w:szCs w:val="16"/>
                <w:color w:val="auto"/>
              </w:rPr>
            </w:pPr>
          </w:p>
        </w:tc>
        <w:tc>
          <w:tcPr>
            <w:tcW w:w="4600" w:type="dxa"/>
            <w:vAlign w:val="bottom"/>
          </w:tcPr>
          <w:p>
            <w:pPr>
              <w:ind w:left="120"/>
              <w:spacing w:after="0" w:line="191" w:lineRule="exact"/>
              <w:rPr>
                <w:sz w:val="20"/>
                <w:szCs w:val="20"/>
                <w:color w:val="auto"/>
              </w:rPr>
            </w:pPr>
            <w:r>
              <w:rPr>
                <w:rFonts w:ascii="Times New Roman" w:cs="Times New Roman" w:eastAsia="Times New Roman" w:hAnsi="Times New Roman"/>
                <w:sz w:val="19"/>
                <w:szCs w:val="19"/>
                <w:color w:val="auto"/>
              </w:rPr>
              <w:t>not appear in the Interactive Data File because its XBRL</w:t>
            </w:r>
          </w:p>
        </w:tc>
      </w:tr>
      <w:tr>
        <w:trPr>
          <w:trHeight w:val="251"/>
        </w:trPr>
        <w:tc>
          <w:tcPr>
            <w:tcW w:w="84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tags are embedded within the Inline XBRL document</w:t>
            </w:r>
          </w:p>
        </w:tc>
      </w:tr>
      <w:tr>
        <w:trPr>
          <w:trHeight w:val="254"/>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r>
      <w:tr>
        <w:trPr>
          <w:trHeight w:val="203"/>
        </w:trPr>
        <w:tc>
          <w:tcPr>
            <w:tcW w:w="8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101.CAL</w:t>
            </w: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Inline XBRL Taxonomy Extension Calculation Linkbase</w:t>
            </w:r>
          </w:p>
        </w:tc>
      </w:tr>
      <w:tr>
        <w:trPr>
          <w:trHeight w:val="247"/>
        </w:trPr>
        <w:tc>
          <w:tcPr>
            <w:tcW w:w="84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Document</w:t>
            </w:r>
          </w:p>
        </w:tc>
      </w:tr>
      <w:tr>
        <w:trPr>
          <w:trHeight w:val="203"/>
        </w:trPr>
        <w:tc>
          <w:tcPr>
            <w:tcW w:w="8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101.DEF</w:t>
            </w: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Inline XBRL Taxonomy Extension Definition Linkbase</w:t>
            </w:r>
          </w:p>
        </w:tc>
      </w:tr>
      <w:tr>
        <w:trPr>
          <w:trHeight w:val="247"/>
        </w:trPr>
        <w:tc>
          <w:tcPr>
            <w:tcW w:w="84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Document</w:t>
            </w:r>
          </w:p>
        </w:tc>
      </w:tr>
      <w:tr>
        <w:trPr>
          <w:trHeight w:val="202"/>
        </w:trPr>
        <w:tc>
          <w:tcPr>
            <w:tcW w:w="8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101.LAB</w:t>
            </w: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Inline XBRL Taxonomy Extension Labels Linkbase</w:t>
            </w:r>
          </w:p>
        </w:tc>
      </w:tr>
      <w:tr>
        <w:trPr>
          <w:trHeight w:val="247"/>
        </w:trPr>
        <w:tc>
          <w:tcPr>
            <w:tcW w:w="840" w:type="dxa"/>
            <w:vAlign w:val="bottom"/>
          </w:tcPr>
          <w:p>
            <w:pPr>
              <w:spacing w:after="0"/>
              <w:rPr>
                <w:sz w:val="21"/>
                <w:szCs w:val="21"/>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Document</w:t>
            </w:r>
          </w:p>
        </w:tc>
      </w:tr>
      <w:tr>
        <w:trPr>
          <w:trHeight w:val="202"/>
        </w:trPr>
        <w:tc>
          <w:tcPr>
            <w:tcW w:w="8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101.PRE</w:t>
            </w:r>
          </w:p>
        </w:tc>
        <w:tc>
          <w:tcPr>
            <w:tcW w:w="4600" w:type="dxa"/>
            <w:vAlign w:val="bottom"/>
          </w:tcPr>
          <w:p>
            <w:pPr>
              <w:ind w:left="120"/>
              <w:spacing w:after="0" w:line="203" w:lineRule="exact"/>
              <w:rPr>
                <w:sz w:val="20"/>
                <w:szCs w:val="20"/>
                <w:color w:val="auto"/>
              </w:rPr>
            </w:pPr>
            <w:r>
              <w:rPr>
                <w:rFonts w:ascii="Times New Roman" w:cs="Times New Roman" w:eastAsia="Times New Roman" w:hAnsi="Times New Roman"/>
                <w:sz w:val="19"/>
                <w:szCs w:val="19"/>
                <w:color w:val="auto"/>
              </w:rPr>
              <w:t>Inline XBRL Taxonomy Extension Presentation Linkbase</w:t>
            </w:r>
          </w:p>
        </w:tc>
      </w:tr>
      <w:tr>
        <w:trPr>
          <w:trHeight w:val="258"/>
        </w:trPr>
        <w:tc>
          <w:tcPr>
            <w:tcW w:w="840" w:type="dxa"/>
            <w:vAlign w:val="bottom"/>
          </w:tcPr>
          <w:p>
            <w:pPr>
              <w:spacing w:after="0"/>
              <w:rPr>
                <w:sz w:val="22"/>
                <w:szCs w:val="22"/>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Document</w:t>
            </w:r>
          </w:p>
        </w:tc>
      </w:tr>
    </w:tbl>
    <w:p>
      <w:pPr>
        <w:ind w:left="960" w:right="360" w:hanging="958"/>
        <w:spacing w:after="0" w:line="245" w:lineRule="auto"/>
        <w:tabs>
          <w:tab w:leader="none" w:pos="9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and contained in Exhibit 101)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10-Q</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10.1</w:t>
            </w:r>
          </w:p>
        </w:tc>
        <w:tc>
          <w:tcPr>
            <w:tcW w:w="10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11/5/2025</w:t>
            </w:r>
          </w:p>
        </w:tc>
      </w:tr>
      <w:tr>
        <w:trPr>
          <w:trHeight w:val="417"/>
        </w:trPr>
        <w:tc>
          <w:tcPr>
            <w:tcW w:w="520" w:type="dxa"/>
            <w:vAlign w:val="bottom"/>
          </w:tcPr>
          <w:p>
            <w:pPr>
              <w:spacing w:after="0"/>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001-33500</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19.1</w:t>
            </w:r>
          </w:p>
        </w:tc>
        <w:tc>
          <w:tcPr>
            <w:tcW w:w="102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2/26/2025</w:t>
            </w:r>
          </w:p>
        </w:tc>
      </w:tr>
    </w:tbl>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38"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194"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3"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5"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00" w:val="left"/>
          <w:tab w:leader="none" w:pos="1620" w:val="left"/>
          <w:tab w:leader="none" w:pos="2400" w:val="left"/>
        </w:tabs>
        <w:rPr>
          <w:sz w:val="20"/>
          <w:szCs w:val="20"/>
          <w:color w:val="auto"/>
        </w:rPr>
      </w:pPr>
      <w:r>
        <w:rPr>
          <w:rFonts w:ascii="Times New Roman" w:cs="Times New Roman" w:eastAsia="Times New Roman" w:hAnsi="Times New Roman"/>
          <w:sz w:val="19"/>
          <w:szCs w:val="19"/>
          <w:color w:val="auto"/>
        </w:rPr>
        <w:t>10-</w:t>
      </w:r>
      <w:r>
        <w:rPr>
          <w:rFonts w:ascii="PMingLiU" w:cs="PMingLiU" w:eastAsia="PMingLiU" w:hAnsi="PMingLiU"/>
          <w:sz w:val="19"/>
          <w:szCs w:val="19"/>
          <w:color w:val="auto"/>
        </w:rPr>
        <w:t>.</w:t>
      </w:r>
      <w:r>
        <w:rPr>
          <w:rFonts w:ascii="Times New Roman" w:cs="Times New Roman" w:eastAsia="Times New Roman" w:hAnsi="Times New Roman"/>
          <w:sz w:val="19"/>
          <w:szCs w:val="19"/>
          <w:color w:val="auto"/>
        </w:rPr>
        <w:tab/>
        <w:t>001-33500</w:t>
        <w:tab/>
        <w:t>97.1</w:t>
      </w:r>
      <w:r>
        <w:rPr>
          <w:sz w:val="20"/>
          <w:szCs w:val="20"/>
          <w:color w:val="auto"/>
        </w:rPr>
        <w:tab/>
      </w:r>
      <w:r>
        <w:rPr>
          <w:rFonts w:ascii="Times New Roman" w:cs="Times New Roman" w:eastAsia="Times New Roman" w:hAnsi="Times New Roman"/>
          <w:sz w:val="19"/>
          <w:szCs w:val="19"/>
          <w:color w:val="auto"/>
        </w:rPr>
        <w:t>2/28/2024</w:t>
      </w:r>
    </w:p>
    <w:p>
      <w:pPr>
        <w:spacing w:after="0" w:line="228"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24"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4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2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31"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31"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22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9"/>
          <w:szCs w:val="19"/>
          <w:color w:val="auto"/>
        </w:rPr>
        <w:t>X</w:t>
      </w:r>
    </w:p>
    <w:p>
      <w:pPr>
        <w:spacing w:after="0" w:line="768" w:lineRule="exact"/>
        <w:rPr>
          <w:sz w:val="20"/>
          <w:szCs w:val="20"/>
          <w:color w:val="auto"/>
        </w:rPr>
      </w:pPr>
    </w:p>
    <w:p>
      <w:pPr>
        <w:sectPr>
          <w:pgSz w:w="11880" w:h="15479" w:orient="portrait"/>
          <w:cols w:equalWidth="0" w:num="2">
            <w:col w:w="5440" w:space="240"/>
            <w:col w:w="4320"/>
          </w:cols>
          <w:pgMar w:left="960" w:top="828" w:right="919" w:bottom="0" w:gutter="0" w:footer="0" w:header="0"/>
        </w:sectPr>
      </w:pPr>
    </w:p>
    <w:p>
      <w:pPr>
        <w:ind w:left="600" w:hanging="598"/>
        <w:spacing w:after="0"/>
        <w:tabs>
          <w:tab w:leader="none" w:pos="6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management contract or compensatory plan.</w:t>
      </w:r>
    </w:p>
    <w:p>
      <w:pPr>
        <w:spacing w:after="0" w:line="131" w:lineRule="exact"/>
        <w:rPr>
          <w:sz w:val="20"/>
          <w:szCs w:val="20"/>
          <w:color w:val="auto"/>
        </w:rPr>
      </w:pPr>
    </w:p>
    <w:p>
      <w:pPr>
        <w:ind w:left="620" w:right="280" w:hanging="618"/>
        <w:spacing w:after="0" w:line="299" w:lineRule="auto"/>
        <w:tabs>
          <w:tab w:leader="none" w:pos="608"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Confidential treatment has been granted for portions of this exhibit. Omitted portions have been filed separately with the Securities and Exchange Commission.</w:t>
      </w:r>
    </w:p>
    <w:p>
      <w:pPr>
        <w:spacing w:after="0" w:line="37" w:lineRule="exact"/>
        <w:rPr>
          <w:rFonts w:ascii="Times New Roman" w:cs="Times New Roman" w:eastAsia="Times New Roman" w:hAnsi="Times New Roman"/>
          <w:sz w:val="19"/>
          <w:szCs w:val="19"/>
          <w:color w:val="auto"/>
        </w:rPr>
      </w:pPr>
    </w:p>
    <w:p>
      <w:pPr>
        <w:ind w:left="600" w:hanging="598"/>
        <w:spacing w:after="0"/>
        <w:tabs>
          <w:tab w:leader="none" w:pos="6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portions of this exhibit have been omitted pursuant to Item 601(b)(2) of Regulation S-</w:t>
      </w:r>
      <w:r>
        <w:rPr>
          <w:rFonts w:ascii="PMingLiU" w:cs="PMingLiU" w:eastAsia="PMingLiU" w:hAnsi="PMingLiU"/>
          <w:sz w:val="19"/>
          <w:szCs w:val="19"/>
          <w:color w:val="auto"/>
        </w:rPr>
        <w:t>.</w:t>
      </w:r>
    </w:p>
    <w:p>
      <w:pPr>
        <w:spacing w:after="0" w:line="118" w:lineRule="exact"/>
        <w:rPr>
          <w:sz w:val="20"/>
          <w:szCs w:val="20"/>
          <w:color w:val="auto"/>
        </w:rPr>
      </w:pPr>
    </w:p>
    <w:p>
      <w:pPr>
        <w:ind w:left="620" w:right="100" w:hanging="618"/>
        <w:spacing w:after="0" w:line="283" w:lineRule="auto"/>
        <w:tabs>
          <w:tab w:leader="none" w:pos="60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document have been omitted pursuant to Item 601(b)(10) of Regulations S-</w:t>
      </w:r>
      <w:r>
        <w:rPr>
          <w:rFonts w:ascii="PMingLiU" w:cs="PMingLiU" w:eastAsia="PMingLiU" w:hAnsi="PMingLiU"/>
          <w:sz w:val="19"/>
          <w:szCs w:val="19"/>
          <w:color w:val="auto"/>
        </w:rPr>
        <w:t>.EHFDXVHWKH\DUHERWKQRW</w:t>
      </w:r>
      <w:r>
        <w:rPr>
          <w:rFonts w:ascii="Times New Roman" w:cs="Times New Roman" w:eastAsia="Times New Roman" w:hAnsi="Times New Roman"/>
          <w:sz w:val="19"/>
          <w:szCs w:val="19"/>
          <w:color w:val="auto"/>
        </w:rPr>
        <w:t xml:space="preserve"> material and are the type that the company treats as private and confidential.</w:t>
      </w:r>
    </w:p>
    <w:p>
      <w:pPr>
        <w:spacing w:after="0" w:line="52" w:lineRule="exact"/>
        <w:rPr>
          <w:sz w:val="20"/>
          <w:szCs w:val="20"/>
          <w:color w:val="auto"/>
        </w:rPr>
      </w:pPr>
    </w:p>
    <w:p>
      <w:pPr>
        <w:ind w:left="620" w:right="260" w:hanging="618"/>
        <w:spacing w:after="0" w:line="269" w:lineRule="auto"/>
        <w:tabs>
          <w:tab w:leader="none" w:pos="60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certifications attached as Exhibit 32.1 accompany this Annual Report on Form </w:t>
      </w:r>
      <w:r>
        <w:rPr>
          <w:rFonts w:ascii="PMingLiU" w:cs="PMingLiU" w:eastAsia="PMingLiU" w:hAnsi="PMingLiU"/>
          <w:sz w:val="19"/>
          <w:szCs w:val="19"/>
          <w:color w:val="auto"/>
        </w:rPr>
        <w:t> .SXUVXDQWWR86&amp;</w:t>
      </w:r>
      <w:r>
        <w:rPr>
          <w:rFonts w:ascii="Times New Roman" w:cs="Times New Roman" w:eastAsia="Times New Roman" w:hAnsi="Times New Roman"/>
          <w:sz w:val="19"/>
          <w:szCs w:val="19"/>
          <w:color w:val="auto"/>
        </w:rPr>
        <w:t xml:space="preserve">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16.</w:t>
      </w:r>
      <w:r>
        <w:rPr>
          <w:rFonts w:ascii="PMingLiU" w:cs="PMingLiU" w:eastAsia="PMingLiU" w:hAnsi="PMingLiU"/>
          <w:sz w:val="19"/>
          <w:szCs w:val="19"/>
          <w:b w:val="1"/>
          <w:bCs w:val="1"/>
          <w:color w:val="auto"/>
        </w:rPr>
        <w:t/>
      </w:r>
      <w:r>
        <w:rPr>
          <w:sz w:val="20"/>
          <w:szCs w:val="20"/>
          <w:color w:val="auto"/>
        </w:rPr>
        <w:tab/>
      </w:r>
      <w:r>
        <w:rPr>
          <w:rFonts w:ascii="Times New Roman" w:cs="Times New Roman" w:eastAsia="Times New Roman" w:hAnsi="Times New Roman"/>
          <w:sz w:val="19"/>
          <w:szCs w:val="19"/>
          <w:b w:val="1"/>
          <w:bCs w:val="1"/>
          <w:color w:val="auto"/>
        </w:rPr>
        <w:t xml:space="preserve">Form </w:t>
      </w:r>
      <w:r>
        <w:rPr>
          <w:rFonts w:ascii="PMingLiU" w:cs="PMingLiU" w:eastAsia="PMingLiU" w:hAnsi="PMingLiU"/>
          <w:sz w:val="19"/>
          <w:szCs w:val="19"/>
          <w:b w:val="1"/>
          <w:bCs w:val="1"/>
          <w:color w:val="auto"/>
        </w:rPr>
        <w:t> .6XPPDU\</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1564640</wp:posOffset>
            </wp:positionV>
            <wp:extent cx="259080" cy="2546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63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2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w w:val="91"/>
              </w:rPr>
              <w:t>113</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C004B"/>
              </w:rPr>
              <w:t>113</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63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28" w:right="919" w:bottom="0" w:gutter="0" w:footer="0" w:header="0"/>
          <w:type w:val="continuous"/>
        </w:sectPr>
      </w:pPr>
    </w:p>
    <w:bookmarkStart w:id="237" w:name="page238"/>
    <w:bookmarkEnd w:id="237"/>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91" w:lineRule="exact"/>
        <w:rPr>
          <w:sz w:val="20"/>
          <w:szCs w:val="20"/>
          <w:color w:val="auto"/>
        </w:rPr>
      </w:pPr>
    </w:p>
    <w:p>
      <w:pPr>
        <w:ind w:left="60" w:firstLine="480"/>
        <w:spacing w:after="0" w:line="29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71" w:lineRule="exact"/>
        <w:rPr>
          <w:sz w:val="20"/>
          <w:szCs w:val="20"/>
          <w:color w:val="auto"/>
        </w:rPr>
      </w:pPr>
    </w:p>
    <w:p>
      <w:pPr>
        <w:ind w:left="60"/>
        <w:spacing w:after="0"/>
        <w:tabs>
          <w:tab w:leader="none" w:pos="4920" w:val="left"/>
        </w:tabs>
        <w:rPr>
          <w:sz w:val="20"/>
          <w:szCs w:val="20"/>
          <w:color w:val="auto"/>
        </w:rPr>
      </w:pPr>
      <w:r>
        <w:rPr>
          <w:rFonts w:ascii="Times New Roman" w:cs="Times New Roman" w:eastAsia="Times New Roman" w:hAnsi="Times New Roman"/>
          <w:sz w:val="19"/>
          <w:szCs w:val="19"/>
          <w:color w:val="auto"/>
        </w:rPr>
        <w:t>Date: February 24, 2026</w:t>
      </w:r>
      <w:r>
        <w:rPr>
          <w:sz w:val="20"/>
          <w:szCs w:val="20"/>
          <w:color w:val="auto"/>
        </w:rPr>
        <w:tab/>
      </w:r>
      <w:r>
        <w:rPr>
          <w:rFonts w:ascii="Times New Roman" w:cs="Times New Roman" w:eastAsia="Times New Roman" w:hAnsi="Times New Roman"/>
          <w:sz w:val="19"/>
          <w:szCs w:val="19"/>
          <w:b w:val="1"/>
          <w:bCs w:val="1"/>
          <w:color w:val="auto"/>
        </w:rPr>
        <w:t>Jazz Pharmaceuticals public limited company</w:t>
      </w:r>
    </w:p>
    <w:p>
      <w:pPr>
        <w:spacing w:after="0" w:line="4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(Registrant)</w:t>
      </w:r>
    </w:p>
    <w:p>
      <w:pPr>
        <w:spacing w:after="0" w:line="31"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9"/>
          <w:szCs w:val="19"/>
          <w:color w:val="auto"/>
        </w:rPr>
        <w:t>/s/ Renee D. Gala</w:t>
      </w:r>
    </w:p>
    <w:p>
      <w:pPr>
        <w:spacing w:after="0" w:line="3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Renee D. Gala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3101975</wp:posOffset>
                </wp:positionH>
                <wp:positionV relativeFrom="paragraph">
                  <wp:posOffset>-107950</wp:posOffset>
                </wp:positionV>
                <wp:extent cx="3215640"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564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8.4999pt" to="497.45pt,-8.4999pt" o:allowincell="f" strokecolor="#000000" strokeweight="0.9309pt"/>
            </w:pict>
          </mc:Fallback>
        </mc:AlternateContent>
      </w:r>
    </w:p>
    <w:p>
      <w:pPr>
        <w:jc w:val="center"/>
        <w:ind w:left="4740"/>
        <w:spacing w:after="0" w:line="203" w:lineRule="auto"/>
        <w:rPr>
          <w:sz w:val="20"/>
          <w:szCs w:val="20"/>
          <w:color w:val="auto"/>
        </w:rPr>
      </w:pPr>
      <w:r>
        <w:rPr>
          <w:rFonts w:ascii="Times New Roman" w:cs="Times New Roman" w:eastAsia="Times New Roman" w:hAnsi="Times New Roman"/>
          <w:sz w:val="16"/>
          <w:szCs w:val="16"/>
          <w:b w:val="1"/>
          <w:bCs w:val="1"/>
          <w:color w:val="auto"/>
        </w:rPr>
        <w:t>President and Chief Executive Officer and Director</w:t>
      </w: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67"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9"/>
          <w:szCs w:val="19"/>
          <w:color w:val="auto"/>
        </w:rPr>
        <w:t>/s/ Philip L.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3101975</wp:posOffset>
                </wp:positionH>
                <wp:positionV relativeFrom="paragraph">
                  <wp:posOffset>31115</wp:posOffset>
                </wp:positionV>
                <wp:extent cx="3215640"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5640" cy="4763"/>
                        </a:xfrm>
                        <a:prstGeom prst="line">
                          <a:avLst/>
                        </a:prstGeom>
                        <a:solidFill>
                          <a:srgbClr val="FFFFFF"/>
                        </a:solidFill>
                        <a:ln w="11811">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2.45pt" to="497.45pt,2.45pt" o:allowincell="f" strokecolor="#000000" strokeweight="0.93pt"/>
            </w:pict>
          </mc:Fallback>
        </mc:AlternateContent>
      </w:r>
    </w:p>
    <w:p>
      <w:pPr>
        <w:spacing w:after="0" w:line="1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Philip L. Johnson</w:t>
      </w:r>
    </w:p>
    <w:p>
      <w:pPr>
        <w:jc w:val="center"/>
        <w:ind w:left="4740"/>
        <w:spacing w:after="0" w:line="203" w:lineRule="auto"/>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0" w:lineRule="exact"/>
        <w:rPr>
          <w:sz w:val="20"/>
          <w:szCs w:val="20"/>
          <w:color w:val="auto"/>
        </w:rPr>
      </w:pPr>
    </w:p>
    <w:p>
      <w:pPr>
        <w:spacing w:after="0" w:line="304"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9"/>
          <w:szCs w:val="19"/>
          <w:color w:val="auto"/>
        </w:rPr>
        <w:t>/s/ Patricia Carr</w:t>
      </w:r>
    </w:p>
    <w:p>
      <w:pPr>
        <w:spacing w:after="0" w:line="50"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Patricia Carr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3101975</wp:posOffset>
                </wp:positionH>
                <wp:positionV relativeFrom="paragraph">
                  <wp:posOffset>-107950</wp:posOffset>
                </wp:positionV>
                <wp:extent cx="3215640" cy="0"/>
                <wp:wrapNone/>
                <wp:docPr id="842" name="Shape 8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5640"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842" o:spid="_x0000_s18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25pt,-8.4999pt" to="497.45pt,-8.4999pt" o:allowincell="f" strokecolor="#000000" strokeweight="0.9299pt"/>
            </w:pict>
          </mc:Fallback>
        </mc:AlternateContent>
      </w:r>
    </w:p>
    <w:p>
      <w:pPr>
        <w:jc w:val="center"/>
        <w:ind w:left="4740"/>
        <w:spacing w:after="0" w:line="203" w:lineRule="auto"/>
        <w:rPr>
          <w:sz w:val="20"/>
          <w:szCs w:val="20"/>
          <w:color w:val="auto"/>
        </w:rPr>
      </w:pPr>
      <w:r>
        <w:rPr>
          <w:rFonts w:ascii="Times New Roman" w:cs="Times New Roman" w:eastAsia="Times New Roman" w:hAnsi="Times New Roman"/>
          <w:sz w:val="16"/>
          <w:szCs w:val="16"/>
          <w:b w:val="1"/>
          <w:bCs w:val="1"/>
          <w:color w:val="auto"/>
        </w:rPr>
        <w:t>Senior Vice President, Chief Accounting Officer</w:t>
      </w: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5598160</wp:posOffset>
            </wp:positionV>
            <wp:extent cx="259080" cy="2546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63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0" w:type="dxa"/>
            <w:vAlign w:val="bottom"/>
          </w:tcPr>
          <w:p>
            <w:pPr>
              <w:jc w:val="right"/>
              <w:ind w:right="180"/>
              <w:spacing w:after="0"/>
              <w:rPr>
                <w:sz w:val="20"/>
                <w:szCs w:val="20"/>
                <w:color w:val="auto"/>
              </w:rPr>
            </w:pPr>
            <w:r>
              <w:rPr>
                <w:rFonts w:ascii="Arial" w:cs="Arial" w:eastAsia="Arial" w:hAnsi="Arial"/>
                <w:sz w:val="20"/>
                <w:szCs w:val="20"/>
                <w:b w:val="1"/>
                <w:bCs w:val="1"/>
                <w:color w:val="5C004B"/>
                <w:w w:val="89"/>
              </w:rPr>
              <w:t>114</w:t>
            </w:r>
          </w:p>
        </w:tc>
        <w:tc>
          <w:tcPr>
            <w:tcW w:w="314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63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7" w:right="979" w:bottom="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1" w:lineRule="exact"/>
        <w:rPr>
          <w:sz w:val="20"/>
          <w:szCs w:val="20"/>
          <w:color w:val="auto"/>
        </w:rPr>
      </w:pPr>
    </w:p>
    <w:p>
      <w:pPr>
        <w:ind w:left="40" w:right="100" w:firstLine="480"/>
        <w:spacing w:after="0" w:line="256" w:lineRule="auto"/>
        <w:rPr>
          <w:sz w:val="20"/>
          <w:szCs w:val="20"/>
          <w:color w:val="auto"/>
        </w:rPr>
      </w:pPr>
      <w:r>
        <w:rPr>
          <w:rFonts w:ascii="PMingLiU" w:cs="PMingLiU" w:eastAsia="PMingLiU" w:hAnsi="PMingLiU"/>
          <w:sz w:val="19"/>
          <w:szCs w:val="19"/>
          <w:color w:val="auto"/>
        </w:rPr>
        <w:t xml:space="preserve">.12:$//3(56216%&lt;7+(6(35(6(176WKDWHDFKSHUVRQZKRVHVLJQDWXUHDSSHDUVEHORZFRQVWLWXWHVDQG </w:t>
      </w:r>
      <w:r>
        <w:rPr>
          <w:rFonts w:ascii="Times New Roman" w:cs="Times New Roman" w:eastAsia="Times New Roman" w:hAnsi="Times New Roman"/>
          <w:sz w:val="19"/>
          <w:szCs w:val="19"/>
          <w:color w:val="auto"/>
        </w:rPr>
        <w:t xml:space="preserve">appoints Renee D. Gala, Philip L. Johnson, Neena M. Patil and Patricia Carr, and each of them, as his or her true and lawful attorneys-in-fact and agents, with full power of substitution for him or her, and in his or her name in any and all capacities, to sign any and all amendments to this Annual Report on Form </w:t>
      </w:r>
      <w:r>
        <w:rPr>
          <w:rFonts w:ascii="PMingLiU" w:cs="PMingLiU" w:eastAsia="PMingLiU" w:hAnsi="PMingLiU"/>
          <w:sz w:val="19"/>
          <w:szCs w:val="19"/>
          <w:color w:val="auto"/>
        </w:rPr>
        <w:t> .DQGWRILOHWKHVDPHZLWKH[KLELWVWKHUHWRDQGRWKHU</w:t>
      </w:r>
      <w:r>
        <w:rPr>
          <w:rFonts w:ascii="Times New Roman" w:cs="Times New Roman" w:eastAsia="Times New Roman" w:hAnsi="Times New Roman"/>
          <w:sz w:val="19"/>
          <w:szCs w:val="19"/>
          <w:color w:val="auto"/>
        </w:rPr>
        <w:t xml:space="preserve">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36" w:lineRule="exact"/>
        <w:rPr>
          <w:sz w:val="20"/>
          <w:szCs w:val="20"/>
          <w:color w:val="auto"/>
        </w:rPr>
      </w:pPr>
    </w:p>
    <w:p>
      <w:pPr>
        <w:ind w:left="40" w:right="40" w:firstLine="480"/>
        <w:spacing w:after="0" w:line="301"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following persons on behalf of the registrant and in the capacities and on the dates indicated have signed this report below:</w:t>
      </w:r>
    </w:p>
    <w:p>
      <w:pPr>
        <w:spacing w:after="0" w:line="83" w:lineRule="exact"/>
        <w:rPr>
          <w:sz w:val="20"/>
          <w:szCs w:val="20"/>
          <w:color w:val="auto"/>
        </w:rPr>
      </w:pPr>
    </w:p>
    <w:p>
      <w:pPr>
        <w:ind w:left="1360"/>
        <w:spacing w:after="0"/>
        <w:tabs>
          <w:tab w:leader="none" w:pos="5620" w:val="left"/>
          <w:tab w:leader="none" w:pos="8900" w:val="left"/>
        </w:tabs>
        <w:rPr>
          <w:sz w:val="20"/>
          <w:szCs w:val="20"/>
          <w:color w:val="auto"/>
        </w:rPr>
      </w:pPr>
      <w:r>
        <w:rPr>
          <w:rFonts w:ascii="Times New Roman" w:cs="Times New Roman" w:eastAsia="Times New Roman" w:hAnsi="Times New Roman"/>
          <w:sz w:val="16"/>
          <w:szCs w:val="16"/>
          <w:b w:val="1"/>
          <w:bCs w:val="1"/>
          <w:u w:val="single" w:color="auto"/>
          <w:color w:val="auto"/>
        </w:rPr>
        <w:t>Signature</w:t>
      </w:r>
      <w:r>
        <w:rPr>
          <w:sz w:val="20"/>
          <w:szCs w:val="20"/>
          <w:color w:val="auto"/>
        </w:rPr>
        <w:tab/>
      </w:r>
      <w:r>
        <w:rPr>
          <w:rFonts w:ascii="Times New Roman" w:cs="Times New Roman" w:eastAsia="Times New Roman" w:hAnsi="Times New Roman"/>
          <w:sz w:val="16"/>
          <w:szCs w:val="16"/>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Renee D. Gala</w:t>
            </w:r>
          </w:p>
        </w:tc>
        <w:tc>
          <w:tcPr>
            <w:tcW w:w="45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President and Chief Executive Officer and Director</w:t>
            </w:r>
          </w:p>
        </w:tc>
        <w:tc>
          <w:tcPr>
            <w:tcW w:w="186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February 24, 2026</w:t>
            </w:r>
          </w:p>
        </w:tc>
        <w:tc>
          <w:tcPr>
            <w:tcW w:w="0" w:type="dxa"/>
            <w:vAlign w:val="bottom"/>
          </w:tcPr>
          <w:p>
            <w:pPr>
              <w:spacing w:after="0"/>
              <w:rPr>
                <w:sz w:val="1"/>
                <w:szCs w:val="1"/>
                <w:color w:val="auto"/>
              </w:rPr>
            </w:pPr>
          </w:p>
        </w:tc>
      </w:tr>
      <w:tr>
        <w:trPr>
          <w:trHeight w:val="72"/>
        </w:trPr>
        <w:tc>
          <w:tcPr>
            <w:tcW w:w="3360" w:type="dxa"/>
            <w:vAlign w:val="bottom"/>
            <w:tcBorders>
              <w:bottom w:val="single" w:sz="8" w:color="auto"/>
            </w:tcBorders>
          </w:tcPr>
          <w:p>
            <w:pPr>
              <w:spacing w:after="0"/>
              <w:rPr>
                <w:sz w:val="6"/>
                <w:szCs w:val="6"/>
                <w:color w:val="auto"/>
              </w:rPr>
            </w:pPr>
          </w:p>
        </w:tc>
        <w:tc>
          <w:tcPr>
            <w:tcW w:w="4560" w:type="dxa"/>
            <w:vAlign w:val="bottom"/>
            <w:vMerge w:val="restart"/>
          </w:tcPr>
          <w:p>
            <w:pPr>
              <w:ind w:left="140"/>
              <w:spacing w:after="0"/>
              <w:rPr>
                <w:sz w:val="20"/>
                <w:szCs w:val="20"/>
                <w:color w:val="auto"/>
              </w:rPr>
            </w:pPr>
            <w:r>
              <w:rPr>
                <w:rFonts w:ascii="PMingLiU" w:cs="PMingLiU" w:eastAsia="PMingLiU" w:hAnsi="PMingLiU"/>
                <w:sz w:val="19"/>
                <w:szCs w:val="19"/>
                <w:i w:val="1"/>
                <w:iCs w:val="1"/>
                <w:color w:val="auto"/>
              </w:rPr>
              <w:t>3ULQFLSDO([HFXWLYH2IILFHU</w:t>
            </w: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Renee D. Gala</w:t>
            </w:r>
          </w:p>
        </w:tc>
        <w:tc>
          <w:tcPr>
            <w:tcW w:w="456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360" w:type="dxa"/>
            <w:vAlign w:val="bottom"/>
            <w:vMerge w:val="continue"/>
          </w:tcPr>
          <w:p>
            <w:pPr>
              <w:spacing w:after="0"/>
              <w:rPr>
                <w:sz w:val="5"/>
                <w:szCs w:val="5"/>
                <w:color w:val="auto"/>
              </w:rPr>
            </w:pPr>
          </w:p>
        </w:tc>
        <w:tc>
          <w:tcPr>
            <w:tcW w:w="45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880" w:h="15479" w:orient="portrait"/>
          <w:cols w:equalWidth="0" w:num="1">
            <w:col w:w="10040"/>
          </w:cols>
          <w:pgMar w:left="920" w:top="837" w:right="919" w:bottom="0" w:gutter="0" w:footer="0" w:header="0"/>
        </w:sectPr>
      </w:pPr>
    </w:p>
    <w:p>
      <w:pPr>
        <w:spacing w:after="0" w:line="6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Philip L.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845" o:spid="_x0000_s18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1pt"/>
            </w:pict>
          </mc:Fallback>
        </mc:AlternateContent>
      </w:r>
    </w:p>
    <w:p>
      <w:pPr>
        <w:spacing w:after="0" w:line="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Philip L. Johnson</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Patricia Carr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2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Patricia Carr</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Bruce C. Cozadd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47" name="Shape 8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847" o:spid="_x0000_s18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1pt"/>
            </w:pict>
          </mc:Fallback>
        </mc:AlternateContent>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Bruce C. Cozadd</w:t>
      </w:r>
    </w:p>
    <w:p>
      <w:pPr>
        <w:spacing w:after="0" w:line="10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Jennifer E. Cook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48" name="Shape 8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1">
                          <a:solidFill>
                            <a:srgbClr val="000000"/>
                          </a:solidFill>
                          <a:miter lim="800000"/>
                          <a:headEnd/>
                          <a:tailEnd/>
                        </a:ln>
                      </wps:spPr>
                      <wps:bodyPr/>
                    </wps:wsp>
                  </a:graphicData>
                </a:graphic>
              </wp:anchor>
            </w:drawing>
          </mc:Choice>
          <mc:Fallback>
            <w:pict>
              <v:line id="Shape 848" o:spid="_x0000_s18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pt"/>
            </w:pict>
          </mc:Fallback>
        </mc:AlternateContent>
      </w:r>
    </w:p>
    <w:p>
      <w:pPr>
        <w:spacing w:after="0" w:line="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Jennifer E. Cook</w:t>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Patrick G. Enright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09pt"/>
            </w:pict>
          </mc:Fallback>
        </mc:AlternateConten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Patrick G. Enright</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Laura Hamill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2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Laura Hamill</w:t>
      </w:r>
    </w:p>
    <w:p>
      <w:pPr>
        <w:spacing w:after="0" w:line="91" w:lineRule="exact"/>
        <w:rPr>
          <w:sz w:val="20"/>
          <w:szCs w:val="20"/>
          <w:color w:val="auto"/>
        </w:rPr>
      </w:pPr>
    </w:p>
    <w:p>
      <w:pPr>
        <w:jc w:val="center"/>
        <w:ind w:left="580"/>
        <w:spacing w:after="0"/>
        <w:rPr>
          <w:sz w:val="20"/>
          <w:szCs w:val="20"/>
          <w:color w:val="auto"/>
        </w:rPr>
      </w:pPr>
      <w:r>
        <w:rPr>
          <w:rFonts w:ascii="PMingLiU" w:cs="PMingLiU" w:eastAsia="PMingLiU" w:hAnsi="PMingLiU"/>
          <w:sz w:val="19"/>
          <w:szCs w:val="19"/>
          <w:color w:val="auto"/>
        </w:rPr>
        <w:t>V3DWULFN.HQQHG\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33655</wp:posOffset>
                </wp:positionV>
                <wp:extent cx="2143125" cy="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65pt" to="168.3pt,2.65pt" o:allowincell="f" strokecolor="#000000" strokeweight="0.9299pt"/>
            </w:pict>
          </mc:Fallback>
        </mc:AlternateContent>
      </w:r>
    </w:p>
    <w:p>
      <w:pPr>
        <w:spacing w:after="0" w:line="6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Patrick Kennedy</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Ted W. Love,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1">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Ted W. Love, M.D.</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Heather Ann McSharry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3" name="Shape 8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853" o:spid="_x0000_s18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299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Heather Ann McSharry</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Seamus C. Mulligan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854" o:spid="_x0000_s18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1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Seamus C. Mulligan</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Anne O’Riordan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2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Anne O’Riordan</w:t>
      </w:r>
    </w:p>
    <w:p>
      <w:pPr>
        <w:spacing w:after="0" w:line="9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Norbert G. Riedel,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299pt"/>
            </w:pict>
          </mc:Fallback>
        </mc:AlternateContent>
      </w:r>
    </w:p>
    <w:p>
      <w:pPr>
        <w:spacing w:after="0" w:line="7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Norbert G. Riedel, Ph.D.</w:t>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Mark D. Smith,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38100</wp:posOffset>
                </wp:positionV>
                <wp:extent cx="2143125" cy="0"/>
                <wp:wrapNone/>
                <wp:docPr id="857" name="Shape 8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857" o:spid="_x0000_s18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pt" to="168.3pt,3pt" o:allowincell="f" strokecolor="#000000" strokeweight="0.9299pt"/>
            </w:pict>
          </mc:Fallback>
        </mc:AlternateContent>
      </w:r>
    </w:p>
    <w:p>
      <w:pPr>
        <w:spacing w:after="0" w:line="7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Mark D. Smith, M.D.</w:t>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Rick E Winningham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2143125" cy="0"/>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3.15pt" to="168.3pt,3.15pt" o:allowincell="f" strokecolor="#000000" strokeweight="0.9309pt"/>
            </w:pict>
          </mc:Fallback>
        </mc:AlternateContent>
      </w:r>
    </w:p>
    <w:p>
      <w:pPr>
        <w:spacing w:after="0" w:line="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890270</wp:posOffset>
            </wp:positionV>
            <wp:extent cx="259080" cy="2546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63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 xml:space="preserve">Executive Vice President and Chief Financial Officer </w:t>
      </w:r>
      <w:r>
        <w:rPr>
          <w:rFonts w:ascii="PMingLiU" w:cs="PMingLiU" w:eastAsia="PMingLiU" w:hAnsi="PMingLiU"/>
          <w:sz w:val="19"/>
          <w:szCs w:val="19"/>
          <w:i w:val="1"/>
          <w:iCs w:val="1"/>
          <w:color w:val="auto"/>
        </w:rPr>
        <w:t>3ULQFLSDO)LQDQFLDO2IILFHU</w:t>
      </w:r>
    </w:p>
    <w:p>
      <w:pPr>
        <w:spacing w:after="0" w:line="135"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9"/>
          <w:szCs w:val="19"/>
          <w:color w:val="auto"/>
        </w:rPr>
        <w:t xml:space="preserve">Senior Vice President, Chief Accounting Officer </w:t>
      </w:r>
      <w:r>
        <w:rPr>
          <w:rFonts w:ascii="PMingLiU" w:cs="PMingLiU" w:eastAsia="PMingLiU" w:hAnsi="PMingLiU"/>
          <w:sz w:val="19"/>
          <w:szCs w:val="19"/>
          <w:i w:val="1"/>
          <w:iCs w:val="1"/>
          <w:color w:val="auto"/>
        </w:rPr>
        <w:t>3ULQFLSDO$FFRXQWLQJ2IILFHU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Chairman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pacing w:after="0" w:line="500" w:lineRule="exact"/>
        <w:rPr>
          <w:sz w:val="20"/>
          <w:szCs w:val="20"/>
          <w:color w:val="auto"/>
        </w:rPr>
      </w:pPr>
    </w:p>
    <w:p>
      <w:pPr>
        <w:sectPr>
          <w:pgSz w:w="11880" w:h="15479" w:orient="portrait"/>
          <w:cols w:equalWidth="0" w:num="3">
            <w:col w:w="2780" w:space="720"/>
            <w:col w:w="4140" w:space="720"/>
            <w:col w:w="1680"/>
          </w:cols>
          <w:pgMar w:left="920" w:top="837" w:right="9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880" w:type="dxa"/>
        <w:tblCellMar>
          <w:top w:w="0" w:type="dxa"/>
          <w:left w:w="0" w:type="dxa"/>
          <w:bottom w:w="0" w:type="dxa"/>
          <w:right w:w="0" w:type="dxa"/>
        </w:tblCellMar>
      </w:tblPr>
      <w:tr>
        <w:trPr>
          <w:trHeight w:val="285"/>
        </w:trPr>
        <w:tc>
          <w:tcPr>
            <w:tcW w:w="1420" w:type="dxa"/>
            <w:vAlign w:val="bottom"/>
            <w:vMerge w:val="restart"/>
          </w:tcPr>
          <w:p>
            <w:pPr>
              <w:jc w:val="right"/>
              <w:ind w:right="1043"/>
              <w:spacing w:after="0"/>
              <w:rPr>
                <w:sz w:val="20"/>
                <w:szCs w:val="20"/>
                <w:color w:val="auto"/>
              </w:rPr>
            </w:pPr>
            <w:r>
              <w:rPr>
                <w:rFonts w:ascii="Times New Roman" w:cs="Times New Roman" w:eastAsia="Times New Roman" w:hAnsi="Times New Roman"/>
                <w:sz w:val="19"/>
                <w:szCs w:val="19"/>
                <w:color w:val="auto"/>
                <w:w w:val="91"/>
              </w:rPr>
              <w:t>115</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C004B"/>
              </w:rPr>
              <w:t>115</w:t>
            </w:r>
          </w:p>
        </w:tc>
        <w:tc>
          <w:tcPr>
            <w:tcW w:w="0" w:type="dxa"/>
            <w:vAlign w:val="bottom"/>
          </w:tcPr>
          <w:p>
            <w:pPr>
              <w:spacing w:after="0"/>
              <w:rPr>
                <w:sz w:val="1"/>
                <w:szCs w:val="1"/>
                <w:color w:val="auto"/>
              </w:rPr>
            </w:pPr>
          </w:p>
        </w:tc>
      </w:tr>
      <w:tr>
        <w:trPr>
          <w:trHeight w:val="102"/>
        </w:trPr>
        <w:tc>
          <w:tcPr>
            <w:tcW w:w="142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-208915</wp:posOffset>
            </wp:positionV>
            <wp:extent cx="1134745" cy="1168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63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40"/>
          </w:cols>
          <w:pgMar w:left="920" w:top="837" w:right="919" w:bottom="0" w:gutter="0" w:footer="0" w:header="0"/>
          <w:type w:val="continuous"/>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3019"/>
        <w:spacing w:after="0"/>
        <w:rPr>
          <w:sz w:val="20"/>
          <w:szCs w:val="20"/>
          <w:color w:val="auto"/>
        </w:rPr>
      </w:pPr>
      <w:r>
        <w:rPr>
          <w:rFonts w:ascii="Arial" w:cs="Arial" w:eastAsia="Arial" w:hAnsi="Arial"/>
          <w:sz w:val="20"/>
          <w:szCs w:val="2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4620260</wp:posOffset>
            </wp:positionV>
            <wp:extent cx="259080" cy="2546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64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60" w:hanging="857"/>
        <w:spacing w:after="0"/>
        <w:tabs>
          <w:tab w:leader="none" w:pos="860" w:val="left"/>
        </w:tabs>
        <w:numPr>
          <w:ilvl w:val="0"/>
          <w:numId w:val="15"/>
        </w:numPr>
        <w:rPr>
          <w:rFonts w:ascii="Arial" w:cs="Arial" w:eastAsia="Arial" w:hAnsi="Arial"/>
          <w:sz w:val="20"/>
          <w:szCs w:val="20"/>
          <w:b w:val="1"/>
          <w:bCs w:val="1"/>
          <w:color w:val="5C004B"/>
        </w:rPr>
      </w:pPr>
      <w:r>
        <w:rPr>
          <w:rFonts w:ascii="Arial" w:cs="Arial" w:eastAsia="Arial" w:hAnsi="Arial"/>
          <w:sz w:val="16"/>
          <w:szCs w:val="16"/>
          <w:color w:val="auto"/>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-128905</wp:posOffset>
            </wp:positionV>
            <wp:extent cx="1134745" cy="1168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64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539"/>
          </w:cols>
          <w:pgMar w:left="900" w:top="1440" w:right="1440" w:bottom="0" w:gutter="0" w:footer="0" w:header="0"/>
        </w:sectPr>
      </w:pPr>
    </w:p>
    <w:bookmarkStart w:id="240" w:name="page241"/>
    <w:bookmarkEnd w:id="240"/>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Board of Directors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Jazz Pharmaceuticals plc:</w:t>
      </w:r>
    </w:p>
    <w:p>
      <w:pPr>
        <w:spacing w:after="0" w:line="226"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2SLQLRQRQWKH&amp;RQVROLGDWHG)LQDQFLDO6WDWHPHQWV</w:t>
      </w:r>
    </w:p>
    <w:p>
      <w:pPr>
        <w:spacing w:after="0" w:line="11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Jazz Pharmaceuticals Plc and subsidiaries (the Company) as of December 31, 2025 and 2024, the related consolidated statements of income (loss), comprehensive income, shareholders’ equity, and cash flows for each of the years in the three-year period ended December 31, 2025 and the related notes and financial statement schedules at item 15(a)2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7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9"/>
          <w:szCs w:val="19"/>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PMingLiU" w:cs="PMingLiU" w:eastAsia="PMingLiU" w:hAnsi="PMingLiU"/>
          <w:sz w:val="19"/>
          <w:szCs w:val="19"/>
          <w:i w:val="1"/>
          <w:iCs w:val="1"/>
          <w:color w:val="auto"/>
        </w:rPr>
        <w:t>,QWHUQDO&amp;RQWURO</w:t>
      </w:r>
      <w:r>
        <w:rPr>
          <w:rFonts w:ascii="Times New Roman" w:cs="Times New Roman" w:eastAsia="Times New Roman" w:hAnsi="Times New Roman"/>
          <w:sz w:val="19"/>
          <w:szCs w:val="19"/>
          <w:i w:val="1"/>
          <w:iCs w:val="1"/>
          <w:color w:val="auto"/>
        </w:rPr>
        <w:t>–</w:t>
      </w:r>
      <w:r>
        <w:rPr>
          <w:rFonts w:ascii="PMingLiU" w:cs="PMingLiU" w:eastAsia="PMingLiU" w:hAnsi="PMingLiU"/>
          <w:sz w:val="19"/>
          <w:szCs w:val="19"/>
          <w:i w:val="1"/>
          <w:iCs w:val="1"/>
          <w:color w:val="auto"/>
        </w:rPr>
        <w:t xml:space="preserve"> ,QWHJUDWHG)UDPHZRUN </w:t>
      </w:r>
      <w:r>
        <w:rPr>
          <w:rFonts w:ascii="Times New Roman" w:cs="Times New Roman" w:eastAsia="Times New Roman" w:hAnsi="Times New Roman"/>
          <w:sz w:val="19"/>
          <w:szCs w:val="19"/>
          <w:color w:val="auto"/>
        </w:rPr>
        <w:t>issued by the Committee of Sponsoring Organizations of the Treadway</w:t>
      </w:r>
      <w:r>
        <w:rPr>
          <w:rFonts w:ascii="PMingLiU" w:cs="PMingLiU" w:eastAsia="PMingLiU" w:hAnsi="PMingLiU"/>
          <w:sz w:val="19"/>
          <w:szCs w:val="19"/>
          <w:i w:val="1"/>
          <w:iCs w:val="1"/>
          <w:color w:val="auto"/>
        </w:rPr>
        <w:t xml:space="preserve"> </w:t>
      </w:r>
      <w:r>
        <w:rPr>
          <w:rFonts w:ascii="Times New Roman" w:cs="Times New Roman" w:eastAsia="Times New Roman" w:hAnsi="Times New Roman"/>
          <w:sz w:val="19"/>
          <w:szCs w:val="19"/>
          <w:color w:val="auto"/>
        </w:rPr>
        <w:t>Commission, and our report dated February 24, 2026 expressed an unqualified opinion on the effectiveness of the Company’s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Basis for Opinion</w:t>
      </w:r>
    </w:p>
    <w:p>
      <w:pPr>
        <w:spacing w:after="0" w:line="12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&amp;ULWLFDO$XGLW0DWWHU</w:t>
      </w:r>
    </w:p>
    <w:p>
      <w:pPr>
        <w:spacing w:after="0" w:line="11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$VVHVVPHQWRI(SLGLROH[0HGLFDLG5HEDWH$FFUXDO</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As discussed in Note 2 to the consolidated financial statements, sales made under governmental and managed-care pricing programs and commercial payor contracts in the U.S. are subject to rebates and require significant judgment in determining the sales utilization percentage used in calculating the Epidiolex Medicaid rebate accrual. As discussed in Note 10 to the consolidated financial statements, the Company reported rebates and other sales deductions of $459.8 million, which included rebates related to the Epidiolex Medicaid rebate program in the U.S.</w:t>
      </w:r>
    </w:p>
    <w:p>
      <w:pPr>
        <w:spacing w:after="0" w:line="70"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9"/>
          <w:szCs w:val="19"/>
          <w:color w:val="auto"/>
        </w:rPr>
        <w:t>We identified the assessment of the Epidiolex Medicaid rebate accrual as a critical audit matter. Significant and complex auditor judgment was required to assess the Epidiolex Medicaid rebate accrual, specifically due to the significant judgment required in determining the sales utilization percentage used in the calculation of the Epidiolex Medicaid rebate accrual amount.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are the primary procedures we performed to address this critical audit matter.</w:t>
      </w:r>
    </w:p>
    <w:p>
      <w:pPr>
        <w:spacing w:after="0" w:line="131" w:lineRule="exact"/>
        <w:rPr>
          <w:sz w:val="20"/>
          <w:szCs w:val="20"/>
          <w:color w:val="auto"/>
        </w:rPr>
      </w:pPr>
    </w:p>
    <w:p>
      <w:pPr>
        <w:ind w:right="760" w:firstLine="1"/>
        <w:spacing w:after="0" w:line="299" w:lineRule="auto"/>
        <w:tabs>
          <w:tab w:leader="none" w:pos="1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design and tested the operating effectiveness of certain internal controls related to the assessment of Epidiolex Medicaid rebate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334645</wp:posOffset>
            </wp:positionV>
            <wp:extent cx="259080" cy="2546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64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ind w:left="260"/>
              <w:spacing w:after="0"/>
              <w:rPr>
                <w:sz w:val="20"/>
                <w:szCs w:val="20"/>
                <w:color w:val="auto"/>
              </w:rPr>
            </w:pPr>
            <w:r>
              <w:rPr>
                <w:rFonts w:ascii="Arial" w:cs="Arial" w:eastAsia="Arial" w:hAnsi="Arial"/>
                <w:sz w:val="20"/>
                <w:szCs w:val="20"/>
                <w:b w:val="1"/>
                <w:bCs w:val="1"/>
                <w:color w:val="5C004B"/>
                <w:w w:val="93"/>
              </w:rPr>
              <w:t>F-1</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64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41" w:name="page242"/>
    <w:bookmarkEnd w:id="241"/>
    <w:p>
      <w:pPr>
        <w:ind w:left="60" w:firstLine="2"/>
        <w:spacing w:after="0" w:line="299" w:lineRule="auto"/>
        <w:tabs>
          <w:tab w:leader="none" w:pos="16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compared the Company’s historical Epidiolex Medicaid rebate accrual amount to the actual claims received to assess the Company’s ability to accurately forecast;</w:t>
      </w:r>
    </w:p>
    <w:p>
      <w:pPr>
        <w:spacing w:after="0" w:line="37" w:lineRule="exact"/>
        <w:rPr>
          <w:rFonts w:ascii="Times New Roman" w:cs="Times New Roman" w:eastAsia="Times New Roman" w:hAnsi="Times New Roman"/>
          <w:sz w:val="19"/>
          <w:szCs w:val="19"/>
          <w:color w:val="auto"/>
        </w:rPr>
      </w:pPr>
    </w:p>
    <w:p>
      <w:pPr>
        <w:ind w:left="60" w:right="740" w:firstLine="2"/>
        <w:spacing w:after="0" w:line="299" w:lineRule="auto"/>
        <w:tabs>
          <w:tab w:leader="none" w:pos="16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assessed the assumption for reasonableness by comparing it against a sales utilization percentage range that we independently developed based on historical utilization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PMingLiU" w:cs="PMingLiU" w:eastAsia="PMingLiU" w:hAnsi="PMingLiU"/>
          <w:sz w:val="19"/>
          <w:szCs w:val="19"/>
          <w:color w:val="auto"/>
        </w:rPr>
        <w:t>V.30*</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We have served as the Company’s auditor since 2012.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Dublin, Ireland</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6610350</wp:posOffset>
            </wp:positionV>
            <wp:extent cx="259080" cy="2546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64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60" w:type="dxa"/>
            <w:vAlign w:val="bottom"/>
          </w:tcPr>
          <w:p>
            <w:pPr>
              <w:spacing w:after="0"/>
              <w:rPr>
                <w:sz w:val="20"/>
                <w:szCs w:val="20"/>
                <w:color w:val="auto"/>
              </w:rPr>
            </w:pPr>
            <w:r>
              <w:rPr>
                <w:rFonts w:ascii="Arial" w:cs="Arial" w:eastAsia="Arial" w:hAnsi="Arial"/>
                <w:sz w:val="20"/>
                <w:szCs w:val="20"/>
                <w:b w:val="1"/>
                <w:bCs w:val="1"/>
                <w:color w:val="5C004B"/>
              </w:rPr>
              <w:t>F-2</w:t>
            </w:r>
          </w:p>
        </w:tc>
        <w:tc>
          <w:tcPr>
            <w:tcW w:w="318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160"/>
              <w:spacing w:after="0"/>
              <w:rPr>
                <w:sz w:val="20"/>
                <w:szCs w:val="20"/>
                <w:color w:val="auto"/>
              </w:rPr>
            </w:pPr>
            <w:r>
              <w:rPr>
                <w:rFonts w:ascii="Times New Roman" w:cs="Times New Roman" w:eastAsia="Times New Roman" w:hAnsi="Times New Roman"/>
                <w:sz w:val="19"/>
                <w:szCs w:val="19"/>
                <w:color w:val="auto"/>
                <w:w w:val="98"/>
              </w:rPr>
              <w:t>F-3</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64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840"/>
          </w:cols>
          <w:pgMar w:left="900" w:top="839" w:right="1139" w:bottom="0" w:gutter="0" w:footer="0" w:header="0"/>
        </w:sectPr>
      </w:pPr>
    </w:p>
    <w:bookmarkStart w:id="242" w:name="page243"/>
    <w:bookmarkEnd w:id="242"/>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8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4"/>
        </w:trPr>
        <w:tc>
          <w:tcPr>
            <w:tcW w:w="7100" w:type="dxa"/>
            <w:vAlign w:val="bottom"/>
            <w:gridSpan w:val="2"/>
          </w:tcPr>
          <w:p>
            <w:pPr>
              <w:ind w:left="31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1,391,899</w:t>
            </w:r>
          </w:p>
        </w:tc>
        <w:tc>
          <w:tcPr>
            <w:tcW w:w="360" w:type="dxa"/>
            <w:vAlign w:val="bottom"/>
            <w:gridSpan w:val="3"/>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2,412,864</w:t>
            </w:r>
          </w:p>
        </w:tc>
        <w:tc>
          <w:tcPr>
            <w:tcW w:w="0" w:type="dxa"/>
            <w:vAlign w:val="bottom"/>
          </w:tcPr>
          <w:p>
            <w:pPr>
              <w:spacing w:after="0"/>
              <w:rPr>
                <w:sz w:val="1"/>
                <w:szCs w:val="1"/>
                <w:color w:val="auto"/>
              </w:rPr>
            </w:pPr>
          </w:p>
        </w:tc>
      </w:tr>
      <w:tr>
        <w:trPr>
          <w:trHeight w:val="275"/>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Investments</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580,000</w:t>
            </w:r>
          </w:p>
        </w:tc>
        <w:tc>
          <w:tcPr>
            <w:tcW w:w="0" w:type="dxa"/>
            <w:vAlign w:val="bottom"/>
          </w:tcPr>
          <w:p>
            <w:pPr>
              <w:spacing w:after="0"/>
              <w:rPr>
                <w:sz w:val="1"/>
                <w:szCs w:val="1"/>
                <w:color w:val="auto"/>
              </w:rPr>
            </w:pPr>
          </w:p>
        </w:tc>
      </w:tr>
      <w:tr>
        <w:trPr>
          <w:trHeight w:val="205"/>
        </w:trPr>
        <w:tc>
          <w:tcPr>
            <w:tcW w:w="710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9"/>
                <w:szCs w:val="19"/>
                <w:color w:val="auto"/>
              </w:rPr>
              <w:t>Accounts receivable, net of allowances of $17,294 and $32,691 at December 31, 2025</w:t>
            </w: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830,747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716,765</w:t>
            </w:r>
          </w:p>
        </w:tc>
        <w:tc>
          <w:tcPr>
            <w:tcW w:w="0" w:type="dxa"/>
            <w:vAlign w:val="bottom"/>
          </w:tcPr>
          <w:p>
            <w:pPr>
              <w:spacing w:after="0"/>
              <w:rPr>
                <w:sz w:val="1"/>
                <w:szCs w:val="1"/>
                <w:color w:val="auto"/>
              </w:rPr>
            </w:pPr>
          </w:p>
        </w:tc>
      </w:tr>
      <w:tr>
        <w:trPr>
          <w:trHeight w:val="25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and 2024, respectively</w:t>
            </w: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Inventories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416,962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480,445</w:t>
            </w:r>
          </w:p>
        </w:tc>
        <w:tc>
          <w:tcPr>
            <w:tcW w:w="0" w:type="dxa"/>
            <w:vAlign w:val="bottom"/>
          </w:tcPr>
          <w:p>
            <w:pPr>
              <w:spacing w:after="0"/>
              <w:rPr>
                <w:sz w:val="1"/>
                <w:szCs w:val="1"/>
                <w:color w:val="auto"/>
              </w:rPr>
            </w:pPr>
          </w:p>
        </w:tc>
      </w:tr>
      <w:tr>
        <w:trPr>
          <w:trHeight w:val="26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Prepaid expenses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152,481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177,411</w:t>
            </w:r>
          </w:p>
        </w:tc>
        <w:tc>
          <w:tcPr>
            <w:tcW w:w="0" w:type="dxa"/>
            <w:vAlign w:val="bottom"/>
          </w:tcPr>
          <w:p>
            <w:pPr>
              <w:spacing w:after="0"/>
              <w:rPr>
                <w:sz w:val="1"/>
                <w:szCs w:val="1"/>
                <w:color w:val="auto"/>
              </w:rPr>
            </w:pPr>
          </w:p>
        </w:tc>
      </w:tr>
      <w:tr>
        <w:trPr>
          <w:trHeight w:val="26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Other current assets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323,954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261,543</w:t>
            </w:r>
          </w:p>
        </w:tc>
        <w:tc>
          <w:tcPr>
            <w:tcW w:w="0" w:type="dxa"/>
            <w:vAlign w:val="bottom"/>
          </w:tcPr>
          <w:p>
            <w:pPr>
              <w:spacing w:after="0"/>
              <w:rPr>
                <w:sz w:val="1"/>
                <w:szCs w:val="1"/>
                <w:color w:val="auto"/>
              </w:rPr>
            </w:pPr>
          </w:p>
        </w:tc>
      </w:tr>
      <w:tr>
        <w:trPr>
          <w:trHeight w:val="246"/>
        </w:trPr>
        <w:tc>
          <w:tcPr>
            <w:tcW w:w="710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Total current assets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4,166,043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4,629,028</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199,857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173,413</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Operating lease assets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53,582</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Intangible assets, net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4,429,510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4,755,695</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Goodwill</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1,829,340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1,716,323</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assets, net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869,130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560,245</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financing costs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9,489</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non-current assets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99,030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114,482</w:t>
            </w:r>
          </w:p>
        </w:tc>
        <w:tc>
          <w:tcPr>
            <w:tcW w:w="0" w:type="dxa"/>
            <w:vAlign w:val="bottom"/>
          </w:tcPr>
          <w:p>
            <w:pPr>
              <w:spacing w:after="0"/>
              <w:rPr>
                <w:sz w:val="1"/>
                <w:szCs w:val="1"/>
                <w:color w:val="auto"/>
              </w:rPr>
            </w:pPr>
          </w:p>
        </w:tc>
      </w:tr>
      <w:tr>
        <w:trPr>
          <w:trHeight w:val="24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assets</w:t>
            </w: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11,659,340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12,012,257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Accounts payable</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122,061</w:t>
            </w:r>
          </w:p>
        </w:tc>
        <w:tc>
          <w:tcPr>
            <w:tcW w:w="360" w:type="dxa"/>
            <w:vAlign w:val="bottom"/>
            <w:gridSpan w:val="3"/>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77,869</w:t>
            </w:r>
          </w:p>
        </w:tc>
        <w:tc>
          <w:tcPr>
            <w:tcW w:w="0" w:type="dxa"/>
            <w:vAlign w:val="bottom"/>
          </w:tcPr>
          <w:p>
            <w:pPr>
              <w:spacing w:after="0"/>
              <w:rPr>
                <w:sz w:val="1"/>
                <w:szCs w:val="1"/>
                <w:color w:val="auto"/>
              </w:rPr>
            </w:pPr>
          </w:p>
        </w:tc>
      </w:tr>
      <w:tr>
        <w:trPr>
          <w:trHeight w:val="26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Accrued liabilities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1,034,170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910,947</w:t>
            </w:r>
          </w:p>
        </w:tc>
        <w:tc>
          <w:tcPr>
            <w:tcW w:w="0" w:type="dxa"/>
            <w:vAlign w:val="bottom"/>
          </w:tcPr>
          <w:p>
            <w:pPr>
              <w:spacing w:after="0"/>
              <w:rPr>
                <w:sz w:val="1"/>
                <w:szCs w:val="1"/>
                <w:color w:val="auto"/>
              </w:rPr>
            </w:pPr>
          </w:p>
        </w:tc>
      </w:tr>
      <w:tr>
        <w:trPr>
          <w:trHeight w:val="26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Current portion of long-term debt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1,029,903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31,000</w:t>
            </w:r>
          </w:p>
        </w:tc>
        <w:tc>
          <w:tcPr>
            <w:tcW w:w="0" w:type="dxa"/>
            <w:vAlign w:val="bottom"/>
          </w:tcPr>
          <w:p>
            <w:pPr>
              <w:spacing w:after="0"/>
              <w:rPr>
                <w:sz w:val="1"/>
                <w:szCs w:val="1"/>
                <w:color w:val="auto"/>
              </w:rPr>
            </w:pPr>
          </w:p>
        </w:tc>
      </w:tr>
      <w:tr>
        <w:trPr>
          <w:trHeight w:val="262"/>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Income taxes payable</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56,387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18,757</w:t>
            </w:r>
          </w:p>
        </w:tc>
        <w:tc>
          <w:tcPr>
            <w:tcW w:w="0" w:type="dxa"/>
            <w:vAlign w:val="bottom"/>
          </w:tcPr>
          <w:p>
            <w:pPr>
              <w:spacing w:after="0"/>
              <w:rPr>
                <w:sz w:val="1"/>
                <w:szCs w:val="1"/>
                <w:color w:val="auto"/>
              </w:rPr>
            </w:pPr>
          </w:p>
        </w:tc>
      </w:tr>
      <w:tr>
        <w:trPr>
          <w:trHeight w:val="244"/>
        </w:trPr>
        <w:tc>
          <w:tcPr>
            <w:tcW w:w="710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2,242,521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1,038,573</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Long-term debt, less current portion</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4,328,354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6,077,640</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Operating lease liabilities, less current portion</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50,892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38,938</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liabilities, net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594,470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676,736</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non-current liabilities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124,519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86,614</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Commitments and contingencies (Note 13)</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Shareholders’ equity:</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10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9"/>
                <w:szCs w:val="19"/>
                <w:color w:val="auto"/>
              </w:rPr>
              <w:t>Ordinary shares, nominal value $0.0001 per share; 300,000 shares authorized; 61,435</w:t>
            </w: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5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and 60,631 shares issued and outstanding at December 31, 2025 and 2024, respectively</w:t>
            </w: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10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9"/>
                <w:szCs w:val="19"/>
                <w:color w:val="auto"/>
              </w:rPr>
              <w:t>Non-voting euro deferred shares, €0.01 par value per share; 4,000 shares authorized,</w:t>
            </w:r>
          </w:p>
        </w:tc>
        <w:tc>
          <w:tcPr>
            <w:tcW w:w="2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0" w:type="dxa"/>
            <w:vAlign w:val="bottom"/>
          </w:tcPr>
          <w:p>
            <w:pPr>
              <w:spacing w:after="0"/>
              <w:rPr>
                <w:sz w:val="1"/>
                <w:szCs w:val="1"/>
                <w:color w:val="auto"/>
              </w:rPr>
            </w:pPr>
          </w:p>
        </w:tc>
      </w:tr>
      <w:tr>
        <w:trPr>
          <w:trHeight w:val="25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issued and outstanding at both December 31, 2025 and 2024</w:t>
            </w: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Capital redemption reserve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473</w:t>
            </w:r>
          </w:p>
        </w:tc>
        <w:tc>
          <w:tcPr>
            <w:tcW w:w="0" w:type="dxa"/>
            <w:vAlign w:val="bottom"/>
          </w:tcPr>
          <w:p>
            <w:pPr>
              <w:spacing w:after="0"/>
              <w:rPr>
                <w:sz w:val="1"/>
                <w:szCs w:val="1"/>
                <w:color w:val="auto"/>
              </w:rPr>
            </w:pPr>
          </w:p>
        </w:tc>
      </w:tr>
      <w:tr>
        <w:trPr>
          <w:trHeight w:val="261"/>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4,240,472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3,913,542</w:t>
            </w:r>
          </w:p>
        </w:tc>
        <w:tc>
          <w:tcPr>
            <w:tcW w:w="0" w:type="dxa"/>
            <w:vAlign w:val="bottom"/>
          </w:tcPr>
          <w:p>
            <w:pPr>
              <w:spacing w:after="0"/>
              <w:rPr>
                <w:sz w:val="1"/>
                <w:szCs w:val="1"/>
                <w:color w:val="auto"/>
              </w:rPr>
            </w:pPr>
          </w:p>
        </w:tc>
      </w:tr>
      <w:tr>
        <w:trPr>
          <w:trHeight w:val="26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(568,598)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(947,667)</w:t>
            </w:r>
          </w:p>
        </w:tc>
        <w:tc>
          <w:tcPr>
            <w:tcW w:w="0" w:type="dxa"/>
            <w:vAlign w:val="bottom"/>
          </w:tcPr>
          <w:p>
            <w:pPr>
              <w:spacing w:after="0"/>
              <w:rPr>
                <w:sz w:val="1"/>
                <w:szCs w:val="1"/>
                <w:color w:val="auto"/>
              </w:rPr>
            </w:pPr>
          </w:p>
        </w:tc>
      </w:tr>
      <w:tr>
        <w:trPr>
          <w:trHeight w:val="262"/>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Retained earnings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646,176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1,127,347</w:t>
            </w:r>
          </w:p>
        </w:tc>
        <w:tc>
          <w:tcPr>
            <w:tcW w:w="0" w:type="dxa"/>
            <w:vAlign w:val="bottom"/>
          </w:tcPr>
          <w:p>
            <w:pPr>
              <w:spacing w:after="0"/>
              <w:rPr>
                <w:sz w:val="1"/>
                <w:szCs w:val="1"/>
                <w:color w:val="auto"/>
              </w:rPr>
            </w:pPr>
          </w:p>
        </w:tc>
      </w:tr>
      <w:tr>
        <w:trPr>
          <w:trHeight w:val="242"/>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shareholders’ equity</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4,318,584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4,093,756</w:t>
            </w:r>
          </w:p>
        </w:tc>
        <w:tc>
          <w:tcPr>
            <w:tcW w:w="0" w:type="dxa"/>
            <w:vAlign w:val="bottom"/>
          </w:tcPr>
          <w:p>
            <w:pPr>
              <w:spacing w:after="0"/>
              <w:rPr>
                <w:sz w:val="1"/>
                <w:szCs w:val="1"/>
                <w:color w:val="auto"/>
              </w:rPr>
            </w:pPr>
          </w:p>
        </w:tc>
      </w:tr>
      <w:tr>
        <w:trPr>
          <w:trHeight w:val="245"/>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liabilities and shareholders’ equity</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11,659,340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12,012,257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504825</wp:posOffset>
            </wp:positionV>
            <wp:extent cx="259080" cy="2546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64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ind w:left="260"/>
              <w:spacing w:after="0"/>
              <w:rPr>
                <w:sz w:val="20"/>
                <w:szCs w:val="20"/>
                <w:color w:val="auto"/>
              </w:rPr>
            </w:pPr>
            <w:r>
              <w:rPr>
                <w:rFonts w:ascii="Arial" w:cs="Arial" w:eastAsia="Arial" w:hAnsi="Arial"/>
                <w:sz w:val="20"/>
                <w:szCs w:val="20"/>
                <w:b w:val="1"/>
                <w:bCs w:val="1"/>
                <w:color w:val="5C004B"/>
                <w:w w:val="93"/>
              </w:rPr>
              <w:t>F-3</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64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43" w:name="page244"/>
    <w:bookmarkEnd w:id="243"/>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CONSOLIDATED STATEMENTS OF INCOME (LOSS)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Revenues: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56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Product sales, net</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4,021,849</w:t>
            </w:r>
          </w:p>
        </w:tc>
        <w:tc>
          <w:tcPr>
            <w:tcW w:w="38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3,821,164</w:t>
            </w:r>
          </w:p>
        </w:tc>
        <w:tc>
          <w:tcPr>
            <w:tcW w:w="40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3,736,943</w:t>
            </w:r>
          </w:p>
        </w:tc>
        <w:tc>
          <w:tcPr>
            <w:tcW w:w="0" w:type="dxa"/>
            <w:vAlign w:val="bottom"/>
          </w:tcPr>
          <w:p>
            <w:pPr>
              <w:spacing w:after="0"/>
              <w:rPr>
                <w:sz w:val="1"/>
                <w:szCs w:val="1"/>
                <w:color w:val="auto"/>
              </w:rPr>
            </w:pPr>
          </w:p>
        </w:tc>
      </w:tr>
      <w:tr>
        <w:trPr>
          <w:trHeight w:val="25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Royalties and contract revenues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245,737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247,786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97,261</w:t>
            </w:r>
          </w:p>
        </w:tc>
        <w:tc>
          <w:tcPr>
            <w:tcW w:w="0" w:type="dxa"/>
            <w:vAlign w:val="bottom"/>
          </w:tcPr>
          <w:p>
            <w:pPr>
              <w:spacing w:after="0"/>
              <w:rPr>
                <w:sz w:val="1"/>
                <w:szCs w:val="1"/>
                <w:color w:val="auto"/>
              </w:rPr>
            </w:pPr>
          </w:p>
        </w:tc>
      </w:tr>
      <w:tr>
        <w:trPr>
          <w:trHeight w:val="231"/>
        </w:trPr>
        <w:tc>
          <w:tcPr>
            <w:tcW w:w="564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Total revenues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4,267,586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4,068,950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3,834,204</w:t>
            </w:r>
          </w:p>
        </w:tc>
        <w:tc>
          <w:tcPr>
            <w:tcW w:w="0" w:type="dxa"/>
            <w:vAlign w:val="bottom"/>
          </w:tcPr>
          <w:p>
            <w:pPr>
              <w:spacing w:after="0"/>
              <w:rPr>
                <w:sz w:val="1"/>
                <w:szCs w:val="1"/>
                <w:color w:val="auto"/>
              </w:rPr>
            </w:pPr>
          </w:p>
        </w:tc>
      </w:tr>
      <w:tr>
        <w:trPr>
          <w:trHeight w:val="254"/>
        </w:trPr>
        <w:tc>
          <w:tcPr>
            <w:tcW w:w="5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64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9"/>
                <w:szCs w:val="19"/>
                <w:color w:val="auto"/>
              </w:rPr>
              <w:t>Cost of product sales (excluding amortization of acquired developed</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503,296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445,713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435,577</w:t>
            </w:r>
          </w:p>
        </w:tc>
        <w:tc>
          <w:tcPr>
            <w:tcW w:w="0" w:type="dxa"/>
            <w:vAlign w:val="bottom"/>
          </w:tcPr>
          <w:p>
            <w:pPr>
              <w:spacing w:after="0"/>
              <w:rPr>
                <w:sz w:val="1"/>
                <w:szCs w:val="1"/>
                <w:color w:val="auto"/>
              </w:rPr>
            </w:pPr>
          </w:p>
        </w:tc>
      </w:tr>
      <w:tr>
        <w:trPr>
          <w:trHeight w:val="251"/>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technologies)</w:t>
            </w: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1,809,271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1,385,294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1,343,105</w:t>
            </w:r>
          </w:p>
        </w:tc>
        <w:tc>
          <w:tcPr>
            <w:tcW w:w="0" w:type="dxa"/>
            <w:vAlign w:val="bottom"/>
          </w:tcPr>
          <w:p>
            <w:pPr>
              <w:spacing w:after="0"/>
              <w:rPr>
                <w:sz w:val="1"/>
                <w:szCs w:val="1"/>
                <w:color w:val="auto"/>
              </w:rPr>
            </w:pPr>
          </w:p>
        </w:tc>
      </w:tr>
      <w:tr>
        <w:trPr>
          <w:trHeight w:val="25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782,736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884,000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849,658</w:t>
            </w:r>
          </w:p>
        </w:tc>
        <w:tc>
          <w:tcPr>
            <w:tcW w:w="0" w:type="dxa"/>
            <w:vAlign w:val="bottom"/>
          </w:tcPr>
          <w:p>
            <w:pPr>
              <w:spacing w:after="0"/>
              <w:rPr>
                <w:sz w:val="1"/>
                <w:szCs w:val="1"/>
                <w:color w:val="auto"/>
              </w:rPr>
            </w:pPr>
          </w:p>
        </w:tc>
      </w:tr>
      <w:tr>
        <w:trPr>
          <w:trHeight w:val="254"/>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Intangible asset amortization</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654,661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627,313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608,284</w:t>
            </w:r>
          </w:p>
        </w:tc>
        <w:tc>
          <w:tcPr>
            <w:tcW w:w="0" w:type="dxa"/>
            <w:vAlign w:val="bottom"/>
          </w:tcPr>
          <w:p>
            <w:pPr>
              <w:spacing w:after="0"/>
              <w:rPr>
                <w:sz w:val="1"/>
                <w:szCs w:val="1"/>
                <w:color w:val="auto"/>
              </w:rPr>
            </w:pPr>
          </w:p>
        </w:tc>
      </w:tr>
      <w:tr>
        <w:trPr>
          <w:trHeight w:val="25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Acquired in-process research and development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947,862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19,000</w:t>
            </w:r>
          </w:p>
        </w:tc>
        <w:tc>
          <w:tcPr>
            <w:tcW w:w="0" w:type="dxa"/>
            <w:vAlign w:val="bottom"/>
          </w:tcPr>
          <w:p>
            <w:pPr>
              <w:spacing w:after="0"/>
              <w:rPr>
                <w:sz w:val="1"/>
                <w:szCs w:val="1"/>
                <w:color w:val="auto"/>
              </w:rPr>
            </w:pPr>
          </w:p>
        </w:tc>
      </w:tr>
      <w:tr>
        <w:trPr>
          <w:trHeight w:val="238"/>
        </w:trPr>
        <w:tc>
          <w:tcPr>
            <w:tcW w:w="564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Total operating expenses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4,697,826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3,352,320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3,255,624</w:t>
            </w:r>
          </w:p>
        </w:tc>
        <w:tc>
          <w:tcPr>
            <w:tcW w:w="0" w:type="dxa"/>
            <w:vAlign w:val="bottom"/>
          </w:tcPr>
          <w:p>
            <w:pPr>
              <w:spacing w:after="0"/>
              <w:rPr>
                <w:sz w:val="1"/>
                <w:szCs w:val="1"/>
                <w:color w:val="auto"/>
              </w:rPr>
            </w:pPr>
          </w:p>
        </w:tc>
      </w:tr>
      <w:tr>
        <w:trPr>
          <w:trHeight w:val="229"/>
        </w:trPr>
        <w:tc>
          <w:tcPr>
            <w:tcW w:w="5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Income (loss) from operations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(430,240)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716,630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578,580</w:t>
            </w:r>
          </w:p>
        </w:tc>
        <w:tc>
          <w:tcPr>
            <w:tcW w:w="0" w:type="dxa"/>
            <w:vAlign w:val="bottom"/>
          </w:tcPr>
          <w:p>
            <w:pPr>
              <w:spacing w:after="0"/>
              <w:rPr>
                <w:sz w:val="1"/>
                <w:szCs w:val="1"/>
                <w:color w:val="auto"/>
              </w:rPr>
            </w:pPr>
          </w:p>
        </w:tc>
      </w:tr>
      <w:tr>
        <w:trPr>
          <w:trHeight w:val="25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Interest expense, net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(195,051)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(238,097)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(289,438)</w:t>
            </w:r>
          </w:p>
        </w:tc>
        <w:tc>
          <w:tcPr>
            <w:tcW w:w="0" w:type="dxa"/>
            <w:vAlign w:val="bottom"/>
          </w:tcPr>
          <w:p>
            <w:pPr>
              <w:spacing w:after="0"/>
              <w:rPr>
                <w:sz w:val="1"/>
                <w:szCs w:val="1"/>
                <w:color w:val="auto"/>
              </w:rPr>
            </w:pPr>
          </w:p>
        </w:tc>
      </w:tr>
      <w:tr>
        <w:trPr>
          <w:trHeight w:val="258"/>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Foreign exchange gain (loss)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(2,568)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(8,182)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8,787</w:t>
            </w:r>
          </w:p>
        </w:tc>
        <w:tc>
          <w:tcPr>
            <w:tcW w:w="0" w:type="dxa"/>
            <w:vAlign w:val="bottom"/>
          </w:tcPr>
          <w:p>
            <w:pPr>
              <w:spacing w:after="0"/>
              <w:rPr>
                <w:sz w:val="1"/>
                <w:szCs w:val="1"/>
                <w:color w:val="auto"/>
              </w:rPr>
            </w:pPr>
          </w:p>
        </w:tc>
      </w:tr>
      <w:tr>
        <w:trPr>
          <w:trHeight w:val="232"/>
        </w:trPr>
        <w:tc>
          <w:tcPr>
            <w:tcW w:w="5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Income (loss) before income tax benefit and equity in loss of investees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(627,859)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470,351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297,929</w:t>
            </w:r>
          </w:p>
        </w:tc>
        <w:tc>
          <w:tcPr>
            <w:tcW w:w="0" w:type="dxa"/>
            <w:vAlign w:val="bottom"/>
          </w:tcPr>
          <w:p>
            <w:pPr>
              <w:spacing w:after="0"/>
              <w:rPr>
                <w:sz w:val="1"/>
                <w:szCs w:val="1"/>
                <w:color w:val="auto"/>
              </w:rPr>
            </w:pPr>
          </w:p>
        </w:tc>
      </w:tr>
      <w:tr>
        <w:trPr>
          <w:trHeight w:val="25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Income tax benefit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(272,443)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(91,429)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(119,912)</w:t>
            </w:r>
          </w:p>
        </w:tc>
        <w:tc>
          <w:tcPr>
            <w:tcW w:w="0" w:type="dxa"/>
            <w:vAlign w:val="bottom"/>
          </w:tcPr>
          <w:p>
            <w:pPr>
              <w:spacing w:after="0"/>
              <w:rPr>
                <w:sz w:val="1"/>
                <w:szCs w:val="1"/>
                <w:color w:val="auto"/>
              </w:rPr>
            </w:pPr>
          </w:p>
        </w:tc>
      </w:tr>
      <w:tr>
        <w:trPr>
          <w:trHeight w:val="258"/>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Equity in loss of investees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3,009</w:t>
            </w:r>
          </w:p>
        </w:tc>
        <w:tc>
          <w:tcPr>
            <w:tcW w:w="0" w:type="dxa"/>
            <w:vAlign w:val="bottom"/>
          </w:tcPr>
          <w:p>
            <w:pPr>
              <w:spacing w:after="0"/>
              <w:rPr>
                <w:sz w:val="1"/>
                <w:szCs w:val="1"/>
                <w:color w:val="auto"/>
              </w:rPr>
            </w:pPr>
          </w:p>
        </w:tc>
      </w:tr>
      <w:tr>
        <w:trPr>
          <w:trHeight w:val="236"/>
        </w:trPr>
        <w:tc>
          <w:tcPr>
            <w:tcW w:w="56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income (loss)</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(356,148)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560,120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414,832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income (loss) per ordinary share:</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Basic</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(5.84)</w:t>
            </w:r>
          </w:p>
        </w:tc>
        <w:tc>
          <w:tcPr>
            <w:tcW w:w="38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9.06</w:t>
            </w:r>
          </w:p>
        </w:tc>
        <w:tc>
          <w:tcPr>
            <w:tcW w:w="40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9"/>
                <w:szCs w:val="19"/>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640" w:type="dxa"/>
            <w:vAlign w:val="bottom"/>
            <w:gridSpan w:val="2"/>
            <w:vMerge w:val="continue"/>
          </w:tcPr>
          <w:p>
            <w:pPr>
              <w:spacing w:after="0"/>
              <w:rPr>
                <w:sz w:val="20"/>
                <w:szCs w:val="20"/>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(5.84)</w:t>
            </w:r>
          </w:p>
        </w:tc>
        <w:tc>
          <w:tcPr>
            <w:tcW w:w="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8.65</w:t>
            </w:r>
          </w:p>
        </w:tc>
        <w:tc>
          <w:tcPr>
            <w:tcW w:w="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6.10</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40"/>
              <w:spacing w:after="0" w:line="190" w:lineRule="exact"/>
              <w:rPr>
                <w:sz w:val="20"/>
                <w:szCs w:val="20"/>
                <w:color w:val="auto"/>
              </w:rPr>
            </w:pPr>
            <w:r>
              <w:rPr>
                <w:rFonts w:ascii="Times New Roman" w:cs="Times New Roman" w:eastAsia="Times New Roman" w:hAnsi="Times New Roman"/>
                <w:sz w:val="19"/>
                <w:szCs w:val="19"/>
                <w:color w:val="auto"/>
              </w:rPr>
              <w:t>Weighted-average ordinary shares used in per share calculations -</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60,981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61,838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63,291</w:t>
            </w:r>
          </w:p>
        </w:tc>
        <w:tc>
          <w:tcPr>
            <w:tcW w:w="0" w:type="dxa"/>
            <w:vAlign w:val="bottom"/>
          </w:tcPr>
          <w:p>
            <w:pPr>
              <w:spacing w:after="0"/>
              <w:rPr>
                <w:sz w:val="1"/>
                <w:szCs w:val="1"/>
                <w:color w:val="auto"/>
              </w:rPr>
            </w:pPr>
          </w:p>
        </w:tc>
      </w:tr>
      <w:tr>
        <w:trPr>
          <w:trHeight w:val="25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basic</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140"/>
              <w:spacing w:after="0" w:line="190" w:lineRule="exact"/>
              <w:rPr>
                <w:sz w:val="20"/>
                <w:szCs w:val="20"/>
                <w:color w:val="auto"/>
              </w:rPr>
            </w:pPr>
            <w:r>
              <w:rPr>
                <w:rFonts w:ascii="Times New Roman" w:cs="Times New Roman" w:eastAsia="Times New Roman" w:hAnsi="Times New Roman"/>
                <w:sz w:val="19"/>
                <w:szCs w:val="19"/>
                <w:color w:val="auto"/>
              </w:rPr>
              <w:t>Weighted-average ordinary shares used in per share calculations -</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60,981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66,007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72,066</w:t>
            </w:r>
          </w:p>
        </w:tc>
        <w:tc>
          <w:tcPr>
            <w:tcW w:w="0" w:type="dxa"/>
            <w:vAlign w:val="bottom"/>
          </w:tcPr>
          <w:p>
            <w:pPr>
              <w:spacing w:after="0"/>
              <w:rPr>
                <w:sz w:val="1"/>
                <w:szCs w:val="1"/>
                <w:color w:val="auto"/>
              </w:rPr>
            </w:pPr>
          </w:p>
        </w:tc>
      </w:tr>
      <w:tr>
        <w:trPr>
          <w:trHeight w:val="258"/>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diluted</w:t>
            </w:r>
          </w:p>
        </w:tc>
        <w:tc>
          <w:tcPr>
            <w:tcW w:w="3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860425</wp:posOffset>
            </wp:positionV>
            <wp:extent cx="259080" cy="2546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64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60" w:type="dxa"/>
            <w:vAlign w:val="bottom"/>
          </w:tcPr>
          <w:p>
            <w:pPr>
              <w:spacing w:after="0"/>
              <w:rPr>
                <w:sz w:val="20"/>
                <w:szCs w:val="20"/>
                <w:color w:val="auto"/>
              </w:rPr>
            </w:pPr>
            <w:r>
              <w:rPr>
                <w:rFonts w:ascii="Arial" w:cs="Arial" w:eastAsia="Arial" w:hAnsi="Arial"/>
                <w:sz w:val="20"/>
                <w:szCs w:val="20"/>
                <w:b w:val="1"/>
                <w:bCs w:val="1"/>
                <w:color w:val="5C004B"/>
              </w:rPr>
              <w:t>F-4</w:t>
            </w:r>
          </w:p>
        </w:tc>
        <w:tc>
          <w:tcPr>
            <w:tcW w:w="318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160"/>
              <w:spacing w:after="0"/>
              <w:rPr>
                <w:sz w:val="20"/>
                <w:szCs w:val="20"/>
                <w:color w:val="auto"/>
              </w:rPr>
            </w:pPr>
            <w:r>
              <w:rPr>
                <w:rFonts w:ascii="Times New Roman" w:cs="Times New Roman" w:eastAsia="Times New Roman" w:hAnsi="Times New Roman"/>
                <w:sz w:val="19"/>
                <w:szCs w:val="19"/>
                <w:color w:val="auto"/>
                <w:w w:val="98"/>
              </w:rPr>
              <w:t>F-5</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64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7" w:right="999" w:bottom="0" w:gutter="0" w:footer="0" w:header="0"/>
        </w:sectPr>
      </w:pPr>
    </w:p>
    <w:bookmarkStart w:id="244" w:name="page245"/>
    <w:bookmarkEnd w:id="244"/>
    <w:p>
      <w:pPr>
        <w:ind w:left="348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income (loss)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5660" w:type="dxa"/>
            <w:vAlign w:val="bottom"/>
            <w:gridSpan w:val="2"/>
            <w:vMerge w:val="continue"/>
          </w:tcPr>
          <w:p>
            <w:pPr>
              <w:spacing w:after="0"/>
              <w:rPr>
                <w:sz w:val="20"/>
                <w:szCs w:val="20"/>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(356,148)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560,120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414,832</w:t>
            </w: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comprehensive income (loss):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380,172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283,127</w:t>
            </w:r>
          </w:p>
        </w:tc>
        <w:tc>
          <w:tcPr>
            <w:tcW w:w="0" w:type="dxa"/>
            <w:vAlign w:val="bottom"/>
          </w:tcPr>
          <w:p>
            <w:pPr>
              <w:spacing w:after="0"/>
              <w:rPr>
                <w:sz w:val="1"/>
                <w:szCs w:val="1"/>
                <w:color w:val="auto"/>
              </w:rPr>
            </w:pPr>
          </w:p>
        </w:tc>
      </w:tr>
      <w:tr>
        <w:trPr>
          <w:trHeight w:val="200"/>
        </w:trPr>
        <w:tc>
          <w:tcPr>
            <w:tcW w:w="566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9"/>
                <w:szCs w:val="19"/>
                <w:color w:val="auto"/>
              </w:rPr>
              <w:t>Unrealized gain on cash flow hedging activities, net of income tax</w:t>
            </w:r>
          </w:p>
        </w:tc>
        <w:tc>
          <w:tcPr>
            <w:tcW w:w="3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5,298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3,658</w:t>
            </w:r>
          </w:p>
        </w:tc>
        <w:tc>
          <w:tcPr>
            <w:tcW w:w="0" w:type="dxa"/>
            <w:vAlign w:val="bottom"/>
          </w:tcPr>
          <w:p>
            <w:pPr>
              <w:spacing w:after="0"/>
              <w:rPr>
                <w:sz w:val="1"/>
                <w:szCs w:val="1"/>
                <w:color w:val="auto"/>
              </w:rPr>
            </w:pPr>
          </w:p>
        </w:tc>
      </w:tr>
      <w:tr>
        <w:trPr>
          <w:trHeight w:val="24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expense of $65, $1,760 and $1,215, respectively</w:t>
            </w:r>
          </w:p>
        </w:tc>
        <w:tc>
          <w:tcPr>
            <w:tcW w:w="3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6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9"/>
                <w:szCs w:val="19"/>
                <w:color w:val="auto"/>
              </w:rPr>
              <w:t>Gain on cash flow hedging activities reclassified from accumulated</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9"/>
                <w:szCs w:val="19"/>
                <w:color w:val="auto"/>
              </w:rPr>
              <w:t>other comprehensive loss to interest expense, net of income tax</w:t>
            </w:r>
          </w:p>
        </w:tc>
        <w:tc>
          <w:tcPr>
            <w:tcW w:w="3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(4,793)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(3,423)</w:t>
            </w:r>
          </w:p>
        </w:tc>
        <w:tc>
          <w:tcPr>
            <w:tcW w:w="0" w:type="dxa"/>
            <w:vAlign w:val="bottom"/>
          </w:tcPr>
          <w:p>
            <w:pPr>
              <w:spacing w:after="0"/>
              <w:rPr>
                <w:sz w:val="1"/>
                <w:szCs w:val="1"/>
                <w:color w:val="auto"/>
              </w:rPr>
            </w:pPr>
          </w:p>
        </w:tc>
      </w:tr>
      <w:tr>
        <w:trPr>
          <w:trHeight w:val="256"/>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expense of $411, $1,593 and $1,137, respectively</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comprehensive income (loss)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379,069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(105,520)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283,362</w:t>
            </w: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comprehensive income</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454,600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698,194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760095</wp:posOffset>
            </wp:positionV>
            <wp:extent cx="259080" cy="2546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65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F-6</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ind w:left="260"/>
              <w:spacing w:after="0"/>
              <w:rPr>
                <w:sz w:val="20"/>
                <w:szCs w:val="20"/>
                <w:color w:val="auto"/>
              </w:rPr>
            </w:pPr>
            <w:r>
              <w:rPr>
                <w:rFonts w:ascii="Arial" w:cs="Arial" w:eastAsia="Arial" w:hAnsi="Arial"/>
                <w:sz w:val="20"/>
                <w:szCs w:val="20"/>
                <w:b w:val="1"/>
                <w:bCs w:val="1"/>
                <w:color w:val="5C004B"/>
                <w:w w:val="93"/>
              </w:rPr>
              <w:t>F-5</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65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45" w:name="page246"/>
    <w:bookmarkEnd w:id="245"/>
    <w:p>
      <w:pPr>
        <w:ind w:left="354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Non-voting Euro</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22"/>
              <w:spacing w:after="0" w:line="156"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82"/>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920" w:type="dxa"/>
            <w:vAlign w:val="bottom"/>
            <w:gridSpan w:val="2"/>
            <w:vMerge w:val="restart"/>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Redemption</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vMerge w:val="restart"/>
          </w:tcPr>
          <w:p>
            <w:pPr>
              <w:jc w:val="right"/>
              <w:ind w:right="82"/>
              <w:spacing w:after="0" w:line="154"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160" w:type="dxa"/>
            <w:vAlign w:val="bottom"/>
            <w:gridSpan w:val="2"/>
            <w:vMerge w:val="restart"/>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gridSpan w:val="2"/>
            <w:vMerge w:val="restart"/>
          </w:tcPr>
          <w:p>
            <w:pPr>
              <w:jc w:val="right"/>
              <w:ind w:right="22"/>
              <w:spacing w:after="0" w:line="154"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vMerge w:val="restart"/>
          </w:tcPr>
          <w:p>
            <w:pPr>
              <w:jc w:val="right"/>
              <w:ind w:right="162"/>
              <w:spacing w:after="0" w:line="15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2"/>
        </w:trPr>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7"/>
                <w:szCs w:val="7"/>
                <w:color w:val="auto"/>
              </w:rPr>
            </w:pPr>
          </w:p>
        </w:tc>
        <w:tc>
          <w:tcPr>
            <w:tcW w:w="7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45"/>
        </w:trPr>
        <w:tc>
          <w:tcPr>
            <w:tcW w:w="18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63,214</w:t>
            </w:r>
          </w:p>
        </w:tc>
        <w:tc>
          <w:tcPr>
            <w:tcW w:w="3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4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472</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$ 3,477,124</w:t>
            </w:r>
          </w:p>
        </w:tc>
        <w:tc>
          <w:tcPr>
            <w:tcW w:w="34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(1,125,509)</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733,586</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$3,085,734</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in conjunction with exercise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280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share options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under employee stock</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in conjunction with vesting</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735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restricted stock units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Shares withheld for</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payment of employee's</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(50,952)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(50,952)</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withholding tax liability</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227,323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227,323</w:t>
            </w:r>
          </w:p>
        </w:tc>
        <w:tc>
          <w:tcPr>
            <w:tcW w:w="0" w:type="dxa"/>
            <w:vAlign w:val="bottom"/>
          </w:tcPr>
          <w:p>
            <w:pPr>
              <w:spacing w:after="0"/>
              <w:rPr>
                <w:sz w:val="1"/>
                <w:szCs w:val="1"/>
                <w:color w:val="auto"/>
              </w:rPr>
            </w:pPr>
          </w:p>
        </w:tc>
      </w:tr>
      <w:tr>
        <w:trPr>
          <w:trHeight w:val="23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(269,761)</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Other comprehensive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283,362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283,362</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414,832</w:t>
            </w:r>
          </w:p>
        </w:tc>
        <w:tc>
          <w:tcPr>
            <w:tcW w:w="80" w:type="dxa"/>
            <w:vAlign w:val="bottom"/>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414,832</w:t>
            </w:r>
          </w:p>
        </w:tc>
        <w:tc>
          <w:tcPr>
            <w:tcW w:w="0" w:type="dxa"/>
            <w:vAlign w:val="bottom"/>
          </w:tcPr>
          <w:p>
            <w:pPr>
              <w:spacing w:after="0"/>
              <w:rPr>
                <w:sz w:val="1"/>
                <w:szCs w:val="1"/>
                <w:color w:val="auto"/>
              </w:rPr>
            </w:pPr>
          </w:p>
        </w:tc>
      </w:tr>
      <w:tr>
        <w:trPr>
          <w:trHeight w:val="144"/>
        </w:trPr>
        <w:tc>
          <w:tcPr>
            <w:tcW w:w="18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62,255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3,699,954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(842,147)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878,656</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3,736,997</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in conjunction with exercise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share options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under employee stock</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in conjunction with vesting</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892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restricted stock units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8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in conjunction with vesting</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of performance-based</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Shares withheld for</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payment of employee's</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(57,753)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(57,753)</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withholding tax liability</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250,694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250,694</w:t>
            </w:r>
          </w:p>
        </w:tc>
        <w:tc>
          <w:tcPr>
            <w:tcW w:w="0" w:type="dxa"/>
            <w:vAlign w:val="bottom"/>
          </w:tcPr>
          <w:p>
            <w:pPr>
              <w:spacing w:after="0"/>
              <w:rPr>
                <w:sz w:val="1"/>
                <w:szCs w:val="1"/>
                <w:color w:val="auto"/>
              </w:rPr>
            </w:pPr>
          </w:p>
        </w:tc>
      </w:tr>
      <w:tr>
        <w:trPr>
          <w:trHeight w:val="23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(311,429)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(311,429)</w:t>
            </w:r>
          </w:p>
        </w:tc>
        <w:tc>
          <w:tcPr>
            <w:tcW w:w="0" w:type="dxa"/>
            <w:vAlign w:val="bottom"/>
          </w:tcPr>
          <w:p>
            <w:pPr>
              <w:spacing w:after="0"/>
              <w:rPr>
                <w:sz w:val="1"/>
                <w:szCs w:val="1"/>
                <w:color w:val="auto"/>
              </w:rPr>
            </w:pPr>
          </w:p>
        </w:tc>
      </w:tr>
      <w:tr>
        <w:trPr>
          <w:trHeight w:val="23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(105,520)</w:t>
            </w:r>
          </w:p>
        </w:tc>
        <w:tc>
          <w:tcPr>
            <w:tcW w:w="0" w:type="dxa"/>
            <w:vAlign w:val="bottom"/>
          </w:tcPr>
          <w:p>
            <w:pPr>
              <w:spacing w:after="0"/>
              <w:rPr>
                <w:sz w:val="1"/>
                <w:szCs w:val="1"/>
                <w:color w:val="auto"/>
              </w:rPr>
            </w:pPr>
          </w:p>
        </w:tc>
      </w:tr>
      <w:tr>
        <w:trPr>
          <w:trHeight w:val="23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560,120</w:t>
            </w:r>
          </w:p>
        </w:tc>
        <w:tc>
          <w:tcPr>
            <w:tcW w:w="80" w:type="dxa"/>
            <w:vAlign w:val="bottom"/>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560,120</w:t>
            </w:r>
          </w:p>
        </w:tc>
        <w:tc>
          <w:tcPr>
            <w:tcW w:w="0" w:type="dxa"/>
            <w:vAlign w:val="bottom"/>
          </w:tcPr>
          <w:p>
            <w:pPr>
              <w:spacing w:after="0"/>
              <w:rPr>
                <w:sz w:val="1"/>
                <w:szCs w:val="1"/>
                <w:color w:val="auto"/>
              </w:rPr>
            </w:pPr>
          </w:p>
        </w:tc>
      </w:tr>
      <w:tr>
        <w:trPr>
          <w:trHeight w:val="144"/>
        </w:trPr>
        <w:tc>
          <w:tcPr>
            <w:tcW w:w="18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60,631</w:t>
            </w:r>
          </w:p>
        </w:tc>
        <w:tc>
          <w:tcPr>
            <w:tcW w:w="3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4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$ 3,913,542</w:t>
            </w:r>
          </w:p>
        </w:tc>
        <w:tc>
          <w:tcPr>
            <w:tcW w:w="34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(947,667)</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3"/>
              </w:rPr>
              <w:t>1,127,347</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$4,093,756</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2655570</wp:posOffset>
            </wp:positionV>
            <wp:extent cx="259080" cy="2546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65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60" w:type="dxa"/>
            <w:vAlign w:val="bottom"/>
          </w:tcPr>
          <w:p>
            <w:pPr>
              <w:spacing w:after="0"/>
              <w:rPr>
                <w:sz w:val="20"/>
                <w:szCs w:val="20"/>
                <w:color w:val="auto"/>
              </w:rPr>
            </w:pPr>
            <w:r>
              <w:rPr>
                <w:rFonts w:ascii="Arial" w:cs="Arial" w:eastAsia="Arial" w:hAnsi="Arial"/>
                <w:sz w:val="20"/>
                <w:szCs w:val="20"/>
                <w:b w:val="1"/>
                <w:bCs w:val="1"/>
                <w:color w:val="5C004B"/>
              </w:rPr>
              <w:t>F-6</w:t>
            </w:r>
          </w:p>
        </w:tc>
        <w:tc>
          <w:tcPr>
            <w:tcW w:w="318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160"/>
              <w:spacing w:after="0"/>
              <w:rPr>
                <w:sz w:val="20"/>
                <w:szCs w:val="20"/>
                <w:color w:val="auto"/>
              </w:rPr>
            </w:pPr>
            <w:r>
              <w:rPr>
                <w:rFonts w:ascii="Times New Roman" w:cs="Times New Roman" w:eastAsia="Times New Roman" w:hAnsi="Times New Roman"/>
                <w:sz w:val="19"/>
                <w:szCs w:val="19"/>
                <w:color w:val="auto"/>
                <w:w w:val="98"/>
              </w:rPr>
              <w:t>F-7</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65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880"/>
          </w:cols>
          <w:pgMar w:left="900" w:top="837" w:right="1099" w:bottom="0" w:gutter="0" w:footer="0" w:header="0"/>
        </w:sectPr>
      </w:pPr>
    </w:p>
    <w:bookmarkStart w:id="246" w:name="page247"/>
    <w:bookmarkEnd w:id="246"/>
    <w:p>
      <w:pPr>
        <w:ind w:left="348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EQUITY—(Continued)</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4"/>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Non-voting Euro</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22"/>
              <w:spacing w:after="0" w:line="156"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82"/>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920" w:type="dxa"/>
            <w:vAlign w:val="bottom"/>
            <w:gridSpan w:val="2"/>
            <w:vMerge w:val="restart"/>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Redemption</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vMerge w:val="restart"/>
          </w:tcPr>
          <w:p>
            <w:pPr>
              <w:jc w:val="right"/>
              <w:ind w:right="82"/>
              <w:spacing w:after="0" w:line="154"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160" w:type="dxa"/>
            <w:vAlign w:val="bottom"/>
            <w:gridSpan w:val="2"/>
            <w:vMerge w:val="restart"/>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gridSpan w:val="2"/>
            <w:vMerge w:val="restart"/>
          </w:tcPr>
          <w:p>
            <w:pPr>
              <w:jc w:val="right"/>
              <w:ind w:right="22"/>
              <w:spacing w:after="0" w:line="154"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vMerge w:val="restart"/>
          </w:tcPr>
          <w:p>
            <w:pPr>
              <w:jc w:val="right"/>
              <w:ind w:right="162"/>
              <w:spacing w:after="0" w:line="15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2"/>
        </w:trPr>
        <w:tc>
          <w:tcPr>
            <w:tcW w:w="18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7"/>
                <w:szCs w:val="7"/>
                <w:color w:val="auto"/>
              </w:rPr>
            </w:pPr>
          </w:p>
        </w:tc>
        <w:tc>
          <w:tcPr>
            <w:tcW w:w="7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Reserve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45"/>
        </w:trPr>
        <w:tc>
          <w:tcPr>
            <w:tcW w:w="18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60,631</w:t>
            </w:r>
          </w:p>
        </w:tc>
        <w:tc>
          <w:tcPr>
            <w:tcW w:w="3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4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$ 3,913,542</w:t>
            </w:r>
          </w:p>
        </w:tc>
        <w:tc>
          <w:tcPr>
            <w:tcW w:w="34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(947,667)</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3"/>
              </w:rPr>
              <w:t>1,127,347</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$4,093,756</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auto"/>
              </w:rPr>
              <w:t>in conjunction with exercise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88,470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88,470</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share options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under employee stock</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19,393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19,393</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in conjunction with vesting</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964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restricted stock units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Issuance of ordinary shares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in conjunction with vesting</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of performance-based</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color w:val="auto"/>
              </w:rPr>
              <w:t>Shares withheld for</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rPr>
              <w:t>payment of employee's</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withholding tax liability</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294,287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294,287</w:t>
            </w:r>
          </w:p>
        </w:tc>
        <w:tc>
          <w:tcPr>
            <w:tcW w:w="0" w:type="dxa"/>
            <w:vAlign w:val="bottom"/>
          </w:tcPr>
          <w:p>
            <w:pPr>
              <w:spacing w:after="0"/>
              <w:rPr>
                <w:sz w:val="1"/>
                <w:szCs w:val="1"/>
                <w:color w:val="auto"/>
              </w:rPr>
            </w:pPr>
          </w:p>
        </w:tc>
      </w:tr>
      <w:tr>
        <w:trPr>
          <w:trHeight w:val="23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(125,023)</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Other comprehensive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379,069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379,069</w:t>
            </w:r>
          </w:p>
        </w:tc>
        <w:tc>
          <w:tcPr>
            <w:tcW w:w="0" w:type="dxa"/>
            <w:vAlign w:val="bottom"/>
          </w:tcPr>
          <w:p>
            <w:pPr>
              <w:spacing w:after="0"/>
              <w:rPr>
                <w:sz w:val="1"/>
                <w:szCs w:val="1"/>
                <w:color w:val="auto"/>
              </w:rPr>
            </w:pPr>
          </w:p>
        </w:tc>
      </w:t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(356,148)</w:t>
            </w:r>
          </w:p>
        </w:tc>
        <w:tc>
          <w:tcPr>
            <w:tcW w:w="80" w:type="dxa"/>
            <w:vAlign w:val="bottom"/>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(356,148)</w:t>
            </w:r>
          </w:p>
        </w:tc>
        <w:tc>
          <w:tcPr>
            <w:tcW w:w="0" w:type="dxa"/>
            <w:vAlign w:val="bottom"/>
          </w:tcPr>
          <w:p>
            <w:pPr>
              <w:spacing w:after="0"/>
              <w:rPr>
                <w:sz w:val="1"/>
                <w:szCs w:val="1"/>
                <w:color w:val="auto"/>
              </w:rPr>
            </w:pPr>
          </w:p>
        </w:tc>
      </w:tr>
      <w:tr>
        <w:trPr>
          <w:trHeight w:val="144"/>
        </w:trPr>
        <w:tc>
          <w:tcPr>
            <w:tcW w:w="18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Balance at December 31,</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61,435</w:t>
            </w:r>
          </w:p>
        </w:tc>
        <w:tc>
          <w:tcPr>
            <w:tcW w:w="3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78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4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$ 4,240,472</w:t>
            </w:r>
          </w:p>
        </w:tc>
        <w:tc>
          <w:tcPr>
            <w:tcW w:w="34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(568,598)</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646,176</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$4,318,584</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4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711200</wp:posOffset>
            </wp:positionV>
            <wp:extent cx="259080" cy="2546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65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84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F-8</w:t>
            </w:r>
          </w:p>
        </w:tc>
        <w:tc>
          <w:tcPr>
            <w:tcW w:w="3160" w:type="dxa"/>
            <w:vAlign w:val="bottom"/>
          </w:tcPr>
          <w:p>
            <w:pPr>
              <w:ind w:left="116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ind w:left="260"/>
              <w:spacing w:after="0"/>
              <w:rPr>
                <w:sz w:val="20"/>
                <w:szCs w:val="20"/>
                <w:color w:val="auto"/>
              </w:rPr>
            </w:pPr>
            <w:r>
              <w:rPr>
                <w:rFonts w:ascii="Arial" w:cs="Arial" w:eastAsia="Arial" w:hAnsi="Arial"/>
                <w:sz w:val="20"/>
                <w:szCs w:val="20"/>
                <w:b w:val="1"/>
                <w:bCs w:val="1"/>
                <w:color w:val="5C004B"/>
                <w:w w:val="93"/>
              </w:rPr>
              <w:t>F-7</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65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837" w:right="919" w:bottom="0" w:gutter="0" w:footer="0" w:header="0"/>
        </w:sectPr>
      </w:pPr>
    </w:p>
    <w:bookmarkStart w:id="247" w:name="page248"/>
    <w:bookmarkEnd w:id="247"/>
    <w:p>
      <w:pPr>
        <w:ind w:left="354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11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41"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5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(356,148)</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560,120</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414,832</w:t>
            </w: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19,000</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608,284</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226,841</w:t>
            </w:r>
          </w:p>
        </w:tc>
        <w:tc>
          <w:tcPr>
            <w:tcW w:w="0" w:type="dxa"/>
            <w:vAlign w:val="bottom"/>
          </w:tcPr>
          <w:p>
            <w:pPr>
              <w:spacing w:after="0"/>
              <w:rPr>
                <w:sz w:val="1"/>
                <w:szCs w:val="1"/>
                <w:color w:val="auto"/>
              </w:rPr>
            </w:pPr>
          </w:p>
        </w:tc>
      </w:tr>
      <w:tr>
        <w:trPr>
          <w:trHeight w:val="21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accounting inventory fair value step-up adjustment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151,446</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30,412</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22,378</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losses on accounts receivable and inventory</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11,113</w:t>
            </w: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benefit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(260,217)</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61,014</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non-cash transactions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11,343</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(51,883)</w:t>
            </w:r>
          </w:p>
        </w:tc>
        <w:tc>
          <w:tcPr>
            <w:tcW w:w="0" w:type="dxa"/>
            <w:vAlign w:val="bottom"/>
          </w:tcPr>
          <w:p>
            <w:pPr>
              <w:spacing w:after="0"/>
              <w:rPr>
                <w:sz w:val="1"/>
                <w:szCs w:val="1"/>
                <w:color w:val="auto"/>
              </w:rPr>
            </w:pPr>
          </w:p>
        </w:tc>
      </w:tr>
      <w:tr>
        <w:trPr>
          <w:trHeight w:val="219"/>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0" w:type="dxa"/>
            <w:vAlign w:val="bottom"/>
          </w:tcPr>
          <w:p>
            <w:pPr>
              <w:spacing w:after="0"/>
              <w:rPr>
                <w:sz w:val="1"/>
                <w:szCs w:val="1"/>
                <w:color w:val="auto"/>
              </w:rPr>
            </w:pPr>
          </w:p>
        </w:tc>
      </w:tr>
      <w:tr>
        <w:trPr>
          <w:trHeight w:val="226"/>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(127,115)</w:t>
            </w:r>
          </w:p>
        </w:tc>
        <w:tc>
          <w:tcPr>
            <w:tcW w:w="0" w:type="dxa"/>
            <w:vAlign w:val="bottom"/>
          </w:tcPr>
          <w:p>
            <w:pPr>
              <w:spacing w:after="0"/>
              <w:rPr>
                <w:sz w:val="1"/>
                <w:szCs w:val="1"/>
                <w:color w:val="auto"/>
              </w:rPr>
            </w:pPr>
          </w:p>
        </w:tc>
      </w:tr>
      <w:tr>
        <w:trPr>
          <w:trHeight w:val="226"/>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9,603</w:t>
            </w:r>
          </w:p>
        </w:tc>
        <w:tc>
          <w:tcPr>
            <w:tcW w:w="0" w:type="dxa"/>
            <w:vAlign w:val="bottom"/>
          </w:tcPr>
          <w:p>
            <w:pPr>
              <w:spacing w:after="0"/>
              <w:rPr>
                <w:sz w:val="1"/>
                <w:szCs w:val="1"/>
                <w:color w:val="auto"/>
              </w:rPr>
            </w:pPr>
          </w:p>
        </w:tc>
      </w:tr>
      <w:tr>
        <w:trPr>
          <w:trHeight w:val="219"/>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0" w:type="dxa"/>
            <w:vAlign w:val="bottom"/>
          </w:tcPr>
          <w:p>
            <w:pPr>
              <w:spacing w:after="0"/>
              <w:rPr>
                <w:sz w:val="1"/>
                <w:szCs w:val="1"/>
                <w:color w:val="auto"/>
              </w:rPr>
            </w:pPr>
          </w:p>
        </w:tc>
      </w:tr>
      <w:tr>
        <w:trPr>
          <w:trHeight w:val="217"/>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25,220</w:t>
            </w:r>
          </w:p>
        </w:tc>
        <w:tc>
          <w:tcPr>
            <w:tcW w:w="0" w:type="dxa"/>
            <w:vAlign w:val="bottom"/>
          </w:tcPr>
          <w:p>
            <w:pPr>
              <w:spacing w:after="0"/>
              <w:rPr>
                <w:sz w:val="1"/>
                <w:szCs w:val="1"/>
                <w:color w:val="auto"/>
              </w:rPr>
            </w:pPr>
          </w:p>
        </w:tc>
      </w:tr>
      <w:tr>
        <w:trPr>
          <w:trHeight w:val="237"/>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28,018</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0" w:type="dxa"/>
            <w:vAlign w:val="bottom"/>
          </w:tcPr>
          <w:p>
            <w:pPr>
              <w:spacing w:after="0"/>
              <w:rPr>
                <w:sz w:val="1"/>
                <w:szCs w:val="1"/>
                <w:color w:val="auto"/>
              </w:rPr>
            </w:pPr>
          </w:p>
        </w:tc>
      </w:tr>
      <w:tr>
        <w:trPr>
          <w:trHeight w:val="19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1,355,773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1,395,908</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1,092,007</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(1,830,275)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(1,305,125)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(390,100)</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acquisition, net of cash acquired</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(858,053)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(23,962)</w:t>
            </w: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an asset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1,360,000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845,000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270,000</w:t>
            </w:r>
          </w:p>
        </w:tc>
        <w:tc>
          <w:tcPr>
            <w:tcW w:w="0" w:type="dxa"/>
            <w:vAlign w:val="bottom"/>
          </w:tcPr>
          <w:p>
            <w:pPr>
              <w:spacing w:after="0"/>
              <w:rPr>
                <w:sz w:val="1"/>
                <w:szCs w:val="1"/>
                <w:color w:val="auto"/>
              </w:rPr>
            </w:pPr>
          </w:p>
        </w:tc>
      </w:tr>
      <w:tr>
        <w:trPr>
          <w:trHeight w:val="20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(1,509,913)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(508,195)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(163,062)</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repurchases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(269,761)</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employee withholding taxes related to share-based awards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(50,952)</w:t>
            </w: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employee equity incentive and purchase plans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46,459</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2024 Notes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debt modification costs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proceeds from issuance of 2030 Notes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980,767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(873,380)</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(305,254)</w:t>
            </w:r>
          </w:p>
        </w:tc>
        <w:tc>
          <w:tcPr>
            <w:tcW w:w="0" w:type="dxa"/>
            <w:vAlign w:val="bottom"/>
          </w:tcPr>
          <w:p>
            <w:pPr>
              <w:spacing w:after="0"/>
              <w:rPr>
                <w:sz w:val="1"/>
                <w:szCs w:val="1"/>
                <w:color w:val="auto"/>
              </w:rPr>
            </w:pPr>
          </w:p>
        </w:tc>
      </w:tr>
      <w:tr>
        <w:trPr>
          <w:trHeight w:val="19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(1,020,965)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624,828</w:t>
            </w:r>
          </w:p>
        </w:tc>
        <w:tc>
          <w:tcPr>
            <w:tcW w:w="0" w:type="dxa"/>
            <w:vAlign w:val="bottom"/>
          </w:tcPr>
          <w:p>
            <w:pPr>
              <w:spacing w:after="0"/>
              <w:rPr>
                <w:sz w:val="1"/>
                <w:szCs w:val="1"/>
                <w:color w:val="auto"/>
              </w:rPr>
            </w:pPr>
          </w:p>
        </w:tc>
      </w:t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2,412,864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1,506,310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881,482</w:t>
            </w:r>
          </w:p>
        </w:tc>
        <w:tc>
          <w:tcPr>
            <w:tcW w:w="0" w:type="dxa"/>
            <w:vAlign w:val="bottom"/>
          </w:tcPr>
          <w:p>
            <w:pPr>
              <w:spacing w:after="0"/>
              <w:rPr>
                <w:sz w:val="1"/>
                <w:szCs w:val="1"/>
                <w:color w:val="auto"/>
              </w:rPr>
            </w:pPr>
          </w:p>
        </w:tc>
      </w:tr>
      <w:tr>
        <w:trPr>
          <w:trHeight w:val="20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1,391,899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2,412,864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1,506,310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248,553</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314,822</w:t>
            </w: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333,112</w:t>
            </w:r>
          </w:p>
        </w:tc>
        <w:tc>
          <w:tcPr>
            <w:tcW w:w="0" w:type="dxa"/>
            <w:vAlign w:val="bottom"/>
          </w:tcPr>
          <w:p>
            <w:pPr>
              <w:spacing w:after="0"/>
              <w:rPr>
                <w:sz w:val="1"/>
                <w:szCs w:val="1"/>
                <w:color w:val="auto"/>
              </w:rPr>
            </w:pPr>
          </w:p>
        </w:tc>
      </w:tr>
      <w:tr>
        <w:trPr>
          <w:trHeight w:val="219"/>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177,880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581660</wp:posOffset>
            </wp:positionV>
            <wp:extent cx="259080" cy="2546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65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60" w:type="dxa"/>
            <w:vAlign w:val="bottom"/>
          </w:tcPr>
          <w:p>
            <w:pPr>
              <w:spacing w:after="0"/>
              <w:rPr>
                <w:sz w:val="20"/>
                <w:szCs w:val="20"/>
                <w:color w:val="auto"/>
              </w:rPr>
            </w:pPr>
            <w:r>
              <w:rPr>
                <w:rFonts w:ascii="Arial" w:cs="Arial" w:eastAsia="Arial" w:hAnsi="Arial"/>
                <w:sz w:val="20"/>
                <w:szCs w:val="20"/>
                <w:b w:val="1"/>
                <w:bCs w:val="1"/>
                <w:color w:val="5C004B"/>
              </w:rPr>
              <w:t>F-8</w:t>
            </w:r>
          </w:p>
        </w:tc>
        <w:tc>
          <w:tcPr>
            <w:tcW w:w="3180" w:type="dxa"/>
            <w:vAlign w:val="bottom"/>
          </w:tcPr>
          <w:p>
            <w:pPr>
              <w:ind w:left="28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160"/>
              <w:spacing w:after="0"/>
              <w:rPr>
                <w:sz w:val="20"/>
                <w:szCs w:val="20"/>
                <w:color w:val="auto"/>
              </w:rPr>
            </w:pPr>
            <w:r>
              <w:rPr>
                <w:rFonts w:ascii="Times New Roman" w:cs="Times New Roman" w:eastAsia="Times New Roman" w:hAnsi="Times New Roman"/>
                <w:sz w:val="19"/>
                <w:szCs w:val="19"/>
                <w:color w:val="auto"/>
                <w:w w:val="98"/>
              </w:rPr>
              <w:t>F-9</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65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837" w:right="979" w:bottom="0" w:gutter="0" w:footer="0" w:header="0"/>
        </w:sectPr>
      </w:pPr>
    </w:p>
    <w:bookmarkStart w:id="248" w:name="page249"/>
    <w:bookmarkEnd w:id="248"/>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JAZZ PHARMACEUTICALS PLC</w:t>
      </w:r>
    </w:p>
    <w:p>
      <w:pPr>
        <w:spacing w:after="0" w:line="24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Description of Business</w:t>
      </w:r>
    </w:p>
    <w:p>
      <w:pPr>
        <w:spacing w:after="0" w:line="133"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9"/>
          <w:szCs w:val="19"/>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Our lead marketed products, listed below, are approved in countries around the world to improve patient care.</w:t>
      </w:r>
    </w:p>
    <w:p>
      <w:pPr>
        <w:spacing w:after="0" w:line="128" w:lineRule="exact"/>
        <w:rPr>
          <w:sz w:val="20"/>
          <w:szCs w:val="20"/>
          <w:color w:val="auto"/>
        </w:rPr>
      </w:pPr>
    </w:p>
    <w:p>
      <w:pPr>
        <w:ind w:left="780" w:right="180" w:hanging="348"/>
        <w:spacing w:after="0" w:line="267" w:lineRule="auto"/>
        <w:tabs>
          <w:tab w:leader="none" w:pos="760" w:val="left"/>
        </w:tabs>
        <w:rPr>
          <w:sz w:val="20"/>
          <w:szCs w:val="20"/>
          <w:color w:val="auto"/>
        </w:rPr>
      </w:pPr>
      <w:r>
        <w:rPr>
          <w:rFonts w:ascii="Times New Roman" w:cs="Times New Roman" w:eastAsia="Times New Roman" w:hAnsi="Times New Roman"/>
          <w:sz w:val="19"/>
          <w:szCs w:val="19"/>
          <w:b w:val="1"/>
          <w:bCs w:val="1"/>
          <w:color w:val="auto"/>
        </w:rPr>
        <w:t>•</w:t>
      </w:r>
      <w:r>
        <w:rPr>
          <w:rFonts w:ascii="PMingLiU" w:cs="PMingLiU" w:eastAsia="PMingLiU" w:hAnsi="PMingLiU"/>
          <w:sz w:val="19"/>
          <w:szCs w:val="19"/>
          <w:b w:val="1"/>
          <w:bCs w:val="1"/>
          <w:color w:val="auto"/>
        </w:rPr>
        <w:t/>
      </w:r>
      <w:r>
        <w:rPr>
          <w:rFonts w:ascii="Times New Roman" w:cs="Times New Roman" w:eastAsia="Times New Roman" w:hAnsi="Times New Roman"/>
          <w:sz w:val="19"/>
          <w:szCs w:val="19"/>
          <w:b w:val="1"/>
          <w:bCs w:val="1"/>
          <w:color w:val="auto"/>
        </w:rPr>
        <w:tab/>
        <w:t>Xywav® (calcium, magnesium, potassium, and sodium oxybates) oral solution</w:t>
      </w:r>
      <w:r>
        <w:rPr>
          <w:rFonts w:ascii="Times New Roman" w:cs="Times New Roman" w:eastAsia="Times New Roman" w:hAnsi="Times New Roman"/>
          <w:sz w:val="19"/>
          <w:szCs w:val="19"/>
          <w:color w:val="auto"/>
        </w:rPr>
        <w:t>, a product approved by FDA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July 2020, and launched in the 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6" w:lineRule="exact"/>
        <w:rPr>
          <w:sz w:val="20"/>
          <w:szCs w:val="20"/>
          <w:color w:val="auto"/>
        </w:rPr>
      </w:pPr>
    </w:p>
    <w:p>
      <w:pPr>
        <w:ind w:left="780" w:right="60" w:hanging="348"/>
        <w:spacing w:after="0" w:line="264"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b w:val="1"/>
          <w:bCs w:val="1"/>
          <w:color w:val="auto"/>
        </w:rPr>
        <w:t>Epidiolex® (cannabidiol) oral solution</w:t>
      </w:r>
      <w:r>
        <w:rPr>
          <w:rFonts w:ascii="Times New Roman" w:cs="Times New Roman" w:eastAsia="Times New Roman" w:hAnsi="Times New Roman"/>
          <w:sz w:val="19"/>
          <w:szCs w:val="19"/>
          <w:color w:val="auto"/>
        </w:rPr>
        <w:t>, a product approved by FDA and launched in the U.S. in 2018 by GW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currently indicated for the 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780" w:right="140" w:hanging="348"/>
        <w:spacing w:after="0" w:line="263"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b w:val="1"/>
          <w:bCs w:val="1"/>
          <w:color w:val="auto"/>
        </w:rPr>
        <w:t>Ziihera® (zanidatamab-hrii)</w:t>
      </w:r>
      <w:r>
        <w:rPr>
          <w:rFonts w:ascii="Times New Roman" w:cs="Times New Roman" w:eastAsia="Times New Roman" w:hAnsi="Times New Roman"/>
          <w:sz w:val="19"/>
          <w:szCs w:val="19"/>
          <w:color w:val="auto"/>
        </w:rPr>
        <w:t>, a product approved by FDA in November 2024 under FDA’s accelerated approval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pathway and launched in the U.S. in December 2024 for the treatment of adults with previously treated, unresectable or metastatic HER2-positive (IHC3+)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70" w:lineRule="exact"/>
        <w:rPr>
          <w:sz w:val="20"/>
          <w:szCs w:val="20"/>
          <w:color w:val="auto"/>
        </w:rPr>
      </w:pPr>
    </w:p>
    <w:p>
      <w:pPr>
        <w:ind w:left="780" w:right="80" w:hanging="348"/>
        <w:spacing w:after="0" w:line="270"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b w:val="1"/>
          <w:bCs w:val="1"/>
          <w:color w:val="auto"/>
        </w:rPr>
        <w:t>Modeyso™ (dordaviprone)</w:t>
      </w:r>
      <w:r>
        <w:rPr>
          <w:rFonts w:ascii="Times New Roman" w:cs="Times New Roman" w:eastAsia="Times New Roman" w:hAnsi="Times New Roman"/>
          <w:sz w:val="19"/>
          <w:szCs w:val="19"/>
          <w:color w:val="auto"/>
        </w:rPr>
        <w:t>, a product approved by FDA in August 2025 under FDA's accelerated approval pathway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the treatment of adult and pediatric patients 1 year of age and older with diffuse midline glioma harboring an H3</w:t>
      </w:r>
    </w:p>
    <w:p>
      <w:pPr>
        <w:spacing w:after="0" w:line="1" w:lineRule="exact"/>
        <w:rPr>
          <w:sz w:val="20"/>
          <w:szCs w:val="20"/>
          <w:color w:val="auto"/>
        </w:rPr>
      </w:pPr>
    </w:p>
    <w:p>
      <w:pPr>
        <w:ind w:left="780"/>
        <w:spacing w:after="0"/>
        <w:rPr>
          <w:sz w:val="20"/>
          <w:szCs w:val="20"/>
          <w:color w:val="auto"/>
        </w:rPr>
      </w:pPr>
      <w:r>
        <w:rPr>
          <w:rFonts w:ascii="PMingLiU" w:cs="PMingLiU" w:eastAsia="PMingLiU" w:hAnsi="PMingLiU"/>
          <w:sz w:val="19"/>
          <w:szCs w:val="19"/>
          <w:color w:val="auto"/>
        </w:rPr>
        <w:t>.0PXWDWLRQZLWKSURJUHVVLYHGLVHDVHIROORZLQJSULRUWKHUDS\</w:t>
      </w:r>
    </w:p>
    <w:p>
      <w:pPr>
        <w:spacing w:after="0" w:line="93" w:lineRule="exact"/>
        <w:rPr>
          <w:sz w:val="20"/>
          <w:szCs w:val="20"/>
          <w:color w:val="auto"/>
        </w:rPr>
      </w:pPr>
    </w:p>
    <w:p>
      <w:pPr>
        <w:ind w:left="780" w:right="180" w:hanging="348"/>
        <w:spacing w:after="0" w:line="263" w:lineRule="auto"/>
        <w:tabs>
          <w:tab w:leader="none" w:pos="760" w:val="left"/>
        </w:tabs>
        <w:rPr>
          <w:sz w:val="20"/>
          <w:szCs w:val="20"/>
          <w:color w:val="auto"/>
        </w:rPr>
      </w:pPr>
      <w:r>
        <w:rPr>
          <w:rFonts w:ascii="Times New Roman" w:cs="Times New Roman" w:eastAsia="Times New Roman" w:hAnsi="Times New Roman"/>
          <w:sz w:val="19"/>
          <w:szCs w:val="19"/>
          <w:b w:val="1"/>
          <w:bCs w:val="1"/>
          <w:color w:val="auto"/>
        </w:rPr>
        <w:t>•</w:t>
      </w:r>
      <w:r>
        <w:rPr>
          <w:rFonts w:ascii="PMingLiU" w:cs="PMingLiU" w:eastAsia="PMingLiU" w:hAnsi="PMingLiU"/>
          <w:sz w:val="19"/>
          <w:szCs w:val="19"/>
          <w:b w:val="1"/>
          <w:bCs w:val="1"/>
          <w:color w:val="auto"/>
        </w:rPr>
        <w:t/>
      </w:r>
      <w:r>
        <w:rPr>
          <w:rFonts w:ascii="Times New Roman" w:cs="Times New Roman" w:eastAsia="Times New Roman" w:hAnsi="Times New Roman"/>
          <w:sz w:val="19"/>
          <w:szCs w:val="19"/>
          <w:b w:val="1"/>
          <w:bCs w:val="1"/>
          <w:color w:val="auto"/>
        </w:rPr>
        <w:tab/>
        <w:t>Zepzelca® (lurbinectedin)</w:t>
      </w:r>
      <w:r>
        <w:rPr>
          <w:rFonts w:ascii="Times New Roman" w:cs="Times New Roman" w:eastAsia="Times New Roman" w:hAnsi="Times New Roman"/>
          <w:sz w:val="19"/>
          <w:szCs w:val="19"/>
          <w:color w:val="auto"/>
        </w:rPr>
        <w:t>, a product approved by FDA in June 2020 under FDA's accelerated approval pathway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launched in the U.S. in July 2020 for the treatment of adult patients with metastatic SCLC with disease progression on or after platinum-based chemotherapy; approved by FDA in October 2025 in combination with atezolizumab or atezolizumab and hyaluronidase-tqjs as a first-line maintenance treatment for adults with extensive-stage SCLC whose disease has not progressed after first-line induction therapy with atezolizumab, carboplatin and etoposide; and obtained conditional approval in Canada in September 2021 for the treatment of adults with Stage III or metastatic SCLC, who have progressed on or after platinum-containing therapy.</w:t>
      </w:r>
    </w:p>
    <w:p>
      <w:pPr>
        <w:spacing w:after="0" w:line="70" w:lineRule="exact"/>
        <w:rPr>
          <w:sz w:val="20"/>
          <w:szCs w:val="20"/>
          <w:color w:val="auto"/>
        </w:rPr>
      </w:pPr>
    </w:p>
    <w:p>
      <w:pPr>
        <w:ind w:left="780" w:right="40" w:hanging="348"/>
        <w:spacing w:after="0" w:line="262" w:lineRule="auto"/>
        <w:tabs>
          <w:tab w:leader="none" w:pos="760" w:val="left"/>
        </w:tabs>
        <w:rPr>
          <w:sz w:val="20"/>
          <w:szCs w:val="20"/>
          <w:color w:val="auto"/>
        </w:rPr>
      </w:pPr>
      <w:r>
        <w:rPr>
          <w:rFonts w:ascii="Times New Roman" w:cs="Times New Roman" w:eastAsia="Times New Roman" w:hAnsi="Times New Roman"/>
          <w:sz w:val="19"/>
          <w:szCs w:val="19"/>
          <w:b w:val="1"/>
          <w:bCs w:val="1"/>
          <w:color w:val="auto"/>
        </w:rPr>
        <w:t>•</w:t>
      </w:r>
      <w:r>
        <w:rPr>
          <w:rFonts w:ascii="PMingLiU" w:cs="PMingLiU" w:eastAsia="PMingLiU" w:hAnsi="PMingLiU"/>
          <w:sz w:val="19"/>
          <w:szCs w:val="19"/>
          <w:b w:val="1"/>
          <w:bCs w:val="1"/>
          <w:color w:val="auto"/>
        </w:rPr>
        <w:t/>
      </w:r>
      <w:r>
        <w:rPr>
          <w:rFonts w:ascii="Times New Roman" w:cs="Times New Roman" w:eastAsia="Times New Roman" w:hAnsi="Times New Roman"/>
          <w:sz w:val="19"/>
          <w:szCs w:val="19"/>
          <w:b w:val="1"/>
          <w:bCs w:val="1"/>
          <w:color w:val="auto"/>
        </w:rPr>
        <w:tab/>
        <w:t>Rylaze® (asparaginase erwinia chrysanthemi (recombinant)-rywn)</w:t>
      </w:r>
      <w:r>
        <w:rPr>
          <w:rFonts w:ascii="Times New Roman" w:cs="Times New Roman" w:eastAsia="Times New Roman" w:hAnsi="Times New Roman"/>
          <w:sz w:val="19"/>
          <w:szCs w:val="19"/>
          <w:color w:val="auto"/>
        </w:rPr>
        <w:t>, a product approved by FDA in June 2021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launched in the U.S. in July 2021 for use as a component of a multi-agent chemotherapeutic regimen for the treatment of ALL or LBL in adults and pediatric patients aged one month or older who have developed hypersensitivity to </w:t>
      </w:r>
      <w:r>
        <w:rPr>
          <w:rFonts w:ascii="PMingLiU" w:cs="PMingLiU" w:eastAsia="PMingLiU" w:hAnsi="PMingLiU"/>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coli</w:t>
      </w:r>
      <w:r>
        <w:rPr>
          <w:rFonts w:ascii="Times New Roman" w:cs="Times New Roman" w:eastAsia="Times New Roman" w:hAnsi="Times New Roman"/>
          <w:sz w:val="19"/>
          <w:szCs w:val="19"/>
          <w:color w:val="auto"/>
        </w:rPr>
        <w:t>-derived asparaginase. In September 2023, the EC granted marketing authorization under the trade name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Enrylaze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This therapy is also approved in markets including Great Britain, Canada, Switzerland and Australia.</w:t>
      </w:r>
    </w:p>
    <w:p>
      <w:pPr>
        <w:spacing w:after="0" w:line="1" w:lineRule="exact"/>
        <w:rPr>
          <w:sz w:val="20"/>
          <w:szCs w:val="20"/>
          <w:color w:val="auto"/>
        </w:rPr>
      </w:pPr>
    </w:p>
    <w:p>
      <w:pPr>
        <w:ind w:right="60" w:firstLine="479"/>
        <w:spacing w:after="0" w:line="277" w:lineRule="auto"/>
        <w:rPr>
          <w:sz w:val="20"/>
          <w:szCs w:val="20"/>
          <w:color w:val="auto"/>
        </w:rPr>
      </w:pPr>
      <w:r>
        <w:rPr>
          <w:rFonts w:ascii="Times New Roman" w:cs="Times New Roman" w:eastAsia="Times New Roman" w:hAnsi="Times New Roman"/>
          <w:sz w:val="19"/>
          <w:szCs w:val="19"/>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911225</wp:posOffset>
            </wp:positionV>
            <wp:extent cx="259080" cy="2546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65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5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F-10</w:t>
            </w:r>
          </w:p>
        </w:tc>
        <w:tc>
          <w:tcPr>
            <w:tcW w:w="3140" w:type="dxa"/>
            <w:vAlign w:val="bottom"/>
          </w:tcPr>
          <w:p>
            <w:pPr>
              <w:ind w:left="1140"/>
              <w:spacing w:after="0"/>
              <w:rPr>
                <w:sz w:val="20"/>
                <w:szCs w:val="20"/>
                <w:color w:val="auto"/>
              </w:rPr>
            </w:pPr>
            <w:r>
              <w:rPr>
                <w:rFonts w:ascii="Arial" w:cs="Arial" w:eastAsia="Arial" w:hAnsi="Arial"/>
                <w:sz w:val="16"/>
                <w:szCs w:val="16"/>
                <w:color w:val="auto"/>
              </w:rPr>
              <w:t>2025 ANNUAL REPORT</w:t>
            </w:r>
          </w:p>
        </w:tc>
        <w:tc>
          <w:tcPr>
            <w:tcW w:w="560" w:type="dxa"/>
            <w:vAlign w:val="bottom"/>
          </w:tcPr>
          <w:p>
            <w:pPr>
              <w:ind w:left="260"/>
              <w:spacing w:after="0"/>
              <w:rPr>
                <w:sz w:val="20"/>
                <w:szCs w:val="20"/>
                <w:color w:val="auto"/>
              </w:rPr>
            </w:pPr>
            <w:r>
              <w:rPr>
                <w:rFonts w:ascii="Arial" w:cs="Arial" w:eastAsia="Arial" w:hAnsi="Arial"/>
                <w:sz w:val="20"/>
                <w:szCs w:val="20"/>
                <w:b w:val="1"/>
                <w:bCs w:val="1"/>
                <w:color w:val="5C004B"/>
                <w:w w:val="93"/>
              </w:rPr>
              <w:t>F-9</w:t>
            </w:r>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65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1230" w:right="919" w:bottom="0" w:gutter="0" w:footer="0" w:header="0"/>
        </w:sectPr>
      </w:pPr>
    </w:p>
    <w:bookmarkStart w:id="249" w:name="page250"/>
    <w:bookmarkEnd w:id="249"/>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29" w:lineRule="exact"/>
        <w:rPr>
          <w:sz w:val="20"/>
          <w:szCs w:val="20"/>
          <w:color w:val="auto"/>
        </w:rPr>
      </w:pPr>
    </w:p>
    <w:p>
      <w:pPr>
        <w:ind w:left="60" w:right="300" w:firstLine="479"/>
        <w:spacing w:after="0" w:line="270" w:lineRule="auto"/>
        <w:rPr>
          <w:sz w:val="20"/>
          <w:szCs w:val="20"/>
          <w:color w:val="auto"/>
        </w:rPr>
      </w:pPr>
      <w:r>
        <w:rPr>
          <w:rFonts w:ascii="Times New Roman" w:cs="Times New Roman" w:eastAsia="Times New Roman" w:hAnsi="Times New Roman"/>
          <w:sz w:val="19"/>
          <w:szCs w:val="19"/>
          <w:color w:val="auto"/>
        </w:rPr>
        <w:t>The consolidated financial statements have been prepared in accordance with U.S. GAAP, and include the accounts of Jazz Pharmaceuticals plc and our subsidiaries. Intercompany transactions and balances have been eliminated. Our consolidated financial statements include the results of operations of businesses we have acquired from the date of each acquisition for the applicable reporting periods.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29" w:lineRule="exact"/>
        <w:rPr>
          <w:sz w:val="20"/>
          <w:szCs w:val="20"/>
          <w:color w:val="auto"/>
        </w:rPr>
      </w:pPr>
    </w:p>
    <w:p>
      <w:pPr>
        <w:ind w:left="60" w:right="300" w:firstLine="480"/>
        <w:spacing w:after="0" w:line="270"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Adoption of New Accounting Standards</w:t>
      </w:r>
    </w:p>
    <w:p>
      <w:pPr>
        <w:spacing w:after="0" w:line="129" w:lineRule="exact"/>
        <w:rPr>
          <w:sz w:val="20"/>
          <w:szCs w:val="20"/>
          <w:color w:val="auto"/>
        </w:rPr>
      </w:pPr>
    </w:p>
    <w:p>
      <w:pPr>
        <w:ind w:left="60" w:right="60" w:firstLine="480"/>
        <w:spacing w:after="0" w:line="28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We adopted ASU 2023-09 for the year ended December 31, 2025 with prospective application and have provided the required tax disclosures in this Annual Report on Form 10-</w:t>
      </w:r>
      <w:r>
        <w:rPr>
          <w:rFonts w:ascii="PMingLiU" w:cs="PMingLiU" w:eastAsia="PMingLiU" w:hAnsi="PMingLiU"/>
          <w:sz w:val="18"/>
          <w:szCs w:val="18"/>
          <w:color w:val="auto"/>
        </w:rPr>
        <w:t>.7KHUHZDVQRLPSDFWRQUHSRUWHGLQFRPHWD[EHQHILWH[SHQVHRUUHODWHGWD[DVVHWVRUOLDELOLWLHV</w:t>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color w:val="auto"/>
        </w:rPr>
        <w:t>Significant Risks and Uncertainties</w:t>
      </w:r>
    </w:p>
    <w:p>
      <w:pPr>
        <w:spacing w:after="0" w:line="133" w:lineRule="exact"/>
        <w:rPr>
          <w:sz w:val="20"/>
          <w:szCs w:val="20"/>
          <w:color w:val="auto"/>
        </w:rPr>
      </w:pPr>
    </w:p>
    <w:p>
      <w:pPr>
        <w:ind w:left="60" w:firstLine="480"/>
        <w:spacing w:after="0" w:line="258" w:lineRule="auto"/>
        <w:rPr>
          <w:sz w:val="20"/>
          <w:szCs w:val="20"/>
          <w:color w:val="auto"/>
        </w:rPr>
      </w:pPr>
      <w:r>
        <w:rPr>
          <w:rFonts w:ascii="Times New Roman" w:cs="Times New Roman" w:eastAsia="Times New Roman" w:hAnsi="Times New Roman"/>
          <w:sz w:val="19"/>
          <w:szCs w:val="19"/>
          <w:color w:val="auto"/>
        </w:rPr>
        <w:t>Our financial condition, results of operations and growth prospects are dependent on our ability to maintain or increase sales of our commercialized products, which is subject to many risks and there is no guarantee that we will be able to continue to successfully commercialize those products for their approved indications. In that regard, we expect that our business will continue to meaningfully depend on oxybate revenues; however, there is no guarantee that oxybate revenues will remain at current levels.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Hikma AG version of high-sodium oxybate and a branded fixed-dose, high-sodium oxybate, Alkermes’ Lumryz (acquired through its acquisition of Avadel), for treatment of cataplexy and/or EDS in narcolepsy in the U.S. market, as well as potential future competition from generic versions of high-sodium oxybate, including a generic version of high-sodium oxybate from each of Amneal and Ascent approved in September 2025 and November 2025, respectively,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intellectual property litigation; and continued acceptance of Xywav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314" w:lineRule="exact"/>
        <w:rPr>
          <w:sz w:val="20"/>
          <w:szCs w:val="20"/>
          <w:color w:val="auto"/>
        </w:rPr>
      </w:pPr>
    </w:p>
    <w:p>
      <w:pPr>
        <w:ind w:left="60" w:right="140" w:firstLine="480"/>
        <w:spacing w:after="0" w:line="261" w:lineRule="auto"/>
        <w:rPr>
          <w:sz w:val="20"/>
          <w:szCs w:val="20"/>
          <w:color w:val="auto"/>
        </w:rPr>
      </w:pPr>
      <w:r>
        <w:rPr>
          <w:rFonts w:ascii="Times New Roman" w:cs="Times New Roman" w:eastAsia="Times New Roman" w:hAnsi="Times New Roman"/>
          <w:sz w:val="19"/>
          <w:szCs w:val="19"/>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w:t>
      </w:r>
    </w:p>
    <w:p>
      <w:pPr>
        <w:spacing w:after="0" w:line="73" w:lineRule="exact"/>
        <w:rPr>
          <w:sz w:val="20"/>
          <w:szCs w:val="20"/>
          <w:color w:val="auto"/>
        </w:rPr>
      </w:pPr>
    </w:p>
    <w:p>
      <w:pPr>
        <w:ind w:left="60" w:right="60" w:firstLine="480"/>
        <w:spacing w:after="0" w:line="263" w:lineRule="auto"/>
        <w:rPr>
          <w:sz w:val="20"/>
          <w:szCs w:val="20"/>
          <w:color w:val="auto"/>
        </w:rPr>
      </w:pPr>
      <w:r>
        <w:rPr>
          <w:rFonts w:ascii="Times New Roman" w:cs="Times New Roman" w:eastAsia="Times New Roman" w:hAnsi="Times New Roman"/>
          <w:sz w:val="19"/>
          <w:szCs w:val="19"/>
          <w:color w:val="auto"/>
        </w:rPr>
        <w:t>In addition to risks related specifically to Xywav and Epidiolex/Epidyolex,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pharmaceutical product development, ongoing clinical research activity and related outcomes; obtaining regulatory approval of our late-stage product candidates; effectively commercializing our approved products such as Rylaze, Zepzelca, Ziihera and Modeyso; obtaining and maintaining adequate coverage and reimbursement for our products; contracting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105410</wp:posOffset>
            </wp:positionV>
            <wp:extent cx="259080" cy="2546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66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F-10</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F-11</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66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50" w:name="page251"/>
    <w:bookmarkEnd w:id="250"/>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and rebates to PBMs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Ziihera and Modeyso, at the expected levels, with the expected costs and within the expected timeframe; the challenges of protecting and enhancing our intellectual property rights; complying with applicable regulatory requirements; the impact of new or increased tariffs and escalating trade tensions; and possible restrictions on our ability and flexibility to pursue certain future opportunities as a result of our substantial outstanding debt obligations.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Risk</w:t>
      </w:r>
    </w:p>
    <w:p>
      <w:pPr>
        <w:spacing w:after="0" w:line="128" w:lineRule="exact"/>
        <w:rPr>
          <w:sz w:val="20"/>
          <w:szCs w:val="20"/>
          <w:color w:val="auto"/>
        </w:rPr>
      </w:pPr>
    </w:p>
    <w:p>
      <w:pPr>
        <w:ind w:right="140" w:firstLine="480"/>
        <w:spacing w:after="0" w:line="263" w:lineRule="auto"/>
        <w:rPr>
          <w:sz w:val="20"/>
          <w:szCs w:val="20"/>
          <w:color w:val="auto"/>
        </w:rPr>
      </w:pPr>
      <w:r>
        <w:rPr>
          <w:rFonts w:ascii="Times New Roman" w:cs="Times New Roman" w:eastAsia="Times New Roman" w:hAnsi="Times New Roman"/>
          <w:sz w:val="19"/>
          <w:szCs w:val="19"/>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0"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9"/>
          <w:szCs w:val="19"/>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2025 and 2024, we had foreign exchange forward contracts with notional amounts totaling $575.9 million and $461.2 million, respectively. As of December 31, 2025 and 2024, the outstanding foreign exchange forward contracts had a net asset fair value of $2.5 million and a net liability fair value of $7.9 million, respectively. As of December 31, 2025 and 2024, we had interest rate swap contracts with notional amounts totaling $500.0 million. As of December 31, 2025 and 2024, these outstanding interest rate swap contracts had a net liability fair value of $0.5 million and a net asset fair value of $1.0 million, respectively. The counterparties to these contracts are large multinational commercial banks, and we believe the risk of nonperformance is not significant.</w:t>
      </w:r>
    </w:p>
    <w:p>
      <w:pPr>
        <w:spacing w:after="0" w:line="73" w:lineRule="exact"/>
        <w:rPr>
          <w:sz w:val="20"/>
          <w:szCs w:val="20"/>
          <w:color w:val="auto"/>
        </w:rPr>
      </w:pPr>
    </w:p>
    <w:p>
      <w:pPr>
        <w:ind w:right="80" w:firstLine="480"/>
        <w:spacing w:after="0" w:line="271" w:lineRule="auto"/>
        <w:rPr>
          <w:sz w:val="20"/>
          <w:szCs w:val="20"/>
          <w:color w:val="auto"/>
        </w:rPr>
      </w:pPr>
      <w:r>
        <w:rPr>
          <w:rFonts w:ascii="Times New Roman" w:cs="Times New Roman" w:eastAsia="Times New Roman" w:hAnsi="Times New Roman"/>
          <w:sz w:val="18"/>
          <w:szCs w:val="18"/>
          <w:color w:val="auto"/>
        </w:rPr>
        <w:t xml:space="preserve">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2025, allowances on receivables were not material. As of December 31, 2025, five customers accounted for 81% of gross accounts receivable, including ESSDS, which accounted </w:t>
      </w:r>
      <w:r>
        <w:rPr>
          <w:rFonts w:ascii="PMingLiU" w:cs="PMingLiU" w:eastAsia="PMingLiU" w:hAnsi="PMingLiU"/>
          <w:sz w:val="18"/>
          <w:szCs w:val="18"/>
          <w:color w:val="auto"/>
        </w:rPr>
        <w:t xml:space="preserve">IRURIJURVVDFFRXQWVUHFHLYDEOH$6'ZKLFKDFFRXQWHGIRURIJURVVDFFRXQWVUHFHLYDEOHDQG0F.HVVRQZKLFK </w:t>
      </w:r>
      <w:r>
        <w:rPr>
          <w:rFonts w:ascii="Times New Roman" w:cs="Times New Roman" w:eastAsia="Times New Roman" w:hAnsi="Times New Roman"/>
          <w:sz w:val="18"/>
          <w:szCs w:val="18"/>
          <w:color w:val="auto"/>
        </w:rPr>
        <w:t xml:space="preserve">accounted for 11% of gross accounts receivable. As of December 31, 2024, five customers accounted for 80% of gross accounts receivable, including ESSDS, which accounted for 39% of gross accounts receivable, ASD, which accounted for 15% </w:t>
      </w:r>
      <w:r>
        <w:rPr>
          <w:rFonts w:ascii="PMingLiU" w:cs="PMingLiU" w:eastAsia="PMingLiU" w:hAnsi="PMingLiU"/>
          <w:sz w:val="18"/>
          <w:szCs w:val="18"/>
          <w:color w:val="auto"/>
        </w:rPr>
        <w:t>RIJURVVDFFRXQWVUHFHLYDEOHDQG0F.HVVRQZKLFKDFFRXQWHGIRURIJURVVDFFRXQWVUHFHLYDEOH</w:t>
      </w:r>
    </w:p>
    <w:p>
      <w:pPr>
        <w:spacing w:after="0" w:line="65" w:lineRule="exact"/>
        <w:rPr>
          <w:sz w:val="20"/>
          <w:szCs w:val="20"/>
          <w:color w:val="auto"/>
        </w:rPr>
      </w:pPr>
    </w:p>
    <w:p>
      <w:pPr>
        <w:jc w:val="both"/>
        <w:ind w:right="280" w:firstLine="480"/>
        <w:spacing w:after="0" w:line="277" w:lineRule="auto"/>
        <w:rPr>
          <w:sz w:val="20"/>
          <w:szCs w:val="20"/>
          <w:color w:val="auto"/>
        </w:rPr>
      </w:pPr>
      <w:r>
        <w:rPr>
          <w:rFonts w:ascii="Times New Roman" w:cs="Times New Roman" w:eastAsia="Times New Roman" w:hAnsi="Times New Roman"/>
          <w:sz w:val="19"/>
          <w:szCs w:val="19"/>
          <w:color w:val="auto"/>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Business Acquisitions</w:t>
      </w:r>
    </w:p>
    <w:p>
      <w:pPr>
        <w:spacing w:after="0" w:line="129"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9"/>
          <w:szCs w:val="19"/>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180975</wp:posOffset>
            </wp:positionV>
            <wp:extent cx="259080" cy="2546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66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04"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F-12</w:t>
            </w:r>
          </w:p>
        </w:tc>
        <w:tc>
          <w:tcPr>
            <w:tcW w:w="3100" w:type="dxa"/>
            <w:vAlign w:val="bottom"/>
          </w:tcPr>
          <w:p>
            <w:pPr>
              <w:ind w:left="110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F-11</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66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51" w:name="page252"/>
    <w:bookmarkEnd w:id="25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Cash Equivalents and Investments</w:t>
      </w:r>
    </w:p>
    <w:p>
      <w:pPr>
        <w:spacing w:after="0" w:line="129" w:lineRule="exact"/>
        <w:rPr>
          <w:sz w:val="20"/>
          <w:szCs w:val="20"/>
          <w:color w:val="auto"/>
        </w:rPr>
      </w:pPr>
    </w:p>
    <w:p>
      <w:pPr>
        <w:ind w:left="60" w:right="160" w:firstLine="480"/>
        <w:spacing w:after="0" w:line="299" w:lineRule="auto"/>
        <w:rPr>
          <w:sz w:val="20"/>
          <w:szCs w:val="20"/>
          <w:color w:val="auto"/>
        </w:rPr>
      </w:pPr>
      <w:r>
        <w:rPr>
          <w:rFonts w:ascii="Times New Roman" w:cs="Times New Roman" w:eastAsia="Times New Roman" w:hAnsi="Times New Roman"/>
          <w:sz w:val="19"/>
          <w:szCs w:val="19"/>
          <w:color w:val="auto"/>
        </w:rPr>
        <w:t>We consider all highly liquid investments, readily convertible to cash, that mature within three months or less from date of purchase to be cash equivalents.</w:t>
      </w:r>
    </w:p>
    <w:p>
      <w:pPr>
        <w:spacing w:after="0" w:line="38" w:lineRule="exact"/>
        <w:rPr>
          <w:sz w:val="20"/>
          <w:szCs w:val="20"/>
          <w:color w:val="auto"/>
        </w:rPr>
      </w:pPr>
    </w:p>
    <w:p>
      <w:pPr>
        <w:ind w:left="60" w:right="80" w:firstLine="480"/>
        <w:spacing w:after="0" w:line="266" w:lineRule="auto"/>
        <w:rPr>
          <w:sz w:val="20"/>
          <w:szCs w:val="20"/>
          <w:color w:val="auto"/>
        </w:rPr>
      </w:pPr>
      <w:r>
        <w:rPr>
          <w:rFonts w:ascii="Times New Roman" w:cs="Times New Roman" w:eastAsia="Times New Roman" w:hAnsi="Times New Roman"/>
          <w:sz w:val="19"/>
          <w:szCs w:val="19"/>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 (loss).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Derivative Instruments and Hedging Activities</w:t>
      </w:r>
    </w:p>
    <w:p>
      <w:pPr>
        <w:spacing w:after="0" w:line="129" w:lineRule="exact"/>
        <w:rPr>
          <w:sz w:val="20"/>
          <w:szCs w:val="20"/>
          <w:color w:val="auto"/>
        </w:rPr>
      </w:pPr>
    </w:p>
    <w:p>
      <w:pPr>
        <w:ind w:left="60" w:right="40" w:firstLine="480"/>
        <w:spacing w:after="0" w:line="266" w:lineRule="auto"/>
        <w:rPr>
          <w:sz w:val="20"/>
          <w:szCs w:val="20"/>
          <w:color w:val="auto"/>
        </w:rPr>
      </w:pPr>
      <w:r>
        <w:rPr>
          <w:rFonts w:ascii="Times New Roman" w:cs="Times New Roman" w:eastAsia="Times New Roman" w:hAnsi="Times New Roman"/>
          <w:sz w:val="19"/>
          <w:szCs w:val="19"/>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70" w:lineRule="exact"/>
        <w:rPr>
          <w:sz w:val="20"/>
          <w:szCs w:val="20"/>
          <w:color w:val="auto"/>
        </w:rPr>
      </w:pPr>
    </w:p>
    <w:p>
      <w:pPr>
        <w:ind w:left="60" w:right="160" w:firstLine="480"/>
        <w:spacing w:after="0" w:line="299" w:lineRule="auto"/>
        <w:rPr>
          <w:sz w:val="20"/>
          <w:szCs w:val="20"/>
          <w:color w:val="auto"/>
        </w:rPr>
      </w:pPr>
      <w:r>
        <w:rPr>
          <w:rFonts w:ascii="Times New Roman" w:cs="Times New Roman" w:eastAsia="Times New Roman" w:hAnsi="Times New Roman"/>
          <w:sz w:val="19"/>
          <w:szCs w:val="19"/>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38" w:lineRule="exact"/>
        <w:rPr>
          <w:sz w:val="20"/>
          <w:szCs w:val="20"/>
          <w:color w:val="auto"/>
        </w:rPr>
      </w:pPr>
    </w:p>
    <w:p>
      <w:pPr>
        <w:ind w:left="60" w:right="380" w:firstLine="480"/>
        <w:spacing w:after="0" w:line="277" w:lineRule="auto"/>
        <w:rPr>
          <w:sz w:val="20"/>
          <w:szCs w:val="20"/>
          <w:color w:val="auto"/>
        </w:rPr>
      </w:pPr>
      <w:r>
        <w:rPr>
          <w:rFonts w:ascii="Times New Roman" w:cs="Times New Roman" w:eastAsia="Times New Roman" w:hAnsi="Times New Roman"/>
          <w:sz w:val="19"/>
          <w:szCs w:val="19"/>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58" w:lineRule="exact"/>
        <w:rPr>
          <w:sz w:val="20"/>
          <w:szCs w:val="20"/>
          <w:color w:val="auto"/>
        </w:rPr>
      </w:pPr>
    </w:p>
    <w:p>
      <w:pPr>
        <w:ind w:left="280" w:right="520" w:firstLine="261"/>
        <w:spacing w:after="0" w:line="383" w:lineRule="auto"/>
        <w:rPr>
          <w:sz w:val="20"/>
          <w:szCs w:val="20"/>
          <w:color w:val="auto"/>
        </w:rPr>
      </w:pPr>
      <w:r>
        <w:rPr>
          <w:rFonts w:ascii="Times New Roman" w:cs="Times New Roman" w:eastAsia="Times New Roman" w:hAnsi="Times New Roman"/>
          <w:sz w:val="19"/>
          <w:szCs w:val="19"/>
          <w:color w:val="auto"/>
        </w:rPr>
        <w:t xml:space="preserve">Derivatives that are not designated and do not qualify as hedges are adjusted to fair value through current earnings. </w:t>
      </w:r>
      <w:r>
        <w:rPr>
          <w:rFonts w:ascii="Times New Roman" w:cs="Times New Roman" w:eastAsia="Times New Roman" w:hAnsi="Times New Roman"/>
          <w:sz w:val="19"/>
          <w:szCs w:val="19"/>
          <w:b w:val="1"/>
          <w:bCs w:val="1"/>
          <w:i w:val="1"/>
          <w:iCs w:val="1"/>
          <w:color w:val="auto"/>
        </w:rPr>
        <w:t>Inventories</w:t>
      </w:r>
    </w:p>
    <w:p>
      <w:pPr>
        <w:spacing w:after="0" w:line="1" w:lineRule="exact"/>
        <w:rPr>
          <w:sz w:val="20"/>
          <w:szCs w:val="20"/>
          <w:color w:val="auto"/>
        </w:rPr>
      </w:pPr>
    </w:p>
    <w:p>
      <w:pPr>
        <w:ind w:left="60" w:firstLine="480"/>
        <w:spacing w:after="0" w:line="264" w:lineRule="auto"/>
        <w:rPr>
          <w:sz w:val="20"/>
          <w:szCs w:val="20"/>
          <w:color w:val="auto"/>
        </w:rPr>
      </w:pPr>
      <w:r>
        <w:rPr>
          <w:rFonts w:ascii="Times New Roman" w:cs="Times New Roman" w:eastAsia="Times New Roman" w:hAnsi="Times New Roman"/>
          <w:sz w:val="19"/>
          <w:szCs w:val="19"/>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71" w:lineRule="exact"/>
        <w:rPr>
          <w:sz w:val="20"/>
          <w:szCs w:val="20"/>
          <w:color w:val="auto"/>
        </w:rPr>
      </w:pPr>
    </w:p>
    <w:p>
      <w:pPr>
        <w:ind w:left="60" w:right="140" w:firstLine="480"/>
        <w:spacing w:after="0" w:line="264" w:lineRule="auto"/>
        <w:rPr>
          <w:sz w:val="20"/>
          <w:szCs w:val="20"/>
          <w:color w:val="auto"/>
        </w:rPr>
      </w:pPr>
      <w:r>
        <w:rPr>
          <w:rFonts w:ascii="Times New Roman" w:cs="Times New Roman" w:eastAsia="Times New Roman" w:hAnsi="Times New Roman"/>
          <w:sz w:val="19"/>
          <w:szCs w:val="19"/>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R&amp;D.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2025 or 2024.</w:t>
      </w:r>
    </w:p>
    <w:p>
      <w:pPr>
        <w:spacing w:after="0" w:line="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Our inventory production process for our cannabinoid products includes the cultivation of botanical raw material.</w:t>
      </w:r>
    </w:p>
    <w:p>
      <w:pPr>
        <w:spacing w:after="0" w:line="40" w:lineRule="exact"/>
        <w:rPr>
          <w:sz w:val="20"/>
          <w:szCs w:val="20"/>
          <w:color w:val="auto"/>
        </w:rPr>
      </w:pPr>
    </w:p>
    <w:p>
      <w:pPr>
        <w:ind w:left="60" w:right="140"/>
        <w:spacing w:after="0" w:line="231" w:lineRule="auto"/>
        <w:rPr>
          <w:sz w:val="20"/>
          <w:szCs w:val="20"/>
          <w:color w:val="auto"/>
        </w:rPr>
      </w:pPr>
      <w:r>
        <w:rPr>
          <w:rFonts w:ascii="Times New Roman" w:cs="Times New Roman" w:eastAsia="Times New Roman" w:hAnsi="Times New Roman"/>
          <w:sz w:val="19"/>
          <w:szCs w:val="19"/>
          <w:color w:val="auto"/>
        </w:rPr>
        <w:t>Because of the duration of the cultivation process, a portion of our inventory will not be sold within one year. Consistent with the practice in other industries that cultivate botanical raw materials, all inventory is classified as a current asset.</w:t>
      </w:r>
      <w:r>
        <w:rPr>
          <w:rFonts w:ascii="PMingLiU" w:cs="PMingLiU" w:eastAsia="PMingLiU" w:hAnsi="PMingLiU"/>
          <w:sz w:val="23"/>
          <w:szCs w:val="23"/>
          <w:color w:val="auto"/>
        </w:rPr>
        <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Property, Plant and Equipment</w:t>
      </w:r>
    </w:p>
    <w:p>
      <w:pPr>
        <w:spacing w:after="0" w:line="129" w:lineRule="exact"/>
        <w:rPr>
          <w:sz w:val="20"/>
          <w:szCs w:val="20"/>
          <w:color w:val="auto"/>
        </w:rPr>
      </w:pPr>
    </w:p>
    <w:p>
      <w:pPr>
        <w:ind w:left="60" w:right="460" w:firstLine="480"/>
        <w:spacing w:after="0" w:line="299" w:lineRule="auto"/>
        <w:rPr>
          <w:sz w:val="20"/>
          <w:szCs w:val="20"/>
          <w:color w:val="auto"/>
        </w:rPr>
      </w:pPr>
      <w:r>
        <w:rPr>
          <w:rFonts w:ascii="Times New Roman" w:cs="Times New Roman" w:eastAsia="Times New Roman" w:hAnsi="Times New Roman"/>
          <w:sz w:val="19"/>
          <w:szCs w:val="19"/>
          <w:color w:val="auto"/>
        </w:rPr>
        <w:t>Property, plant and equipment are stated at cost, less accumulated depreciation. Depreciation is computed using the straight-line method over the estimated useful lives of the assets. Estimated useful lives are as follows: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Buildings</w:t>
            </w:r>
          </w:p>
        </w:tc>
        <w:tc>
          <w:tcPr>
            <w:tcW w:w="3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 years</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Manufacturing equipment and machinery</w:t>
            </w:r>
          </w:p>
        </w:tc>
        <w:tc>
          <w:tcPr>
            <w:tcW w:w="3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4-20 years</w:t>
            </w: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Computer software and equipment</w:t>
            </w:r>
          </w:p>
        </w:tc>
        <w:tc>
          <w:tcPr>
            <w:tcW w:w="3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 years</w:t>
            </w:r>
          </w:p>
        </w:tc>
      </w:tr>
      <w:tr>
        <w:trPr>
          <w:trHeight w:val="258"/>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auto"/>
              </w:rPr>
              <w:t>Furniture and fixtures</w:t>
            </w:r>
          </w:p>
        </w:tc>
        <w:tc>
          <w:tcPr>
            <w:tcW w:w="3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 years</w:t>
            </w:r>
          </w:p>
        </w:tc>
      </w:tr>
    </w:tbl>
    <w:p>
      <w:pPr>
        <w:spacing w:after="0" w:line="86" w:lineRule="exact"/>
        <w:rPr>
          <w:sz w:val="20"/>
          <w:szCs w:val="20"/>
          <w:color w:val="auto"/>
        </w:rPr>
      </w:pPr>
    </w:p>
    <w:p>
      <w:pPr>
        <w:ind w:left="60" w:right="100" w:firstLine="480"/>
        <w:spacing w:after="0" w:line="301" w:lineRule="auto"/>
        <w:rPr>
          <w:sz w:val="20"/>
          <w:szCs w:val="20"/>
          <w:color w:val="auto"/>
        </w:rPr>
      </w:pPr>
      <w:r>
        <w:rPr>
          <w:rFonts w:ascii="Times New Roman" w:cs="Times New Roman" w:eastAsia="Times New Roman" w:hAnsi="Times New Roman"/>
          <w:sz w:val="19"/>
          <w:szCs w:val="19"/>
          <w:color w:val="auto"/>
        </w:rPr>
        <w:t>Leasehold improvements are amortized over the shorter of the noncancelable term of our leases or their economic useful lives. Maintenance and repairs are expensed as incurred.</w:t>
      </w:r>
    </w:p>
    <w:p>
      <w:pPr>
        <w:spacing w:after="0" w:line="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29" w:lineRule="exact"/>
        <w:rPr>
          <w:sz w:val="20"/>
          <w:szCs w:val="20"/>
          <w:color w:val="auto"/>
        </w:rPr>
      </w:pPr>
    </w:p>
    <w:p>
      <w:pPr>
        <w:ind w:left="60" w:right="120" w:firstLine="480"/>
        <w:spacing w:after="0" w:line="299" w:lineRule="auto"/>
        <w:rPr>
          <w:sz w:val="20"/>
          <w:szCs w:val="20"/>
          <w:color w:val="auto"/>
        </w:rPr>
      </w:pPr>
      <w:r>
        <w:rPr>
          <w:rFonts w:ascii="Times New Roman" w:cs="Times New Roman" w:eastAsia="Times New Roman" w:hAnsi="Times New Roman"/>
          <w:sz w:val="19"/>
          <w:szCs w:val="19"/>
          <w:color w:val="auto"/>
        </w:rPr>
        <w:t>We determine if an arrangement is a lease at inception. Leases are classified at lease commencement as either operating leases or finance leases. Operating leases are included in operating lease assets, accrued liabilities, and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89535</wp:posOffset>
            </wp:positionV>
            <wp:extent cx="259080" cy="2546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66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F-12</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F-13</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66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52" w:name="page253"/>
    <w:bookmarkEnd w:id="252"/>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liabilities on our consolidated balance sheets. Finance lease assets are included in property, plant and equipment, net, and finance lease liabilities are included in accrued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property, plant and equipment and interest expense on finance lease liabilities.</w:t>
      </w:r>
    </w:p>
    <w:p>
      <w:pPr>
        <w:spacing w:after="0" w:line="73" w:lineRule="exact"/>
        <w:rPr>
          <w:sz w:val="20"/>
          <w:szCs w:val="20"/>
          <w:color w:val="auto"/>
        </w:rPr>
      </w:pPr>
    </w:p>
    <w:p>
      <w:pPr>
        <w:ind w:right="560" w:firstLine="480"/>
        <w:spacing w:after="0" w:line="299" w:lineRule="auto"/>
        <w:rPr>
          <w:sz w:val="20"/>
          <w:szCs w:val="20"/>
          <w:color w:val="auto"/>
        </w:rPr>
      </w:pPr>
      <w:r>
        <w:rPr>
          <w:rFonts w:ascii="Times New Roman" w:cs="Times New Roman" w:eastAsia="Times New Roman" w:hAnsi="Times New Roman"/>
          <w:sz w:val="19"/>
          <w:szCs w:val="19"/>
          <w:color w:val="auto"/>
        </w:rPr>
        <w:t>We have lease agreements with lease and non-lease components, which are generally accounted for separately. For vehicle leases we account for the lease and non-lease components as a single lease component.</w:t>
      </w:r>
    </w:p>
    <w:p>
      <w:pPr>
        <w:spacing w:after="0" w:line="38" w:lineRule="exact"/>
        <w:rPr>
          <w:sz w:val="20"/>
          <w:szCs w:val="20"/>
          <w:color w:val="auto"/>
        </w:rPr>
      </w:pPr>
    </w:p>
    <w:p>
      <w:pPr>
        <w:ind w:right="260" w:firstLine="480"/>
        <w:spacing w:after="0" w:line="277" w:lineRule="auto"/>
        <w:rPr>
          <w:sz w:val="20"/>
          <w:szCs w:val="20"/>
          <w:color w:val="auto"/>
        </w:rPr>
      </w:pPr>
      <w:r>
        <w:rPr>
          <w:rFonts w:ascii="Times New Roman" w:cs="Times New Roman" w:eastAsia="Times New Roman" w:hAnsi="Times New Roman"/>
          <w:sz w:val="19"/>
          <w:szCs w:val="19"/>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129"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Acquired In-Process Research and Development</w:t>
      </w:r>
    </w:p>
    <w:p>
      <w:pPr>
        <w:spacing w:after="0" w:line="129" w:lineRule="exact"/>
        <w:rPr>
          <w:sz w:val="20"/>
          <w:szCs w:val="20"/>
          <w:color w:val="auto"/>
        </w:rPr>
      </w:pPr>
    </w:p>
    <w:p>
      <w:pPr>
        <w:ind w:right="220" w:firstLine="480"/>
        <w:spacing w:after="0" w:line="266" w:lineRule="auto"/>
        <w:rPr>
          <w:sz w:val="20"/>
          <w:szCs w:val="20"/>
          <w:color w:val="auto"/>
        </w:rPr>
      </w:pPr>
      <w:r>
        <w:rPr>
          <w:rFonts w:ascii="Times New Roman" w:cs="Times New Roman" w:eastAsia="Times New Roman" w:hAnsi="Times New Roman"/>
          <w:sz w:val="19"/>
          <w:szCs w:val="19"/>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Intangible Assets</w:t>
      </w:r>
    </w:p>
    <w:p>
      <w:pPr>
        <w:spacing w:after="0" w:line="129"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Intangible assets with finite useful lives consist primarily of purchased developed technology and are amortized on a straight-line basis over their estimated useful lives, which range from four to sixteen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29"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Our revenue is comprised of product sales, net and royalties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75" w:lineRule="exact"/>
        <w:rPr>
          <w:sz w:val="20"/>
          <w:szCs w:val="20"/>
          <w:color w:val="auto"/>
        </w:rPr>
      </w:pPr>
    </w:p>
    <w:p>
      <w:pPr>
        <w:ind w:left="220"/>
        <w:spacing w:after="0"/>
        <w:rPr>
          <w:sz w:val="20"/>
          <w:szCs w:val="20"/>
          <w:color w:val="auto"/>
        </w:rPr>
      </w:pPr>
      <w:r>
        <w:rPr>
          <w:rFonts w:ascii="PMingLiU" w:cs="PMingLiU" w:eastAsia="PMingLiU" w:hAnsi="PMingLiU"/>
          <w:sz w:val="19"/>
          <w:szCs w:val="19"/>
          <w:i w:val="1"/>
          <w:iCs w:val="1"/>
          <w:color w:val="auto"/>
        </w:rPr>
        <w:t>3URGXFW6DOHV1HW</w:t>
      </w:r>
    </w:p>
    <w:p>
      <w:pPr>
        <w:spacing w:after="0" w:line="117" w:lineRule="exact"/>
        <w:rPr>
          <w:sz w:val="20"/>
          <w:szCs w:val="20"/>
          <w:color w:val="auto"/>
        </w:rPr>
      </w:pPr>
    </w:p>
    <w:p>
      <w:pPr>
        <w:ind w:right="180" w:firstLine="480"/>
        <w:spacing w:after="0" w:line="277" w:lineRule="auto"/>
        <w:rPr>
          <w:sz w:val="20"/>
          <w:szCs w:val="20"/>
          <w:color w:val="auto"/>
        </w:rPr>
      </w:pPr>
      <w:r>
        <w:rPr>
          <w:rFonts w:ascii="Times New Roman" w:cs="Times New Roman" w:eastAsia="Times New Roman" w:hAnsi="Times New Roman"/>
          <w:sz w:val="19"/>
          <w:szCs w:val="19"/>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62" w:lineRule="exact"/>
        <w:rPr>
          <w:sz w:val="20"/>
          <w:szCs w:val="20"/>
          <w:color w:val="auto"/>
        </w:rPr>
      </w:pPr>
    </w:p>
    <w:p>
      <w:pPr>
        <w:ind w:left="220"/>
        <w:spacing w:after="0"/>
        <w:rPr>
          <w:sz w:val="20"/>
          <w:szCs w:val="20"/>
          <w:color w:val="auto"/>
        </w:rPr>
      </w:pPr>
      <w:r>
        <w:rPr>
          <w:rFonts w:ascii="PMingLiU" w:cs="PMingLiU" w:eastAsia="PMingLiU" w:hAnsi="PMingLiU"/>
          <w:sz w:val="19"/>
          <w:szCs w:val="19"/>
          <w:i w:val="1"/>
          <w:iCs w:val="1"/>
          <w:color w:val="auto"/>
        </w:rPr>
        <w:t>5HVHUYHVIRU9DULDEOH&amp;RQVLGHUDWLRQ</w:t>
      </w:r>
    </w:p>
    <w:p>
      <w:pPr>
        <w:spacing w:after="0" w:line="118" w:lineRule="exact"/>
        <w:rPr>
          <w:sz w:val="20"/>
          <w:szCs w:val="20"/>
          <w:color w:val="auto"/>
        </w:rPr>
      </w:pPr>
    </w:p>
    <w:p>
      <w:pPr>
        <w:ind w:right="60" w:firstLine="480"/>
        <w:spacing w:after="0" w:line="299" w:lineRule="auto"/>
        <w:rPr>
          <w:sz w:val="20"/>
          <w:szCs w:val="20"/>
          <w:color w:val="auto"/>
        </w:rPr>
      </w:pPr>
      <w:r>
        <w:rPr>
          <w:rFonts w:ascii="Times New Roman" w:cs="Times New Roman" w:eastAsia="Times New Roman" w:hAnsi="Times New Roman"/>
          <w:sz w:val="19"/>
          <w:szCs w:val="19"/>
          <w:color w:val="auto"/>
        </w:rPr>
        <w:t>Revenues from sales of products are recorded at the net sales price, which includes estimates of variable consideration for which reserves are established and which relate to returns, specialty distributor fees, wholesaler fees, prompt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84455</wp:posOffset>
            </wp:positionV>
            <wp:extent cx="259080" cy="2546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66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51"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F-14</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F-13</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66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53" w:name="page254"/>
    <w:bookmarkEnd w:id="25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20"/>
        <w:spacing w:after="0" w:line="260" w:lineRule="auto"/>
        <w:rPr>
          <w:sz w:val="20"/>
          <w:szCs w:val="20"/>
          <w:color w:val="auto"/>
        </w:rPr>
      </w:pPr>
      <w:r>
        <w:rPr>
          <w:rFonts w:ascii="Times New Roman" w:cs="Times New Roman" w:eastAsia="Times New Roman" w:hAnsi="Times New Roman"/>
          <w:sz w:val="19"/>
          <w:szCs w:val="19"/>
          <w:color w:val="auto"/>
        </w:rPr>
        <w:t>discounts, government rebates, government chargebacks, coupon programs and rebates under managed care plans and commercial payor contracts. Calculating certain of these reserves involves estimates and judgments and we determine their expected value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These reserves reflect our best estimates of the amount of consideration to which we are entitled based on the terms of the contract. A large portion of the reserve relates to rebates where there is significant judgment, in particular in the determination of the sales utilization percentage used to calculate the Epidiolex Medicaid rebate accrual.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74" w:lineRule="exact"/>
        <w:rPr>
          <w:sz w:val="20"/>
          <w:szCs w:val="20"/>
          <w:color w:val="auto"/>
        </w:rPr>
      </w:pPr>
    </w:p>
    <w:p>
      <w:pPr>
        <w:ind w:left="60" w:right="120" w:firstLine="480"/>
        <w:spacing w:after="0" w:line="277" w:lineRule="auto"/>
        <w:rPr>
          <w:sz w:val="20"/>
          <w:szCs w:val="20"/>
          <w:color w:val="auto"/>
        </w:rPr>
      </w:pPr>
      <w:r>
        <w:rPr>
          <w:rFonts w:ascii="Times New Roman" w:cs="Times New Roman" w:eastAsia="Times New Roman" w:hAnsi="Times New Roman"/>
          <w:sz w:val="19"/>
          <w:szCs w:val="19"/>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62" w:lineRule="exact"/>
        <w:rPr>
          <w:sz w:val="20"/>
          <w:szCs w:val="20"/>
          <w:color w:val="auto"/>
        </w:rPr>
      </w:pPr>
    </w:p>
    <w:p>
      <w:pPr>
        <w:ind w:left="280"/>
        <w:spacing w:after="0"/>
        <w:rPr>
          <w:sz w:val="20"/>
          <w:szCs w:val="20"/>
          <w:color w:val="auto"/>
        </w:rPr>
      </w:pPr>
      <w:r>
        <w:rPr>
          <w:rFonts w:ascii="PMingLiU" w:cs="PMingLiU" w:eastAsia="PMingLiU" w:hAnsi="PMingLiU"/>
          <w:sz w:val="19"/>
          <w:szCs w:val="19"/>
          <w:i w:val="1"/>
          <w:iCs w:val="1"/>
          <w:color w:val="auto"/>
        </w:rPr>
        <w:t>5R\DOWLHVDQG&amp;RQWUDFW5HYHQXHV</w:t>
      </w:r>
    </w:p>
    <w:p>
      <w:pPr>
        <w:spacing w:after="0" w:line="117" w:lineRule="exact"/>
        <w:rPr>
          <w:sz w:val="20"/>
          <w:szCs w:val="20"/>
          <w:color w:val="auto"/>
        </w:rPr>
      </w:pPr>
    </w:p>
    <w:p>
      <w:pPr>
        <w:ind w:left="60" w:right="80" w:firstLine="480"/>
        <w:spacing w:after="0" w:line="261" w:lineRule="auto"/>
        <w:rPr>
          <w:sz w:val="20"/>
          <w:szCs w:val="20"/>
          <w:color w:val="auto"/>
        </w:rPr>
      </w:pPr>
      <w:r>
        <w:rPr>
          <w:rFonts w:ascii="Times New Roman" w:cs="Times New Roman" w:eastAsia="Times New Roman" w:hAnsi="Times New Roman"/>
          <w:sz w:val="19"/>
          <w:szCs w:val="19"/>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73" w:lineRule="exact"/>
        <w:rPr>
          <w:sz w:val="20"/>
          <w:szCs w:val="20"/>
          <w:color w:val="auto"/>
        </w:rPr>
      </w:pPr>
    </w:p>
    <w:p>
      <w:pPr>
        <w:ind w:left="60" w:right="20" w:firstLine="480"/>
        <w:spacing w:after="0" w:line="261" w:lineRule="auto"/>
        <w:rPr>
          <w:sz w:val="20"/>
          <w:szCs w:val="20"/>
          <w:color w:val="auto"/>
        </w:rPr>
      </w:pPr>
      <w:r>
        <w:rPr>
          <w:rFonts w:ascii="Times New Roman" w:cs="Times New Roman" w:eastAsia="Times New Roman" w:hAnsi="Times New Roman"/>
          <w:sz w:val="19"/>
          <w:szCs w:val="19"/>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73" w:lineRule="exact"/>
        <w:rPr>
          <w:sz w:val="20"/>
          <w:szCs w:val="20"/>
          <w:color w:val="auto"/>
        </w:rPr>
      </w:pPr>
    </w:p>
    <w:p>
      <w:pPr>
        <w:ind w:left="60" w:firstLine="480"/>
        <w:spacing w:after="0" w:line="269" w:lineRule="auto"/>
        <w:rPr>
          <w:sz w:val="20"/>
          <w:szCs w:val="20"/>
          <w:color w:val="auto"/>
        </w:rPr>
      </w:pPr>
      <w:r>
        <w:rPr>
          <w:rFonts w:ascii="Times New Roman" w:cs="Times New Roman" w:eastAsia="Times New Roman" w:hAnsi="Times New Roman"/>
          <w:sz w:val="19"/>
          <w:szCs w:val="19"/>
          <w:color w:val="auto"/>
        </w:rPr>
        <w:t>For arrangements that include sales-based royalties and milestone payments based on the level of sales, and the license is deemed to be the predominant item to which the royalties and sales-based milestones relate, we recognize revenue at the later of</w:t>
      </w:r>
    </w:p>
    <w:p>
      <w:pPr>
        <w:spacing w:after="0" w:line="1" w:lineRule="exact"/>
        <w:rPr>
          <w:sz w:val="20"/>
          <w:szCs w:val="20"/>
          <w:color w:val="auto"/>
        </w:rPr>
      </w:pPr>
    </w:p>
    <w:p>
      <w:pPr>
        <w:ind w:left="60" w:right="520" w:firstLine="1"/>
        <w:spacing w:after="0" w:line="271" w:lineRule="auto"/>
        <w:tabs>
          <w:tab w:leader="none" w:pos="293"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the related sales occur, or (ii) when the performance obligation to which some or all of the royalty or sales-based milestone has been allocated has been satisfied (or partially satisfied).</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Cost of Product Sales</w:t>
      </w:r>
    </w:p>
    <w:p>
      <w:pPr>
        <w:spacing w:after="0" w:line="129" w:lineRule="exact"/>
        <w:rPr>
          <w:sz w:val="20"/>
          <w:szCs w:val="20"/>
          <w:color w:val="auto"/>
        </w:rPr>
      </w:pPr>
    </w:p>
    <w:p>
      <w:pPr>
        <w:ind w:left="60" w:right="120" w:firstLine="480"/>
        <w:spacing w:after="0" w:line="266" w:lineRule="auto"/>
        <w:rPr>
          <w:sz w:val="20"/>
          <w:szCs w:val="20"/>
          <w:color w:val="auto"/>
        </w:rPr>
      </w:pPr>
      <w:r>
        <w:rPr>
          <w:rFonts w:ascii="Times New Roman" w:cs="Times New Roman" w:eastAsia="Times New Roman" w:hAnsi="Times New Roman"/>
          <w:sz w:val="19"/>
          <w:szCs w:val="19"/>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$654.7 million, $627.3 million and $608.3 million in 2025, 2024 and 2023, respectively.</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29" w:lineRule="exact"/>
        <w:rPr>
          <w:sz w:val="20"/>
          <w:szCs w:val="20"/>
          <w:color w:val="auto"/>
        </w:rPr>
      </w:pPr>
    </w:p>
    <w:p>
      <w:pPr>
        <w:ind w:left="60" w:right="20" w:firstLine="480"/>
        <w:spacing w:after="0" w:line="261" w:lineRule="auto"/>
        <w:rPr>
          <w:sz w:val="20"/>
          <w:szCs w:val="20"/>
          <w:color w:val="auto"/>
        </w:rPr>
      </w:pPr>
      <w:r>
        <w:rPr>
          <w:rFonts w:ascii="Times New Roman" w:cs="Times New Roman" w:eastAsia="Times New Roman" w:hAnsi="Times New Roman"/>
          <w:sz w:val="19"/>
          <w:szCs w:val="19"/>
          <w:color w:val="auto"/>
        </w:rPr>
        <w:t>R&amp;D expenses consist primarily of costs related to clinical studies and outside services, personnel expenses, and other R&amp;D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R&amp;D expenses primarily include overhead allocations consisting of various support and facilities-related costs. R&amp;D costs are expensed as incurred. For product candidates that have not been approved by FDA, inventory used in clinical trials is expensed at the time of production and recorded as R&amp;D expense. For products that have been approved by FDA, inventory used in clinical trials is expensed at the time the inventory is packaged for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184150</wp:posOffset>
            </wp:positionV>
            <wp:extent cx="259080" cy="2546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66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F-14</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F-15</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66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54" w:name="page255"/>
    <w:bookmarkEnd w:id="25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Advertising Expenses</w:t>
      </w:r>
    </w:p>
    <w:p>
      <w:pPr>
        <w:spacing w:after="0" w:line="129" w:lineRule="exact"/>
        <w:rPr>
          <w:sz w:val="20"/>
          <w:szCs w:val="20"/>
          <w:color w:val="auto"/>
        </w:rPr>
      </w:pPr>
    </w:p>
    <w:p>
      <w:pPr>
        <w:ind w:right="1000" w:firstLine="480"/>
        <w:spacing w:after="0" w:line="299" w:lineRule="auto"/>
        <w:rPr>
          <w:sz w:val="20"/>
          <w:szCs w:val="20"/>
          <w:color w:val="auto"/>
        </w:rPr>
      </w:pPr>
      <w:r>
        <w:rPr>
          <w:rFonts w:ascii="Times New Roman" w:cs="Times New Roman" w:eastAsia="Times New Roman" w:hAnsi="Times New Roman"/>
          <w:sz w:val="19"/>
          <w:szCs w:val="19"/>
          <w:color w:val="auto"/>
        </w:rPr>
        <w:t>We expense the costs of advertising, including promotional expenses, as incurred. Advertising expenses were $105.6 million, $107.4 million and $92.2 million in 2025, 2024 and 2023, respectively.</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29" w:lineRule="exact"/>
        <w:rPr>
          <w:sz w:val="20"/>
          <w:szCs w:val="20"/>
          <w:color w:val="auto"/>
        </w:rPr>
      </w:pPr>
    </w:p>
    <w:p>
      <w:pPr>
        <w:ind w:right="140" w:firstLine="480"/>
        <w:spacing w:after="0" w:line="262" w:lineRule="auto"/>
        <w:rPr>
          <w:sz w:val="20"/>
          <w:szCs w:val="20"/>
          <w:color w:val="auto"/>
        </w:rPr>
      </w:pPr>
      <w:r>
        <w:rPr>
          <w:rFonts w:ascii="Times New Roman" w:cs="Times New Roman" w:eastAsia="Times New Roman" w:hAnsi="Times New Roman"/>
          <w:sz w:val="19"/>
          <w:szCs w:val="19"/>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to reduce deferred tax assets to the amount that is more-likely-than-not to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income taxes are included in income tax expense and classified with the related liability on the consolidated balance sheets.</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129" w:lineRule="exact"/>
        <w:rPr>
          <w:sz w:val="20"/>
          <w:szCs w:val="20"/>
          <w:color w:val="auto"/>
        </w:rPr>
      </w:pPr>
    </w:p>
    <w:p>
      <w:pPr>
        <w:ind w:right="80" w:firstLine="480"/>
        <w:spacing w:after="0" w:line="266" w:lineRule="auto"/>
        <w:rPr>
          <w:sz w:val="20"/>
          <w:szCs w:val="20"/>
          <w:color w:val="auto"/>
        </w:rPr>
      </w:pPr>
      <w:r>
        <w:rPr>
          <w:rFonts w:ascii="Times New Roman" w:cs="Times New Roman" w:eastAsia="Times New Roman" w:hAnsi="Times New Roman"/>
          <w:sz w:val="19"/>
          <w:szCs w:val="19"/>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70" w:lineRule="exact"/>
        <w:rPr>
          <w:sz w:val="20"/>
          <w:szCs w:val="20"/>
          <w:color w:val="auto"/>
        </w:rPr>
      </w:pPr>
    </w:p>
    <w:p>
      <w:pPr>
        <w:ind w:right="40" w:firstLine="480"/>
        <w:spacing w:after="0" w:line="270" w:lineRule="auto"/>
        <w:rPr>
          <w:sz w:val="20"/>
          <w:szCs w:val="20"/>
          <w:color w:val="auto"/>
        </w:rPr>
      </w:pPr>
      <w:r>
        <w:rPr>
          <w:rFonts w:ascii="Times New Roman" w:cs="Times New Roman" w:eastAsia="Times New Roman" w:hAnsi="Times New Roman"/>
          <w:sz w:val="19"/>
          <w:szCs w:val="19"/>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Deferred Financing Costs</w:t>
      </w:r>
    </w:p>
    <w:p>
      <w:pPr>
        <w:spacing w:after="0" w:line="129" w:lineRule="exact"/>
        <w:rPr>
          <w:sz w:val="20"/>
          <w:szCs w:val="20"/>
          <w:color w:val="auto"/>
        </w:rPr>
      </w:pPr>
    </w:p>
    <w:p>
      <w:pPr>
        <w:ind w:right="80" w:firstLine="480"/>
        <w:spacing w:after="0" w:line="270" w:lineRule="auto"/>
        <w:rPr>
          <w:sz w:val="20"/>
          <w:szCs w:val="20"/>
          <w:color w:val="auto"/>
        </w:rPr>
      </w:pPr>
      <w:r>
        <w:rPr>
          <w:rFonts w:ascii="Times New Roman" w:cs="Times New Roman" w:eastAsia="Times New Roman" w:hAnsi="Times New Roman"/>
          <w:sz w:val="19"/>
          <w:szCs w:val="19"/>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Contingencies</w:t>
      </w:r>
    </w:p>
    <w:p>
      <w:pPr>
        <w:spacing w:after="0" w:line="129" w:lineRule="exact"/>
        <w:rPr>
          <w:sz w:val="20"/>
          <w:szCs w:val="20"/>
          <w:color w:val="auto"/>
        </w:rPr>
      </w:pPr>
    </w:p>
    <w:p>
      <w:pPr>
        <w:jc w:val="both"/>
        <w:ind w:right="140" w:firstLine="480"/>
        <w:spacing w:after="0" w:line="270" w:lineRule="auto"/>
        <w:rPr>
          <w:sz w:val="20"/>
          <w:szCs w:val="20"/>
          <w:color w:val="auto"/>
        </w:rPr>
      </w:pPr>
      <w:r>
        <w:rPr>
          <w:rFonts w:ascii="Times New Roman" w:cs="Times New Roman" w:eastAsia="Times New Roman" w:hAnsi="Times New Roman"/>
          <w:sz w:val="19"/>
          <w:szCs w:val="19"/>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Share-Based Compensation</w:t>
      </w:r>
    </w:p>
    <w:p>
      <w:pPr>
        <w:spacing w:after="0" w:line="129"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9"/>
          <w:szCs w:val="19"/>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Performance-Based Restricted Stock Unit Awards</w:t>
      </w:r>
    </w:p>
    <w:p>
      <w:pPr>
        <w:spacing w:after="0" w:line="129"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9"/>
          <w:szCs w:val="19"/>
          <w:color w:val="auto"/>
        </w:rPr>
        <w:t>PRSUs awarded to employees vest upon the achievement of certain performance criteria at the end of a specified performance period. For PRSUs granted prior to 2024, the amount of shares awarded will be subject to adjustment based on the application of a TSR modifier. For PRSUs granted in 2025 and 2024, relative TSR represents one of the performance metrics.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696595</wp:posOffset>
            </wp:positionV>
            <wp:extent cx="259080" cy="2546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67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F-16</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F-15</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67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55" w:name="page256"/>
    <w:bookmarkEnd w:id="255"/>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129" w:lineRule="exact"/>
        <w:rPr>
          <w:sz w:val="20"/>
          <w:szCs w:val="20"/>
          <w:color w:val="auto"/>
        </w:rPr>
      </w:pPr>
    </w:p>
    <w:p>
      <w:pPr>
        <w:ind w:left="60" w:right="100" w:firstLine="480"/>
        <w:spacing w:after="0" w:line="266"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spacing w:after="0" w:line="70" w:lineRule="exact"/>
        <w:rPr>
          <w:sz w:val="20"/>
          <w:szCs w:val="20"/>
          <w:color w:val="auto"/>
        </w:rPr>
      </w:pPr>
    </w:p>
    <w:p>
      <w:pPr>
        <w:ind w:left="60" w:firstLine="480"/>
        <w:spacing w:after="0" w:line="266" w:lineRule="auto"/>
        <w:rPr>
          <w:sz w:val="20"/>
          <w:szCs w:val="20"/>
          <w:color w:val="auto"/>
        </w:rPr>
      </w:pPr>
      <w:r>
        <w:rPr>
          <w:rFonts w:ascii="Times New Roman" w:cs="Times New Roman" w:eastAsia="Times New Roman" w:hAnsi="Times New Roman"/>
          <w:sz w:val="19"/>
          <w:szCs w:val="19"/>
          <w:color w:val="auto"/>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The amendments are effective on a prospective basis, with the option to apply them retrospectively, for fiscal years beginning after December 15, 2025. We are currently evaluating the impact of adopting this new accounting guidance.</w:t>
      </w:r>
    </w:p>
    <w:p>
      <w:pPr>
        <w:spacing w:after="0" w:line="70" w:lineRule="exact"/>
        <w:rPr>
          <w:sz w:val="20"/>
          <w:szCs w:val="20"/>
          <w:color w:val="auto"/>
        </w:rPr>
      </w:pPr>
    </w:p>
    <w:p>
      <w:pPr>
        <w:ind w:left="60" w:right="180" w:firstLine="480"/>
        <w:spacing w:after="0" w:line="264" w:lineRule="auto"/>
        <w:rPr>
          <w:sz w:val="20"/>
          <w:szCs w:val="20"/>
          <w:color w:val="auto"/>
        </w:rPr>
      </w:pPr>
      <w:r>
        <w:rPr>
          <w:rFonts w:ascii="Times New Roman" w:cs="Times New Roman" w:eastAsia="Times New Roman" w:hAnsi="Times New Roman"/>
          <w:sz w:val="19"/>
          <w:szCs w:val="19"/>
          <w:color w:val="auto"/>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ASU 2025-06 is effective for the Company for annual reporting periods beginning with the fiscal year ending December 15, 2027 and for interim reporting periods beginning in that fiscal year. We are currently evaluating the impact of adopting this new accounting guidance.</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3. Asset Acquisition and License Agreements</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Asset Acquisition</w:t>
      </w:r>
      <w:r>
        <w:rPr>
          <w:rFonts w:ascii="PMingLiU" w:cs="PMingLiU" w:eastAsia="PMingLiU" w:hAnsi="PMingLiU"/>
          <w:sz w:val="21"/>
          <w:szCs w:val="21"/>
          <w:b w:val="1"/>
          <w:bCs w:val="1"/>
          <w:i w:val="1"/>
          <w:iCs w:val="1"/>
          <w:color w:val="auto"/>
        </w:rPr>
        <w:t/>
      </w:r>
    </w:p>
    <w:p>
      <w:pPr>
        <w:spacing w:after="0" w:line="114" w:lineRule="exact"/>
        <w:rPr>
          <w:sz w:val="20"/>
          <w:szCs w:val="20"/>
          <w:color w:val="auto"/>
        </w:rPr>
      </w:pPr>
    </w:p>
    <w:p>
      <w:pPr>
        <w:ind w:left="60" w:right="140" w:firstLine="480"/>
        <w:spacing w:after="0" w:line="270" w:lineRule="auto"/>
        <w:rPr>
          <w:sz w:val="20"/>
          <w:szCs w:val="20"/>
          <w:color w:val="auto"/>
        </w:rPr>
      </w:pPr>
      <w:r>
        <w:rPr>
          <w:rFonts w:ascii="Times New Roman" w:cs="Times New Roman" w:eastAsia="Times New Roman" w:hAnsi="Times New Roman"/>
          <w:sz w:val="19"/>
          <w:szCs w:val="19"/>
          <w:color w:val="auto"/>
        </w:rPr>
        <w:t>In April 2025, we acquired the entire issued share capital of Chimerix at a price of $8.55 per share, payable in cash at closing, representing a total cash consideration of $944.2 million, funded with our cash and cash equivalents. As a result of this, Chimerix became an indirect wholly owned subsidiary of the Company. The Chimerix Acquisition was accounted for as an asset acquisition as it did not meet the definition of a business.</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total consideration paid and the allocation to assets acquired and liabilities assumed was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Consideration</w:t>
            </w: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Cash consideration to acquire Chimerix’s outstanding common stock</w:t>
            </w: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802,023</w:t>
            </w:r>
          </w:p>
        </w:tc>
        <w:tc>
          <w:tcPr>
            <w:tcW w:w="0" w:type="dxa"/>
            <w:vAlign w:val="bottom"/>
          </w:tcPr>
          <w:p>
            <w:pPr>
              <w:spacing w:after="0"/>
              <w:rPr>
                <w:sz w:val="1"/>
                <w:szCs w:val="1"/>
                <w:color w:val="auto"/>
              </w:rPr>
            </w:pPr>
          </w:p>
        </w:tc>
      </w:tr>
      <w:tr>
        <w:trPr>
          <w:trHeight w:val="304"/>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Cash consideration for Chimerix’s outstanding equity awards</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142,131</w:t>
            </w:r>
          </w:p>
        </w:tc>
        <w:tc>
          <w:tcPr>
            <w:tcW w:w="0" w:type="dxa"/>
            <w:vAlign w:val="bottom"/>
          </w:tcPr>
          <w:p>
            <w:pPr>
              <w:spacing w:after="0"/>
              <w:rPr>
                <w:sz w:val="1"/>
                <w:szCs w:val="1"/>
                <w:color w:val="auto"/>
              </w:rPr>
            </w:pPr>
          </w:p>
        </w:tc>
      </w:tr>
      <w:tr>
        <w:trPr>
          <w:trHeight w:val="258"/>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cash consideration paid to Chimerix</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944,154</w:t>
            </w:r>
          </w:p>
        </w:tc>
        <w:tc>
          <w:tcPr>
            <w:tcW w:w="0" w:type="dxa"/>
            <w:vAlign w:val="bottom"/>
          </w:tcPr>
          <w:p>
            <w:pPr>
              <w:spacing w:after="0"/>
              <w:rPr>
                <w:sz w:val="1"/>
                <w:szCs w:val="1"/>
                <w:color w:val="auto"/>
              </w:rPr>
            </w:pPr>
          </w:p>
        </w:tc>
      </w:tr>
      <w:tr>
        <w:trPr>
          <w:trHeight w:val="304"/>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Transaction costs</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13,237</w:t>
            </w:r>
          </w:p>
        </w:tc>
        <w:tc>
          <w:tcPr>
            <w:tcW w:w="0" w:type="dxa"/>
            <w:vAlign w:val="bottom"/>
          </w:tcPr>
          <w:p>
            <w:pPr>
              <w:spacing w:after="0"/>
              <w:rPr>
                <w:sz w:val="1"/>
                <w:szCs w:val="1"/>
                <w:color w:val="auto"/>
              </w:rPr>
            </w:pPr>
          </w:p>
        </w:tc>
      </w:tr>
      <w:tr>
        <w:trPr>
          <w:trHeight w:val="271"/>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consideration</w:t>
            </w:r>
          </w:p>
        </w:tc>
        <w:tc>
          <w:tcPr>
            <w:tcW w:w="4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957,391</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 Acquired and Liabilities Assumed</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4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Cash</w:t>
            </w: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99,338</w:t>
            </w:r>
          </w:p>
        </w:tc>
        <w:tc>
          <w:tcPr>
            <w:tcW w:w="0" w:type="dxa"/>
            <w:vAlign w:val="bottom"/>
          </w:tcPr>
          <w:p>
            <w:pPr>
              <w:spacing w:after="0"/>
              <w:rPr>
                <w:sz w:val="1"/>
                <w:szCs w:val="1"/>
                <w:color w:val="auto"/>
              </w:rPr>
            </w:pPr>
          </w:p>
        </w:tc>
      </w:tr>
      <w:tr>
        <w:trPr>
          <w:trHeight w:val="291"/>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In-process research and development</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905,362</w:t>
            </w:r>
          </w:p>
        </w:tc>
        <w:tc>
          <w:tcPr>
            <w:tcW w:w="0" w:type="dxa"/>
            <w:vAlign w:val="bottom"/>
          </w:tcPr>
          <w:p>
            <w:pPr>
              <w:spacing w:after="0"/>
              <w:rPr>
                <w:sz w:val="1"/>
                <w:szCs w:val="1"/>
                <w:color w:val="auto"/>
              </w:rPr>
            </w:pPr>
          </w:p>
        </w:tc>
      </w:tr>
      <w:tr>
        <w:trPr>
          <w:trHeight w:val="291"/>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liabilities</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(53,066)</w:t>
            </w:r>
          </w:p>
        </w:tc>
        <w:tc>
          <w:tcPr>
            <w:tcW w:w="0" w:type="dxa"/>
            <w:vAlign w:val="bottom"/>
          </w:tcPr>
          <w:p>
            <w:pPr>
              <w:spacing w:after="0"/>
              <w:rPr>
                <w:sz w:val="1"/>
                <w:szCs w:val="1"/>
                <w:color w:val="auto"/>
              </w:rPr>
            </w:pPr>
          </w:p>
        </w:tc>
      </w:tr>
      <w:tr>
        <w:trPr>
          <w:trHeight w:val="304"/>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assets and liabilities</w:t>
            </w: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5,757</w:t>
            </w:r>
          </w:p>
        </w:tc>
        <w:tc>
          <w:tcPr>
            <w:tcW w:w="0" w:type="dxa"/>
            <w:vAlign w:val="bottom"/>
          </w:tcPr>
          <w:p>
            <w:pPr>
              <w:spacing w:after="0"/>
              <w:rPr>
                <w:sz w:val="1"/>
                <w:szCs w:val="1"/>
                <w:color w:val="auto"/>
              </w:rPr>
            </w:pPr>
          </w:p>
        </w:tc>
      </w:tr>
      <w:tr>
        <w:trPr>
          <w:trHeight w:val="273"/>
        </w:trPr>
        <w:tc>
          <w:tcPr>
            <w:tcW w:w="8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net assets acquired</w:t>
            </w: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957,391</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60" w:right="140" w:firstLine="480"/>
        <w:spacing w:after="0" w:line="299" w:lineRule="auto"/>
        <w:rPr>
          <w:sz w:val="20"/>
          <w:szCs w:val="20"/>
          <w:color w:val="auto"/>
        </w:rPr>
      </w:pPr>
      <w:r>
        <w:rPr>
          <w:rFonts w:ascii="Times New Roman" w:cs="Times New Roman" w:eastAsia="Times New Roman" w:hAnsi="Times New Roman"/>
          <w:sz w:val="19"/>
          <w:szCs w:val="19"/>
          <w:color w:val="auto"/>
        </w:rPr>
        <w:t>The value attributed to IPR&amp;D related to Modeyso and was expensed as it was determined to have no alternative future use at the time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1415415</wp:posOffset>
            </wp:positionV>
            <wp:extent cx="259080" cy="2546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67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F-16</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F-17</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67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60"/>
          </w:cols>
          <w:pgMar w:left="900" w:top="602" w:right="1019" w:bottom="0" w:gutter="0" w:footer="0" w:header="0"/>
        </w:sectPr>
      </w:pPr>
    </w:p>
    <w:bookmarkStart w:id="256" w:name="page257"/>
    <w:bookmarkEnd w:id="256"/>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Agreements</w:t>
      </w:r>
    </w:p>
    <w:p>
      <w:pPr>
        <w:spacing w:after="0" w:line="129"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9"/>
          <w:szCs w:val="19"/>
          <w:color w:val="auto"/>
        </w:rPr>
        <w:t>In August 2025, we entered into a global license agreement with Saniona to obtain exclusive worldwide rights to develop SAN2355, now referred to as JZP053, a highly differentiated, subtype-</w:t>
      </w:r>
      <w:r>
        <w:rPr>
          <w:rFonts w:ascii="PMingLiU" w:cs="PMingLiU" w:eastAsia="PMingLiU" w:hAnsi="PMingLiU"/>
          <w:sz w:val="19"/>
          <w:szCs w:val="19"/>
          <w:color w:val="auto"/>
        </w:rPr>
        <w:t>VHOHFWLYH.Y.YDFWLYDWRULQSUHFOLQLFDO</w:t>
      </w:r>
      <w:r>
        <w:rPr>
          <w:rFonts w:ascii="Times New Roman" w:cs="Times New Roman" w:eastAsia="Times New Roman" w:hAnsi="Times New Roman"/>
          <w:sz w:val="19"/>
          <w:szCs w:val="19"/>
          <w:color w:val="auto"/>
        </w:rPr>
        <w:t xml:space="preserve"> development for epilepsy and other potential indications, designed to overcome the limitations of non-</w:t>
      </w:r>
      <w:r>
        <w:rPr>
          <w:rFonts w:ascii="PMingLiU" w:cs="PMingLiU" w:eastAsia="PMingLiU" w:hAnsi="PMingLiU"/>
          <w:sz w:val="19"/>
          <w:szCs w:val="19"/>
          <w:color w:val="auto"/>
        </w:rPr>
        <w:t>VHOHFWLYH.Y</w:t>
      </w:r>
      <w:r>
        <w:rPr>
          <w:rFonts w:ascii="Times New Roman" w:cs="Times New Roman" w:eastAsia="Times New Roman" w:hAnsi="Times New Roman"/>
          <w:sz w:val="19"/>
          <w:szCs w:val="19"/>
          <w:color w:val="auto"/>
        </w:rPr>
        <w:t>-targeting compounds. Under the terms of the agreement, we made an upfront payment of $42.5 million to Saniona, which was recorded as acquired IPR&amp;D expense in our consolidated statements of income (loss) for the year ended December 31, 2025. Saniona is eligible to receive development, regulatory and commercial milestone payments of up to $992.5 million and, if SAN2355 is approved, a tiered, mid-single digit to low-double digit royalty on our net sales of SAN2355.</w:t>
      </w:r>
    </w:p>
    <w:p>
      <w:pPr>
        <w:spacing w:after="0" w:line="75" w:lineRule="exact"/>
        <w:rPr>
          <w:sz w:val="20"/>
          <w:szCs w:val="20"/>
          <w:color w:val="auto"/>
        </w:rPr>
      </w:pPr>
    </w:p>
    <w:p>
      <w:pPr>
        <w:ind w:right="280" w:firstLine="480"/>
        <w:spacing w:after="0" w:line="349" w:lineRule="auto"/>
        <w:rPr>
          <w:sz w:val="20"/>
          <w:szCs w:val="20"/>
          <w:color w:val="auto"/>
        </w:rPr>
      </w:pPr>
      <w:r>
        <w:rPr>
          <w:rFonts w:ascii="PMingLiU" w:cs="PMingLiU" w:eastAsia="PMingLiU" w:hAnsi="PMingLiU"/>
          <w:sz w:val="15"/>
          <w:szCs w:val="15"/>
          <w:color w:val="auto"/>
        </w:rPr>
        <w:t xml:space="preserve">,Q)HEUXDU\ZHHQWHUHGLQWRDGHILQLWLYHDVVHWSXUFKDVHDJUHHPHQWZLWK5HG[WRDFTXLUHJOREDOULJKWVWRD.5$6 </w:t>
      </w:r>
      <w:r>
        <w:rPr>
          <w:rFonts w:ascii="Times New Roman" w:cs="Times New Roman" w:eastAsia="Times New Roman" w:hAnsi="Times New Roman"/>
          <w:sz w:val="15"/>
          <w:szCs w:val="15"/>
          <w:color w:val="auto"/>
        </w:rPr>
        <w:t>inhibitor program. Under the terms of the agreement, we made an upfront payment of $10.0 million to Redx which was recorded as acquired IPR&amp;D expense in our consolidated statements of income (loss) for the year ended December 31, 2024. Redx is eligible to receive development and commercial milestone payments of up to $870.0 million and, if a product is approved, a tiered, mid-single-digit percentage royalty on net sales of that product.</w:t>
      </w:r>
    </w:p>
    <w:p>
      <w:pPr>
        <w:spacing w:after="0" w:line="252" w:lineRule="exact"/>
        <w:rPr>
          <w:sz w:val="20"/>
          <w:szCs w:val="20"/>
          <w:color w:val="auto"/>
        </w:rPr>
      </w:pPr>
    </w:p>
    <w:p>
      <w:pPr>
        <w:ind w:right="200" w:firstLine="480"/>
        <w:spacing w:after="0" w:line="264" w:lineRule="auto"/>
        <w:rPr>
          <w:sz w:val="20"/>
          <w:szCs w:val="20"/>
          <w:color w:val="auto"/>
        </w:rPr>
      </w:pPr>
      <w:r>
        <w:rPr>
          <w:rFonts w:ascii="Times New Roman" w:cs="Times New Roman" w:eastAsia="Times New Roman" w:hAnsi="Times New Roman"/>
          <w:sz w:val="19"/>
          <w:szCs w:val="19"/>
          <w:color w:val="auto"/>
        </w:rPr>
        <w:t>In November 2023, we entered into an exclusive licensing and collaboration agreement with Autifony to discover and develop drug candidates targeting two different ion channel targets associated with neurological disorders. Under the terms of the agreement, we made an upfront payment of $18.0 million to Autifony, which was recorded as acquired IPR&amp;D expense in our consolidated statements of income (loss) for the year ended December 31, 2023. Autifony is eligible to receive development and commercial milestone payments of up to $752.5 million and, if a product is approved, a tiered, mid-single-digit percentage royalty on net sales of that product.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Cash and Available-for-Sale Securities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Cash, cash equivalents and investments consisted of the following (in thousands):</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1"/>
              <w:spacing w:after="0" w:line="14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3"/>
              <w:spacing w:after="0" w:line="14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1"/>
              <w:spacing w:after="0" w:line="144" w:lineRule="exact"/>
              <w:rPr>
                <w:sz w:val="20"/>
                <w:szCs w:val="20"/>
                <w:color w:val="auto"/>
              </w:rPr>
            </w:pPr>
            <w:r>
              <w:rPr>
                <w:rFonts w:ascii="Times New Roman" w:cs="Times New Roman" w:eastAsia="Times New Roman" w:hAnsi="Times New Roman"/>
                <w:sz w:val="16"/>
                <w:szCs w:val="16"/>
                <w:b w:val="1"/>
                <w:bCs w:val="1"/>
                <w:color w:val="auto"/>
                <w:w w:val="96"/>
              </w:rPr>
              <w:t>Cash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56"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3"/>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1"/>
              <w:spacing w:after="0" w:line="156" w:lineRule="exact"/>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07"/>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Cash</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6"/>
              </w:rPr>
              <w:t>Equivalents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682,746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682,746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682,746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Time deposits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1,050,000</w:t>
            </w:r>
          </w:p>
        </w:tc>
        <w:tc>
          <w:tcPr>
            <w:tcW w:w="0" w:type="dxa"/>
            <w:vAlign w:val="bottom"/>
          </w:tcPr>
          <w:p>
            <w:pPr>
              <w:spacing w:after="0"/>
              <w:rPr>
                <w:sz w:val="1"/>
                <w:szCs w:val="1"/>
                <w:color w:val="auto"/>
              </w:rPr>
            </w:pPr>
          </w:p>
        </w:tc>
      </w:tr>
      <w:tr>
        <w:trPr>
          <w:trHeight w:val="259"/>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Money market funds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2,441,899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2,441,899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1,391,899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1,050,000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1"/>
              <w:spacing w:after="0" w:line="14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3"/>
              <w:spacing w:after="0" w:line="14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1"/>
              <w:spacing w:after="0" w:line="144" w:lineRule="exact"/>
              <w:rPr>
                <w:sz w:val="20"/>
                <w:szCs w:val="20"/>
                <w:color w:val="auto"/>
              </w:rPr>
            </w:pPr>
            <w:r>
              <w:rPr>
                <w:rFonts w:ascii="Times New Roman" w:cs="Times New Roman" w:eastAsia="Times New Roman" w:hAnsi="Times New Roman"/>
                <w:sz w:val="16"/>
                <w:szCs w:val="16"/>
                <w:b w:val="1"/>
                <w:bCs w:val="1"/>
                <w:color w:val="auto"/>
                <w:w w:val="96"/>
              </w:rPr>
              <w:t>Cash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1"/>
              <w:spacing w:after="0" w:line="156"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3"/>
              <w:spacing w:after="0" w:line="156"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1"/>
              <w:spacing w:after="0" w:line="156" w:lineRule="exact"/>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07"/>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Cash</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6"/>
              </w:rPr>
              <w:t>Equivalents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gridSpan w:val="2"/>
            <w:vMerge w:val="continue"/>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948,894</w:t>
            </w:r>
          </w:p>
        </w:tc>
        <w:tc>
          <w:tcPr>
            <w:tcW w:w="80" w:type="dxa"/>
            <w:vAlign w:val="bottom"/>
            <w:gridSpan w:val="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948,894</w:t>
            </w: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948,894</w:t>
            </w:r>
          </w:p>
        </w:tc>
        <w:tc>
          <w:tcPr>
            <w:tcW w:w="8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Time deposits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580,000</w:t>
            </w:r>
          </w:p>
        </w:tc>
        <w:tc>
          <w:tcPr>
            <w:tcW w:w="0" w:type="dxa"/>
            <w:vAlign w:val="bottom"/>
          </w:tcPr>
          <w:p>
            <w:pPr>
              <w:spacing w:after="0"/>
              <w:rPr>
                <w:sz w:val="1"/>
                <w:szCs w:val="1"/>
                <w:color w:val="auto"/>
              </w:rPr>
            </w:pPr>
          </w:p>
        </w:tc>
      </w:tr>
      <w:tr>
        <w:trPr>
          <w:trHeight w:val="259"/>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Money market funds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1,253,970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1,253,970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1,253,970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2,992,864</w:t>
            </w:r>
          </w:p>
        </w:tc>
        <w:tc>
          <w:tcPr>
            <w:tcW w:w="80" w:type="dxa"/>
            <w:vAlign w:val="bottom"/>
            <w:gridSpan w:val="2"/>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2,992,864</w:t>
            </w:r>
          </w:p>
        </w:tc>
        <w:tc>
          <w:tcPr>
            <w:tcW w:w="80" w:type="dxa"/>
            <w:vAlign w:val="bottom"/>
            <w:gridSpan w:val="2"/>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2,412,864</w:t>
            </w:r>
          </w:p>
        </w:tc>
        <w:tc>
          <w:tcPr>
            <w:tcW w:w="8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580,000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9"/>
          <w:szCs w:val="19"/>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$85.8 million, $106.3 million and $65.1 million in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1454785</wp:posOffset>
            </wp:positionV>
            <wp:extent cx="259080" cy="2546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67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F-18</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F-17</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67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57" w:name="page258"/>
    <w:bookmarkEnd w:id="25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5. Fair Value Measurement</w:t>
      </w:r>
    </w:p>
    <w:p>
      <w:pPr>
        <w:spacing w:after="0" w:line="133" w:lineRule="exact"/>
        <w:rPr>
          <w:sz w:val="20"/>
          <w:szCs w:val="20"/>
          <w:color w:val="auto"/>
        </w:rPr>
      </w:pPr>
    </w:p>
    <w:p>
      <w:pPr>
        <w:ind w:left="60" w:right="34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51"/>
              <w:spacing w:after="0" w:line="144"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1"/>
              <w:spacing w:after="0" w:line="144"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51"/>
              <w:spacing w:after="0" w:line="156"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1"/>
              <w:spacing w:after="0" w:line="156"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51"/>
              <w:spacing w:after="0" w:line="156"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1"/>
              <w:spacing w:after="0" w:line="156"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4"/>
              </w:rPr>
              <w:t>Markets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3"/>
                <w:szCs w:val="13"/>
                <w:color w:val="auto"/>
              </w:rPr>
            </w:pPr>
          </w:p>
        </w:tc>
        <w:tc>
          <w:tcPr>
            <w:tcW w:w="88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3"/>
                <w:szCs w:val="13"/>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51"/>
              <w:spacing w:after="0" w:line="154" w:lineRule="exact"/>
              <w:rPr>
                <w:sz w:val="20"/>
                <w:szCs w:val="20"/>
                <w:color w:val="auto"/>
              </w:rPr>
            </w:pPr>
            <w:r>
              <w:rPr>
                <w:rFonts w:ascii="Times New Roman" w:cs="Times New Roman" w:eastAsia="Times New Roman" w:hAnsi="Times New Roman"/>
                <w:sz w:val="16"/>
                <w:szCs w:val="16"/>
                <w:b w:val="1"/>
                <w:bCs w:val="1"/>
                <w:color w:val="auto"/>
                <w:w w:val="95"/>
              </w:rPr>
              <w:t>Identical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5"/>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7"/>
              </w:rPr>
              <w:t>Observable</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6"/>
                <w:szCs w:val="16"/>
                <w:b w:val="1"/>
                <w:bCs w:val="1"/>
                <w:color w:val="auto"/>
                <w:w w:val="95"/>
              </w:rPr>
              <w:t>Identical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5"/>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7"/>
              </w:rPr>
              <w:t>Observable</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51"/>
              <w:spacing w:after="0" w:line="156"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80"/>
              <w:spacing w:after="0" w:line="156" w:lineRule="exact"/>
              <w:rPr>
                <w:sz w:val="20"/>
                <w:szCs w:val="20"/>
                <w:color w:val="auto"/>
              </w:rPr>
            </w:pPr>
            <w:r>
              <w:rPr>
                <w:rFonts w:ascii="Times New Roman" w:cs="Times New Roman" w:eastAsia="Times New Roman" w:hAnsi="Times New Roman"/>
                <w:sz w:val="16"/>
                <w:szCs w:val="16"/>
                <w:b w:val="1"/>
                <w:bCs w:val="1"/>
                <w:color w:val="auto"/>
                <w:w w:val="94"/>
              </w:rPr>
              <w:t>Inputs</w:t>
            </w:r>
          </w:p>
        </w:tc>
        <w:tc>
          <w:tcPr>
            <w:tcW w:w="120" w:type="dxa"/>
            <w:vAlign w:val="bottom"/>
          </w:tcPr>
          <w:p>
            <w:pPr>
              <w:spacing w:after="0"/>
              <w:rPr>
                <w:sz w:val="13"/>
                <w:szCs w:val="13"/>
                <w:color w:val="auto"/>
              </w:rPr>
            </w:pPr>
          </w:p>
        </w:tc>
        <w:tc>
          <w:tcPr>
            <w:tcW w:w="880" w:type="dxa"/>
            <w:vAlign w:val="bottom"/>
          </w:tcPr>
          <w:p>
            <w:pPr>
              <w:jc w:val="center"/>
              <w:ind w:right="68"/>
              <w:spacing w:after="0" w:line="156"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1"/>
              <w:spacing w:after="0" w:line="156"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jc w:val="center"/>
              <w:ind w:right="260"/>
              <w:spacing w:after="0" w:line="156" w:lineRule="exact"/>
              <w:rPr>
                <w:sz w:val="20"/>
                <w:szCs w:val="20"/>
                <w:color w:val="auto"/>
              </w:rPr>
            </w:pPr>
            <w:r>
              <w:rPr>
                <w:rFonts w:ascii="Times New Roman" w:cs="Times New Roman" w:eastAsia="Times New Roman" w:hAnsi="Times New Roman"/>
                <w:sz w:val="16"/>
                <w:szCs w:val="16"/>
                <w:b w:val="1"/>
                <w:bCs w:val="1"/>
                <w:color w:val="auto"/>
                <w:w w:val="94"/>
              </w:rPr>
              <w:t>Inputs</w:t>
            </w:r>
          </w:p>
        </w:tc>
        <w:tc>
          <w:tcPr>
            <w:tcW w:w="120" w:type="dxa"/>
            <w:vAlign w:val="bottom"/>
          </w:tcPr>
          <w:p>
            <w:pPr>
              <w:spacing w:after="0"/>
              <w:rPr>
                <w:sz w:val="13"/>
                <w:szCs w:val="13"/>
                <w:color w:val="auto"/>
              </w:rPr>
            </w:pPr>
          </w:p>
        </w:tc>
        <w:tc>
          <w:tcPr>
            <w:tcW w:w="880" w:type="dxa"/>
            <w:vAlign w:val="bottom"/>
          </w:tcPr>
          <w:p>
            <w:pPr>
              <w:jc w:val="center"/>
              <w:ind w:right="68"/>
              <w:spacing w:after="0" w:line="156" w:lineRule="exact"/>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207"/>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80" w:type="dxa"/>
            <w:vAlign w:val="bottom"/>
          </w:tcPr>
          <w:p>
            <w:pPr>
              <w:spacing w:after="0"/>
              <w:rPr>
                <w:sz w:val="18"/>
                <w:szCs w:val="18"/>
                <w:color w:val="auto"/>
              </w:rPr>
            </w:pPr>
          </w:p>
        </w:tc>
        <w:tc>
          <w:tcPr>
            <w:tcW w:w="80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20" w:type="dxa"/>
            <w:vAlign w:val="bottom"/>
          </w:tcPr>
          <w:p>
            <w:pPr>
              <w:spacing w:after="0"/>
              <w:rPr>
                <w:sz w:val="18"/>
                <w:szCs w:val="18"/>
                <w:color w:val="auto"/>
              </w:rPr>
            </w:pPr>
          </w:p>
        </w:tc>
        <w:tc>
          <w:tcPr>
            <w:tcW w:w="8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20" w:type="dxa"/>
            <w:vAlign w:val="bottom"/>
          </w:tcPr>
          <w:p>
            <w:pPr>
              <w:spacing w:after="0"/>
              <w:rPr>
                <w:sz w:val="18"/>
                <w:szCs w:val="18"/>
                <w:color w:val="auto"/>
              </w:rPr>
            </w:pPr>
          </w:p>
        </w:tc>
        <w:tc>
          <w:tcPr>
            <w:tcW w:w="8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0" w:type="dxa"/>
            <w:vAlign w:val="bottom"/>
          </w:tcPr>
          <w:p>
            <w:pPr>
              <w:spacing w:after="0"/>
              <w:rPr>
                <w:sz w:val="1"/>
                <w:szCs w:val="1"/>
                <w:color w:val="auto"/>
              </w:rPr>
            </w:pPr>
          </w:p>
        </w:tc>
      </w:tr>
      <w:tr>
        <w:trPr>
          <w:trHeight w:val="229"/>
        </w:trPr>
        <w:tc>
          <w:tcPr>
            <w:tcW w:w="3340" w:type="dxa"/>
            <w:vAlign w:val="bottom"/>
            <w:gridSpan w:val="2"/>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Available-for-sale securities:</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1,253,970</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1,253,970</w:t>
            </w:r>
          </w:p>
        </w:tc>
        <w:tc>
          <w:tcPr>
            <w:tcW w:w="0" w:type="dxa"/>
            <w:vAlign w:val="bottom"/>
          </w:tcPr>
          <w:p>
            <w:pPr>
              <w:spacing w:after="0"/>
              <w:rPr>
                <w:sz w:val="1"/>
                <w:szCs w:val="1"/>
                <w:color w:val="auto"/>
              </w:rPr>
            </w:pPr>
          </w:p>
        </w:tc>
      </w:tr>
      <w:tr>
        <w:trPr>
          <w:trHeight w:val="254"/>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Time deposits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790,000</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 exchange forward contracts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2,250</w:t>
            </w: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Interest rate contracts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991</w:t>
            </w:r>
          </w:p>
        </w:tc>
        <w:tc>
          <w:tcPr>
            <w:tcW w:w="0" w:type="dxa"/>
            <w:vAlign w:val="bottom"/>
          </w:tcPr>
          <w:p>
            <w:pPr>
              <w:spacing w:after="0"/>
              <w:rPr>
                <w:sz w:val="1"/>
                <w:szCs w:val="1"/>
                <w:color w:val="auto"/>
              </w:rPr>
            </w:pPr>
          </w:p>
        </w:tc>
      </w:tr>
      <w:tr>
        <w:trPr>
          <w:trHeight w:val="236"/>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629,153</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1,136,259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1,765,412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1,253,970</w:t>
            </w:r>
          </w:p>
        </w:tc>
        <w:tc>
          <w:tcPr>
            <w:tcW w:w="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793,241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2,047,211</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 exchange forward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Interest rate contracts</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3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right="80"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2025 and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1" w:lineRule="exact"/>
        <w:rPr>
          <w:sz w:val="20"/>
          <w:szCs w:val="20"/>
          <w:color w:val="auto"/>
        </w:rPr>
      </w:pPr>
    </w:p>
    <w:p>
      <w:pPr>
        <w:ind w:left="60" w:right="160" w:firstLine="480"/>
        <w:spacing w:after="0" w:line="270" w:lineRule="auto"/>
        <w:rPr>
          <w:sz w:val="20"/>
          <w:szCs w:val="20"/>
          <w:color w:val="auto"/>
        </w:rPr>
      </w:pPr>
      <w:r>
        <w:rPr>
          <w:rFonts w:ascii="Times New Roman" w:cs="Times New Roman" w:eastAsia="Times New Roman" w:hAnsi="Times New Roman"/>
          <w:sz w:val="19"/>
          <w:szCs w:val="19"/>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There were no transfers between the different levels of the fair value hierarchy in 2025 or in 2024.</w:t>
      </w:r>
    </w:p>
    <w:p>
      <w:pPr>
        <w:spacing w:after="0" w:line="131" w:lineRule="exact"/>
        <w:rPr>
          <w:sz w:val="20"/>
          <w:szCs w:val="20"/>
          <w:color w:val="auto"/>
        </w:rPr>
      </w:pPr>
    </w:p>
    <w:p>
      <w:pPr>
        <w:jc w:val="both"/>
        <w:ind w:left="60" w:right="100" w:firstLine="480"/>
        <w:spacing w:after="0" w:line="277" w:lineRule="auto"/>
        <w:rPr>
          <w:sz w:val="20"/>
          <w:szCs w:val="20"/>
          <w:color w:val="auto"/>
        </w:rPr>
      </w:pPr>
      <w:r>
        <w:rPr>
          <w:rFonts w:ascii="Times New Roman" w:cs="Times New Roman" w:eastAsia="Times New Roman" w:hAnsi="Times New Roman"/>
          <w:sz w:val="19"/>
          <w:szCs w:val="19"/>
          <w:color w:val="auto"/>
        </w:rPr>
        <w:t>As of December 31, 2025 and 2024,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58" w:lineRule="exact"/>
        <w:rPr>
          <w:sz w:val="20"/>
          <w:szCs w:val="20"/>
          <w:color w:val="auto"/>
        </w:rPr>
      </w:pPr>
    </w:p>
    <w:p>
      <w:pPr>
        <w:ind w:left="60" w:right="660" w:firstLine="480"/>
        <w:spacing w:after="0" w:line="269" w:lineRule="auto"/>
        <w:rPr>
          <w:sz w:val="20"/>
          <w:szCs w:val="20"/>
          <w:color w:val="auto"/>
        </w:rPr>
      </w:pPr>
      <w:r>
        <w:rPr>
          <w:rFonts w:ascii="Times New Roman" w:cs="Times New Roman" w:eastAsia="Times New Roman" w:hAnsi="Times New Roman"/>
          <w:sz w:val="19"/>
          <w:szCs w:val="19"/>
          <w:color w:val="auto"/>
        </w:rPr>
        <w:t>As of December 31, 2025, the estimated fair values of the 2026 Notes, the 2030 Notes, the Secured Notes and the Tranche B-2 Dollar Term Loans were $1.2 billion, $1.3 billion, $1.5 billion and $1.9 billion, respectively. As of</w:t>
      </w:r>
    </w:p>
    <w:p>
      <w:pPr>
        <w:spacing w:after="0" w:line="1" w:lineRule="exact"/>
        <w:rPr>
          <w:sz w:val="20"/>
          <w:szCs w:val="20"/>
          <w:color w:val="auto"/>
        </w:rPr>
      </w:pPr>
    </w:p>
    <w:p>
      <w:pPr>
        <w:ind w:left="60" w:right="60"/>
        <w:spacing w:after="0" w:line="263" w:lineRule="auto"/>
        <w:rPr>
          <w:sz w:val="20"/>
          <w:szCs w:val="20"/>
          <w:color w:val="auto"/>
        </w:rPr>
      </w:pPr>
      <w:r>
        <w:rPr>
          <w:rFonts w:ascii="Times New Roman" w:cs="Times New Roman" w:eastAsia="Times New Roman" w:hAnsi="Times New Roman"/>
          <w:sz w:val="19"/>
          <w:szCs w:val="19"/>
          <w:color w:val="auto"/>
        </w:rPr>
        <w:t>December 31, 2024, the estimated fair values of the 2026 Notes, the 2030 Notes, the Secured Notes and the Tranche B-2 Dollar Term Loans were $1.0 billion, $1.1 billion, $1.4 billion and $2.7 billion, respectively. The fair values of each of these debt facilities were estimated using quoted market prices obtained from brokers (Level 2).</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6. Derivative Instruments and Hedging Activities</w:t>
      </w:r>
    </w:p>
    <w:p>
      <w:pPr>
        <w:spacing w:after="0" w:line="133" w:lineRule="exact"/>
        <w:rPr>
          <w:sz w:val="20"/>
          <w:szCs w:val="20"/>
          <w:color w:val="auto"/>
        </w:rPr>
      </w:pPr>
    </w:p>
    <w:p>
      <w:pPr>
        <w:ind w:left="60" w:right="140" w:firstLine="480"/>
        <w:spacing w:after="0" w:line="266" w:lineRule="auto"/>
        <w:rPr>
          <w:sz w:val="20"/>
          <w:szCs w:val="20"/>
          <w:color w:val="auto"/>
        </w:rPr>
      </w:pPr>
      <w:r>
        <w:rPr>
          <w:rFonts w:ascii="Times New Roman" w:cs="Times New Roman" w:eastAsia="Times New Roman" w:hAnsi="Times New Roman"/>
          <w:sz w:val="19"/>
          <w:szCs w:val="19"/>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70" w:lineRule="exact"/>
        <w:rPr>
          <w:sz w:val="20"/>
          <w:szCs w:val="20"/>
          <w:color w:val="auto"/>
        </w:rPr>
      </w:pPr>
    </w:p>
    <w:p>
      <w:pPr>
        <w:ind w:left="60" w:right="20" w:firstLine="480"/>
        <w:spacing w:after="0" w:line="270" w:lineRule="auto"/>
        <w:rPr>
          <w:sz w:val="20"/>
          <w:szCs w:val="20"/>
          <w:color w:val="auto"/>
        </w:rPr>
      </w:pPr>
      <w:r>
        <w:rPr>
          <w:rFonts w:ascii="Times New Roman" w:cs="Times New Roman" w:eastAsia="Times New Roman" w:hAnsi="Times New Roman"/>
          <w:sz w:val="19"/>
          <w:szCs w:val="19"/>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180340</wp:posOffset>
            </wp:positionV>
            <wp:extent cx="259080" cy="2546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67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F-18</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F-19</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67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58" w:name="page259"/>
    <w:bookmarkEnd w:id="258"/>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1020"/>
        <w:spacing w:after="0" w:line="299" w:lineRule="auto"/>
        <w:rPr>
          <w:sz w:val="20"/>
          <w:szCs w:val="20"/>
          <w:color w:val="auto"/>
        </w:rPr>
      </w:pPr>
      <w:r>
        <w:rPr>
          <w:rFonts w:ascii="Times New Roman" w:cs="Times New Roman" w:eastAsia="Times New Roman" w:hAnsi="Times New Roman"/>
          <w:sz w:val="19"/>
          <w:szCs w:val="19"/>
          <w:color w:val="auto"/>
        </w:rPr>
        <w:t>the notional amount of foreign exchange contracts where hedge accounting was not applied was $575.9 million and $461.2 million, respectively.</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foreign exchange gain (loss) in our consolidated statements of income (loss) included the following gains (losses)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associated with foreign exchange contracts not designated as hedging instruments (in thousands):</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2"/>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Foreign Exchange Forward Contracts: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19"/>
                <w:szCs w:val="19"/>
                <w:color w:val="auto"/>
              </w:rPr>
              <w:t>Gain (loss) recognized in foreign exchange gain (loss)</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12,065</w:t>
            </w:r>
          </w:p>
        </w:tc>
        <w:tc>
          <w:tcPr>
            <w:tcW w:w="60" w:type="dxa"/>
            <w:vAlign w:val="bottom"/>
          </w:tcPr>
          <w:p>
            <w:pPr>
              <w:spacing w:after="0"/>
              <w:rPr>
                <w:sz w:val="22"/>
                <w:szCs w:val="22"/>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(14,444)</w:t>
            </w:r>
          </w:p>
        </w:tc>
        <w:tc>
          <w:tcPr>
            <w:tcW w:w="80" w:type="dxa"/>
            <w:vAlign w:val="bottom"/>
          </w:tcPr>
          <w:p>
            <w:pPr>
              <w:spacing w:after="0"/>
              <w:rPr>
                <w:sz w:val="22"/>
                <w:szCs w:val="22"/>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13,543</w:t>
            </w:r>
          </w:p>
        </w:tc>
        <w:tc>
          <w:tcPr>
            <w:tcW w:w="20" w:type="dxa"/>
            <w:vAlign w:val="bottom"/>
          </w:tcPr>
          <w:p>
            <w:pPr>
              <w:spacing w:after="0"/>
              <w:rPr>
                <w:sz w:val="22"/>
                <w:szCs w:val="22"/>
                <w:color w:val="auto"/>
              </w:rPr>
            </w:pPr>
          </w:p>
        </w:tc>
      </w:tr>
    </w:tbl>
    <w:p>
      <w:pPr>
        <w:spacing w:after="0" w:line="65" w:lineRule="exact"/>
        <w:rPr>
          <w:sz w:val="20"/>
          <w:szCs w:val="20"/>
          <w:color w:val="auto"/>
        </w:rPr>
      </w:pPr>
    </w:p>
    <w:p>
      <w:pPr>
        <w:ind w:right="260" w:firstLine="480"/>
        <w:spacing w:after="0" w:line="266" w:lineRule="auto"/>
        <w:rPr>
          <w:sz w:val="20"/>
          <w:szCs w:val="20"/>
          <w:color w:val="auto"/>
        </w:rPr>
      </w:pPr>
      <w:r>
        <w:rPr>
          <w:rFonts w:ascii="Times New Roman" w:cs="Times New Roman" w:eastAsia="Times New Roman" w:hAnsi="Times New Roman"/>
          <w:sz w:val="19"/>
          <w:szCs w:val="19"/>
          <w:color w:val="auto"/>
        </w:rPr>
        <w:t>To achieve a desired mix of floating and fixed interest rates on our variable rate debt, we entered into interest rate swap agreements in April 2023, which are effective until April 2026. These agreements hedge contractual term loan interest rates. As of December 31, 2025, the interest rate swap agreements had a notional amount of $500.0 million. As a result of these agreements, the interest rate on a portion of our term loan borrowings is fixed at 3.9086%, plus the borrowing spread, until April 30, 2026.</w:t>
      </w:r>
    </w:p>
    <w:p>
      <w:pPr>
        <w:spacing w:after="0" w:line="70" w:lineRule="exact"/>
        <w:rPr>
          <w:sz w:val="20"/>
          <w:szCs w:val="20"/>
          <w:color w:val="auto"/>
        </w:rPr>
      </w:pPr>
    </w:p>
    <w:p>
      <w:pPr>
        <w:ind w:right="420" w:firstLine="480"/>
        <w:spacing w:after="0" w:line="299" w:lineRule="auto"/>
        <w:rPr>
          <w:sz w:val="20"/>
          <w:szCs w:val="20"/>
          <w:color w:val="auto"/>
        </w:rPr>
      </w:pPr>
      <w:r>
        <w:rPr>
          <w:rFonts w:ascii="Times New Roman" w:cs="Times New Roman" w:eastAsia="Times New Roman" w:hAnsi="Times New Roman"/>
          <w:sz w:val="19"/>
          <w:szCs w:val="19"/>
          <w:color w:val="auto"/>
        </w:rPr>
        <w:t>The impact on accumulated other comprehensive loss and earnings from derivative instruments that qualified as cash flow hedges was as follows (in thousands):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Rate Contracts: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9"/>
                <w:szCs w:val="19"/>
                <w:color w:val="auto"/>
              </w:rPr>
              <w:t>Gain recognized in accumulated other comprehensive loss, net of tax</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60" w:type="dxa"/>
            <w:vAlign w:val="bottom"/>
          </w:tcPr>
          <w:p>
            <w:pPr>
              <w:spacing w:after="0"/>
              <w:rPr>
                <w:sz w:val="19"/>
                <w:szCs w:val="19"/>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5,298</w:t>
            </w:r>
          </w:p>
        </w:tc>
        <w:tc>
          <w:tcPr>
            <w:tcW w:w="80" w:type="dxa"/>
            <w:vAlign w:val="bottom"/>
          </w:tcPr>
          <w:p>
            <w:pPr>
              <w:spacing w:after="0"/>
              <w:rPr>
                <w:sz w:val="19"/>
                <w:szCs w:val="19"/>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80" w:type="dxa"/>
            <w:vAlign w:val="bottom"/>
          </w:tcPr>
          <w:p>
            <w:pPr>
              <w:spacing w:after="0" w:line="200" w:lineRule="exact"/>
              <w:rPr>
                <w:sz w:val="20"/>
                <w:szCs w:val="20"/>
                <w:color w:val="auto"/>
              </w:rPr>
            </w:pPr>
            <w:r>
              <w:rPr>
                <w:rFonts w:ascii="Times New Roman" w:cs="Times New Roman" w:eastAsia="Times New Roman" w:hAnsi="Times New Roman"/>
                <w:sz w:val="19"/>
                <w:szCs w:val="19"/>
                <w:color w:val="auto"/>
              </w:rPr>
              <w:t>Gain reclassified from accumulated other comprehensive loss to interest</w:t>
            </w: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(1,311)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(4,793)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680" w:type="dxa"/>
            <w:vAlign w:val="bottom"/>
          </w:tcPr>
          <w:p>
            <w:pPr>
              <w:spacing w:after="0"/>
              <w:rPr>
                <w:sz w:val="20"/>
                <w:szCs w:val="20"/>
                <w:color w:val="auto"/>
              </w:rPr>
            </w:pPr>
            <w:r>
              <w:rPr>
                <w:rFonts w:ascii="Times New Roman" w:cs="Times New Roman" w:eastAsia="Times New Roman" w:hAnsi="Times New Roman"/>
                <w:sz w:val="19"/>
                <w:szCs w:val="19"/>
                <w:color w:val="auto"/>
              </w:rPr>
              <w:t>expense, net of tax</w:t>
            </w:r>
          </w:p>
        </w:tc>
        <w:tc>
          <w:tcPr>
            <w:tcW w:w="3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20" w:firstLine="479"/>
        <w:spacing w:after="0" w:line="299" w:lineRule="auto"/>
        <w:rPr>
          <w:sz w:val="20"/>
          <w:szCs w:val="20"/>
          <w:color w:val="auto"/>
        </w:rPr>
      </w:pPr>
      <w:r>
        <w:rPr>
          <w:rFonts w:ascii="Times New Roman" w:cs="Times New Roman" w:eastAsia="Times New Roman" w:hAnsi="Times New Roman"/>
          <w:sz w:val="19"/>
          <w:szCs w:val="19"/>
          <w:color w:val="auto"/>
        </w:rPr>
        <w:t>Assuming no change in the Term SOFR based interest rates from market rates as of December 31, 2025, $0.4 million of losses, net of tax, recognized in accumulated other comprehensive loss will be reclassified to earnings over the next 12 months.</w:t>
      </w:r>
    </w:p>
    <w:p>
      <w:pPr>
        <w:spacing w:after="0" w:line="38" w:lineRule="exact"/>
        <w:rPr>
          <w:sz w:val="20"/>
          <w:szCs w:val="20"/>
          <w:color w:val="auto"/>
        </w:rPr>
      </w:pPr>
    </w:p>
    <w:p>
      <w:pPr>
        <w:ind w:right="540" w:firstLine="480"/>
        <w:spacing w:after="0" w:line="299" w:lineRule="auto"/>
        <w:rPr>
          <w:sz w:val="20"/>
          <w:szCs w:val="20"/>
          <w:color w:val="auto"/>
        </w:rPr>
      </w:pPr>
      <w:r>
        <w:rPr>
          <w:rFonts w:ascii="Times New Roman" w:cs="Times New Roman" w:eastAsia="Times New Roman" w:hAnsi="Times New Roman"/>
          <w:sz w:val="19"/>
          <w:szCs w:val="19"/>
          <w:color w:val="auto"/>
        </w:rPr>
        <w:t>The cash flow effects of our derivative contracts are included within net cash provided by operating activities in the consolidated statements of cash flows.</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tables summarize the fair value of outstanding derivatives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8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1"/>
        </w:trPr>
        <w:tc>
          <w:tcPr>
            <w:tcW w:w="4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Derivatives designated as hedging instruments:</w:t>
            </w:r>
          </w:p>
        </w:tc>
        <w:tc>
          <w:tcPr>
            <w:tcW w:w="2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rate contracts</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959</w:t>
            </w:r>
          </w:p>
        </w:tc>
        <w:tc>
          <w:tcPr>
            <w:tcW w:w="0" w:type="dxa"/>
            <w:vAlign w:val="bottom"/>
          </w:tcPr>
          <w:p>
            <w:pPr>
              <w:spacing w:after="0"/>
              <w:rPr>
                <w:sz w:val="1"/>
                <w:szCs w:val="1"/>
                <w:color w:val="auto"/>
              </w:rPr>
            </w:pPr>
          </w:p>
        </w:tc>
      </w:tr>
      <w:tr>
        <w:trPr>
          <w:trHeight w:val="275"/>
        </w:trPr>
        <w:tc>
          <w:tcPr>
            <w:tcW w:w="4180" w:type="dxa"/>
            <w:vAlign w:val="bottom"/>
          </w:tcPr>
          <w:p>
            <w:pPr>
              <w:spacing w:after="0"/>
              <w:rPr>
                <w:sz w:val="23"/>
                <w:szCs w:val="23"/>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 non-current assets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0" w:type="dxa"/>
            <w:vAlign w:val="bottom"/>
          </w:tcPr>
          <w:p>
            <w:pPr>
              <w:spacing w:after="0"/>
              <w:rPr>
                <w:sz w:val="1"/>
                <w:szCs w:val="1"/>
                <w:color w:val="auto"/>
              </w:rPr>
            </w:pPr>
          </w:p>
        </w:tc>
      </w:tr>
      <w:tr>
        <w:trPr>
          <w:trHeight w:val="277"/>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Derivatives not designated as hedging instruments:</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Foreign exchange forward contracts</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 current assets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2,250</w:t>
            </w:r>
          </w:p>
        </w:tc>
        <w:tc>
          <w:tcPr>
            <w:tcW w:w="0" w:type="dxa"/>
            <w:vAlign w:val="bottom"/>
          </w:tcPr>
          <w:p>
            <w:pPr>
              <w:spacing w:after="0"/>
              <w:rPr>
                <w:sz w:val="1"/>
                <w:szCs w:val="1"/>
                <w:color w:val="auto"/>
              </w:rPr>
            </w:pPr>
          </w:p>
        </w:tc>
      </w:tr>
      <w:tr>
        <w:trPr>
          <w:trHeight w:val="258"/>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Total fair value of derivative asset instruments</w:t>
            </w:r>
          </w:p>
        </w:tc>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3,241</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1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Derivatives designated as hedging instruments:</w:t>
            </w:r>
          </w:p>
        </w:tc>
        <w:tc>
          <w:tcPr>
            <w:tcW w:w="2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1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rate contracts</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5"/>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Derivatives not designated as hedging instruments:</w:t>
            </w:r>
          </w:p>
        </w:tc>
        <w:tc>
          <w:tcPr>
            <w:tcW w:w="2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Foreign exchange forward contracts</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Accrued liabilities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0" w:type="dxa"/>
            <w:vAlign w:val="bottom"/>
          </w:tcPr>
          <w:p>
            <w:pPr>
              <w:spacing w:after="0"/>
              <w:rPr>
                <w:sz w:val="1"/>
                <w:szCs w:val="1"/>
                <w:color w:val="auto"/>
              </w:rPr>
            </w:pPr>
          </w:p>
        </w:tc>
      </w:tr>
      <w:tr>
        <w:trPr>
          <w:trHeight w:val="259"/>
        </w:trPr>
        <w:tc>
          <w:tcPr>
            <w:tcW w:w="4180" w:type="dxa"/>
            <w:vAlign w:val="bottom"/>
          </w:tcPr>
          <w:p>
            <w:pPr>
              <w:spacing w:after="0"/>
              <w:rPr>
                <w:sz w:val="20"/>
                <w:szCs w:val="20"/>
                <w:color w:val="auto"/>
              </w:rPr>
            </w:pPr>
            <w:r>
              <w:rPr>
                <w:rFonts w:ascii="Times New Roman" w:cs="Times New Roman" w:eastAsia="Times New Roman" w:hAnsi="Times New Roman"/>
                <w:sz w:val="19"/>
                <w:szCs w:val="19"/>
                <w:color w:val="auto"/>
              </w:rPr>
              <w:t>Total fair value of derivative liability instruments</w:t>
            </w:r>
          </w:p>
        </w:tc>
        <w:tc>
          <w:tcPr>
            <w:tcW w:w="29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4,225</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1496695</wp:posOffset>
            </wp:positionV>
            <wp:extent cx="259080" cy="2546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67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F-20</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F-19</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67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59" w:name="page260"/>
    <w:bookmarkEnd w:id="259"/>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40" w:firstLine="480"/>
        <w:spacing w:after="0" w:line="266" w:lineRule="auto"/>
        <w:rPr>
          <w:sz w:val="20"/>
          <w:szCs w:val="20"/>
          <w:color w:val="auto"/>
        </w:rPr>
      </w:pPr>
      <w:r>
        <w:rPr>
          <w:rFonts w:ascii="Times New Roman" w:cs="Times New Roman" w:eastAsia="Times New Roman" w:hAnsi="Times New Roman"/>
          <w:sz w:val="19"/>
          <w:szCs w:val="19"/>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consolidated balance sheets of offsetting our interest rate and foreign exchange forward contracts subject to such provisions (in thousands):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8"/>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60"/>
              <w:spacing w:after="0" w:line="144" w:lineRule="exact"/>
              <w:rPr>
                <w:sz w:val="20"/>
                <w:szCs w:val="20"/>
                <w:color w:val="auto"/>
              </w:rPr>
            </w:pPr>
            <w:r>
              <w:rPr>
                <w:rFonts w:ascii="Times New Roman" w:cs="Times New Roman" w:eastAsia="Times New Roman" w:hAnsi="Times New Roman"/>
                <w:sz w:val="16"/>
                <w:szCs w:val="16"/>
                <w:b w:val="1"/>
                <w:bCs w:val="1"/>
                <w:color w:val="auto"/>
                <w:w w:val="95"/>
              </w:rPr>
              <w:t>Net Amounts</w:t>
            </w:r>
          </w:p>
        </w:tc>
        <w:tc>
          <w:tcPr>
            <w:tcW w:w="3300" w:type="dxa"/>
            <w:vAlign w:val="bottom"/>
            <w:gridSpan w:val="17"/>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w w:val="96"/>
              </w:rPr>
              <w:t>Gross Amounts Not Offset in the Consolidated</w:t>
            </w: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6"/>
              </w:rPr>
              <w:t>of Assets/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restart"/>
          </w:tcPr>
          <w:p>
            <w:pPr>
              <w:jc w:val="center"/>
              <w:ind w:right="140"/>
              <w:spacing w:after="0" w:line="15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160"/>
              <w:spacing w:after="0" w:line="154"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4"/>
            <w:vMerge w:val="restart"/>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3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Amounts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6"/>
                <w:szCs w:val="16"/>
                <w:b w:val="1"/>
                <w:bCs w:val="1"/>
                <w:color w:val="auto"/>
                <w:w w:val="96"/>
              </w:rPr>
              <w:t>Amounts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tcPr>
          <w:p>
            <w:pPr>
              <w:jc w:val="center"/>
              <w:ind w:right="60"/>
              <w:spacing w:after="0" w:line="156" w:lineRule="exact"/>
              <w:rPr>
                <w:sz w:val="20"/>
                <w:szCs w:val="20"/>
                <w:color w:val="auto"/>
              </w:rPr>
            </w:pPr>
            <w:r>
              <w:rPr>
                <w:rFonts w:ascii="Times New Roman" w:cs="Times New Roman" w:eastAsia="Times New Roman" w:hAnsi="Times New Roman"/>
                <w:sz w:val="16"/>
                <w:szCs w:val="16"/>
                <w:b w:val="1"/>
                <w:bCs w:val="1"/>
                <w:color w:val="auto"/>
                <w:w w:val="96"/>
              </w:rPr>
              <w:t>Presented in</w:t>
            </w:r>
          </w:p>
        </w:tc>
        <w:tc>
          <w:tcPr>
            <w:tcW w:w="180" w:type="dxa"/>
            <w:vAlign w:val="bottom"/>
          </w:tcPr>
          <w:p>
            <w:pPr>
              <w:spacing w:after="0"/>
              <w:rPr>
                <w:sz w:val="13"/>
                <w:szCs w:val="13"/>
                <w:color w:val="auto"/>
              </w:rPr>
            </w:pPr>
          </w:p>
        </w:tc>
        <w:tc>
          <w:tcPr>
            <w:tcW w:w="860" w:type="dxa"/>
            <w:vAlign w:val="bottom"/>
            <w:gridSpan w:val="3"/>
            <w:vMerge w:val="restart"/>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7"/>
              </w:rPr>
              <w:t>Recognized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7"/>
              </w:rPr>
              <w:t>Offset in the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3"/>
              </w:rPr>
              <w:t>the</w:t>
            </w:r>
          </w:p>
        </w:tc>
        <w:tc>
          <w:tcPr>
            <w:tcW w:w="1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6"/>
              </w:rPr>
              <w:t>Collateral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3"/>
                <w:szCs w:val="13"/>
                <w:color w:val="auto"/>
              </w:rPr>
            </w:pPr>
          </w:p>
        </w:tc>
        <w:tc>
          <w:tcPr>
            <w:tcW w:w="88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6"/>
                <w:szCs w:val="16"/>
                <w:b w:val="1"/>
                <w:bCs w:val="1"/>
                <w:color w:val="auto"/>
                <w:w w:val="97"/>
              </w:rPr>
              <w:t>Assets/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80" w:type="dxa"/>
            <w:vAlign w:val="bottom"/>
          </w:tcPr>
          <w:p>
            <w:pPr>
              <w:spacing w:after="0"/>
              <w:rPr>
                <w:sz w:val="13"/>
                <w:szCs w:val="13"/>
                <w:color w:val="auto"/>
              </w:rPr>
            </w:pPr>
          </w:p>
        </w:tc>
        <w:tc>
          <w:tcPr>
            <w:tcW w:w="860" w:type="dxa"/>
            <w:vAlign w:val="bottom"/>
            <w:gridSpan w:val="3"/>
          </w:tcPr>
          <w:p>
            <w:pPr>
              <w:jc w:val="center"/>
              <w:ind w:right="63"/>
              <w:spacing w:after="0" w:line="156" w:lineRule="exact"/>
              <w:rPr>
                <w:sz w:val="20"/>
                <w:szCs w:val="20"/>
                <w:color w:val="auto"/>
              </w:rPr>
            </w:pPr>
            <w:r>
              <w:rPr>
                <w:rFonts w:ascii="Times New Roman" w:cs="Times New Roman" w:eastAsia="Times New Roman" w:hAnsi="Times New Roman"/>
                <w:sz w:val="16"/>
                <w:szCs w:val="16"/>
                <w:b w:val="1"/>
                <w:bCs w:val="1"/>
                <w:color w:val="auto"/>
                <w:w w:val="96"/>
              </w:rPr>
              <w:t>Financial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ind w:right="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Received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07"/>
        </w:trPr>
        <w:tc>
          <w:tcPr>
            <w:tcW w:w="3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1040" w:type="dxa"/>
            <w:vAlign w:val="bottom"/>
            <w:gridSpan w:val="4"/>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(Pledged)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Derivative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6,259</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(3,972)</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2,287</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2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Derivative liabilities</w:t>
            </w:r>
          </w:p>
        </w:tc>
        <w:tc>
          <w:tcPr>
            <w:tcW w:w="1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(4,225)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3,972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(253)</w:t>
            </w:r>
          </w:p>
        </w:tc>
        <w:tc>
          <w:tcPr>
            <w:tcW w:w="0" w:type="dxa"/>
            <w:vAlign w:val="bottom"/>
          </w:tcPr>
          <w:p>
            <w:pPr>
              <w:spacing w:after="0"/>
              <w:rPr>
                <w:sz w:val="1"/>
                <w:szCs w:val="1"/>
                <w:color w:val="auto"/>
              </w:rPr>
            </w:pPr>
          </w:p>
        </w:tc>
      </w:tr>
      <w:tr>
        <w:trPr>
          <w:trHeight w:val="544"/>
        </w:trPr>
        <w:tc>
          <w:tcPr>
            <w:tcW w:w="3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Net Amounts</w:t>
            </w:r>
          </w:p>
        </w:tc>
        <w:tc>
          <w:tcPr>
            <w:tcW w:w="3300" w:type="dxa"/>
            <w:vAlign w:val="bottom"/>
            <w:gridSpan w:val="17"/>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auto"/>
                <w:w w:val="98"/>
              </w:rPr>
              <w:t>Gross Amounts Not Offset in the Consolidated</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6"/>
              </w:rPr>
              <w:t>of Assets/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ind w:right="40"/>
              <w:spacing w:after="0" w:line="154" w:lineRule="exact"/>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restart"/>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restart"/>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Amounts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w w:val="96"/>
              </w:rPr>
              <w:t>Amounts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tcPr>
          <w:p>
            <w:pPr>
              <w:jc w:val="center"/>
              <w:ind w:right="100"/>
              <w:spacing w:after="0" w:line="156" w:lineRule="exact"/>
              <w:rPr>
                <w:sz w:val="20"/>
                <w:szCs w:val="20"/>
                <w:color w:val="auto"/>
              </w:rPr>
            </w:pPr>
            <w:r>
              <w:rPr>
                <w:rFonts w:ascii="Times New Roman" w:cs="Times New Roman" w:eastAsia="Times New Roman" w:hAnsi="Times New Roman"/>
                <w:sz w:val="16"/>
                <w:szCs w:val="16"/>
                <w:b w:val="1"/>
                <w:bCs w:val="1"/>
                <w:color w:val="auto"/>
                <w:w w:val="96"/>
              </w:rPr>
              <w:t>Presented in</w:t>
            </w:r>
          </w:p>
        </w:tc>
        <w:tc>
          <w:tcPr>
            <w:tcW w:w="1040" w:type="dxa"/>
            <w:vAlign w:val="bottom"/>
            <w:gridSpan w:val="4"/>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40"/>
              <w:spacing w:after="0" w:line="156" w:lineRule="exact"/>
              <w:rPr>
                <w:sz w:val="20"/>
                <w:szCs w:val="20"/>
                <w:color w:val="auto"/>
              </w:rPr>
            </w:pPr>
            <w:r>
              <w:rPr>
                <w:rFonts w:ascii="Times New Roman" w:cs="Times New Roman" w:eastAsia="Times New Roman" w:hAnsi="Times New Roman"/>
                <w:sz w:val="16"/>
                <w:szCs w:val="16"/>
                <w:b w:val="1"/>
                <w:bCs w:val="1"/>
                <w:color w:val="auto"/>
                <w:w w:val="97"/>
              </w:rPr>
              <w:t>Recognized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center"/>
              <w:ind w:right="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Offset in the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tcPr>
          <w:p>
            <w:pPr>
              <w:jc w:val="center"/>
              <w:ind w:right="280"/>
              <w:spacing w:after="0" w:line="156" w:lineRule="exact"/>
              <w:rPr>
                <w:sz w:val="20"/>
                <w:szCs w:val="20"/>
                <w:color w:val="auto"/>
              </w:rPr>
            </w:pPr>
            <w:r>
              <w:rPr>
                <w:rFonts w:ascii="Times New Roman" w:cs="Times New Roman" w:eastAsia="Times New Roman" w:hAnsi="Times New Roman"/>
                <w:sz w:val="16"/>
                <w:szCs w:val="16"/>
                <w:b w:val="1"/>
                <w:bCs w:val="1"/>
                <w:color w:val="auto"/>
                <w:w w:val="93"/>
              </w:rPr>
              <w:t>the</w:t>
            </w:r>
          </w:p>
        </w:tc>
        <w:tc>
          <w:tcPr>
            <w:tcW w:w="10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ind w:right="40"/>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Collateral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3"/>
                <w:szCs w:val="13"/>
                <w:color w:val="auto"/>
              </w:rPr>
            </w:pPr>
          </w:p>
        </w:tc>
        <w:tc>
          <w:tcPr>
            <w:tcW w:w="880" w:type="dxa"/>
            <w:vAlign w:val="bottom"/>
            <w:gridSpan w:val="2"/>
          </w:tcPr>
          <w:p>
            <w:pPr>
              <w:jc w:val="right"/>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tcPr>
          <w:p>
            <w:pPr>
              <w:jc w:val="center"/>
              <w:ind w:right="1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80" w:type="dxa"/>
            <w:vAlign w:val="bottom"/>
          </w:tcPr>
          <w:p>
            <w:pPr>
              <w:spacing w:after="0"/>
              <w:rPr>
                <w:sz w:val="13"/>
                <w:szCs w:val="13"/>
                <w:color w:val="auto"/>
              </w:rPr>
            </w:pPr>
          </w:p>
        </w:tc>
        <w:tc>
          <w:tcPr>
            <w:tcW w:w="860" w:type="dxa"/>
            <w:vAlign w:val="bottom"/>
            <w:gridSpan w:val="3"/>
          </w:tcPr>
          <w:p>
            <w:pPr>
              <w:jc w:val="center"/>
              <w:ind w:right="103"/>
              <w:spacing w:after="0" w:line="154" w:lineRule="exact"/>
              <w:rPr>
                <w:sz w:val="20"/>
                <w:szCs w:val="20"/>
                <w:color w:val="auto"/>
              </w:rPr>
            </w:pPr>
            <w:r>
              <w:rPr>
                <w:rFonts w:ascii="Times New Roman" w:cs="Times New Roman" w:eastAsia="Times New Roman" w:hAnsi="Times New Roman"/>
                <w:sz w:val="16"/>
                <w:szCs w:val="16"/>
                <w:b w:val="1"/>
                <w:bCs w:val="1"/>
                <w:color w:val="auto"/>
                <w:w w:val="96"/>
              </w:rPr>
              <w:t>Financial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center"/>
              <w:ind w:right="60"/>
              <w:spacing w:after="0" w:line="154" w:lineRule="exact"/>
              <w:rPr>
                <w:sz w:val="20"/>
                <w:szCs w:val="20"/>
                <w:color w:val="auto"/>
              </w:rPr>
            </w:pPr>
            <w:r>
              <w:rPr>
                <w:rFonts w:ascii="Times New Roman" w:cs="Times New Roman" w:eastAsia="Times New Roman" w:hAnsi="Times New Roman"/>
                <w:sz w:val="16"/>
                <w:szCs w:val="16"/>
                <w:b w:val="1"/>
                <w:bCs w:val="1"/>
                <w:color w:val="auto"/>
                <w:w w:val="97"/>
              </w:rPr>
              <w:t>Received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3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Instruments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(Pledged)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Derivative assets</w:t>
            </w: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(2,910)</w:t>
            </w:r>
          </w:p>
        </w:tc>
        <w:tc>
          <w:tcPr>
            <w:tcW w:w="60" w:type="dxa"/>
            <w:vAlign w:val="bottom"/>
            <w:gridSpan w:val="2"/>
          </w:tcPr>
          <w:p>
            <w:pPr>
              <w:spacing w:after="0"/>
              <w:rPr>
                <w:sz w:val="22"/>
                <w:szCs w:val="22"/>
                <w:color w:val="auto"/>
              </w:rPr>
            </w:pPr>
          </w:p>
        </w:tc>
        <w:tc>
          <w:tcPr>
            <w:tcW w:w="7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Derivative liabilities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2,910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gridSpan w:val="4"/>
          </w:tcPr>
          <w:p>
            <w:pPr>
              <w:jc w:val="right"/>
              <w:ind w:right="100"/>
              <w:spacing w:after="0"/>
              <w:rPr>
                <w:sz w:val="20"/>
                <w:szCs w:val="20"/>
                <w:color w:val="auto"/>
              </w:rPr>
            </w:pPr>
            <w:r>
              <w:rPr>
                <w:rFonts w:ascii="Times New Roman" w:cs="Times New Roman" w:eastAsia="Times New Roman" w:hAnsi="Times New Roman"/>
                <w:sz w:val="19"/>
                <w:szCs w:val="19"/>
                <w:color w:val="auto"/>
                <w:w w:val="94"/>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7. Inventories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40" w:type="dxa"/>
            <w:vAlign w:val="bottom"/>
            <w:gridSpan w:val="10"/>
          </w:tcPr>
          <w:p>
            <w:pPr>
              <w:ind w:left="480"/>
              <w:spacing w:after="0"/>
              <w:rPr>
                <w:sz w:val="20"/>
                <w:szCs w:val="20"/>
                <w:color w:val="auto"/>
              </w:rPr>
            </w:pPr>
            <w:r>
              <w:rPr>
                <w:rFonts w:ascii="Times New Roman" w:cs="Times New Roman" w:eastAsia="Times New Roman" w:hAnsi="Times New Roman"/>
                <w:sz w:val="19"/>
                <w:szCs w:val="19"/>
                <w:color w:val="auto"/>
              </w:rPr>
              <w:t>Inventories consisted of the following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Raw materials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21,963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Work in process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253,350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311,752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Finished goods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141,649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148,532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Total inventories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416,962</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480,445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right="26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and 2024, inventories included $54.1 million and $191.2 million, respectively, related to the purchase accounting inventory fair value step-up on inventory acquired as part of our GW Acquisition.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8. Property, Plant and Equipment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Property, plant and equipment consisted of the following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Manufacturing equipment and machinery</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0"/>
        </w:trPr>
        <w:tc>
          <w:tcPr>
            <w:tcW w:w="7100" w:type="dxa"/>
            <w:vAlign w:val="bottom"/>
            <w:gridSpan w:val="2"/>
            <w:vMerge w:val="continue"/>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97,414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87,451</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Land and buildings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72,230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71,902</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Computer software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42,635</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63,569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70,201</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Construction-in-progress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34,493</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Computer equipment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21,905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20,137</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Furniture and fixtures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8,551</w:t>
            </w:r>
          </w:p>
        </w:tc>
        <w:tc>
          <w:tcPr>
            <w:tcW w:w="0" w:type="dxa"/>
            <w:vAlign w:val="bottom"/>
          </w:tcPr>
          <w:p>
            <w:pPr>
              <w:spacing w:after="0"/>
              <w:rPr>
                <w:sz w:val="1"/>
                <w:szCs w:val="1"/>
                <w:color w:val="auto"/>
              </w:rPr>
            </w:pPr>
          </w:p>
        </w:tc>
      </w:tr>
      <w:tr>
        <w:trPr>
          <w:trHeight w:val="233"/>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Subtotal</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378,410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335,370</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(178,553)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(161,957)</w:t>
            </w:r>
          </w:p>
        </w:tc>
        <w:tc>
          <w:tcPr>
            <w:tcW w:w="0" w:type="dxa"/>
            <w:vAlign w:val="bottom"/>
          </w:tcPr>
          <w:p>
            <w:pPr>
              <w:spacing w:after="0"/>
              <w:rPr>
                <w:sz w:val="1"/>
                <w:szCs w:val="1"/>
                <w:color w:val="auto"/>
              </w:rPr>
            </w:pPr>
          </w:p>
        </w:tc>
      </w:tr>
      <w:tr>
        <w:trPr>
          <w:trHeight w:val="23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199,857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173,413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right="220" w:firstLine="480"/>
        <w:spacing w:after="0" w:line="299" w:lineRule="auto"/>
        <w:rPr>
          <w:sz w:val="20"/>
          <w:szCs w:val="20"/>
          <w:color w:val="auto"/>
        </w:rPr>
      </w:pPr>
      <w:r>
        <w:rPr>
          <w:rFonts w:ascii="Times New Roman" w:cs="Times New Roman" w:eastAsia="Times New Roman" w:hAnsi="Times New Roman"/>
          <w:sz w:val="19"/>
          <w:szCs w:val="19"/>
          <w:color w:val="auto"/>
        </w:rPr>
        <w:t>Depreciation and amortization expense on property, plant and equipment amounted to $41.6 million, $32.8 million and $30.4 million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133350</wp:posOffset>
            </wp:positionV>
            <wp:extent cx="259080" cy="2546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68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F-20</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F-21</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68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64"/>
        </w:trPr>
        <w:tc>
          <w:tcPr>
            <w:tcW w:w="8560" w:type="dxa"/>
            <w:vAlign w:val="bottom"/>
            <w:gridSpan w:val="2"/>
          </w:tcPr>
          <w:p>
            <w:pPr>
              <w:ind w:left="184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861"/>
        </w:trPr>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9. Goodwill and Intangible Assets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5"/>
        </w:trPr>
        <w:tc>
          <w:tcPr>
            <w:tcW w:w="856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The gross carrying amount of goodwill was as follows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1"/>
        </w:trPr>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1,716,323</w:t>
            </w:r>
          </w:p>
        </w:tc>
      </w:tr>
      <w:tr>
        <w:trPr>
          <w:trHeight w:val="258"/>
        </w:trPr>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 exchange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113,017</w:t>
            </w:r>
          </w:p>
        </w:tc>
      </w:tr>
      <w:tr>
        <w:trPr>
          <w:trHeight w:val="239"/>
        </w:trPr>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1,829,340</w:t>
            </w:r>
          </w:p>
        </w:tc>
      </w:tr>
      <w:tr>
        <w:trPr>
          <w:trHeight w:val="20"/>
        </w:trPr>
        <w:tc>
          <w:tcPr>
            <w:tcW w:w="8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gross carrying amounts and net book values of our intangible assets were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0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5"/>
              </w:rPr>
              <w:t>Average Useful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rPr>
              <w:t>Life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Acquired developed</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80" w:type="dxa"/>
            <w:vAlign w:val="bottom"/>
            <w:gridSpan w:val="3"/>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1120" w:type="dxa"/>
            <w:vAlign w:val="bottom"/>
            <w:vMerge w:val="restart"/>
          </w:tcPr>
          <w:p>
            <w:pPr>
              <w:jc w:val="right"/>
              <w:ind w:right="355"/>
              <w:spacing w:after="0"/>
              <w:rPr>
                <w:sz w:val="20"/>
                <w:szCs w:val="20"/>
                <w:color w:val="auto"/>
              </w:rPr>
            </w:pPr>
            <w:r>
              <w:rPr>
                <w:rFonts w:ascii="Times New Roman" w:cs="Times New Roman" w:eastAsia="Times New Roman" w:hAnsi="Times New Roman"/>
                <w:sz w:val="19"/>
                <w:szCs w:val="19"/>
                <w:color w:val="auto"/>
              </w:rPr>
              <w:t>6.8</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$ 8,194,656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$ 4,429,510</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$ 7,699,423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9"/>
              </w:rPr>
              <w:t>$ 4,755,695</w:t>
            </w:r>
          </w:p>
        </w:tc>
        <w:tc>
          <w:tcPr>
            <w:tcW w:w="0" w:type="dxa"/>
            <w:vAlign w:val="bottom"/>
          </w:tcPr>
          <w:p>
            <w:pPr>
              <w:spacing w:after="0"/>
              <w:rPr>
                <w:sz w:val="1"/>
                <w:szCs w:val="1"/>
                <w:color w:val="auto"/>
              </w:rPr>
            </w:pPr>
          </w:p>
        </w:tc>
      </w:tr>
      <w:tr>
        <w:trPr>
          <w:trHeight w:val="251"/>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technologies</w:t>
            </w:r>
          </w:p>
        </w:tc>
        <w:tc>
          <w:tcPr>
            <w:tcW w:w="1120" w:type="dxa"/>
            <w:vAlign w:val="bottom"/>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(3,765,146)</w:t>
            </w:r>
          </w:p>
        </w:tc>
        <w:tc>
          <w:tcPr>
            <w:tcW w:w="1100" w:type="dxa"/>
            <w:vAlign w:val="bottom"/>
            <w:gridSpan w:val="3"/>
            <w:vMerge w:val="continue"/>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(2,943,728)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Manufacturing contracts</w:t>
            </w: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12,578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(12,578)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11,121</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(11,121)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9"/>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Trademarks</w:t>
            </w: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2,904</w:t>
            </w:r>
          </w:p>
        </w:tc>
        <w:tc>
          <w:tcPr>
            <w:tcW w:w="80" w:type="dxa"/>
            <w:vAlign w:val="bottom"/>
            <w:gridSpan w:val="2"/>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2,868</w:t>
            </w:r>
          </w:p>
        </w:tc>
        <w:tc>
          <w:tcPr>
            <w:tcW w:w="6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line="174" w:lineRule="exact"/>
              <w:rPr>
                <w:sz w:val="20"/>
                <w:szCs w:val="20"/>
                <w:color w:val="auto"/>
              </w:rPr>
            </w:pPr>
            <w:r>
              <w:rPr>
                <w:rFonts w:ascii="Times New Roman" w:cs="Times New Roman" w:eastAsia="Times New Roman" w:hAnsi="Times New Roman"/>
                <w:sz w:val="19"/>
                <w:szCs w:val="19"/>
                <w:color w:val="auto"/>
              </w:rPr>
              <w:t>Total finite-lived</w:t>
            </w:r>
          </w:p>
        </w:tc>
        <w:tc>
          <w:tcPr>
            <w:tcW w:w="1120" w:type="dxa"/>
            <w:vAlign w:val="bottom"/>
          </w:tcPr>
          <w:p>
            <w:pPr>
              <w:spacing w:after="0"/>
              <w:rPr>
                <w:sz w:val="15"/>
                <w:szCs w:val="15"/>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$ 8,210,138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$ 4,429,510</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$ 7,713,412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spacing w:after="0" w:line="174"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9"/>
              </w:rPr>
              <w:t>$ 4,755,695</w:t>
            </w:r>
          </w:p>
        </w:tc>
        <w:tc>
          <w:tcPr>
            <w:tcW w:w="0" w:type="dxa"/>
            <w:vAlign w:val="bottom"/>
          </w:tcPr>
          <w:p>
            <w:pPr>
              <w:spacing w:after="0"/>
              <w:rPr>
                <w:sz w:val="1"/>
                <w:szCs w:val="1"/>
                <w:color w:val="auto"/>
              </w:rPr>
            </w:pP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assets</w:t>
            </w:r>
          </w:p>
        </w:tc>
        <w:tc>
          <w:tcPr>
            <w:tcW w:w="1120" w:type="dxa"/>
            <w:vAlign w:val="bottom"/>
          </w:tcPr>
          <w:p>
            <w:pPr>
              <w:spacing w:after="0"/>
              <w:rPr>
                <w:sz w:val="22"/>
                <w:szCs w:val="22"/>
                <w:color w:val="auto"/>
              </w:rPr>
            </w:pPr>
          </w:p>
        </w:tc>
        <w:tc>
          <w:tcPr>
            <w:tcW w:w="1100" w:type="dxa"/>
            <w:vAlign w:val="bottom"/>
            <w:gridSpan w:val="3"/>
            <w:vMerge w:val="continue"/>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(3,780,628)</w:t>
            </w:r>
          </w:p>
        </w:tc>
        <w:tc>
          <w:tcPr>
            <w:tcW w:w="1100" w:type="dxa"/>
            <w:vAlign w:val="bottom"/>
            <w:gridSpan w:val="3"/>
            <w:vMerge w:val="continue"/>
          </w:tcPr>
          <w:p>
            <w:pPr>
              <w:spacing w:after="0"/>
              <w:rPr>
                <w:sz w:val="22"/>
                <w:szCs w:val="22"/>
                <w:color w:val="auto"/>
              </w:rPr>
            </w:pPr>
          </w:p>
        </w:tc>
        <w:tc>
          <w:tcPr>
            <w:tcW w:w="1060" w:type="dxa"/>
            <w:vAlign w:val="bottom"/>
            <w:gridSpan w:val="3"/>
            <w:vMerge w:val="continue"/>
          </w:tcPr>
          <w:p>
            <w:pPr>
              <w:spacing w:after="0"/>
              <w:rPr>
                <w:sz w:val="22"/>
                <w:szCs w:val="22"/>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(2,957,717)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9"/>
          <w:szCs w:val="19"/>
          <w:color w:val="auto"/>
        </w:rPr>
        <w:t>The increase in the gross carrying amount of intangible assets as of December 31, 2025 compared to December 31, 2024 primarily relates to the positive impact of foreign currency translation adjustments due to the strengthening of sterling against the U.S. dollar.</w:t>
      </w:r>
    </w:p>
    <w:p>
      <w:pPr>
        <w:spacing w:after="0" w:line="58" w:lineRule="exact"/>
        <w:rPr>
          <w:sz w:val="20"/>
          <w:szCs w:val="20"/>
          <w:color w:val="auto"/>
        </w:rPr>
      </w:pPr>
    </w:p>
    <w:p>
      <w:pPr>
        <w:ind w:right="80" w:firstLine="480"/>
        <w:spacing w:after="0" w:line="274" w:lineRule="auto"/>
        <w:rPr>
          <w:sz w:val="20"/>
          <w:szCs w:val="20"/>
          <w:color w:val="auto"/>
        </w:rPr>
      </w:pPr>
      <w:r>
        <w:rPr>
          <w:rFonts w:ascii="Times New Roman" w:cs="Times New Roman" w:eastAsia="Times New Roman" w:hAnsi="Times New Roman"/>
          <w:sz w:val="19"/>
          <w:szCs w:val="19"/>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99" w:lineRule="exact"/>
        <w:rPr>
          <w:sz w:val="20"/>
          <w:szCs w:val="20"/>
          <w:color w:val="auto"/>
        </w:rPr>
      </w:pPr>
    </w:p>
    <w:p>
      <w:pPr>
        <w:ind w:right="140" w:firstLine="480"/>
        <w:spacing w:after="0" w:line="277" w:lineRule="auto"/>
        <w:rPr>
          <w:sz w:val="20"/>
          <w:szCs w:val="20"/>
          <w:color w:val="auto"/>
        </w:rPr>
      </w:pPr>
      <w:r>
        <w:rPr>
          <w:rFonts w:ascii="Times New Roman" w:cs="Times New Roman" w:eastAsia="Times New Roman" w:hAnsi="Times New Roman"/>
          <w:sz w:val="19"/>
          <w:szCs w:val="19"/>
          <w:color w:val="auto"/>
        </w:rPr>
        <w:t>Based on finite-lived intangible assets recorded as of December 31, 2025, and assuming the underlying assets will not be impaired and that we will not change the expected lives of any other assets, future amortization expenses were estimated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54"/>
        </w:trPr>
        <w:tc>
          <w:tcPr>
            <w:tcW w:w="8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80" w:type="dxa"/>
            <w:vAlign w:val="bottom"/>
          </w:tcPr>
          <w:p>
            <w:pPr>
              <w:spacing w:after="0"/>
              <w:rPr>
                <w:sz w:val="13"/>
                <w:szCs w:val="13"/>
                <w:color w:val="auto"/>
              </w:rPr>
            </w:pPr>
          </w:p>
        </w:tc>
        <w:tc>
          <w:tcPr>
            <w:tcW w:w="1160" w:type="dxa"/>
            <w:vAlign w:val="bottom"/>
          </w:tcPr>
          <w:p>
            <w:pPr>
              <w:jc w:val="center"/>
              <w:ind w:right="109"/>
              <w:spacing w:after="0" w:line="154" w:lineRule="exact"/>
              <w:rPr>
                <w:sz w:val="20"/>
                <w:szCs w:val="20"/>
                <w:color w:val="auto"/>
              </w:rPr>
            </w:pPr>
            <w:r>
              <w:rPr>
                <w:rFonts w:ascii="Times New Roman" w:cs="Times New Roman" w:eastAsia="Times New Roman" w:hAnsi="Times New Roman"/>
                <w:sz w:val="16"/>
                <w:szCs w:val="16"/>
                <w:b w:val="1"/>
                <w:bCs w:val="1"/>
                <w:color w:val="auto"/>
                <w:w w:val="96"/>
              </w:rPr>
              <w:t>Amortization</w:t>
            </w:r>
          </w:p>
        </w:tc>
        <w:tc>
          <w:tcPr>
            <w:tcW w:w="0" w:type="dxa"/>
            <w:vAlign w:val="bottom"/>
          </w:tcPr>
          <w:p>
            <w:pPr>
              <w:spacing w:after="0"/>
              <w:rPr>
                <w:sz w:val="1"/>
                <w:szCs w:val="1"/>
                <w:color w:val="auto"/>
              </w:rPr>
            </w:pPr>
          </w:p>
        </w:tc>
      </w:tr>
      <w:tr>
        <w:trPr>
          <w:trHeight w:val="172"/>
        </w:trPr>
        <w:tc>
          <w:tcPr>
            <w:tcW w:w="85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9"/>
              <w:spacing w:after="0" w:line="172" w:lineRule="exact"/>
              <w:rPr>
                <w:sz w:val="20"/>
                <w:szCs w:val="20"/>
                <w:color w:val="auto"/>
              </w:rPr>
            </w:pPr>
            <w:r>
              <w:rPr>
                <w:rFonts w:ascii="Times New Roman" w:cs="Times New Roman" w:eastAsia="Times New Roman" w:hAnsi="Times New Roman"/>
                <w:sz w:val="16"/>
                <w:szCs w:val="16"/>
                <w:b w:val="1"/>
                <w:bCs w:val="1"/>
                <w:color w:val="auto"/>
                <w:w w:val="98"/>
              </w:rPr>
              <w:t>Expense</w:t>
            </w:r>
          </w:p>
        </w:tc>
        <w:tc>
          <w:tcPr>
            <w:tcW w:w="0" w:type="dxa"/>
            <w:vAlign w:val="bottom"/>
          </w:tcPr>
          <w:p>
            <w:pPr>
              <w:spacing w:after="0"/>
              <w:rPr>
                <w:sz w:val="1"/>
                <w:szCs w:val="1"/>
                <w:color w:val="auto"/>
              </w:rPr>
            </w:pPr>
          </w:p>
        </w:tc>
      </w:tr>
      <w:tr>
        <w:trPr>
          <w:trHeight w:val="20"/>
        </w:trPr>
        <w:tc>
          <w:tcPr>
            <w:tcW w:w="17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2026</w:t>
            </w: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80" w:type="dxa"/>
            <w:vAlign w:val="bottom"/>
            <w:vMerge w:val="continue"/>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683,211</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6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673,586</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6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649,535</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6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647,270</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2030</w:t>
            </w:r>
          </w:p>
        </w:tc>
        <w:tc>
          <w:tcPr>
            <w:tcW w:w="6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586,093</w:t>
            </w:r>
          </w:p>
        </w:tc>
        <w:tc>
          <w:tcPr>
            <w:tcW w:w="0" w:type="dxa"/>
            <w:vAlign w:val="bottom"/>
          </w:tcPr>
          <w:p>
            <w:pPr>
              <w:spacing w:after="0"/>
              <w:rPr>
                <w:sz w:val="1"/>
                <w:szCs w:val="1"/>
                <w:color w:val="auto"/>
              </w:rPr>
            </w:pPr>
          </w:p>
        </w:tc>
      </w:tr>
      <w:tr>
        <w:trPr>
          <w:trHeight w:val="259"/>
        </w:trPr>
        <w:tc>
          <w:tcPr>
            <w:tcW w:w="85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Thereafter</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1,189,815</w:t>
            </w:r>
          </w:p>
        </w:tc>
        <w:tc>
          <w:tcPr>
            <w:tcW w:w="0" w:type="dxa"/>
            <w:vAlign w:val="bottom"/>
          </w:tcPr>
          <w:p>
            <w:pPr>
              <w:spacing w:after="0"/>
              <w:rPr>
                <w:sz w:val="1"/>
                <w:szCs w:val="1"/>
                <w:color w:val="auto"/>
              </w:rPr>
            </w:pPr>
          </w:p>
        </w:tc>
      </w:tr>
      <w:tr>
        <w:trPr>
          <w:trHeight w:val="237"/>
        </w:trPr>
        <w:tc>
          <w:tcPr>
            <w:tcW w:w="85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4,429,510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2205990</wp:posOffset>
            </wp:positionV>
            <wp:extent cx="259080" cy="2546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68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F-22</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F-21</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68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61" w:name="page262"/>
    <w:bookmarkEnd w:id="26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10. Accrued Liabilities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Accrued liabilities consisted of the following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Rebates and other sales deductions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10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459,837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342,717</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Employee compensation and benefits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215,351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153,133</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royalties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36,802</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Clinical trial accruals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41,967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49,962</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interest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41,626</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Inventory-related accruals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34,046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25,509</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Sales return reserve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26,428</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development expenses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24,371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23,099</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Consulting and professional services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22,977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26,221</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Selling and marketing accruals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15,405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26,981</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Current portion of lease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14,779</w:t>
            </w:r>
          </w:p>
        </w:tc>
        <w:tc>
          <w:tcPr>
            <w:tcW w:w="0" w:type="dxa"/>
            <w:vAlign w:val="bottom"/>
          </w:tcPr>
          <w:p>
            <w:pPr>
              <w:spacing w:after="0"/>
              <w:rPr>
                <w:sz w:val="1"/>
                <w:szCs w:val="1"/>
                <w:color w:val="auto"/>
              </w:rPr>
            </w:pPr>
          </w:p>
        </w:tc>
      </w:tr>
      <w:tr>
        <w:trPr>
          <w:trHeight w:val="277"/>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construction-in-progress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14,308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10,061</w:t>
            </w:r>
          </w:p>
        </w:tc>
        <w:tc>
          <w:tcPr>
            <w:tcW w:w="0" w:type="dxa"/>
            <w:vAlign w:val="bottom"/>
          </w:tcPr>
          <w:p>
            <w:pPr>
              <w:spacing w:after="0"/>
              <w:rPr>
                <w:sz w:val="1"/>
                <w:szCs w:val="1"/>
                <w:color w:val="auto"/>
              </w:rPr>
            </w:pPr>
          </w:p>
        </w:tc>
      </w:tr>
      <w:tr>
        <w:trPr>
          <w:trHeight w:val="2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Derivative instrument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10,198</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collaboration expenses</w:t>
            </w:r>
          </w:p>
        </w:tc>
        <w:tc>
          <w:tcPr>
            <w:tcW w:w="320" w:type="dxa"/>
            <w:vAlign w:val="bottom"/>
          </w:tcPr>
          <w:p>
            <w:pPr>
              <w:spacing w:after="0"/>
              <w:rPr>
                <w:sz w:val="22"/>
                <w:szCs w:val="2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18,005</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Accrued milestones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27,500</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71,695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77,926</w:t>
            </w:r>
          </w:p>
        </w:tc>
        <w:tc>
          <w:tcPr>
            <w:tcW w:w="0" w:type="dxa"/>
            <w:vAlign w:val="bottom"/>
          </w:tcPr>
          <w:p>
            <w:pPr>
              <w:spacing w:after="0"/>
              <w:rPr>
                <w:sz w:val="1"/>
                <w:szCs w:val="1"/>
                <w:color w:val="auto"/>
              </w:rPr>
            </w:pPr>
          </w:p>
        </w:tc>
      </w:tr>
      <w:tr>
        <w:trPr>
          <w:trHeight w:val="240"/>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accrued liabilities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1,034,170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910,947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11. Debt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summarizes the carrying amount of our indebtedness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2026 Notes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0"/>
        </w:trPr>
        <w:tc>
          <w:tcPr>
            <w:tcW w:w="710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1,000,000</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Unamortized - debt issuance costs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(3,747)</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2026 Notes,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998,903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996,253</w:t>
            </w:r>
          </w:p>
        </w:tc>
        <w:tc>
          <w:tcPr>
            <w:tcW w:w="0" w:type="dxa"/>
            <w:vAlign w:val="bottom"/>
          </w:tcPr>
          <w:p>
            <w:pPr>
              <w:spacing w:after="0"/>
              <w:rPr>
                <w:sz w:val="1"/>
                <w:szCs w:val="1"/>
                <w:color w:val="auto"/>
              </w:rPr>
            </w:pPr>
          </w:p>
        </w:tc>
      </w:tr>
      <w:tr>
        <w:trPr>
          <w:trHeight w:val="46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2030 Notes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1,000,000</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Unamortized - debt issuance costs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(16,036)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(19,135)</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2030 Notes,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983,964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980,865</w:t>
            </w:r>
          </w:p>
        </w:tc>
        <w:tc>
          <w:tcPr>
            <w:tcW w:w="0" w:type="dxa"/>
            <w:vAlign w:val="bottom"/>
          </w:tcPr>
          <w:p>
            <w:pPr>
              <w:spacing w:after="0"/>
              <w:rPr>
                <w:sz w:val="1"/>
                <w:szCs w:val="1"/>
                <w:color w:val="auto"/>
              </w:rPr>
            </w:pPr>
          </w:p>
        </w:tc>
      </w:tr>
      <w:tr>
        <w:trPr>
          <w:trHeight w:val="463"/>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Secured Notes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1,487,445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1,483,841</w:t>
            </w:r>
          </w:p>
        </w:tc>
        <w:tc>
          <w:tcPr>
            <w:tcW w:w="0" w:type="dxa"/>
            <w:vAlign w:val="bottom"/>
          </w:tcPr>
          <w:p>
            <w:pPr>
              <w:spacing w:after="0"/>
              <w:rPr>
                <w:sz w:val="1"/>
                <w:szCs w:val="1"/>
                <w:color w:val="auto"/>
              </w:rPr>
            </w:pPr>
          </w:p>
        </w:tc>
      </w:tr>
      <w:tr>
        <w:trPr>
          <w:trHeight w:val="491"/>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Term Loan </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1,887,945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2,647,681</w:t>
            </w:r>
          </w:p>
        </w:tc>
        <w:tc>
          <w:tcPr>
            <w:tcW w:w="0" w:type="dxa"/>
            <w:vAlign w:val="bottom"/>
          </w:tcPr>
          <w:p>
            <w:pPr>
              <w:spacing w:after="0"/>
              <w:rPr>
                <w:sz w:val="1"/>
                <w:szCs w:val="1"/>
                <w:color w:val="auto"/>
              </w:rPr>
            </w:pPr>
          </w:p>
        </w:tc>
      </w:tr>
      <w:tr>
        <w:trPr>
          <w:trHeight w:val="22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5,358,257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6,108,640</w:t>
            </w:r>
          </w:p>
        </w:tc>
        <w:tc>
          <w:tcPr>
            <w:tcW w:w="0" w:type="dxa"/>
            <w:vAlign w:val="bottom"/>
          </w:tcPr>
          <w:p>
            <w:pPr>
              <w:spacing w:after="0"/>
              <w:rPr>
                <w:sz w:val="1"/>
                <w:szCs w:val="1"/>
                <w:color w:val="auto"/>
              </w:rPr>
            </w:pPr>
          </w:p>
        </w:tc>
      </w:tr>
      <w:tr>
        <w:trPr>
          <w:trHeight w:val="261"/>
        </w:trPr>
        <w:tc>
          <w:tcPr>
            <w:tcW w:w="7100" w:type="dxa"/>
            <w:vAlign w:val="bottom"/>
            <w:gridSpan w:val="2"/>
          </w:tcPr>
          <w:p>
            <w:pPr>
              <w:spacing w:after="0" w:line="260" w:lineRule="exact"/>
              <w:rPr>
                <w:sz w:val="20"/>
                <w:szCs w:val="20"/>
                <w:color w:val="auto"/>
              </w:rPr>
            </w:pPr>
            <w:r>
              <w:rPr>
                <w:rFonts w:ascii="Times New Roman" w:cs="Times New Roman" w:eastAsia="Times New Roman" w:hAnsi="Times New Roman"/>
                <w:sz w:val="19"/>
                <w:szCs w:val="19"/>
                <w:color w:val="auto"/>
              </w:rPr>
              <w:t xml:space="preserve">Less current portion </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1,029,903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31,000</w:t>
            </w:r>
          </w:p>
        </w:tc>
        <w:tc>
          <w:tcPr>
            <w:tcW w:w="0" w:type="dxa"/>
            <w:vAlign w:val="bottom"/>
          </w:tcPr>
          <w:p>
            <w:pPr>
              <w:spacing w:after="0"/>
              <w:rPr>
                <w:sz w:val="1"/>
                <w:szCs w:val="1"/>
                <w:color w:val="auto"/>
              </w:rPr>
            </w:pPr>
          </w:p>
        </w:tc>
      </w:tr>
      <w:tr>
        <w:trPr>
          <w:trHeight w:val="23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long-term debt</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4,328,354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6,077,640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0"/>
        <w:spacing w:after="0"/>
        <w:rPr>
          <w:sz w:val="20"/>
          <w:szCs w:val="20"/>
          <w:color w:val="auto"/>
        </w:rPr>
      </w:pPr>
      <w:r>
        <w:rPr>
          <w:rFonts w:ascii="Arial" w:cs="Arial" w:eastAsia="Arial" w:hAnsi="Arial"/>
          <w:sz w:val="19"/>
          <w:szCs w:val="19"/>
          <w:color w:val="auto"/>
        </w:rPr>
        <w:t>BBBBBBBBBBBBBBBBBBBBBBBB</w:t>
      </w:r>
      <w:r>
        <w:rPr>
          <w:rFonts w:ascii="PMingLiU" w:cs="PMingLiU" w:eastAsia="PMingLiU" w:hAnsi="PMingLiU"/>
          <w:sz w:val="17"/>
          <w:szCs w:val="17"/>
          <w:b w:val="1"/>
          <w:bCs w:val="1"/>
          <w:i w:val="1"/>
          <w:iCs w:val="1"/>
          <w:color w:val="auto"/>
        </w:rPr>
        <w:t/>
      </w:r>
    </w:p>
    <w:p>
      <w:pPr>
        <w:spacing w:after="0" w:line="43" w:lineRule="exact"/>
        <w:rPr>
          <w:sz w:val="20"/>
          <w:szCs w:val="20"/>
          <w:color w:val="auto"/>
        </w:rPr>
      </w:pPr>
    </w:p>
    <w:p>
      <w:pPr>
        <w:ind w:left="320" w:hanging="258"/>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January 2025, we made a voluntary repayment on the Tranche B-2 Dollar Term Loan totaling </w:t>
      </w:r>
      <w:r>
        <w:rPr>
          <w:rFonts w:ascii="Times New Roman" w:cs="Times New Roman" w:eastAsia="Times New Roman" w:hAnsi="Times New Roman"/>
          <w:sz w:val="19"/>
          <w:szCs w:val="19"/>
          <w:color w:val="auto"/>
        </w:rPr>
        <w:t>$750.0 million</w:t>
      </w:r>
      <w:r>
        <w:rPr>
          <w:rFonts w:ascii="Times New Roman" w:cs="Times New Roman" w:eastAsia="Times New Roman" w:hAnsi="Times New Roman"/>
          <w:sz w:val="17"/>
          <w:szCs w:val="17"/>
          <w:color w:val="auto"/>
        </w:rPr>
        <w:t>.</w:t>
      </w:r>
    </w:p>
    <w:p>
      <w:pPr>
        <w:spacing w:after="0" w:line="11" w:lineRule="exact"/>
        <w:rPr>
          <w:rFonts w:ascii="Times New Roman" w:cs="Times New Roman" w:eastAsia="Times New Roman" w:hAnsi="Times New Roman"/>
          <w:sz w:val="17"/>
          <w:szCs w:val="17"/>
          <w:color w:val="auto"/>
        </w:rPr>
      </w:pPr>
    </w:p>
    <w:p>
      <w:pPr>
        <w:ind w:left="320" w:hanging="258"/>
        <w:spacing w:after="0"/>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 as of December 31, 2025 includes the 2026 Notes since they mature in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1233170</wp:posOffset>
            </wp:positionV>
            <wp:extent cx="259080" cy="2546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68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F-22</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F-23</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68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62" w:name="page263"/>
    <w:bookmarkEnd w:id="262"/>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Credit Agreement</w:t>
      </w:r>
    </w:p>
    <w:p>
      <w:pPr>
        <w:spacing w:after="0" w:line="129" w:lineRule="exact"/>
        <w:rPr>
          <w:sz w:val="20"/>
          <w:szCs w:val="20"/>
          <w:color w:val="auto"/>
        </w:rPr>
      </w:pPr>
    </w:p>
    <w:p>
      <w:pPr>
        <w:ind w:right="140" w:firstLine="480"/>
        <w:spacing w:after="0" w:line="268" w:lineRule="auto"/>
        <w:rPr>
          <w:sz w:val="20"/>
          <w:szCs w:val="20"/>
          <w:color w:val="auto"/>
        </w:rPr>
      </w:pPr>
      <w:r>
        <w:rPr>
          <w:rFonts w:ascii="Times New Roman" w:cs="Times New Roman" w:eastAsia="Times New Roman" w:hAnsi="Times New Roman"/>
          <w:sz w:val="19"/>
          <w:szCs w:val="19"/>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305" w:lineRule="exact"/>
        <w:rPr>
          <w:sz w:val="20"/>
          <w:szCs w:val="20"/>
          <w:color w:val="auto"/>
        </w:rPr>
      </w:pPr>
    </w:p>
    <w:p>
      <w:pPr>
        <w:ind w:right="80" w:firstLine="480"/>
        <w:spacing w:after="0" w:line="270" w:lineRule="auto"/>
        <w:rPr>
          <w:sz w:val="20"/>
          <w:szCs w:val="20"/>
          <w:color w:val="auto"/>
        </w:rPr>
      </w:pPr>
      <w:r>
        <w:rPr>
          <w:rFonts w:ascii="Times New Roman" w:cs="Times New Roman" w:eastAsia="Times New Roman" w:hAnsi="Times New Roman"/>
          <w:sz w:val="19"/>
          <w:szCs w:val="19"/>
          <w:color w:val="auto"/>
        </w:rPr>
        <w:t>We used the proceeds from the Dollar Term Loan (i) to repay in full $575.9 million under the 2015 Credit Agreement, (ii) to fund, in part, the cash consideration payable in connection with the GW Acquisition and (iii) to pay related fees and expenses. Upon the repayment in full of loans under the 2015 Credit Agreement, it was terminated and all guarantees and liens thereunder were released.</w:t>
      </w:r>
    </w:p>
    <w:p>
      <w:pPr>
        <w:spacing w:after="0" w:line="64" w:lineRule="exact"/>
        <w:rPr>
          <w:sz w:val="20"/>
          <w:szCs w:val="20"/>
          <w:color w:val="auto"/>
        </w:rPr>
      </w:pPr>
    </w:p>
    <w:p>
      <w:pPr>
        <w:ind w:right="420" w:firstLine="480"/>
        <w:spacing w:after="0" w:line="270" w:lineRule="auto"/>
        <w:rPr>
          <w:sz w:val="20"/>
          <w:szCs w:val="20"/>
          <w:color w:val="auto"/>
        </w:rPr>
      </w:pPr>
      <w:r>
        <w:rPr>
          <w:rFonts w:ascii="Times New Roman" w:cs="Times New Roman" w:eastAsia="Times New Roman" w:hAnsi="Times New Roman"/>
          <w:sz w:val="19"/>
          <w:szCs w:val="19"/>
          <w:color w:val="auto"/>
        </w:rPr>
        <w:t>In 2021, we made voluntary prepayments on the Euro Term Loan totaling €416.7 million, or $502.0 million, and in March 2022 we repaid the remaining outstanding principal of €208.3 million, or $251.0 million. The Euro Term Loan bore interest at the EURIBOR plus an applicable margin. During the term of the Euro Term Loan, the interest rate and effective interest rate were 4.43% and 4.93%, respectively.</w:t>
      </w:r>
    </w:p>
    <w:p>
      <w:pPr>
        <w:spacing w:after="0" w:line="64" w:lineRule="exact"/>
        <w:rPr>
          <w:sz w:val="20"/>
          <w:szCs w:val="20"/>
          <w:color w:val="auto"/>
        </w:rPr>
      </w:pPr>
    </w:p>
    <w:p>
      <w:pPr>
        <w:ind w:right="120" w:firstLine="480"/>
        <w:spacing w:after="0" w:line="270" w:lineRule="auto"/>
        <w:rPr>
          <w:sz w:val="20"/>
          <w:szCs w:val="20"/>
          <w:color w:val="auto"/>
        </w:rPr>
      </w:pPr>
      <w:r>
        <w:rPr>
          <w:rFonts w:ascii="Times New Roman" w:cs="Times New Roman" w:eastAsia="Times New Roman" w:hAnsi="Times New Roman"/>
          <w:sz w:val="19"/>
          <w:szCs w:val="19"/>
          <w:color w:val="auto"/>
        </w:rPr>
        <w:t>In January 2024, Jazz Lux entered into the Repricing Amendment No.1 to the Credit Agreement. Upon entry into the Repricing Amendment No.1, certain existing lenders converted a portion of the outstanding Dollar Term Loan into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64"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9"/>
          <w:szCs w:val="19"/>
          <w:color w:val="auto"/>
        </w:rPr>
        <w:t>In July 2024, Jazz Lux entered into the Repricing Amendment No. 2 to the Credit Agreement, as amended by the Repricing Amendment No. 1. Upon entry into Repricing Amendment No. 2, certain existing lenders converted a portion of the outstanding Tranche B-1 Dollar Term Loans into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70" w:lineRule="exact"/>
        <w:rPr>
          <w:sz w:val="20"/>
          <w:szCs w:val="20"/>
          <w:color w:val="auto"/>
        </w:rPr>
      </w:pPr>
    </w:p>
    <w:p>
      <w:pPr>
        <w:ind w:right="200" w:firstLine="480"/>
        <w:spacing w:after="0" w:line="263" w:lineRule="auto"/>
        <w:rPr>
          <w:sz w:val="20"/>
          <w:szCs w:val="20"/>
          <w:color w:val="auto"/>
        </w:rPr>
      </w:pPr>
      <w:r>
        <w:rPr>
          <w:rFonts w:ascii="Times New Roman" w:cs="Times New Roman" w:eastAsia="Times New Roman" w:hAnsi="Times New Roman"/>
          <w:sz w:val="19"/>
          <w:szCs w:val="19"/>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70"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9"/>
          <w:szCs w:val="19"/>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2025, the interest rate and effective interest rate on the Tranche B-2 Dollar Term Loans were 5.97% and 8.32%, respectively.</w:t>
      </w:r>
    </w:p>
    <w:p>
      <w:pPr>
        <w:spacing w:after="0" w:line="71" w:lineRule="exact"/>
        <w:rPr>
          <w:sz w:val="20"/>
          <w:szCs w:val="20"/>
          <w:color w:val="auto"/>
        </w:rPr>
      </w:pPr>
    </w:p>
    <w:p>
      <w:pPr>
        <w:ind w:right="220" w:firstLine="480"/>
        <w:spacing w:after="0" w:line="270" w:lineRule="auto"/>
        <w:rPr>
          <w:sz w:val="20"/>
          <w:szCs w:val="20"/>
          <w:color w:val="auto"/>
        </w:rPr>
      </w:pPr>
      <w:r>
        <w:rPr>
          <w:rFonts w:ascii="Times New Roman" w:cs="Times New Roman" w:eastAsia="Times New Roman" w:hAnsi="Times New Roman"/>
          <w:sz w:val="19"/>
          <w:szCs w:val="19"/>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or Amended Revolving Credit Facility, from May 5, 2026 to November 26, 2029 (such date, the “Amended Revolving Facility Maturity Date”), provided that:</w:t>
      </w:r>
    </w:p>
    <w:p>
      <w:pPr>
        <w:spacing w:after="0" w:line="64" w:lineRule="exact"/>
        <w:rPr>
          <w:sz w:val="20"/>
          <w:szCs w:val="20"/>
          <w:color w:val="auto"/>
        </w:rPr>
      </w:pPr>
    </w:p>
    <w:p>
      <w:pPr>
        <w:ind w:left="780" w:right="180" w:hanging="348"/>
        <w:spacing w:after="0" w:line="263"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if, as of any date from March 16, 2026 to the maturity date of the 2026 Notes (any such date, the “2026 Notes Springing Maturity Date”), (x) any 2026 Notes (or any permitted refinancing indebtedness in respect thereof with a maturity date that is not later than the date that is 91 days after the Amended Revolving Facility Maturity Date) (any such indebtedness, the “2026 Maturity Indebtedness”) remain outstanding and (y) the aggregate amount of unrestricted cash of Jazz Pharmaceuticals plc and its subsidiaries is less than an amount equal to 125% of the aggregate principal amount of 2026 Maturity Indebtedness outstanding, then the maturity date for the Amended Revolving Credit Facility will be shortened to the 2026 Notes Springing Maturity Date;</w:t>
      </w:r>
    </w:p>
    <w:p>
      <w:pPr>
        <w:spacing w:after="0" w:line="70" w:lineRule="exact"/>
        <w:rPr>
          <w:sz w:val="20"/>
          <w:szCs w:val="20"/>
          <w:color w:val="auto"/>
        </w:rPr>
      </w:pPr>
    </w:p>
    <w:p>
      <w:pPr>
        <w:ind w:left="780" w:right="160" w:hanging="348"/>
        <w:spacing w:after="0" w:line="270" w:lineRule="auto"/>
        <w:tabs>
          <w:tab w:leader="none" w:pos="76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if, as of February 4, 2028, (x) more than $500,000,000 of the Tranche B-2 Dollar Term Loans under the Amended Credit Agreement (and any extended term loans, refinancing term loans, refinancing notes and permitted refinancing indebtedness, in each case, in respect thereof) (any such indebtedness, the “Term Loan Indebtedness”) remains outstanding and (y) the maturity date of such Term Loan Indebtedness is not later than the date that is 91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249555</wp:posOffset>
            </wp:positionV>
            <wp:extent cx="259080" cy="2546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68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F-24</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F-23</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68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63" w:name="page264"/>
    <w:bookmarkEnd w:id="26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840" w:right="300"/>
        <w:spacing w:after="0" w:line="299" w:lineRule="auto"/>
        <w:rPr>
          <w:sz w:val="20"/>
          <w:szCs w:val="20"/>
          <w:color w:val="auto"/>
        </w:rPr>
      </w:pPr>
      <w:r>
        <w:rPr>
          <w:rFonts w:ascii="Times New Roman" w:cs="Times New Roman" w:eastAsia="Times New Roman" w:hAnsi="Times New Roman"/>
          <w:sz w:val="19"/>
          <w:szCs w:val="19"/>
          <w:color w:val="auto"/>
        </w:rPr>
        <w:t>the Amended Revolving Facility Maturity Date, then the maturity date for the Amended Revolving Credit Facility will be shortened to February 4, 2028; and</w:t>
      </w:r>
    </w:p>
    <w:p>
      <w:pPr>
        <w:spacing w:after="0" w:line="37" w:lineRule="exact"/>
        <w:rPr>
          <w:sz w:val="20"/>
          <w:szCs w:val="20"/>
          <w:color w:val="auto"/>
        </w:rPr>
      </w:pPr>
    </w:p>
    <w:p>
      <w:pPr>
        <w:ind w:left="840" w:right="100" w:hanging="348"/>
        <w:spacing w:after="0" w:line="266" w:lineRule="auto"/>
        <w:tabs>
          <w:tab w:leader="none" w:pos="820" w:val="left"/>
        </w:tabs>
        <w:rPr>
          <w:sz w:val="20"/>
          <w:szCs w:val="20"/>
          <w:color w:val="auto"/>
        </w:rPr>
      </w:pPr>
      <w:r>
        <w:rPr>
          <w:rFonts w:ascii="Times New Roman" w:cs="Times New Roman" w:eastAsia="Times New Roman" w:hAnsi="Times New Roman"/>
          <w:sz w:val="19"/>
          <w:szCs w:val="19"/>
          <w:color w:val="auto"/>
        </w:rPr>
        <w: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if, as of October 16, 2028 (such date, the “Senior Notes Springing Maturity Date”), (x) more than $500,000,000 of the Secured Notes (and permitted refinancing indebtedness in respect thereof) (any such indebtedness,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70" w:lineRule="exact"/>
        <w:rPr>
          <w:sz w:val="20"/>
          <w:szCs w:val="20"/>
          <w:color w:val="auto"/>
        </w:rPr>
      </w:pPr>
    </w:p>
    <w:p>
      <w:pPr>
        <w:ind w:left="60" w:right="40" w:firstLine="480"/>
        <w:spacing w:after="0" w:line="265" w:lineRule="auto"/>
        <w:rPr>
          <w:sz w:val="20"/>
          <w:szCs w:val="20"/>
          <w:color w:val="auto"/>
        </w:rPr>
      </w:pPr>
      <w:r>
        <w:rPr>
          <w:rFonts w:ascii="Times New Roman" w:cs="Times New Roman" w:eastAsia="Times New Roman" w:hAnsi="Times New Roman"/>
          <w:sz w:val="19"/>
          <w:szCs w:val="19"/>
          <w:color w:val="auto"/>
        </w:rPr>
        <w:t>Initially, the applicable margin for the loans under the Amended Revolving Credit Facility will be 2.00% (in the case of Term SOFR borrowings) and 1.00% (in the case of borrowings at the prime lending rate). Thereafter, the applicable margin for the Amended Revolving Credit Facility ranges from 1.75% to 2.75% (in the case of Term SOFR borrowings) and 0.75% to</w:t>
      </w:r>
    </w:p>
    <w:p>
      <w:pPr>
        <w:ind w:left="60" w:right="20"/>
        <w:spacing w:after="0" w:line="259" w:lineRule="auto"/>
        <w:rPr>
          <w:sz w:val="20"/>
          <w:szCs w:val="20"/>
          <w:color w:val="auto"/>
        </w:rPr>
      </w:pPr>
      <w:r>
        <w:rPr>
          <w:rFonts w:ascii="Times New Roman" w:cs="Times New Roman" w:eastAsia="Times New Roman" w:hAnsi="Times New Roman"/>
          <w:sz w:val="19"/>
          <w:szCs w:val="19"/>
          <w:color w:val="auto"/>
        </w:rPr>
        <w:t>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2025, we had an undrawn Amended Revolving Credit Facility totaling $885.0 million.</w:t>
      </w:r>
    </w:p>
    <w:p>
      <w:pPr>
        <w:spacing w:after="0" w:line="76"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We may make voluntary prepayments at any time without payment of a premium or penalty, subject to certain exceptions, and are required to make certain mandatory prepayments of outstanding indebtedness under the Amended Credit Agreement in certain circumstances. Principal repayments of the Dollar Term Loan, which were due quarterly, began in September 2021 and were equal to 1.0% per annum of the original principal amount of $3.1 billion with any remaining balance payable on the maturity date. In September 2022, we made a voluntary repayment on the Dollar Term Loan totaling $300.0 million. In January 2025, we made a voluntary repayment on the Tranche B-2 Dollar Term Loans totaling $750.0 million. The Tranche B-2 Dollar Term Loans will amortize in quarterly installments equal to 0.286294791% of the initial aggregate principal amount thereof, with the remaining balance payable on May 5, 2028.</w:t>
      </w:r>
    </w:p>
    <w:p>
      <w:pPr>
        <w:spacing w:after="0" w:line="78" w:lineRule="exact"/>
        <w:rPr>
          <w:sz w:val="20"/>
          <w:szCs w:val="20"/>
          <w:color w:val="auto"/>
        </w:rPr>
      </w:pPr>
    </w:p>
    <w:p>
      <w:pPr>
        <w:ind w:left="60" w:firstLine="480"/>
        <w:spacing w:after="0" w:line="270" w:lineRule="auto"/>
        <w:rPr>
          <w:sz w:val="20"/>
          <w:szCs w:val="20"/>
          <w:color w:val="auto"/>
        </w:rPr>
      </w:pPr>
      <w:r>
        <w:rPr>
          <w:rFonts w:ascii="Times New Roman" w:cs="Times New Roman" w:eastAsia="Times New Roman" w:hAnsi="Times New Roman"/>
          <w:sz w:val="19"/>
          <w:szCs w:val="19"/>
          <w:color w:val="auto"/>
        </w:rPr>
        <w:t>Our obligations under the Amended Credit Agreement and any hedging or cash management obligations entered into with any lender thereunder are guaranteed by Jazz Pharmaceuticals plc, the other borrowers, and each of the Jazz Pharmaceuticals plc’s other existing or subsequently acquired or organized direct and indirect subsidiaries (subject to certain exceptions), or the Guarantors. We refer to the Borrowers and the Guarantors collectively as the “Loan Parties.”</w:t>
      </w:r>
    </w:p>
    <w:p>
      <w:pPr>
        <w:spacing w:after="0" w:line="64" w:lineRule="exact"/>
        <w:rPr>
          <w:sz w:val="20"/>
          <w:szCs w:val="20"/>
          <w:color w:val="auto"/>
        </w:rPr>
      </w:pPr>
    </w:p>
    <w:p>
      <w:pPr>
        <w:ind w:left="60" w:firstLine="480"/>
        <w:spacing w:after="0" w:line="277" w:lineRule="auto"/>
        <w:rPr>
          <w:sz w:val="20"/>
          <w:szCs w:val="20"/>
          <w:color w:val="auto"/>
        </w:rPr>
      </w:pPr>
      <w:r>
        <w:rPr>
          <w:rFonts w:ascii="Times New Roman" w:cs="Times New Roman" w:eastAsia="Times New Roman" w:hAnsi="Times New Roman"/>
          <w:sz w:val="19"/>
          <w:szCs w:val="19"/>
          <w:color w:val="auto"/>
        </w:rPr>
        <w:t>The Loan Parties’ obligations under the Amended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58" w:lineRule="exact"/>
        <w:rPr>
          <w:sz w:val="20"/>
          <w:szCs w:val="20"/>
          <w:color w:val="auto"/>
        </w:rPr>
      </w:pPr>
    </w:p>
    <w:p>
      <w:pPr>
        <w:ind w:left="60" w:right="120" w:firstLine="480"/>
        <w:spacing w:after="0" w:line="261" w:lineRule="auto"/>
        <w:rPr>
          <w:sz w:val="20"/>
          <w:szCs w:val="20"/>
          <w:color w:val="auto"/>
        </w:rPr>
      </w:pPr>
      <w:r>
        <w:rPr>
          <w:rFonts w:ascii="Times New Roman" w:cs="Times New Roman" w:eastAsia="Times New Roman" w:hAnsi="Times New Roman"/>
          <w:sz w:val="19"/>
          <w:szCs w:val="19"/>
          <w:color w:val="auto"/>
        </w:rPr>
        <w:t>The Amended Credit Agreement contains customary representations and warranties and customary affirmative and negative covenants applicable to Jazz Pharmaceuticals plc and its restricted subsidiaries, including, among other things, restrictions on indebtedness, liens, investments, mergers, dispositions, prepayment of junior indebtedness and dividends and other distributions. The Amended Credit Agreement contains financial covenants that require Jazz Pharmaceuticals plc and its restricted subsidiaries to (a) not exceed a maximum first lien secured net leverage ratio and (b) not fall below a minimum interest coverage ratio, provided that such covenants apply only to the Amended Revolving Credit Facility and are applicable only if amounts are drawn (or non-cash collateralized letters of credit in excess of $50.0 million are outstanding) under the Amended Revolving Credit Facility. The Amended Credit Agreement also contains customary events of default relating to, among other things, failure to make payments, breach of covenants and breach of representations.</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2029 Secured Notes</w:t>
      </w:r>
    </w:p>
    <w:p>
      <w:pPr>
        <w:spacing w:after="0" w:line="129" w:lineRule="exact"/>
        <w:rPr>
          <w:sz w:val="20"/>
          <w:szCs w:val="20"/>
          <w:color w:val="auto"/>
        </w:rPr>
      </w:pPr>
    </w:p>
    <w:p>
      <w:pPr>
        <w:jc w:val="both"/>
        <w:ind w:left="60" w:right="320" w:firstLine="480"/>
        <w:spacing w:after="0" w:line="277" w:lineRule="auto"/>
        <w:rPr>
          <w:sz w:val="20"/>
          <w:szCs w:val="20"/>
          <w:color w:val="auto"/>
        </w:rPr>
      </w:pPr>
      <w:r>
        <w:rPr>
          <w:rFonts w:ascii="Times New Roman" w:cs="Times New Roman" w:eastAsia="Times New Roman" w:hAnsi="Times New Roman"/>
          <w:sz w:val="19"/>
          <w:szCs w:val="19"/>
          <w:color w:val="auto"/>
        </w:rPr>
        <w:t>On April 29, 2021, Jazz Securities, a wholly owned subsidiary of Jazz Pharmaceuticals plc, closed the offering of the Secured Notes in a private placement. We used the proceeds from the Secured Notes to fund, in part, the cash consideration payable in connection with the GW Acquisition.</w:t>
      </w:r>
    </w:p>
    <w:p>
      <w:pPr>
        <w:spacing w:after="0" w:line="58" w:lineRule="exact"/>
        <w:rPr>
          <w:sz w:val="20"/>
          <w:szCs w:val="20"/>
          <w:color w:val="auto"/>
        </w:rPr>
      </w:pPr>
    </w:p>
    <w:p>
      <w:pPr>
        <w:ind w:left="60" w:right="240" w:firstLine="480"/>
        <w:spacing w:after="0" w:line="299" w:lineRule="auto"/>
        <w:rPr>
          <w:sz w:val="20"/>
          <w:szCs w:val="20"/>
          <w:color w:val="auto"/>
        </w:rPr>
      </w:pPr>
      <w:r>
        <w:rPr>
          <w:rFonts w:ascii="Times New Roman" w:cs="Times New Roman" w:eastAsia="Times New Roman" w:hAnsi="Times New Roman"/>
          <w:sz w:val="19"/>
          <w:szCs w:val="19"/>
          <w:color w:val="auto"/>
        </w:rPr>
        <w:t>Interest on the Secured Notes is payable semi-annually in arrears on January 15 and July 15 of each year, beginning on January 15, 2022, at a rate of 4.375% per year. The Secured Notes mature on January 15, 2029.</w:t>
      </w:r>
    </w:p>
    <w:p>
      <w:pPr>
        <w:spacing w:after="0" w:line="38" w:lineRule="exact"/>
        <w:rPr>
          <w:sz w:val="20"/>
          <w:szCs w:val="20"/>
          <w:color w:val="auto"/>
        </w:rPr>
      </w:pPr>
    </w:p>
    <w:p>
      <w:pPr>
        <w:ind w:left="60" w:right="40" w:firstLine="480"/>
        <w:spacing w:after="0" w:line="270" w:lineRule="auto"/>
        <w:rPr>
          <w:sz w:val="20"/>
          <w:szCs w:val="20"/>
          <w:color w:val="auto"/>
        </w:rPr>
      </w:pPr>
      <w:r>
        <w:rPr>
          <w:rFonts w:ascii="Times New Roman" w:cs="Times New Roman" w:eastAsia="Times New Roman" w:hAnsi="Times New Roman"/>
          <w:sz w:val="19"/>
          <w:szCs w:val="19"/>
          <w:color w:val="auto"/>
        </w:rPr>
        <w:t>The Secured Notes are jointly and severally guaranteed by Jazz Pharmaceuticals plc and each of its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64" w:lineRule="exact"/>
        <w:rPr>
          <w:sz w:val="20"/>
          <w:szCs w:val="20"/>
          <w:color w:val="auto"/>
        </w:rPr>
      </w:pPr>
    </w:p>
    <w:p>
      <w:pPr>
        <w:ind w:left="60" w:right="180" w:firstLine="480"/>
        <w:spacing w:after="0" w:line="299" w:lineRule="auto"/>
        <w:rPr>
          <w:sz w:val="20"/>
          <w:szCs w:val="20"/>
          <w:color w:val="auto"/>
        </w:rPr>
      </w:pPr>
      <w:r>
        <w:rPr>
          <w:rFonts w:ascii="Times New Roman" w:cs="Times New Roman" w:eastAsia="Times New Roman" w:hAnsi="Times New Roman"/>
          <w:sz w:val="19"/>
          <w:szCs w:val="19"/>
          <w:color w:val="auto"/>
        </w:rPr>
        <w:t>Some or all of the Secured Notes, may be redeemed at any time and from time to time at a specified redemption prices, plus accrued and unpaid interest, if any, to, but excluding, to the redemption date. In addition, Jazz Securities may redeem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158750</wp:posOffset>
            </wp:positionV>
            <wp:extent cx="259080" cy="2546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68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F-24</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F-25</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68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64" w:name="page265"/>
    <w:bookmarkEnd w:id="26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9"/>
          <w:szCs w:val="19"/>
          <w:color w:val="auto"/>
        </w:rPr>
        <w:t>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58" w:lineRule="exact"/>
        <w:rPr>
          <w:sz w:val="20"/>
          <w:szCs w:val="20"/>
          <w:color w:val="auto"/>
        </w:rPr>
      </w:pPr>
    </w:p>
    <w:p>
      <w:pPr>
        <w:ind w:right="220" w:firstLine="480"/>
        <w:spacing w:after="0" w:line="277" w:lineRule="auto"/>
        <w:rPr>
          <w:sz w:val="20"/>
          <w:szCs w:val="20"/>
          <w:color w:val="auto"/>
        </w:rPr>
      </w:pPr>
      <w:r>
        <w:rPr>
          <w:rFonts w:ascii="Times New Roman" w:cs="Times New Roman" w:eastAsia="Times New Roman" w:hAnsi="Times New Roman"/>
          <w:sz w:val="19"/>
          <w:szCs w:val="19"/>
          <w:color w:val="auto"/>
        </w:rPr>
        <w:t>If Jazz Pharmaceuticals plc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58" w:lineRule="exact"/>
        <w:rPr>
          <w:sz w:val="20"/>
          <w:szCs w:val="20"/>
          <w:color w:val="auto"/>
        </w:rPr>
      </w:pPr>
    </w:p>
    <w:p>
      <w:pPr>
        <w:ind w:right="140" w:firstLine="480"/>
        <w:spacing w:after="0" w:line="264" w:lineRule="auto"/>
        <w:rPr>
          <w:sz w:val="20"/>
          <w:szCs w:val="20"/>
          <w:color w:val="auto"/>
        </w:rPr>
      </w:pPr>
      <w:r>
        <w:rPr>
          <w:rFonts w:ascii="Times New Roman" w:cs="Times New Roman" w:eastAsia="Times New Roman" w:hAnsi="Times New Roman"/>
          <w:sz w:val="19"/>
          <w:szCs w:val="19"/>
          <w:color w:val="auto"/>
        </w:rPr>
        <w:t>The indenture governing the Secured Notes contains customary affirmative covenants and negative covenants applicable to Jazz Pharmaceuticals plc and its restricted subsidiaries, including, among other things, restrictions on indebtedness, liens, investments, mergers, dispositions, prepayment of junior indebtedness and dividends and other distributions. If Jazz Securities or Jazz Pharmaceuticals plc’s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71" w:lineRule="exact"/>
        <w:rPr>
          <w:sz w:val="20"/>
          <w:szCs w:val="20"/>
          <w:color w:val="auto"/>
        </w:rPr>
      </w:pPr>
    </w:p>
    <w:p>
      <w:pPr>
        <w:ind w:right="52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the interest rate and effective interest rate on the Secured Notes were 4.375% and 4.64%, respectively.</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2030 Notes</w:t>
      </w:r>
    </w:p>
    <w:p>
      <w:pPr>
        <w:spacing w:after="0" w:line="129" w:lineRule="exact"/>
        <w:rPr>
          <w:sz w:val="20"/>
          <w:szCs w:val="20"/>
          <w:color w:val="auto"/>
        </w:rPr>
      </w:pPr>
    </w:p>
    <w:p>
      <w:pPr>
        <w:ind w:right="620" w:firstLine="480"/>
        <w:spacing w:after="0" w:line="299" w:lineRule="auto"/>
        <w:rPr>
          <w:sz w:val="20"/>
          <w:szCs w:val="20"/>
          <w:color w:val="auto"/>
        </w:rPr>
      </w:pPr>
      <w:r>
        <w:rPr>
          <w:rFonts w:ascii="Times New Roman" w:cs="Times New Roman" w:eastAsia="Times New Roman" w:hAnsi="Times New Roman"/>
          <w:sz w:val="19"/>
          <w:szCs w:val="19"/>
          <w:color w:val="auto"/>
        </w:rPr>
        <w:t>In September 2024, Jazz Investments, a wholly owned subsidiary of Jazz Pharmaceuticals plc, completed a private placement of $1.0 billion principal amount of the 2030 Notes.</w:t>
      </w:r>
    </w:p>
    <w:p>
      <w:pPr>
        <w:spacing w:after="0" w:line="38" w:lineRule="exact"/>
        <w:rPr>
          <w:sz w:val="20"/>
          <w:szCs w:val="20"/>
          <w:color w:val="auto"/>
        </w:rPr>
      </w:pPr>
    </w:p>
    <w:p>
      <w:pPr>
        <w:ind w:right="360" w:firstLine="480"/>
        <w:spacing w:after="0" w:line="270" w:lineRule="auto"/>
        <w:rPr>
          <w:sz w:val="20"/>
          <w:szCs w:val="20"/>
          <w:color w:val="auto"/>
        </w:rPr>
      </w:pPr>
      <w:r>
        <w:rPr>
          <w:rFonts w:ascii="Times New Roman" w:cs="Times New Roman" w:eastAsia="Times New Roman" w:hAnsi="Times New Roman"/>
          <w:sz w:val="19"/>
          <w:szCs w:val="19"/>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65" w:lineRule="exact"/>
        <w:rPr>
          <w:sz w:val="20"/>
          <w:szCs w:val="20"/>
          <w:color w:val="auto"/>
        </w:rPr>
      </w:pPr>
    </w:p>
    <w:p>
      <w:pPr>
        <w:ind w:right="80" w:firstLine="479"/>
        <w:spacing w:after="0" w:line="264" w:lineRule="auto"/>
        <w:rPr>
          <w:sz w:val="20"/>
          <w:szCs w:val="20"/>
          <w:color w:val="auto"/>
        </w:rPr>
      </w:pPr>
      <w:r>
        <w:rPr>
          <w:rFonts w:ascii="Times New Roman" w:cs="Times New Roman" w:eastAsia="Times New Roman" w:hAnsi="Times New Roman"/>
          <w:sz w:val="19"/>
          <w:szCs w:val="19"/>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71" w:lineRule="exact"/>
        <w:rPr>
          <w:sz w:val="20"/>
          <w:szCs w:val="20"/>
          <w:color w:val="auto"/>
        </w:rPr>
      </w:pPr>
    </w:p>
    <w:p>
      <w:pPr>
        <w:ind w:right="380" w:firstLine="480"/>
        <w:spacing w:after="0" w:line="299" w:lineRule="auto"/>
        <w:rPr>
          <w:sz w:val="20"/>
          <w:szCs w:val="20"/>
          <w:color w:val="auto"/>
        </w:rPr>
      </w:pPr>
      <w:r>
        <w:rPr>
          <w:rFonts w:ascii="Times New Roman" w:cs="Times New Roman" w:eastAsia="Times New Roman" w:hAnsi="Times New Roman"/>
          <w:sz w:val="19"/>
          <w:szCs w:val="19"/>
          <w:color w:val="auto"/>
        </w:rPr>
        <w:t>Additionally, the terms and covenants in the indenture related to the 2030 Notes include certain events of default after which the 2030 Notes may be due and payable immediately.</w:t>
      </w:r>
    </w:p>
    <w:p>
      <w:pPr>
        <w:spacing w:after="0" w:line="38" w:lineRule="exact"/>
        <w:rPr>
          <w:sz w:val="20"/>
          <w:szCs w:val="20"/>
          <w:color w:val="auto"/>
        </w:rPr>
      </w:pPr>
    </w:p>
    <w:p>
      <w:pPr>
        <w:ind w:right="100" w:firstLine="480"/>
        <w:spacing w:after="0" w:line="263" w:lineRule="auto"/>
        <w:rPr>
          <w:sz w:val="20"/>
          <w:szCs w:val="20"/>
          <w:color w:val="auto"/>
        </w:rPr>
      </w:pPr>
      <w:r>
        <w:rPr>
          <w:rFonts w:ascii="Times New Roman" w:cs="Times New Roman" w:eastAsia="Times New Roman" w:hAnsi="Times New Roman"/>
          <w:sz w:val="19"/>
          <w:szCs w:val="19"/>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2030 Notes are exchangeable at an initial exchange rate of 6.5339 ordinary shares per $1,000 principal amount of</w:t>
      </w:r>
    </w:p>
    <w:p>
      <w:pPr>
        <w:spacing w:after="0" w:line="4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As of December 31, 2025, the “if converted value” of the 2030 Notes exceeded the principal amount by $110.7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the “if converted value” did not exceed the principal amount of the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349250</wp:posOffset>
            </wp:positionV>
            <wp:extent cx="259080" cy="2546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69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F-26</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F-25</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69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65" w:name="page266"/>
    <w:bookmarkEnd w:id="265"/>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80" w:firstLine="479"/>
        <w:spacing w:after="0" w:line="259" w:lineRule="auto"/>
        <w:rPr>
          <w:sz w:val="20"/>
          <w:szCs w:val="20"/>
          <w:color w:val="auto"/>
        </w:rPr>
      </w:pPr>
      <w:r>
        <w:rPr>
          <w:rFonts w:ascii="Times New Roman" w:cs="Times New Roman" w:eastAsia="Times New Roman" w:hAnsi="Times New Roman"/>
          <w:sz w:val="19"/>
          <w:szCs w:val="19"/>
          <w:color w:val="auto"/>
        </w:rPr>
        <w:t>The total liability is reflected net of issuance costs of $19.2 million which will be amortized over the term of the 2030 Notes. We have determined the expected life of the 2030 Notes to be equal to the original six-year term. The effective interest rate of the 2030 Notes is 3.47%.</w:t>
      </w:r>
      <w:r>
        <w:rPr>
          <w:rFonts w:ascii="PMingLiU" w:cs="PMingLiU" w:eastAsia="PMingLiU" w:hAnsi="PMingLiU"/>
          <w:sz w:val="21"/>
          <w:szCs w:val="21"/>
          <w:color w:val="292929"/>
        </w:rPr>
        <w:t/>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2026 Notes</w:t>
      </w:r>
    </w:p>
    <w:p>
      <w:pPr>
        <w:spacing w:after="0" w:line="129" w:lineRule="exact"/>
        <w:rPr>
          <w:sz w:val="20"/>
          <w:szCs w:val="20"/>
          <w:color w:val="auto"/>
        </w:rPr>
      </w:pPr>
    </w:p>
    <w:p>
      <w:pPr>
        <w:ind w:left="60" w:right="120" w:firstLine="480"/>
        <w:spacing w:after="0" w:line="263" w:lineRule="auto"/>
        <w:rPr>
          <w:sz w:val="20"/>
          <w:szCs w:val="20"/>
          <w:color w:val="auto"/>
        </w:rPr>
      </w:pPr>
      <w:r>
        <w:rPr>
          <w:rFonts w:ascii="Times New Roman" w:cs="Times New Roman" w:eastAsia="Times New Roman" w:hAnsi="Times New Roman"/>
          <w:sz w:val="19"/>
          <w:szCs w:val="19"/>
          <w:color w:val="auto"/>
        </w:rPr>
        <w:t>In 2020, we completed a private placement of $1.0 billion principal amount of the 2026 Notes. We used a portion of the 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0" w:lineRule="exact"/>
        <w:rPr>
          <w:sz w:val="20"/>
          <w:szCs w:val="20"/>
          <w:color w:val="auto"/>
        </w:rPr>
      </w:pPr>
    </w:p>
    <w:p>
      <w:pPr>
        <w:ind w:left="60" w:firstLine="480"/>
        <w:spacing w:after="0" w:line="260" w:lineRule="auto"/>
        <w:rPr>
          <w:sz w:val="20"/>
          <w:szCs w:val="20"/>
          <w:color w:val="auto"/>
        </w:rPr>
      </w:pPr>
      <w:r>
        <w:rPr>
          <w:rFonts w:ascii="Times New Roman" w:cs="Times New Roman" w:eastAsia="Times New Roman" w:hAnsi="Times New Roman"/>
          <w:sz w:val="19"/>
          <w:szCs w:val="19"/>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4" w:lineRule="exact"/>
        <w:rPr>
          <w:sz w:val="20"/>
          <w:szCs w:val="20"/>
          <w:color w:val="auto"/>
        </w:rPr>
      </w:pPr>
    </w:p>
    <w:p>
      <w:pPr>
        <w:ind w:left="60" w:firstLine="479"/>
        <w:spacing w:after="0" w:line="261" w:lineRule="auto"/>
        <w:rPr>
          <w:sz w:val="20"/>
          <w:szCs w:val="20"/>
          <w:color w:val="auto"/>
        </w:rPr>
      </w:pPr>
      <w:r>
        <w:rPr>
          <w:rFonts w:ascii="Times New Roman" w:cs="Times New Roman" w:eastAsia="Times New Roman" w:hAnsi="Times New Roman"/>
          <w:sz w:val="19"/>
          <w:szCs w:val="19"/>
          <w:color w:val="auto"/>
        </w:rPr>
        <w:t>The 2026 Notes are exchangeable at an initial exchange rate of 6.4182 ordinary shares per $1,000 principal amount of 2026 Notes, which is equivalent to an initial exchange price of approximately $155.81 per ordinary share. On July 22,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for any 2026 Notes exchanged subsequent to such notice, an exchanging holder will receive</w:t>
      </w:r>
    </w:p>
    <w:p>
      <w:pPr>
        <w:spacing w:after="0" w:line="2" w:lineRule="exact"/>
        <w:rPr>
          <w:sz w:val="20"/>
          <w:szCs w:val="20"/>
          <w:color w:val="auto"/>
        </w:rPr>
      </w:pPr>
    </w:p>
    <w:p>
      <w:pPr>
        <w:ind w:left="60" w:right="20" w:firstLine="2"/>
        <w:spacing w:after="0" w:line="253" w:lineRule="auto"/>
        <w:tabs>
          <w:tab w:leader="none" w:pos="29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 to $1,000 in cash per $1,000 principal amount of 2026 Notes exchanged and (ii) cash, ordinary shares, or any combination thereof, at our election, in respect of the remainder, if any, of its exchange obligation in excess of $1,000 per $1,000 principal amount of 2026 Notes exchanged.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 </w:t>
      </w:r>
      <w:r>
        <w:rPr>
          <w:rFonts w:ascii="PMingLiU" w:cs="PMingLiU" w:eastAsia="PMingLiU" w:hAnsi="PMingLiU"/>
          <w:sz w:val="21"/>
          <w:szCs w:val="21"/>
          <w:color w:val="292929"/>
        </w:rPr>
        <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As of December 31, 2025, the “if converted value” of the 2026 Notes exceeded the principal amount by $91.1 million.</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As of December 31, 2024, the “if converted value” did not exceed the principal amount of the 2026 Notes.</w:t>
      </w:r>
    </w:p>
    <w:p>
      <w:pPr>
        <w:spacing w:after="0" w:line="105" w:lineRule="exact"/>
        <w:rPr>
          <w:sz w:val="20"/>
          <w:szCs w:val="20"/>
          <w:color w:val="auto"/>
        </w:rPr>
      </w:pPr>
    </w:p>
    <w:p>
      <w:pPr>
        <w:ind w:left="60" w:right="80" w:firstLine="480"/>
        <w:spacing w:after="0" w:line="259" w:lineRule="auto"/>
        <w:rPr>
          <w:sz w:val="20"/>
          <w:szCs w:val="20"/>
          <w:color w:val="auto"/>
        </w:rPr>
      </w:pPr>
      <w:r>
        <w:rPr>
          <w:rFonts w:ascii="Times New Roman" w:cs="Times New Roman" w:eastAsia="Times New Roman" w:hAnsi="Times New Roman"/>
          <w:sz w:val="19"/>
          <w:szCs w:val="19"/>
          <w:color w:val="auto"/>
        </w:rPr>
        <w:t>The total liability is reflected net of issuance costs of $15.3 million which will be amortized over the term of the 2026 Notes. We have determined the expected life of the 2026 Notes to be equal to the original six-year term. The effective interest rate of the 2026 Notes is 2.26%.</w:t>
      </w:r>
      <w:r>
        <w:rPr>
          <w:rFonts w:ascii="PMingLiU" w:cs="PMingLiU" w:eastAsia="PMingLiU" w:hAnsi="PMingLiU"/>
          <w:sz w:val="21"/>
          <w:szCs w:val="21"/>
          <w:color w:val="292929"/>
        </w:rPr>
        <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2024 Notes</w:t>
      </w:r>
    </w:p>
    <w:p>
      <w:pPr>
        <w:spacing w:after="0" w:line="129" w:lineRule="exact"/>
        <w:rPr>
          <w:sz w:val="20"/>
          <w:szCs w:val="20"/>
          <w:color w:val="auto"/>
        </w:rPr>
      </w:pPr>
    </w:p>
    <w:p>
      <w:pPr>
        <w:ind w:left="60" w:right="80" w:firstLine="480"/>
        <w:spacing w:after="0" w:line="256" w:lineRule="auto"/>
        <w:rPr>
          <w:sz w:val="20"/>
          <w:szCs w:val="20"/>
          <w:color w:val="auto"/>
        </w:rPr>
      </w:pPr>
      <w:r>
        <w:rPr>
          <w:rFonts w:ascii="Times New Roman" w:cs="Times New Roman" w:eastAsia="Times New Roman" w:hAnsi="Times New Roman"/>
          <w:sz w:val="19"/>
          <w:szCs w:val="19"/>
          <w:color w:val="auto"/>
        </w:rPr>
        <w:t xml:space="preserve">In 2017, we completed a private placement of $575.0 million principal amount of 2024 Notes. We used the net proceeds from this offering to repay $500.0 million in outstanding loans under the Initial Revolving Credit Facility and to pay related fees and expenses. We used the remainder of the net proceeds for general corporate purposes. Interest on the 2024 Notes was payable semi-annually in cash in arrears on February 15 and August 15 of each year, beginning on February 15, 2018, at a rate of 1.50% per year. The 2024 Notes were exchangeable at an initial exchange rate of 4.5659 ordinary shares per $1,000 principal amount of 2024 Notes, which was equivalent to an initial exchange price of approximately $219.02 per ordinary share. </w:t>
      </w:r>
      <w:r>
        <w:rPr>
          <w:rFonts w:ascii="PMingLiU" w:cs="PMingLiU" w:eastAsia="PMingLiU" w:hAnsi="PMingLiU"/>
          <w:sz w:val="21"/>
          <w:szCs w:val="21"/>
          <w:b w:val="1"/>
          <w:bCs w:val="1"/>
          <w:i w:val="1"/>
          <w:iCs w:val="1"/>
          <w:color w:val="auto"/>
        </w:rPr>
        <w:t/>
      </w:r>
    </w:p>
    <w:p>
      <w:pPr>
        <w:spacing w:after="0" w:line="308" w:lineRule="exact"/>
        <w:rPr>
          <w:sz w:val="20"/>
          <w:szCs w:val="20"/>
          <w:color w:val="auto"/>
        </w:rPr>
      </w:pPr>
    </w:p>
    <w:p>
      <w:pPr>
        <w:ind w:left="60" w:right="60" w:firstLine="480"/>
        <w:spacing w:after="0" w:line="299" w:lineRule="auto"/>
        <w:rPr>
          <w:sz w:val="20"/>
          <w:szCs w:val="20"/>
          <w:color w:val="auto"/>
        </w:rPr>
      </w:pPr>
      <w:r>
        <w:rPr>
          <w:rFonts w:ascii="Times New Roman" w:cs="Times New Roman" w:eastAsia="Times New Roman" w:hAnsi="Times New Roman"/>
          <w:sz w:val="19"/>
          <w:szCs w:val="19"/>
          <w:color w:val="auto"/>
        </w:rPr>
        <w:t>On August 15, 2024, the maturity date for the 2024 Notes, we repaid the $575.0 million aggregate principal amount, plus accrued and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306705</wp:posOffset>
            </wp:positionV>
            <wp:extent cx="259080" cy="2546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69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F-26</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F-27</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69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66" w:name="page267"/>
    <w:bookmarkEnd w:id="266"/>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9"/>
          <w:szCs w:val="19"/>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3" w:lineRule="exact"/>
        <w:rPr>
          <w:sz w:val="20"/>
          <w:szCs w:val="20"/>
          <w:color w:val="auto"/>
        </w:rPr>
      </w:pPr>
    </w:p>
    <w:p>
      <w:pPr>
        <w:ind w:right="60" w:firstLine="479"/>
        <w:spacing w:after="0" w:line="263" w:lineRule="auto"/>
        <w:rPr>
          <w:sz w:val="20"/>
          <w:szCs w:val="20"/>
          <w:color w:val="auto"/>
        </w:rPr>
      </w:pPr>
      <w:r>
        <w:rPr>
          <w:rFonts w:ascii="Times New Roman" w:cs="Times New Roman" w:eastAsia="Times New Roman" w:hAnsi="Times New Roman"/>
          <w:sz w:val="19"/>
          <w:szCs w:val="19"/>
          <w:color w:val="auto"/>
        </w:rPr>
        <w:t>For the year ended December 31, 2025, we recognized $57.0 million, in interest expense, net, of which $51.3 million related to the contractual coupon rate and $5.7 million related to the amortization of the debt issuance costs on the Exchangeable Senior Notes. For the year ended December 31, 2024, we recognized $40.0 million in interest expense, net, of which $35.3 million related to the contractual coupon rate and $4.7 million related to the amortization of the debt issuance costs on the 2024 Notes and the Exchangeable Senior Notes. For the year ended December 31, 2023, we recognized $32.8 million in interest expense, net, of which $28.6 million related to the contractual coupon rate and $4.2 million related to the amortization of the debt issuance costs on the 2024 Notes and the 2026 Notes.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Scheduled maturities with respect to our long-term debt principal balances outstanding were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74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Scheduled Long-Term</w:t>
            </w:r>
          </w:p>
        </w:tc>
        <w:tc>
          <w:tcPr>
            <w:tcW w:w="0" w:type="dxa"/>
            <w:vAlign w:val="bottom"/>
          </w:tcPr>
          <w:p>
            <w:pPr>
              <w:spacing w:after="0"/>
              <w:rPr>
                <w:sz w:val="1"/>
                <w:szCs w:val="1"/>
                <w:color w:val="auto"/>
              </w:rPr>
            </w:pPr>
          </w:p>
        </w:tc>
      </w:tr>
      <w:tr>
        <w:trPr>
          <w:trHeight w:val="172"/>
        </w:trPr>
        <w:tc>
          <w:tcPr>
            <w:tcW w:w="81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246"/>
              <w:spacing w:after="0" w:line="172" w:lineRule="exact"/>
              <w:rPr>
                <w:sz w:val="20"/>
                <w:szCs w:val="20"/>
                <w:color w:val="auto"/>
              </w:rPr>
            </w:pPr>
            <w:r>
              <w:rPr>
                <w:rFonts w:ascii="Times New Roman" w:cs="Times New Roman" w:eastAsia="Times New Roman" w:hAnsi="Times New Roman"/>
                <w:sz w:val="16"/>
                <w:szCs w:val="16"/>
                <w:b w:val="1"/>
                <w:bCs w:val="1"/>
                <w:color w:val="auto"/>
              </w:rPr>
              <w:t>Debt Maturities</w:t>
            </w:r>
          </w:p>
        </w:tc>
        <w:tc>
          <w:tcPr>
            <w:tcW w:w="0" w:type="dxa"/>
            <w:vAlign w:val="bottom"/>
          </w:tcPr>
          <w:p>
            <w:pPr>
              <w:spacing w:after="0"/>
              <w:rPr>
                <w:sz w:val="1"/>
                <w:szCs w:val="1"/>
                <w:color w:val="auto"/>
              </w:rPr>
            </w:pPr>
          </w:p>
        </w:tc>
      </w:tr>
      <w:tr>
        <w:trPr>
          <w:trHeight w:val="20"/>
        </w:trPr>
        <w:tc>
          <w:tcPr>
            <w:tcW w:w="17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2026</w:t>
            </w: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80" w:type="dxa"/>
            <w:vAlign w:val="bottom"/>
            <w:vMerge w:val="continue"/>
          </w:tcPr>
          <w:p>
            <w:pPr>
              <w:spacing w:after="0"/>
              <w:rPr>
                <w:sz w:val="19"/>
                <w:szCs w:val="19"/>
                <w:color w:val="auto"/>
              </w:rPr>
            </w:pPr>
          </w:p>
        </w:tc>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1,031,000</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6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31,000</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6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1,848,500</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6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1,500,000</w:t>
            </w: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19"/>
                <w:szCs w:val="19"/>
                <w:color w:val="auto"/>
              </w:rPr>
              <w:t>2030</w:t>
            </w:r>
          </w:p>
        </w:tc>
        <w:tc>
          <w:tcPr>
            <w:tcW w:w="6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1,000,000</w:t>
            </w:r>
          </w:p>
        </w:tc>
        <w:tc>
          <w:tcPr>
            <w:tcW w:w="0" w:type="dxa"/>
            <w:vAlign w:val="bottom"/>
          </w:tcPr>
          <w:p>
            <w:pPr>
              <w:spacing w:after="0"/>
              <w:rPr>
                <w:sz w:val="1"/>
                <w:szCs w:val="1"/>
                <w:color w:val="auto"/>
              </w:rPr>
            </w:pPr>
          </w:p>
        </w:tc>
      </w:tr>
      <w:tr>
        <w:trPr>
          <w:trHeight w:val="239"/>
        </w:trPr>
        <w:tc>
          <w:tcPr>
            <w:tcW w:w="8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Total</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5,410,500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Leases</w:t>
      </w:r>
    </w:p>
    <w:p>
      <w:pPr>
        <w:spacing w:after="0" w:line="133" w:lineRule="exact"/>
        <w:rPr>
          <w:sz w:val="20"/>
          <w:szCs w:val="20"/>
          <w:color w:val="auto"/>
        </w:rPr>
      </w:pPr>
    </w:p>
    <w:p>
      <w:pPr>
        <w:jc w:val="both"/>
        <w:ind w:right="480" w:firstLine="480"/>
        <w:spacing w:after="0" w:line="299" w:lineRule="auto"/>
        <w:rPr>
          <w:sz w:val="20"/>
          <w:szCs w:val="20"/>
          <w:color w:val="auto"/>
        </w:rPr>
      </w:pPr>
      <w:r>
        <w:rPr>
          <w:rFonts w:ascii="Times New Roman" w:cs="Times New Roman" w:eastAsia="Times New Roman" w:hAnsi="Times New Roman"/>
          <w:sz w:val="19"/>
          <w:szCs w:val="19"/>
          <w:color w:val="auto"/>
        </w:rPr>
        <w:t>We have noncancelable leases for our buildings and growing facilities and we are obligated to make payments under noncancelable operating leases for automobiles used by our sales force.</w:t>
      </w:r>
    </w:p>
    <w:p>
      <w:pPr>
        <w:spacing w:after="0" w:line="38" w:lineRule="exact"/>
        <w:rPr>
          <w:sz w:val="20"/>
          <w:szCs w:val="20"/>
          <w:color w:val="auto"/>
        </w:rPr>
      </w:pPr>
    </w:p>
    <w:p>
      <w:pPr>
        <w:ind w:right="740" w:firstLine="480"/>
        <w:spacing w:after="0" w:line="299" w:lineRule="auto"/>
        <w:rPr>
          <w:sz w:val="20"/>
          <w:szCs w:val="20"/>
          <w:color w:val="auto"/>
        </w:rPr>
      </w:pPr>
      <w:r>
        <w:rPr>
          <w:rFonts w:ascii="Times New Roman" w:cs="Times New Roman" w:eastAsia="Times New Roman" w:hAnsi="Times New Roman"/>
          <w:sz w:val="19"/>
          <w:szCs w:val="19"/>
          <w:color w:val="auto"/>
        </w:rPr>
        <w:t>The components of the lease expense for the years ended December 31, 2025, 2024 and 2023 were as follows (in thousands):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1"/>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Operating lease cost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22,209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19,394</w:t>
            </w:r>
          </w:p>
        </w:tc>
      </w:tr>
      <w:tr>
        <w:trPr>
          <w:trHeight w:val="25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Short-term lease cost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7,485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7,441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6,290</w:t>
            </w:r>
          </w:p>
        </w:tc>
      </w:tr>
      <w:tr>
        <w:trPr>
          <w:trHeight w:val="25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Variable lease cost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r>
      <w:tr>
        <w:trPr>
          <w:trHeight w:val="258"/>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Sublease income</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3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Finance Lease Cost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Amortization of leased asset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w:t>
            </w:r>
          </w:p>
        </w:tc>
      </w:tr>
      <w:tr>
        <w:trPr>
          <w:trHeight w:val="259"/>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Interest on lease liabilities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377</w:t>
            </w: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lease cost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26,601</w:t>
            </w: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1741805</wp:posOffset>
            </wp:positionV>
            <wp:extent cx="259080" cy="2546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69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F-28</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F-27</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69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67" w:name="page268"/>
    <w:bookmarkEnd w:id="26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Supplemental balance sheet information related to operating and finance leases was as follows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33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 assets</w:t>
            </w:r>
          </w:p>
        </w:tc>
        <w:tc>
          <w:tcPr>
            <w:tcW w:w="3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Operating lease assets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58,880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53,582</w:t>
            </w:r>
          </w:p>
        </w:tc>
        <w:tc>
          <w:tcPr>
            <w:tcW w:w="0" w:type="dxa"/>
            <w:vAlign w:val="bottom"/>
          </w:tcPr>
          <w:p>
            <w:pPr>
              <w:spacing w:after="0"/>
              <w:rPr>
                <w:sz w:val="1"/>
                <w:szCs w:val="1"/>
                <w:color w:val="auto"/>
              </w:rPr>
            </w:pPr>
          </w:p>
        </w:tc>
      </w:tr>
      <w:tr>
        <w:trPr>
          <w:trHeight w:val="259"/>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Finance lease assets</w:t>
            </w:r>
          </w:p>
        </w:tc>
        <w:tc>
          <w:tcPr>
            <w:tcW w:w="3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Property, plant and equipment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2,804</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3,917</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Total lease assets</w:t>
            </w:r>
          </w:p>
        </w:tc>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61,684</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57,499</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68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Current</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3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Accrued liabilities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14,278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14,331</w:t>
            </w:r>
          </w:p>
        </w:tc>
        <w:tc>
          <w:tcPr>
            <w:tcW w:w="0" w:type="dxa"/>
            <w:vAlign w:val="bottom"/>
          </w:tcPr>
          <w:p>
            <w:pPr>
              <w:spacing w:after="0"/>
              <w:rPr>
                <w:sz w:val="1"/>
                <w:szCs w:val="1"/>
                <w:color w:val="auto"/>
              </w:rPr>
            </w:pPr>
          </w:p>
        </w:tc>
      </w:tr>
      <w:tr>
        <w:trPr>
          <w:trHeight w:val="256"/>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Finance lease liabilities</w:t>
            </w:r>
          </w:p>
        </w:tc>
        <w:tc>
          <w:tcPr>
            <w:tcW w:w="3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Accrued liabilities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Non-current</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4600" w:type="dxa"/>
            <w:vAlign w:val="bottom"/>
            <w:gridSpan w:val="4"/>
          </w:tcPr>
          <w:p>
            <w:pPr>
              <w:ind w:left="240"/>
              <w:spacing w:after="0"/>
              <w:rPr>
                <w:sz w:val="20"/>
                <w:szCs w:val="20"/>
                <w:color w:val="auto"/>
              </w:rPr>
            </w:pPr>
            <w:r>
              <w:rPr>
                <w:rFonts w:ascii="Times New Roman" w:cs="Times New Roman" w:eastAsia="Times New Roman" w:hAnsi="Times New Roman"/>
                <w:sz w:val="19"/>
                <w:szCs w:val="19"/>
                <w:color w:val="auto"/>
              </w:rPr>
              <w:t>Operating lease liabilities, less current portion</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50,892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38,938</w:t>
            </w:r>
          </w:p>
        </w:tc>
        <w:tc>
          <w:tcPr>
            <w:tcW w:w="0" w:type="dxa"/>
            <w:vAlign w:val="bottom"/>
          </w:tcPr>
          <w:p>
            <w:pPr>
              <w:spacing w:after="0"/>
              <w:rPr>
                <w:sz w:val="1"/>
                <w:szCs w:val="1"/>
                <w:color w:val="auto"/>
              </w:rPr>
            </w:pPr>
          </w:p>
        </w:tc>
      </w:tr>
      <w:tr>
        <w:trPr>
          <w:trHeight w:val="259"/>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Finance lease liabilities</w:t>
            </w:r>
          </w:p>
        </w:tc>
        <w:tc>
          <w:tcPr>
            <w:tcW w:w="3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Other non-current liabilities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3,440</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4,561</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Total lease liabilities</w:t>
            </w:r>
          </w:p>
        </w:tc>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69,049</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58,278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3"/>
        </w:trPr>
        <w:tc>
          <w:tcPr>
            <w:tcW w:w="5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Weighted-average remaining lease term (years)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leases</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0" w:type="dxa"/>
            <w:vAlign w:val="bottom"/>
          </w:tcPr>
          <w:p>
            <w:pPr>
              <w:spacing w:after="0"/>
              <w:rPr>
                <w:sz w:val="1"/>
                <w:szCs w:val="1"/>
                <w:color w:val="auto"/>
              </w:rPr>
            </w:pPr>
          </w:p>
        </w:tc>
      </w:tr>
      <w:tr>
        <w:trPr>
          <w:trHeight w:val="256"/>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Finance leases</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5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discount rate</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Operating leases</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258"/>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Finance leases</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345"/>
        </w:trPr>
        <w:tc>
          <w:tcPr>
            <w:tcW w:w="8680" w:type="dxa"/>
            <w:vAlign w:val="bottom"/>
            <w:gridSpan w:val="10"/>
          </w:tcPr>
          <w:p>
            <w:pPr>
              <w:ind w:left="420"/>
              <w:spacing w:after="0"/>
              <w:rPr>
                <w:sz w:val="20"/>
                <w:szCs w:val="20"/>
                <w:color w:val="auto"/>
              </w:rPr>
            </w:pPr>
            <w:r>
              <w:rPr>
                <w:rFonts w:ascii="Times New Roman" w:cs="Times New Roman" w:eastAsia="Times New Roman" w:hAnsi="Times New Roman"/>
                <w:sz w:val="19"/>
                <w:szCs w:val="19"/>
                <w:color w:val="auto"/>
              </w:rPr>
              <w:t>Supplemental cash flow information related to operating and finance leases was as follows (in thousands):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31"/>
        </w:trPr>
        <w:tc>
          <w:tcPr>
            <w:tcW w:w="59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Operating cash outflows from operating leases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20,733</w:t>
            </w:r>
          </w:p>
        </w:tc>
        <w:tc>
          <w:tcPr>
            <w:tcW w:w="4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33,632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20,646</w:t>
            </w:r>
          </w:p>
        </w:tc>
        <w:tc>
          <w:tcPr>
            <w:tcW w:w="0" w:type="dxa"/>
            <w:vAlign w:val="bottom"/>
          </w:tcPr>
          <w:p>
            <w:pPr>
              <w:spacing w:after="0"/>
              <w:rPr>
                <w:sz w:val="1"/>
                <w:szCs w:val="1"/>
                <w:color w:val="auto"/>
              </w:rPr>
            </w:pPr>
          </w:p>
        </w:tc>
      </w:tr>
      <w:tr>
        <w:trPr>
          <w:trHeight w:val="25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Operating cash outflows from finance leases</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835</w:t>
            </w:r>
          </w:p>
        </w:tc>
        <w:tc>
          <w:tcPr>
            <w:tcW w:w="0" w:type="dxa"/>
            <w:vAlign w:val="bottom"/>
          </w:tcPr>
          <w:p>
            <w:pPr>
              <w:spacing w:after="0"/>
              <w:rPr>
                <w:sz w:val="1"/>
                <w:szCs w:val="1"/>
                <w:color w:val="auto"/>
              </w:rPr>
            </w:pPr>
          </w:p>
        </w:tc>
      </w:tr>
      <w:tr>
        <w:trPr>
          <w:trHeight w:val="25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Financing cash outflows from finance leases</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w:t>
            </w:r>
          </w:p>
        </w:tc>
        <w:tc>
          <w:tcPr>
            <w:tcW w:w="0" w:type="dxa"/>
            <w:vAlign w:val="bottom"/>
          </w:tcPr>
          <w:p>
            <w:pPr>
              <w:spacing w:after="0"/>
              <w:rPr>
                <w:sz w:val="1"/>
                <w:szCs w:val="1"/>
                <w:color w:val="auto"/>
              </w:rPr>
            </w:pPr>
          </w:p>
        </w:tc>
      </w:tr>
      <w:tr>
        <w:trPr>
          <w:trHeight w:val="25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Non-cash operating activities:</w:t>
            </w:r>
          </w:p>
        </w:tc>
        <w:tc>
          <w:tcPr>
            <w:tcW w:w="3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98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9"/>
                <w:szCs w:val="19"/>
                <w:color w:val="auto"/>
              </w:rPr>
              <w:t>Operating lease assets obtained in exchange for new operating lease</w:t>
            </w:r>
          </w:p>
        </w:tc>
        <w:tc>
          <w:tcPr>
            <w:tcW w:w="320" w:type="dxa"/>
            <w:vAlign w:val="bottom"/>
            <w:vMerge w:val="restart"/>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24,386</w:t>
            </w:r>
          </w:p>
        </w:tc>
        <w:tc>
          <w:tcPr>
            <w:tcW w:w="40" w:type="dxa"/>
            <w:vAlign w:val="bottom"/>
          </w:tcPr>
          <w:p>
            <w:pPr>
              <w:spacing w:after="0"/>
              <w:rPr>
                <w:sz w:val="17"/>
                <w:szCs w:val="17"/>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25,819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9,953</w:t>
            </w:r>
          </w:p>
        </w:tc>
        <w:tc>
          <w:tcPr>
            <w:tcW w:w="0" w:type="dxa"/>
            <w:vAlign w:val="bottom"/>
          </w:tcPr>
          <w:p>
            <w:pPr>
              <w:spacing w:after="0"/>
              <w:rPr>
                <w:sz w:val="1"/>
                <w:szCs w:val="1"/>
                <w:color w:val="auto"/>
              </w:rPr>
            </w:pPr>
          </w:p>
        </w:tc>
      </w:tr>
      <w:tr>
        <w:trPr>
          <w:trHeight w:val="251"/>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liabilities</w:t>
            </w:r>
          </w:p>
        </w:tc>
        <w:tc>
          <w:tcPr>
            <w:tcW w:w="330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De-recognition of operating lease asset on lease assignment / termination</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19,877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4,169</w:t>
            </w:r>
          </w:p>
        </w:tc>
        <w:tc>
          <w:tcPr>
            <w:tcW w:w="0" w:type="dxa"/>
            <w:vAlign w:val="bottom"/>
          </w:tcPr>
          <w:p>
            <w:pPr>
              <w:spacing w:after="0"/>
              <w:rPr>
                <w:sz w:val="1"/>
                <w:szCs w:val="1"/>
                <w:color w:val="auto"/>
              </w:rPr>
            </w:pPr>
          </w:p>
        </w:tc>
      </w:tr>
      <w:tr>
        <w:trPr>
          <w:trHeight w:val="200"/>
        </w:trPr>
        <w:tc>
          <w:tcPr>
            <w:tcW w:w="598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9"/>
                <w:szCs w:val="19"/>
                <w:color w:val="auto"/>
              </w:rPr>
              <w:t>De-recognition of operating lease liability on lease assignment /</w:t>
            </w:r>
          </w:p>
        </w:tc>
        <w:tc>
          <w:tcPr>
            <w:tcW w:w="3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21,297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4,457</w:t>
            </w:r>
          </w:p>
        </w:tc>
        <w:tc>
          <w:tcPr>
            <w:tcW w:w="0" w:type="dxa"/>
            <w:vAlign w:val="bottom"/>
          </w:tcPr>
          <w:p>
            <w:pPr>
              <w:spacing w:after="0"/>
              <w:rPr>
                <w:sz w:val="1"/>
                <w:szCs w:val="1"/>
                <w:color w:val="auto"/>
              </w:rPr>
            </w:pPr>
          </w:p>
        </w:tc>
      </w:tr>
      <w:tr>
        <w:trPr>
          <w:trHeight w:val="249"/>
        </w:trPr>
        <w:tc>
          <w:tcPr>
            <w:tcW w:w="26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termination</w:t>
            </w:r>
          </w:p>
        </w:tc>
        <w:tc>
          <w:tcPr>
            <w:tcW w:w="3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De-recognition of finance lease asset on lease assignment / termination</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8"/>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De-recognition of finance lease liability on lease assignment / termination</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1913255</wp:posOffset>
            </wp:positionV>
            <wp:extent cx="259080" cy="2546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69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F-28</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F-29</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69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68" w:name="page269"/>
    <w:bookmarkEnd w:id="268"/>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Maturities of operating and finance lease liabilities were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3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Finance Leases</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2026</w:t>
            </w: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60" w:type="dxa"/>
            <w:vAlign w:val="bottom"/>
            <w:vMerge w:val="continue"/>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18,031</w:t>
            </w: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765</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5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15,851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681</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5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13,375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5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2030</w:t>
            </w:r>
          </w:p>
        </w:tc>
        <w:tc>
          <w:tcPr>
            <w:tcW w:w="5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w:t>
            </w:r>
          </w:p>
        </w:tc>
        <w:tc>
          <w:tcPr>
            <w:tcW w:w="0" w:type="dxa"/>
            <w:vAlign w:val="bottom"/>
          </w:tcPr>
          <w:p>
            <w:pPr>
              <w:spacing w:after="0"/>
              <w:rPr>
                <w:sz w:val="1"/>
                <w:szCs w:val="1"/>
                <w:color w:val="auto"/>
              </w:rPr>
            </w:pPr>
          </w:p>
        </w:tc>
      </w:tr>
      <w:tr>
        <w:trPr>
          <w:trHeight w:val="258"/>
        </w:trPr>
        <w:tc>
          <w:tcPr>
            <w:tcW w:w="7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Thereafter</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16,678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2,647</w:t>
            </w:r>
          </w:p>
        </w:tc>
        <w:tc>
          <w:tcPr>
            <w:tcW w:w="0" w:type="dxa"/>
            <w:vAlign w:val="bottom"/>
          </w:tcPr>
          <w:p>
            <w:pPr>
              <w:spacing w:after="0"/>
              <w:rPr>
                <w:sz w:val="1"/>
                <w:szCs w:val="1"/>
                <w:color w:val="auto"/>
              </w:rPr>
            </w:pPr>
          </w:p>
        </w:tc>
      </w:tr>
      <w:tr>
        <w:trPr>
          <w:trHeight w:val="232"/>
        </w:trPr>
        <w:tc>
          <w:tcPr>
            <w:tcW w:w="7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Total lease payments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79,223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5,629</w:t>
            </w:r>
          </w:p>
        </w:tc>
        <w:tc>
          <w:tcPr>
            <w:tcW w:w="0" w:type="dxa"/>
            <w:vAlign w:val="bottom"/>
          </w:tcPr>
          <w:p>
            <w:pPr>
              <w:spacing w:after="0"/>
              <w:rPr>
                <w:sz w:val="1"/>
                <w:szCs w:val="1"/>
                <w:color w:val="auto"/>
              </w:rPr>
            </w:pPr>
          </w:p>
        </w:tc>
      </w:tr>
      <w:tr>
        <w:trPr>
          <w:trHeight w:val="259"/>
        </w:trPr>
        <w:tc>
          <w:tcPr>
            <w:tcW w:w="7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Less imputed interest</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(14,053)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(1,750)</w:t>
            </w:r>
          </w:p>
        </w:tc>
        <w:tc>
          <w:tcPr>
            <w:tcW w:w="0" w:type="dxa"/>
            <w:vAlign w:val="bottom"/>
          </w:tcPr>
          <w:p>
            <w:pPr>
              <w:spacing w:after="0"/>
              <w:rPr>
                <w:sz w:val="1"/>
                <w:szCs w:val="1"/>
                <w:color w:val="auto"/>
              </w:rPr>
            </w:pPr>
          </w:p>
        </w:tc>
      </w:tr>
      <w:tr>
        <w:trPr>
          <w:trHeight w:val="237"/>
        </w:trPr>
        <w:tc>
          <w:tcPr>
            <w:tcW w:w="7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Present value of lease liabilities</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65,170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Commitments and Contingencies</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Indemnification</w:t>
      </w:r>
    </w:p>
    <w:p>
      <w:pPr>
        <w:spacing w:after="0" w:line="129"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9"/>
          <w:szCs w:val="19"/>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0" w:lineRule="exact"/>
        <w:rPr>
          <w:sz w:val="20"/>
          <w:szCs w:val="20"/>
          <w:color w:val="auto"/>
        </w:rPr>
      </w:pPr>
    </w:p>
    <w:p>
      <w:pPr>
        <w:ind w:right="40" w:firstLine="480"/>
        <w:spacing w:after="0" w:line="260" w:lineRule="auto"/>
        <w:rPr>
          <w:sz w:val="20"/>
          <w:szCs w:val="20"/>
          <w:color w:val="auto"/>
        </w:rPr>
      </w:pPr>
      <w:r>
        <w:rPr>
          <w:rFonts w:ascii="Times New Roman" w:cs="Times New Roman" w:eastAsia="Times New Roman" w:hAnsi="Times New Roman"/>
          <w:sz w:val="19"/>
          <w:szCs w:val="19"/>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2025 and December 31, 2024.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Other Commitments</w:t>
      </w:r>
    </w:p>
    <w:p>
      <w:pPr>
        <w:spacing w:after="0" w:line="129" w:lineRule="exact"/>
        <w:rPr>
          <w:sz w:val="20"/>
          <w:szCs w:val="20"/>
          <w:color w:val="auto"/>
        </w:rPr>
      </w:pPr>
    </w:p>
    <w:p>
      <w:pPr>
        <w:ind w:right="16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we had $69.5 million of noncancelable purchase commitments due within one year, primarily related to agreements with third party manufacturers.</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are involved in legal proceedings, including the following matters:</w:t>
      </w:r>
    </w:p>
    <w:p>
      <w:pPr>
        <w:spacing w:after="0" w:line="135" w:lineRule="exact"/>
        <w:rPr>
          <w:sz w:val="20"/>
          <w:szCs w:val="20"/>
          <w:color w:val="auto"/>
        </w:rPr>
      </w:pPr>
    </w:p>
    <w:p>
      <w:pPr>
        <w:ind w:left="480"/>
        <w:spacing w:after="0"/>
        <w:rPr>
          <w:sz w:val="20"/>
          <w:szCs w:val="20"/>
          <w:color w:val="auto"/>
        </w:rPr>
      </w:pPr>
      <w:r>
        <w:rPr>
          <w:rFonts w:ascii="PMingLiU" w:cs="PMingLiU" w:eastAsia="PMingLiU" w:hAnsi="PMingLiU"/>
          <w:sz w:val="19"/>
          <w:szCs w:val="19"/>
          <w:i w:val="1"/>
          <w:iCs w:val="1"/>
          <w:color w:val="auto"/>
        </w:rPr>
        <w:t>;\UHP$QWLWUXVW/LWLJDWLRQ</w:t>
      </w:r>
    </w:p>
    <w:p>
      <w:pPr>
        <w:spacing w:after="0" w:line="117" w:lineRule="exact"/>
        <w:rPr>
          <w:sz w:val="20"/>
          <w:szCs w:val="20"/>
          <w:color w:val="auto"/>
        </w:rPr>
      </w:pPr>
    </w:p>
    <w:p>
      <w:pPr>
        <w:ind w:right="120" w:firstLine="480"/>
        <w:spacing w:after="0" w:line="259" w:lineRule="auto"/>
        <w:rPr>
          <w:sz w:val="20"/>
          <w:szCs w:val="20"/>
          <w:color w:val="auto"/>
        </w:rPr>
      </w:pPr>
      <w:r>
        <w:rPr>
          <w:rFonts w:ascii="Times New Roman" w:cs="Times New Roman" w:eastAsia="Times New Roman" w:hAnsi="Times New Roman"/>
          <w:sz w:val="19"/>
          <w:szCs w:val="19"/>
          <w:color w:val="auto"/>
        </w:rPr>
        <w:t>From June 2020 to May 2022, the Xyrem Antitrust Litigation was filed on behalf of purported direct and indirect Xyrem purchasers, alleging that the patent litigation settlement agreements we entered with generic drug manufacturers who had filed ANDAs violate state and federal antitrust and consumer protection laws. The Xyrem Antitrust Litigation was consolidated for multi-district litigation in the U.S. District Court for the Northern District of California, as previously disclosed in the notes to our consolidated financial statements for the year ended December 31, 2024 included in our Annual Report on Form 10-</w:t>
      </w:r>
      <w:r>
        <w:rPr>
          <w:rFonts w:ascii="PMingLiU" w:cs="PMingLiU" w:eastAsia="PMingLiU" w:hAnsi="PMingLiU"/>
          <w:sz w:val="19"/>
          <w:szCs w:val="19"/>
          <w:color w:val="auto"/>
        </w:rPr>
        <w:t>.IRU</w:t>
      </w:r>
      <w:r>
        <w:rPr>
          <w:rFonts w:ascii="Times New Roman" w:cs="Times New Roman" w:eastAsia="Times New Roman" w:hAnsi="Times New Roman"/>
          <w:sz w:val="19"/>
          <w:szCs w:val="19"/>
          <w:color w:val="auto"/>
        </w:rPr>
        <w:t xml:space="preserve"> the year ended December 31, 2024, and the notes to our unaudited condensed consolidated financial statements for the quarters ended March 31, 2025, June 30, 2025 and September 30, 2025, included in our Quarterly Reports on Form 10-Q for the quarters ended March 31, 2025, June 30, 2025 and September 30, 2025, respectively. As of October 2025, we resolved the entirety of the Xyrem Antitrust Litigation, as described further below.</w:t>
      </w:r>
    </w:p>
    <w:p>
      <w:pPr>
        <w:spacing w:after="0" w:line="76" w:lineRule="exact"/>
        <w:rPr>
          <w:sz w:val="20"/>
          <w:szCs w:val="20"/>
          <w:color w:val="auto"/>
        </w:rPr>
      </w:pPr>
    </w:p>
    <w:p>
      <w:pPr>
        <w:jc w:val="both"/>
        <w:ind w:right="220" w:firstLine="480"/>
        <w:spacing w:after="0" w:line="277" w:lineRule="auto"/>
        <w:rPr>
          <w:sz w:val="20"/>
          <w:szCs w:val="20"/>
          <w:color w:val="auto"/>
        </w:rPr>
      </w:pPr>
      <w:r>
        <w:rPr>
          <w:rFonts w:ascii="Times New Roman" w:cs="Times New Roman" w:eastAsia="Times New Roman" w:hAnsi="Times New Roman"/>
          <w:sz w:val="19"/>
          <w:szCs w:val="19"/>
          <w:color w:val="auto"/>
        </w:rPr>
        <w:t>On April 7, 2025, Jazz Ireland, our wholly-owned subsidiary, entered into a class settlement agreement with the class of indirect Xyrem purchasers to settle all claims of participating class members against the Company with respect to our actions leading up to, and entering into, patent litigation settlement agreements with the ANDA filers.</w:t>
      </w:r>
    </w:p>
    <w:p>
      <w:pPr>
        <w:spacing w:after="0" w:line="58" w:lineRule="exact"/>
        <w:rPr>
          <w:sz w:val="20"/>
          <w:szCs w:val="20"/>
          <w:color w:val="auto"/>
        </w:rPr>
      </w:pPr>
    </w:p>
    <w:p>
      <w:pPr>
        <w:ind w:right="40" w:firstLine="480"/>
        <w:spacing w:after="0" w:line="299" w:lineRule="auto"/>
        <w:rPr>
          <w:sz w:val="20"/>
          <w:szCs w:val="20"/>
          <w:color w:val="auto"/>
        </w:rPr>
      </w:pPr>
      <w:r>
        <w:rPr>
          <w:rFonts w:ascii="Times New Roman" w:cs="Times New Roman" w:eastAsia="Times New Roman" w:hAnsi="Times New Roman"/>
          <w:sz w:val="19"/>
          <w:szCs w:val="19"/>
          <w:color w:val="auto"/>
        </w:rPr>
        <w:t>Pursuant to the class settlement agreement, which was entered into with counsel representing the class representatives, we agreed to pay a total of $145.0 million in a lump sum. The class settlement agreement, in which we deny all alleged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128905</wp:posOffset>
            </wp:positionV>
            <wp:extent cx="259080" cy="2546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69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22"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F-30</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F-29</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69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69" w:name="page270"/>
    <w:bookmarkEnd w:id="269"/>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20"/>
        <w:spacing w:after="0" w:line="277" w:lineRule="auto"/>
        <w:rPr>
          <w:sz w:val="20"/>
          <w:szCs w:val="20"/>
          <w:color w:val="auto"/>
        </w:rPr>
      </w:pPr>
      <w:r>
        <w:rPr>
          <w:rFonts w:ascii="Times New Roman" w:cs="Times New Roman" w:eastAsia="Times New Roman" w:hAnsi="Times New Roman"/>
          <w:sz w:val="19"/>
          <w:szCs w:val="19"/>
          <w:color w:val="auto"/>
        </w:rPr>
        <w:t>wrongdoing, also includes specified releases by our class members and our past, present and future affiliates, directors, officers, employees and other related parties, for all conduct concerning any of the matters alleged, or that could have been alleged, in the lawsuit.</w:t>
      </w:r>
    </w:p>
    <w:p>
      <w:pPr>
        <w:spacing w:after="0" w:line="58" w:lineRule="exact"/>
        <w:rPr>
          <w:sz w:val="20"/>
          <w:szCs w:val="20"/>
          <w:color w:val="auto"/>
        </w:rPr>
      </w:pPr>
    </w:p>
    <w:p>
      <w:pPr>
        <w:ind w:left="60" w:right="220" w:firstLine="480"/>
        <w:spacing w:after="0" w:line="270" w:lineRule="auto"/>
        <w:rPr>
          <w:sz w:val="20"/>
          <w:szCs w:val="20"/>
          <w:color w:val="auto"/>
        </w:rPr>
      </w:pPr>
      <w:r>
        <w:rPr>
          <w:rFonts w:ascii="Times New Roman" w:cs="Times New Roman" w:eastAsia="Times New Roman" w:hAnsi="Times New Roman"/>
          <w:sz w:val="19"/>
          <w:szCs w:val="19"/>
          <w:color w:val="auto"/>
        </w:rPr>
        <w:t>The U.S. District Court for the Northern District of California held a preliminary approval hearing regarding the class settlement agreement on May 15, 2025, and granted the motion for preliminary approval on May 16, 2025. The U.S. District Court for the Northern District of California held a final approval hearing regarding the class settlement on October 23, 2025 and approved the class settlement agreement on October 27, 2025.</w:t>
      </w:r>
    </w:p>
    <w:p>
      <w:pPr>
        <w:spacing w:after="0" w:line="64" w:lineRule="exact"/>
        <w:rPr>
          <w:sz w:val="20"/>
          <w:szCs w:val="20"/>
          <w:color w:val="auto"/>
        </w:rPr>
      </w:pPr>
    </w:p>
    <w:p>
      <w:pPr>
        <w:ind w:left="60" w:right="80" w:firstLine="480"/>
        <w:spacing w:after="0" w:line="288" w:lineRule="auto"/>
        <w:rPr>
          <w:sz w:val="20"/>
          <w:szCs w:val="20"/>
          <w:color w:val="auto"/>
        </w:rPr>
      </w:pPr>
      <w:r>
        <w:rPr>
          <w:rFonts w:ascii="Times New Roman" w:cs="Times New Roman" w:eastAsia="Times New Roman" w:hAnsi="Times New Roman"/>
          <w:sz w:val="19"/>
          <w:szCs w:val="19"/>
          <w:color w:val="auto"/>
        </w:rPr>
        <w:t>On May 20, 2025, Jazz Ireland entered into a settlement agreement with United Healthcare to settle all of United Healthcare’s claims against us with respect to our actions leading up to, and entering into, patent litigation settlement agreements with the ANDA filers. Pursuant to that settlement agreement, on June 23, 2025, United Healthcare filed a motion for voluntary dismissal with prejudice of its claims against us. The U.S. District Court for the Northern District of California granted United Healthcare’s motion on July</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16, 2025. The terms of the settlement between Jazz Ireland and United Healthcare are confidential.</w:t>
      </w:r>
    </w:p>
    <w:p>
      <w:pPr>
        <w:spacing w:after="0" w:line="215" w:lineRule="exact"/>
        <w:rPr>
          <w:sz w:val="20"/>
          <w:szCs w:val="20"/>
          <w:color w:val="auto"/>
        </w:rPr>
      </w:pPr>
    </w:p>
    <w:p>
      <w:pPr>
        <w:ind w:left="60" w:right="120" w:firstLine="480"/>
        <w:spacing w:after="0" w:line="251" w:lineRule="auto"/>
        <w:rPr>
          <w:sz w:val="20"/>
          <w:szCs w:val="20"/>
          <w:color w:val="auto"/>
        </w:rPr>
      </w:pPr>
      <w:r>
        <w:rPr>
          <w:rFonts w:ascii="Times New Roman" w:cs="Times New Roman" w:eastAsia="Times New Roman" w:hAnsi="Times New Roman"/>
          <w:sz w:val="19"/>
          <w:szCs w:val="19"/>
          <w:color w:val="auto"/>
        </w:rPr>
        <w:t>On August 29, 2025, Jazz Ireland entered into a settlement agreement with the Federal Opt-Out Plaintiffs and Aetna to settle all of the Federal Opt-Out Plaintiffs’ and Aetna's claims against us with respect to our actions leading up to, and entering into, patent litigation settlement agreements with the ANDA filers. Pursuant to the settlement agreement, on</w:t>
      </w:r>
    </w:p>
    <w:p>
      <w:pPr>
        <w:spacing w:after="0" w:line="2" w:lineRule="exact"/>
        <w:rPr>
          <w:sz w:val="20"/>
          <w:szCs w:val="20"/>
          <w:color w:val="auto"/>
        </w:rPr>
      </w:pPr>
    </w:p>
    <w:p>
      <w:pPr>
        <w:ind w:left="60"/>
        <w:spacing w:after="0" w:line="257" w:lineRule="auto"/>
        <w:rPr>
          <w:sz w:val="20"/>
          <w:szCs w:val="20"/>
          <w:color w:val="auto"/>
        </w:rPr>
      </w:pPr>
      <w:r>
        <w:rPr>
          <w:rFonts w:ascii="Times New Roman" w:cs="Times New Roman" w:eastAsia="Times New Roman" w:hAnsi="Times New Roman"/>
          <w:sz w:val="19"/>
          <w:szCs w:val="19"/>
          <w:color w:val="auto"/>
        </w:rPr>
        <w:t>September 29, 2025, Aetna filed a Request for Dismissal with prejudice of its claims against us. On September</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30, 2025, the U.S. District Court for the Northern District of California dismissed Aetna’s claims. On September 30, 2025, the Federal Opt-Out Plaintiffs filed a motion for voluntary dismissal with prejudice of their claims against us. The U.S. District Court for the Northern District of California granted the Federal Opt-Out Plaintiffs’ motion on September 30, 2025. On October 7, 2025, we, Hikma, and Aetna filed a stipulation for voluntary dismissal of Aetna’s pending appeal to the United States Court of Appeals for the Ninth Circuit. On October 10, 2025, the United States Court of Appeals for the Ninth Circuit dismissed Aetna’s appeal. The terms of the settlement agreement between Jazz Ireland and the Federal Opt-Out Plaintiffs and Aetna are confidential.</w:t>
      </w:r>
    </w:p>
    <w:p>
      <w:pPr>
        <w:spacing w:after="0" w:line="81" w:lineRule="exact"/>
        <w:rPr>
          <w:sz w:val="20"/>
          <w:szCs w:val="20"/>
          <w:color w:val="auto"/>
        </w:rPr>
      </w:pPr>
    </w:p>
    <w:p>
      <w:pPr>
        <w:ind w:left="60" w:right="480" w:firstLine="480"/>
        <w:spacing w:after="0" w:line="277" w:lineRule="auto"/>
        <w:rPr>
          <w:sz w:val="20"/>
          <w:szCs w:val="20"/>
          <w:color w:val="auto"/>
        </w:rPr>
      </w:pPr>
      <w:r>
        <w:rPr>
          <w:rFonts w:ascii="Times New Roman" w:cs="Times New Roman" w:eastAsia="Times New Roman" w:hAnsi="Times New Roman"/>
          <w:sz w:val="19"/>
          <w:szCs w:val="19"/>
          <w:color w:val="auto"/>
        </w:rPr>
        <w:t>During the year ended December 31, 2025, we recognized expenses of $233.5 million, within selling, general and administrative expenses in our consolidated statements of income (loss) for charges related to the resolution of the Xyrem Antitrust Litigation, including the class settlement.</w:t>
      </w:r>
    </w:p>
    <w:p>
      <w:pPr>
        <w:spacing w:after="0" w:line="62"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3DWHQW,QIULQJHPHQW/LWLJDWLRQ</w:t>
      </w:r>
    </w:p>
    <w:p>
      <w:pPr>
        <w:spacing w:after="0" w:line="121"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$YDGHO/LWLJDWLRQ</w:t>
      </w:r>
    </w:p>
    <w:p>
      <w:pPr>
        <w:spacing w:after="0" w:line="117" w:lineRule="exact"/>
        <w:rPr>
          <w:sz w:val="20"/>
          <w:szCs w:val="20"/>
          <w:color w:val="auto"/>
        </w:rPr>
      </w:pPr>
    </w:p>
    <w:p>
      <w:pPr>
        <w:ind w:left="60" w:right="40" w:firstLine="480"/>
        <w:spacing w:after="0" w:line="254" w:lineRule="auto"/>
        <w:rPr>
          <w:sz w:val="20"/>
          <w:szCs w:val="20"/>
          <w:color w:val="auto"/>
        </w:rPr>
      </w:pPr>
      <w:r>
        <w:rPr>
          <w:rFonts w:ascii="Times New Roman" w:cs="Times New Roman" w:eastAsia="Times New Roman" w:hAnsi="Times New Roman"/>
          <w:sz w:val="19"/>
          <w:szCs w:val="19"/>
          <w:color w:val="auto"/>
        </w:rPr>
        <w:t>As previously disclosed in the notes to our consolidated financial statements for the year ended December 31, 2024, included in our Annual Report on Form 10-</w:t>
      </w:r>
      <w:r>
        <w:rPr>
          <w:rFonts w:ascii="PMingLiU" w:cs="PMingLiU" w:eastAsia="PMingLiU" w:hAnsi="PMingLiU"/>
          <w:sz w:val="19"/>
          <w:szCs w:val="19"/>
          <w:color w:val="auto"/>
        </w:rPr>
        <w:t>.IRUWKH\HDUHQGHG'HFHPEHUDQGWKHQRWHVWRRXUXQDXGLWHGFRQGHQVHG</w:t>
      </w:r>
      <w:r>
        <w:rPr>
          <w:rFonts w:ascii="Times New Roman" w:cs="Times New Roman" w:eastAsia="Times New Roman" w:hAnsi="Times New Roman"/>
          <w:sz w:val="19"/>
          <w:szCs w:val="19"/>
          <w:color w:val="auto"/>
        </w:rPr>
        <w:t xml:space="preserve"> consolidated financial statements for the quarters ended March 31, 2025, June 30, 2025 and September 30, 2025, included in our Quarterly Reports on Form 10-Q for the quarters ended March 31, 2025, June 30, 2025 and September 30, 2025, respectively, we were a party to certain legal proceedings against Avadel, which as of February 2026, is a subsidiary of Alkermes. From May 2021 to July 2022, we filed a number of patent infringement suits against Avadel, and several of its corporate affiliates in the United States District Court for the District of Delaware, alleging that Avadel’s Lumryz infringes a number of our patents. In response, Avadel filed a series of counterclaims, including counterclaims asserting that we engaged in unlawful monopolization in violation of the Sherman Antitrust Act, and in April 2022, Avadel sued us in the U.S. District Court for the District of Delaware alleging that we misappropriated trade secrets and breached certain contracts between the parties. Additionally, from December 2024 through April 2025, Avadel filed a series of patent infringement suits against us in the U.S. District Court for the District of Delaware, alleging that our sales of Xywav infringe on certain newly-issued Avadel patents.</w:t>
      </w:r>
      <w:r>
        <w:rPr>
          <w:rFonts w:ascii="Arial" w:cs="Arial" w:eastAsia="Arial" w:hAnsi="Arial"/>
          <w:sz w:val="23"/>
          <w:szCs w:val="23"/>
          <w:color w:val="auto"/>
        </w:rPr>
        <w:t>ϙ</w:t>
      </w:r>
    </w:p>
    <w:p>
      <w:pPr>
        <w:spacing w:after="0" w:line="74" w:lineRule="exact"/>
        <w:rPr>
          <w:sz w:val="20"/>
          <w:szCs w:val="20"/>
          <w:color w:val="auto"/>
        </w:rPr>
      </w:pPr>
    </w:p>
    <w:p>
      <w:pPr>
        <w:ind w:left="60" w:right="20" w:firstLine="480"/>
        <w:spacing w:after="0" w:line="259" w:lineRule="auto"/>
        <w:rPr>
          <w:sz w:val="20"/>
          <w:szCs w:val="20"/>
          <w:color w:val="auto"/>
        </w:rPr>
      </w:pPr>
      <w:r>
        <w:rPr>
          <w:rFonts w:ascii="Times New Roman" w:cs="Times New Roman" w:eastAsia="Times New Roman" w:hAnsi="Times New Roman"/>
          <w:sz w:val="19"/>
          <w:szCs w:val="19"/>
          <w:color w:val="auto"/>
        </w:rPr>
        <w:t>On October 21, 2025, we entered into a global settlement agreement with Avadel CNS Pharmaceuticals LLC and Flamel Ireland Limited, subsidiaries of Avadel Pharmaceuticals plc (collectively, “Avadel”) to settle all claims relating to all disputes between the parties, including the Company’s previously disclosed ongoing patent infringement litigation against Avadel in the U.S. District Court for the District of Delaware and Avadel’s counterclaims alleging anticompetitive conduct by us and other alleged conduct related to Avadel trade secrets and contracts between the parties, as well as Avadel’s ongoing patent infringement litigation in the U.S. District Court for the District of Delaware against us. Pursuant to the settlement agreement, we agreed to (a) grant a license to Avadel, effective immediately to any past, present, or future patents that could be asserted by us against Avadel’s Lumryz product for use in Narcolepsy Indications, and (b) grant a license to Avadel effective March 1, 2028 to any past, present, or future patents that could be asserted by us against Avadel’s Lumryz products for use in Non-Narcolepsy Indications, including all present and future indications, strengths, conditions of use, dosages, doses, dosage forms, and presentations. Pursuant to the settlement agreement, Avadel has agreed to pay royalties to us of 3.85% (subject to a potential reduction to 3.75%) on net sales of its Lumryz product for Narcolepsy Indications commencing October 1, 2025, and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110490</wp:posOffset>
            </wp:positionV>
            <wp:extent cx="259080" cy="2546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70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F-30</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F-31</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70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70" w:name="page271"/>
    <w:bookmarkEnd w:id="270"/>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March 1, 2028, to pay royalties to us of 10% (subject to a potential reduction to 9.5%) on net sales of its Lumryz product for Non-Narcolepsy Indications. Avadel has also agreed not to market, offer for sale, take orders for, distribute, promote, or provide patient support services with respect to Avadel Licensed Products for Non-Narcolepsy Indications before March 1, 2028, and to pay royalties to us of 80% of such unpermitted net sales of its Lumryz product for Non-Narcolepsy Indications from October 1, 2025 through February 29, 2028. Pursuant to the settlement agreement, Avadel grants us a covenant not to sue for infringement of any past, present or future patents that could be asserted against the Xywav or Xyrem products, including all present and future indications, strengths, conditions of use, dosages, doses, dosage forms, and presentations. We have not agreed to waive or otherwise consent to the “breaking” of the Orphan Drug Exclusivity for Xywav in IH as part of this settlement. Pursuant to the settlement agreement, we agreed to (a) pay a total of $90.0 million in a lump sum in settlement of Avadel’s pending claims against us and (b) waive our right to receive certain royalties the U.S. District Court for the District of Delaware previously ordered Avadel to pay us on sales of Avadel’s Lumryz product through September 30, 2025.</w:t>
      </w:r>
      <w:r>
        <w:rPr>
          <w:rFonts w:ascii="Arial" w:cs="Arial" w:eastAsia="Arial" w:hAnsi="Arial"/>
          <w:sz w:val="23"/>
          <w:szCs w:val="23"/>
          <w:color w:val="auto"/>
        </w:rPr>
        <w:t>ϙ</w:t>
      </w:r>
    </w:p>
    <w:p>
      <w:pPr>
        <w:spacing w:after="0" w:line="74" w:lineRule="exact"/>
        <w:rPr>
          <w:sz w:val="20"/>
          <w:szCs w:val="20"/>
          <w:color w:val="auto"/>
        </w:rPr>
      </w:pPr>
    </w:p>
    <w:p>
      <w:pPr>
        <w:ind w:right="220" w:firstLine="480"/>
        <w:spacing w:after="0" w:line="264" w:lineRule="auto"/>
        <w:rPr>
          <w:sz w:val="20"/>
          <w:szCs w:val="20"/>
          <w:color w:val="auto"/>
        </w:rPr>
      </w:pPr>
      <w:r>
        <w:rPr>
          <w:rFonts w:ascii="Times New Roman" w:cs="Times New Roman" w:eastAsia="Times New Roman" w:hAnsi="Times New Roman"/>
          <w:sz w:val="19"/>
          <w:szCs w:val="19"/>
          <w:color w:val="auto"/>
        </w:rPr>
        <w:t>The settlement agreement obligated the parties to promptly file stipulations of dismissal with the U.S. District Court for the District of Delaware or otherwise abandon the pending legal proceedings, and as of October 27, 2025, the U.S. District Court for the District of Delaware dismissed all relevant matters with prejudice. The settlement agreement, in which we deny all alleged wrongdoing, also includes releases by us, on the one hand, and Avadel, on the other hand, and each of their past, present and future affiliates, directors, officers, employees and other related parties, for all conduct concerning any of the matters alleged, or that could have been alleged, in the lawsuit.</w:t>
      </w:r>
    </w:p>
    <w:p>
      <w:pPr>
        <w:spacing w:after="0" w:line="71" w:lineRule="exact"/>
        <w:rPr>
          <w:sz w:val="20"/>
          <w:szCs w:val="20"/>
          <w:color w:val="auto"/>
        </w:rPr>
      </w:pPr>
    </w:p>
    <w:p>
      <w:pPr>
        <w:ind w:right="500" w:firstLine="480"/>
        <w:spacing w:after="0" w:line="277" w:lineRule="auto"/>
        <w:rPr>
          <w:sz w:val="20"/>
          <w:szCs w:val="20"/>
          <w:color w:val="auto"/>
        </w:rPr>
      </w:pPr>
      <w:r>
        <w:rPr>
          <w:rFonts w:ascii="Times New Roman" w:cs="Times New Roman" w:eastAsia="Times New Roman" w:hAnsi="Times New Roman"/>
          <w:sz w:val="19"/>
          <w:szCs w:val="19"/>
          <w:color w:val="auto"/>
        </w:rPr>
        <w:t>During the year ended December 31, 2025, we recorded an expense of $90.0 million, within selling, general and administrative expenses in our consolidated statements of income (loss), for charges related to the resolution of the Avadel Litigation.</w:t>
      </w:r>
    </w:p>
    <w:p>
      <w:pPr>
        <w:spacing w:after="0" w:line="62" w:lineRule="exact"/>
        <w:rPr>
          <w:sz w:val="20"/>
          <w:szCs w:val="20"/>
          <w:color w:val="auto"/>
        </w:rPr>
      </w:pPr>
    </w:p>
    <w:p>
      <w:pPr>
        <w:ind w:left="480"/>
        <w:spacing w:after="0"/>
        <w:rPr>
          <w:sz w:val="20"/>
          <w:szCs w:val="20"/>
          <w:color w:val="auto"/>
        </w:rPr>
      </w:pPr>
      <w:r>
        <w:rPr>
          <w:rFonts w:ascii="PMingLiU" w:cs="PMingLiU" w:eastAsia="PMingLiU" w:hAnsi="PMingLiU"/>
          <w:sz w:val="19"/>
          <w:szCs w:val="19"/>
          <w:i w:val="1"/>
          <w:iCs w:val="1"/>
          <w:color w:val="auto"/>
        </w:rPr>
        <w:t>;\ZDY3DWHQW/LWLJDWLRQ</w:t>
      </w:r>
    </w:p>
    <w:p>
      <w:pPr>
        <w:spacing w:after="0" w:line="117" w:lineRule="exact"/>
        <w:rPr>
          <w:sz w:val="20"/>
          <w:szCs w:val="20"/>
          <w:color w:val="auto"/>
        </w:rPr>
      </w:pPr>
    </w:p>
    <w:p>
      <w:pPr>
        <w:ind w:right="180" w:firstLine="480"/>
        <w:spacing w:after="0" w:line="270" w:lineRule="auto"/>
        <w:rPr>
          <w:sz w:val="20"/>
          <w:szCs w:val="20"/>
          <w:color w:val="auto"/>
        </w:rPr>
      </w:pPr>
      <w:r>
        <w:rPr>
          <w:rFonts w:ascii="Times New Roman" w:cs="Times New Roman" w:eastAsia="Times New Roman" w:hAnsi="Times New Roman"/>
          <w:sz w:val="19"/>
          <w:szCs w:val="19"/>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64" w:lineRule="exact"/>
        <w:rPr>
          <w:sz w:val="20"/>
          <w:szCs w:val="20"/>
          <w:color w:val="auto"/>
        </w:rPr>
      </w:pPr>
    </w:p>
    <w:p>
      <w:pPr>
        <w:ind w:right="280" w:firstLine="480"/>
        <w:spacing w:after="0" w:line="263" w:lineRule="auto"/>
        <w:rPr>
          <w:sz w:val="20"/>
          <w:szCs w:val="20"/>
          <w:color w:val="auto"/>
        </w:rPr>
      </w:pPr>
      <w:r>
        <w:rPr>
          <w:rFonts w:ascii="Times New Roman" w:cs="Times New Roman" w:eastAsia="Times New Roman" w:hAnsi="Times New Roman"/>
          <w:sz w:val="19"/>
          <w:szCs w:val="19"/>
          <w:color w:val="auto"/>
        </w:rPr>
        <w:t>In July 2021, we filed a patent infringement suit against Lupin in the U.S.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In April 2022, we received notice from Lupin that it had filed a paragraph IV certification regarding a newly-issued</w:t>
      </w:r>
    </w:p>
    <w:p>
      <w:pPr>
        <w:spacing w:after="0" w:line="4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patent listed in the Orange Book for Xywav. On May 11, 2022, we filed an additional lawsuit against Lupin in the U.S.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U.S. District Court for the District of New Jersey consolidated the two lawsuits we filed against Lupin.</w:t>
      </w:r>
    </w:p>
    <w:p>
      <w:pPr>
        <w:spacing w:after="0" w:line="76"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In November 2022, we received notice from Lupin that it had filed a paragraph IV certification regarding a newly-issued patent listed in the Orange Book for Xywav. On January 19, 2023, we filed an additional lawsuit against Lupin in the U.S.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U.S. District Court for the District of New Jersey consolidated the new lawsuit with the two suits we previously filed against Lupin. No trial date has been set in the consolidated case against Lupin.</w:t>
      </w:r>
    </w:p>
    <w:p>
      <w:pPr>
        <w:spacing w:after="0" w:line="70" w:lineRule="exact"/>
        <w:rPr>
          <w:sz w:val="20"/>
          <w:szCs w:val="20"/>
          <w:color w:val="auto"/>
        </w:rPr>
      </w:pPr>
    </w:p>
    <w:p>
      <w:pPr>
        <w:ind w:right="160" w:firstLine="480"/>
        <w:spacing w:after="0" w:line="270" w:lineRule="auto"/>
        <w:rPr>
          <w:sz w:val="20"/>
          <w:szCs w:val="20"/>
          <w:color w:val="auto"/>
        </w:rPr>
      </w:pPr>
      <w:r>
        <w:rPr>
          <w:rFonts w:ascii="Times New Roman" w:cs="Times New Roman" w:eastAsia="Times New Roman" w:hAnsi="Times New Roman"/>
          <w:sz w:val="19"/>
          <w:szCs w:val="19"/>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64" w:lineRule="exact"/>
        <w:rPr>
          <w:sz w:val="20"/>
          <w:szCs w:val="20"/>
          <w:color w:val="auto"/>
        </w:rPr>
      </w:pPr>
    </w:p>
    <w:p>
      <w:pPr>
        <w:jc w:val="both"/>
        <w:ind w:right="100" w:firstLine="480"/>
        <w:spacing w:after="0" w:line="277" w:lineRule="auto"/>
        <w:rPr>
          <w:sz w:val="20"/>
          <w:szCs w:val="20"/>
          <w:color w:val="auto"/>
        </w:rPr>
      </w:pPr>
      <w:r>
        <w:rPr>
          <w:rFonts w:ascii="Times New Roman" w:cs="Times New Roman" w:eastAsia="Times New Roman" w:hAnsi="Times New Roman"/>
          <w:sz w:val="19"/>
          <w:szCs w:val="19"/>
          <w:color w:val="auto"/>
        </w:rPr>
        <w:t>In March 2023, we filed a patent infringement suit against Teva in the U.S.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172085</wp:posOffset>
            </wp:positionV>
            <wp:extent cx="259080" cy="2546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702">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89"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F-32</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F-31</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703">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71" w:name="page272"/>
    <w:bookmarkEnd w:id="27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of this lawsuit, we expect that a stay of approval of up to 30 months will be imposed by FDA on Teva’s ANDA. On</w:t>
      </w:r>
    </w:p>
    <w:p>
      <w:pPr>
        <w:spacing w:after="0" w:line="40" w:lineRule="exact"/>
        <w:rPr>
          <w:sz w:val="20"/>
          <w:szCs w:val="20"/>
          <w:color w:val="auto"/>
        </w:rPr>
      </w:pPr>
    </w:p>
    <w:p>
      <w:pPr>
        <w:ind w:left="60" w:right="60"/>
        <w:spacing w:after="0" w:line="271" w:lineRule="auto"/>
        <w:rPr>
          <w:sz w:val="20"/>
          <w:szCs w:val="20"/>
          <w:color w:val="auto"/>
        </w:rPr>
      </w:pPr>
      <w:r>
        <w:rPr>
          <w:rFonts w:ascii="Times New Roman" w:cs="Times New Roman" w:eastAsia="Times New Roman" w:hAnsi="Times New Roman"/>
          <w:sz w:val="19"/>
          <w:szCs w:val="19"/>
          <w:color w:val="auto"/>
        </w:rPr>
        <w:t>May 23, 2023, Teva filed an answer to the complaint and counterclaims asserting that the patents are invalid or not enforceable, and that its product, if approved, will not infringe our patents.</w:t>
      </w:r>
    </w:p>
    <w:p>
      <w:pPr>
        <w:spacing w:after="0" w:line="63" w:lineRule="exact"/>
        <w:rPr>
          <w:sz w:val="20"/>
          <w:szCs w:val="20"/>
          <w:color w:val="auto"/>
        </w:rPr>
      </w:pPr>
    </w:p>
    <w:p>
      <w:pPr>
        <w:ind w:left="60" w:right="180" w:firstLine="480"/>
        <w:spacing w:after="0" w:line="299" w:lineRule="auto"/>
        <w:rPr>
          <w:sz w:val="20"/>
          <w:szCs w:val="20"/>
          <w:color w:val="auto"/>
        </w:rPr>
      </w:pPr>
      <w:r>
        <w:rPr>
          <w:rFonts w:ascii="Times New Roman" w:cs="Times New Roman" w:eastAsia="Times New Roman" w:hAnsi="Times New Roman"/>
          <w:sz w:val="19"/>
          <w:szCs w:val="19"/>
          <w:color w:val="auto"/>
        </w:rPr>
        <w:t>On December 15, 2023, based on a stipulation between all parties, the U.S. District Court for the District of New Jersey consolidated the Lupin lawsuits and the Teva lawsuit for all purposes. No trial date has been set in the consolidated case.</w:t>
      </w:r>
    </w:p>
    <w:p>
      <w:pPr>
        <w:spacing w:after="0" w:line="38" w:lineRule="exact"/>
        <w:rPr>
          <w:sz w:val="20"/>
          <w:szCs w:val="20"/>
          <w:color w:val="auto"/>
        </w:rPr>
      </w:pPr>
    </w:p>
    <w:p>
      <w:pPr>
        <w:ind w:left="60" w:right="60" w:firstLine="480"/>
        <w:spacing w:after="0" w:line="266" w:lineRule="auto"/>
        <w:rPr>
          <w:sz w:val="20"/>
          <w:szCs w:val="20"/>
          <w:color w:val="auto"/>
        </w:rPr>
      </w:pPr>
      <w:r>
        <w:rPr>
          <w:rFonts w:ascii="Times New Roman" w:cs="Times New Roman" w:eastAsia="Times New Roman" w:hAnsi="Times New Roman"/>
          <w:sz w:val="19"/>
          <w:szCs w:val="19"/>
          <w:color w:val="auto"/>
        </w:rPr>
        <w:t>In July 2024, we received notices from Lupin and Teva that they had each filed a paragraph IV certification regarding a newly-issued patent listed in the Orange Book for Xywav. On August 27, 2024, we filed an additional lawsuit in the U.S.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70" w:lineRule="exact"/>
        <w:rPr>
          <w:sz w:val="20"/>
          <w:szCs w:val="20"/>
          <w:color w:val="auto"/>
        </w:rPr>
      </w:pPr>
    </w:p>
    <w:p>
      <w:pPr>
        <w:ind w:left="60" w:right="40" w:firstLine="480"/>
        <w:spacing w:after="0" w:line="270" w:lineRule="auto"/>
        <w:rPr>
          <w:sz w:val="20"/>
          <w:szCs w:val="20"/>
          <w:color w:val="auto"/>
        </w:rPr>
      </w:pPr>
      <w:r>
        <w:rPr>
          <w:rFonts w:ascii="Times New Roman" w:cs="Times New Roman" w:eastAsia="Times New Roman" w:hAnsi="Times New Roman"/>
          <w:sz w:val="19"/>
          <w:szCs w:val="19"/>
          <w:color w:val="auto"/>
        </w:rPr>
        <w:t>In July 2025, we received notice from Granules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64" w:lineRule="exact"/>
        <w:rPr>
          <w:sz w:val="20"/>
          <w:szCs w:val="20"/>
          <w:color w:val="auto"/>
        </w:rPr>
      </w:pPr>
    </w:p>
    <w:p>
      <w:pPr>
        <w:ind w:left="60" w:right="100" w:firstLine="480"/>
        <w:spacing w:after="0" w:line="266" w:lineRule="auto"/>
        <w:rPr>
          <w:sz w:val="20"/>
          <w:szCs w:val="20"/>
          <w:color w:val="auto"/>
        </w:rPr>
      </w:pPr>
      <w:r>
        <w:rPr>
          <w:rFonts w:ascii="Times New Roman" w:cs="Times New Roman" w:eastAsia="Times New Roman" w:hAnsi="Times New Roman"/>
          <w:sz w:val="19"/>
          <w:szCs w:val="19"/>
          <w:color w:val="auto"/>
        </w:rPr>
        <w:t>In August 2025, we filed a patent infringement suit against Granules in the U.S. District Court for the District of New Jersey. The complaint alleges that by filing its ANDA, Granules has infringed fourteen of our Orange Book-listed patents. We are seeking a permanent injunction to prevent Granules from introducing a generic version of Xywav that would infringe our patents. As a result of this lawsuit, we expect that a stay of approval of up to 30 months will be imposed by FDA on Granules’ ANDA.</w:t>
      </w:r>
    </w:p>
    <w:p>
      <w:pPr>
        <w:spacing w:after="0" w:line="74"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=HS]HOFD3DWHQW/LWLJDWLRQ</w:t>
      </w:r>
    </w:p>
    <w:p>
      <w:pPr>
        <w:spacing w:after="0" w:line="117" w:lineRule="exact"/>
        <w:rPr>
          <w:sz w:val="20"/>
          <w:szCs w:val="20"/>
          <w:color w:val="auto"/>
        </w:rPr>
      </w:pPr>
    </w:p>
    <w:p>
      <w:pPr>
        <w:ind w:left="60" w:right="80" w:firstLine="480"/>
        <w:spacing w:after="0" w:line="263" w:lineRule="auto"/>
        <w:rPr>
          <w:sz w:val="20"/>
          <w:szCs w:val="20"/>
          <w:color w:val="auto"/>
        </w:rPr>
      </w:pPr>
      <w:r>
        <w:rPr>
          <w:rFonts w:ascii="Times New Roman" w:cs="Times New Roman" w:eastAsia="Times New Roman" w:hAnsi="Times New Roman"/>
          <w:sz w:val="19"/>
          <w:szCs w:val="19"/>
          <w:color w:val="auto"/>
        </w:rPr>
        <w:t>In July and August 2024, we received notices from the Zepzelca ANDA Filers that they have each filed with FDA an ANDA for a generic version of Zepzelca.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We are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70" w:lineRule="exact"/>
        <w:rPr>
          <w:sz w:val="20"/>
          <w:szCs w:val="20"/>
          <w:color w:val="auto"/>
        </w:rPr>
      </w:pPr>
    </w:p>
    <w:p>
      <w:pPr>
        <w:ind w:left="60" w:firstLine="480"/>
        <w:spacing w:after="0" w:line="270" w:lineRule="auto"/>
        <w:rPr>
          <w:sz w:val="20"/>
          <w:szCs w:val="20"/>
          <w:color w:val="auto"/>
        </w:rPr>
      </w:pPr>
      <w:r>
        <w:rPr>
          <w:rFonts w:ascii="Times New Roman" w:cs="Times New Roman" w:eastAsia="Times New Roman" w:hAnsi="Times New Roman"/>
          <w:sz w:val="19"/>
          <w:szCs w:val="19"/>
          <w:color w:val="auto"/>
        </w:rPr>
        <w:t>On September 11, 2024, we and PharmaMar filed a patent infringement suit against the Zepzelca ANDA Filers in the U.S.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w:t>
      </w:r>
    </w:p>
    <w:p>
      <w:pPr>
        <w:spacing w:after="0" w:line="64" w:lineRule="exact"/>
        <w:rPr>
          <w:sz w:val="20"/>
          <w:szCs w:val="20"/>
          <w:color w:val="auto"/>
        </w:rPr>
      </w:pPr>
    </w:p>
    <w:p>
      <w:pPr>
        <w:ind w:left="60" w:right="80" w:firstLine="480"/>
        <w:spacing w:after="0" w:line="277" w:lineRule="auto"/>
        <w:rPr>
          <w:sz w:val="20"/>
          <w:szCs w:val="20"/>
          <w:color w:val="auto"/>
        </w:rPr>
      </w:pPr>
      <w:r>
        <w:rPr>
          <w:rFonts w:ascii="Times New Roman" w:cs="Times New Roman" w:eastAsia="Times New Roman" w:hAnsi="Times New Roman"/>
          <w:sz w:val="19"/>
          <w:szCs w:val="19"/>
          <w:color w:val="auto"/>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On March 26, 2025, we and Sandoz stipulated to the dismissal of our lawsuit against Sandoz without prejudice.</w:t>
      </w:r>
    </w:p>
    <w:p>
      <w:pPr>
        <w:spacing w:after="0" w:line="131" w:lineRule="exact"/>
        <w:rPr>
          <w:sz w:val="20"/>
          <w:szCs w:val="20"/>
          <w:color w:val="auto"/>
        </w:rPr>
      </w:pPr>
    </w:p>
    <w:p>
      <w:pPr>
        <w:ind w:left="60" w:right="40" w:firstLine="479"/>
        <w:spacing w:after="0" w:line="328" w:lineRule="auto"/>
        <w:rPr>
          <w:sz w:val="20"/>
          <w:szCs w:val="20"/>
          <w:color w:val="auto"/>
        </w:rPr>
      </w:pPr>
      <w:r>
        <w:rPr>
          <w:rFonts w:ascii="PMingLiU" w:cs="PMingLiU" w:eastAsia="PMingLiU" w:hAnsi="PMingLiU"/>
          <w:sz w:val="15"/>
          <w:szCs w:val="15"/>
          <w:color w:val="auto"/>
        </w:rPr>
        <w:t>2Q6HSWHPEHUZHDQG3KDUPD0DUILOHGDSDWHQWLQIULQJHPHQWVXLWDJDLQVW5.3KDUPDLQWKH86'LVWULFW &amp;RXUWIRUWKH'LVWULFWRI'HODZDUH7KHFRPSODLQWDOOHJHVWKDWE\ILOLQJLWV$1'$5.3KDUPDKDVLQIULQJHGWKH2UDQJH%RRN OLVWHGSDWHQWIRU=HS]HOFDDQGVHHNVDQRUGHUWKDWWKHHIIHFWLYHGDWHRI)'$DSSURYDORI5.3KDUPD¶V$1'$VKDOOEHQRHDUOLH</w:t>
      </w:r>
      <w:r>
        <w:rPr>
          <w:rFonts w:ascii="Times New Roman" w:cs="Times New Roman" w:eastAsia="Times New Roman" w:hAnsi="Times New Roman"/>
          <w:sz w:val="15"/>
          <w:szCs w:val="15"/>
          <w:color w:val="auto"/>
        </w:rPr>
        <w:t>r</w:t>
      </w:r>
      <w:r>
        <w:rPr>
          <w:rFonts w:ascii="PMingLiU" w:cs="PMingLiU" w:eastAsia="PMingLiU" w:hAnsi="PMingLiU"/>
          <w:sz w:val="15"/>
          <w:szCs w:val="15"/>
          <w:color w:val="auto"/>
        </w:rPr>
        <w:t xml:space="preserve"> WKDQWKHH[SLUDWLRQRIWKHDVVHUWHGSDWHQW2Q1RYHPEHUZHYROXQWDULO\GLVPLVVHGWKLVDFWLRQDJDLQVW5.3KDUPDLQ WKH86'LVWULFW&amp;RXUWIRUWKH'LVWULFWRI'HODZDUH5.3KDUPDUHPDLQVDGHIHQGDQWLQWKHOLWLJDWLRQUHIHUHQFHGDERYHLQWK</w:t>
      </w:r>
      <w:r>
        <w:rPr>
          <w:rFonts w:ascii="Times New Roman" w:cs="Times New Roman" w:eastAsia="Times New Roman" w:hAnsi="Times New Roman"/>
          <w:sz w:val="15"/>
          <w:szCs w:val="15"/>
          <w:color w:val="auto"/>
        </w:rPr>
        <w:t>e</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U.S. District Court for the District of New Jersey.</w:t>
      </w:r>
    </w:p>
    <w:p>
      <w:pPr>
        <w:spacing w:after="0" w:line="28" w:lineRule="exact"/>
        <w:rPr>
          <w:sz w:val="20"/>
          <w:szCs w:val="20"/>
          <w:color w:val="auto"/>
        </w:rPr>
      </w:pPr>
    </w:p>
    <w:p>
      <w:pPr>
        <w:ind w:left="60" w:right="20" w:firstLine="480"/>
        <w:spacing w:after="0" w:line="266" w:lineRule="auto"/>
        <w:rPr>
          <w:sz w:val="20"/>
          <w:szCs w:val="20"/>
          <w:color w:val="auto"/>
        </w:rPr>
      </w:pPr>
      <w:r>
        <w:rPr>
          <w:rFonts w:ascii="Times New Roman" w:cs="Times New Roman" w:eastAsia="Times New Roman" w:hAnsi="Times New Roman"/>
          <w:sz w:val="19"/>
          <w:szCs w:val="19"/>
          <w:color w:val="auto"/>
        </w:rPr>
        <w:t>In July 2025, we received notice from InvaGen that it had filed a paragraph IV certification regarding a newly-issued patent listed in the Orange Book for Zepzelca. On September 4, 2025, we filed an additional lawsuit in the U.S. District Court for the District of New Jersey against each of the Zepzelca ANDA Filers, alleging that, by filing its ANDA, each party infringed the newly-issued patent related to a method of treatment using Zepzelca. The suit seeks orders that the effective date of FDA approval for each defendant’s application shall be no earlier than the expiration of the newly-issued patent.</w:t>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i w:val="1"/>
          <w:iCs w:val="1"/>
          <w:color w:val="auto"/>
        </w:rPr>
        <w:t>Defitelio Patent Litigation</w:t>
      </w:r>
    </w:p>
    <w:p>
      <w:pPr>
        <w:spacing w:after="0" w:line="117" w:lineRule="exact"/>
        <w:rPr>
          <w:sz w:val="20"/>
          <w:szCs w:val="20"/>
          <w:color w:val="auto"/>
        </w:rPr>
      </w:pPr>
    </w:p>
    <w:p>
      <w:pPr>
        <w:ind w:left="60" w:right="400" w:firstLine="480"/>
        <w:spacing w:after="0" w:line="277" w:lineRule="auto"/>
        <w:rPr>
          <w:sz w:val="20"/>
          <w:szCs w:val="20"/>
          <w:color w:val="auto"/>
        </w:rPr>
      </w:pPr>
      <w:r>
        <w:rPr>
          <w:rFonts w:ascii="Times New Roman" w:cs="Times New Roman" w:eastAsia="Times New Roman" w:hAnsi="Times New Roman"/>
          <w:sz w:val="19"/>
          <w:szCs w:val="19"/>
          <w:color w:val="auto"/>
        </w:rPr>
        <w:t>In March 2025, we received a notice from Almaject that it had filed with FDA an ANDA for a generic version of Defitelio. The notice from Almaject included a paragraph IV certification respect to certain of our patents listed in FDA’s Orange Book for Defitelio on the date of the notice. The listed patents relate generally to the Defitelio drug product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177800</wp:posOffset>
            </wp:positionV>
            <wp:extent cx="259080" cy="2546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704">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F-32</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F-33</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705">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72" w:name="page273"/>
    <w:bookmarkEnd w:id="272"/>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approved use. On April 16, 2025, we filed a patent infringement lawsuit against Almaject in the U.S.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Tris Pharma Patent Litigation</w:t>
      </w:r>
    </w:p>
    <w:p>
      <w:pPr>
        <w:spacing w:after="0" w:line="127" w:lineRule="exact"/>
        <w:rPr>
          <w:sz w:val="20"/>
          <w:szCs w:val="20"/>
          <w:color w:val="auto"/>
        </w:rPr>
      </w:pPr>
    </w:p>
    <w:p>
      <w:pPr>
        <w:ind w:right="180" w:firstLine="479"/>
        <w:spacing w:after="0" w:line="264" w:lineRule="auto"/>
        <w:rPr>
          <w:sz w:val="20"/>
          <w:szCs w:val="20"/>
          <w:color w:val="auto"/>
        </w:rPr>
      </w:pPr>
      <w:r>
        <w:rPr>
          <w:rFonts w:ascii="Times New Roman" w:cs="Times New Roman" w:eastAsia="Times New Roman" w:hAnsi="Times New Roman"/>
          <w:sz w:val="19"/>
          <w:szCs w:val="19"/>
          <w:color w:val="auto"/>
        </w:rPr>
        <w:t>In January 2026, we received notices from Tris Pharma that it had filed with FDA a Section 505(b)(2) NDA with Xyrem and Xywav as reference listed drugs. The first notice included a paragraph IV certification with respect to seven patents listed in FDA’s Orange Book for Xyrem, and the second notice included a paragraph IV certification with respect to fifteen patents listed in FDA’s Orange Book for Xywav on the date of our receipt of the notice. Seven of the listed patents relate generally to methods of treatment when Xywav or Xyrem is administered concomitantly with certain other medications, and the remaining eight relate generally to the composition and method of use of Xywav.</w:t>
      </w:r>
    </w:p>
    <w:p>
      <w:pPr>
        <w:spacing w:after="0" w:line="71"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On February 20, 2026, we filed two patent infringement suits against Tris Pharma in the U.S. District Court for the District of New Jersey. The complaints allege that by filing its Section 505(b)(2) NDA, Tris Pharma infringed certain of our patents listed in FDA’s Orange Book for Xyrem and certain of our patents listed in FDA’s Orange Book for Xywav, respectively. Each lawsuit seeks an order that the effective date of FDA approval of Tris Pharma’s Section 505(b)(2) NDA shall be a date no earlier than the expiration of the last to expire of the asserted patents. As a result of this lawsuit, we expect that a stay of approval of up to 30 months will be imposed by FDA of Tris Pharma’s Section 505(b)(2) NDA.</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FDA Litigation</w:t>
      </w:r>
    </w:p>
    <w:p>
      <w:pPr>
        <w:spacing w:after="0" w:line="127" w:lineRule="exact"/>
        <w:rPr>
          <w:sz w:val="20"/>
          <w:szCs w:val="20"/>
          <w:color w:val="auto"/>
        </w:rPr>
      </w:pPr>
    </w:p>
    <w:p>
      <w:pPr>
        <w:ind w:right="40" w:firstLine="480"/>
        <w:spacing w:after="0" w:line="259" w:lineRule="auto"/>
        <w:rPr>
          <w:sz w:val="20"/>
          <w:szCs w:val="20"/>
          <w:color w:val="auto"/>
        </w:rPr>
      </w:pPr>
      <w:r>
        <w:rPr>
          <w:rFonts w:ascii="Times New Roman" w:cs="Times New Roman" w:eastAsia="Times New Roman" w:hAnsi="Times New Roman"/>
          <w:sz w:val="19"/>
          <w:szCs w:val="19"/>
          <w:color w:val="auto"/>
        </w:rPr>
        <w:t>On June 22, 2023, we filed a complaint in the U.S. District Court for the District of Columbia seeking a declaration that FDA’s approval on May 1, 2023, of the NDA for Alkermes’ Lumryz (acquired through its acquisition of Avadel) was unlawful. In the complaint, we alleged that FDA acted outside its authority under the Orphan Drug Act, when, despite ODE protecting our low-sodium oxybate product Xywav, FDA approved the Lumryz NDA and granted Lumryz ODE based on FDA’s finding that Lumryz makes a major contribution to patient care and is therefore clinically superior to Xywav and Xyrem. We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U.S. District Court for the District of Columbia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1"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On September 15, 2023, we filed a motion for summary judgment. On October 20, 2023, Avadel and FDA filed cross motions for summary judgment. Oral argument on these motions was held on May 10, 2024 and on October 30, 2024, the U.S. District Court for the District of Columbia issued an order denying our motion for summary judgment and granting Avadel’s and FDA’s cross-motions for summary judgment. We appealed the matter to the U.S. Court of Appeals for the District of Columbia Circuit. We filed our opening appeal brief on January 31, 2025 and the D.C. Circuit held oral argument on the appeal on May 5, 2025. On June 27, 2025, the D.C. Circuit affirmed the U.S. District Court for the District of Columbia’s ruling.</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Qui Tam Matters</w:t>
      </w:r>
    </w:p>
    <w:p>
      <w:pPr>
        <w:spacing w:after="0" w:line="127" w:lineRule="exact"/>
        <w:rPr>
          <w:sz w:val="20"/>
          <w:szCs w:val="20"/>
          <w:color w:val="auto"/>
        </w:rPr>
      </w:pPr>
    </w:p>
    <w:p>
      <w:pPr>
        <w:ind w:right="60" w:firstLine="480"/>
        <w:spacing w:after="0" w:line="259" w:lineRule="auto"/>
        <w:rPr>
          <w:sz w:val="20"/>
          <w:szCs w:val="20"/>
          <w:color w:val="auto"/>
        </w:rPr>
      </w:pPr>
      <w:r>
        <w:rPr>
          <w:rFonts w:ascii="Times New Roman" w:cs="Times New Roman" w:eastAsia="Times New Roman" w:hAnsi="Times New Roman"/>
          <w:sz w:val="19"/>
          <w:szCs w:val="19"/>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U.S. and a number of states named in the whistleblower complaint declined to intervene in this matter. As such, private whistleblower litigation will proceed in the U.S. District Court for the District of Massachusetts. The U.S. District Court for the District of Massachusetts set a deadline of September 1, 2024, for the plaintiff to file an amended complaint, and December 2, 2024, for us to file a motion to dismiss the amended complaint. The plaintiff filed the amended complaint on September 1, 2024. We filed our motion to dismiss on December 2, 2024. The U.S. District Court for the District of Massachusetts held oral argument on the motion to dismiss on April 2, 2025. On September 23, 2025, the U.S. District Court for the District of Massachusetts granted our motion and dismissed the plaintiff’s federal claims with prejudice and state-law claims without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405765</wp:posOffset>
            </wp:positionV>
            <wp:extent cx="259080" cy="2546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706">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F-34</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F-33</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707">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73" w:name="page274"/>
    <w:bookmarkEnd w:id="273"/>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140" w:firstLine="480"/>
        <w:spacing w:after="0" w:line="280" w:lineRule="auto"/>
        <w:rPr>
          <w:sz w:val="20"/>
          <w:szCs w:val="20"/>
          <w:color w:val="auto"/>
        </w:rPr>
      </w:pPr>
      <w:r>
        <w:rPr>
          <w:rFonts w:ascii="Times New Roman" w:cs="Times New Roman" w:eastAsia="Times New Roman" w:hAnsi="Times New Roman"/>
          <w:sz w:val="18"/>
          <w:szCs w:val="18"/>
          <w:color w:val="auto"/>
        </w:rPr>
        <w:t>On January 23, 2026, the U.S. District Court for the Southern District of New York unsealed a lawsuit filed by a qui tam whistleblower against us under the New York state False Claims Act, captioned 1:25-cv-08797-</w:t>
      </w:r>
      <w:r>
        <w:rPr>
          <w:rFonts w:ascii="PMingLiU" w:cs="PMingLiU" w:eastAsia="PMingLiU" w:hAnsi="PMingLiU"/>
          <w:sz w:val="18"/>
          <w:szCs w:val="18"/>
          <w:color w:val="auto"/>
        </w:rPr>
        <w:t>3.&amp;7KHGRFNHWUHIOHFWVWKDW</w:t>
      </w:r>
      <w:r>
        <w:rPr>
          <w:rFonts w:ascii="Times New Roman" w:cs="Times New Roman" w:eastAsia="Times New Roman" w:hAnsi="Times New Roman"/>
          <w:sz w:val="18"/>
          <w:szCs w:val="18"/>
          <w:color w:val="auto"/>
        </w:rPr>
        <w:t xml:space="preserve"> the New York Attorney General declined to participate in the litigation. This lawsuit repeats almost verbatim allegations asserted by this same whistleblower against us in a case that was dismissed on September 23, 2025, by the U.S. District Court for the District of Massachusetts, 1:21-cv-10891-PBS. We will continue to vigorously defend against these claims.</w:t>
      </w:r>
    </w:p>
    <w:p>
      <w:pPr>
        <w:spacing w:after="0" w:line="63" w:lineRule="exact"/>
        <w:rPr>
          <w:sz w:val="20"/>
          <w:szCs w:val="20"/>
          <w:color w:val="auto"/>
        </w:rPr>
      </w:pPr>
    </w:p>
    <w:p>
      <w:pPr>
        <w:ind w:left="540"/>
        <w:spacing w:after="0"/>
        <w:rPr>
          <w:sz w:val="20"/>
          <w:szCs w:val="20"/>
          <w:color w:val="auto"/>
        </w:rPr>
      </w:pPr>
      <w:r>
        <w:rPr>
          <w:rFonts w:ascii="PMingLiU" w:cs="PMingLiU" w:eastAsia="PMingLiU" w:hAnsi="PMingLiU"/>
          <w:sz w:val="19"/>
          <w:szCs w:val="19"/>
          <w:i w:val="1"/>
          <w:iCs w:val="1"/>
          <w:color w:val="auto"/>
        </w:rPr>
        <w:t>&amp;KLPHUL[$FTXLVLWLRQ/LWLJDWLRQ</w:t>
      </w:r>
    </w:p>
    <w:p>
      <w:pPr>
        <w:spacing w:after="0" w:line="117" w:lineRule="exact"/>
        <w:rPr>
          <w:sz w:val="20"/>
          <w:szCs w:val="20"/>
          <w:color w:val="auto"/>
        </w:rPr>
      </w:pPr>
    </w:p>
    <w:p>
      <w:pPr>
        <w:jc w:val="both"/>
        <w:ind w:left="60" w:firstLine="480"/>
        <w:spacing w:after="0" w:line="277" w:lineRule="auto"/>
        <w:rPr>
          <w:sz w:val="20"/>
          <w:szCs w:val="20"/>
          <w:color w:val="auto"/>
        </w:rPr>
      </w:pPr>
      <w:r>
        <w:rPr>
          <w:rFonts w:ascii="Times New Roman" w:cs="Times New Roman" w:eastAsia="Times New Roman" w:hAnsi="Times New Roman"/>
          <w:sz w:val="19"/>
          <w:szCs w:val="19"/>
          <w:color w:val="auto"/>
        </w:rPr>
        <w:t>On March 21, 2025, Chimerix filed a Recommendation Statement with the SEC in relation to the proposed acquisition of Chimerix by us. Also on March 21, 2025, we disseminated a Tender Offer Statement to Chimerix shareholders in relation to the proposed transaction.</w:t>
      </w:r>
    </w:p>
    <w:p>
      <w:pPr>
        <w:spacing w:after="0" w:line="58" w:lineRule="exact"/>
        <w:rPr>
          <w:sz w:val="20"/>
          <w:szCs w:val="20"/>
          <w:color w:val="auto"/>
        </w:rPr>
      </w:pPr>
    </w:p>
    <w:p>
      <w:pPr>
        <w:ind w:left="60" w:right="120" w:firstLine="480"/>
        <w:spacing w:after="0" w:line="262" w:lineRule="auto"/>
        <w:rPr>
          <w:sz w:val="20"/>
          <w:szCs w:val="20"/>
          <w:color w:val="auto"/>
        </w:rPr>
      </w:pPr>
      <w:r>
        <w:rPr>
          <w:rFonts w:ascii="Times New Roman" w:cs="Times New Roman" w:eastAsia="Times New Roman" w:hAnsi="Times New Roman"/>
          <w:sz w:val="19"/>
          <w:szCs w:val="19"/>
          <w:color w:val="auto"/>
        </w:rPr>
        <w:t>Following the filing and dissemination of the Tender Offer Documents, we, our wholly-owned subsidiary Pinetree Acquisition Sub, Inc., Chimerix, the Chimerix Board of Directors, Centerview Partners LLC, were named as defendants in the Rosenthal Lawsuit in the Supreme Court of the State of New York, County of Chemung. In addition to the Rosenthal Lawsuit, the Chimerix Shareholder Litigation was filed in the Supreme Court of the State of New York, County of New York.</w:t>
      </w:r>
    </w:p>
    <w:p>
      <w:pPr>
        <w:spacing w:after="0" w:line="3" w:lineRule="exact"/>
        <w:rPr>
          <w:sz w:val="20"/>
          <w:szCs w:val="20"/>
          <w:color w:val="auto"/>
        </w:rPr>
      </w:pPr>
    </w:p>
    <w:p>
      <w:pPr>
        <w:ind w:left="60" w:right="140"/>
        <w:spacing w:after="0" w:line="261" w:lineRule="auto"/>
        <w:rPr>
          <w:sz w:val="20"/>
          <w:szCs w:val="20"/>
          <w:color w:val="auto"/>
        </w:rPr>
      </w:pPr>
      <w:r>
        <w:rPr>
          <w:rFonts w:ascii="Times New Roman" w:cs="Times New Roman" w:eastAsia="Times New Roman" w:hAnsi="Times New Roman"/>
          <w:sz w:val="19"/>
          <w:szCs w:val="19"/>
          <w:color w:val="auto"/>
        </w:rPr>
        <w:t>Collectively, in the Chimerix Transaction Litigation, the plaintiffs alleged that the Tender Offer Documents omitted material information and contained misrepresentations, in violation of various New York and North Carolina laws. The plaintiffs in the Chimerix Transaction Litigation sought various remedies, including injunctive relief to prevent the consummation of the Chimerix Acquisition unless certain allegedly material information was disclosed, or in the alternative, rescission or damages.</w:t>
      </w:r>
    </w:p>
    <w:p>
      <w:pPr>
        <w:spacing w:after="0" w:line="72" w:lineRule="exact"/>
        <w:rPr>
          <w:sz w:val="20"/>
          <w:szCs w:val="20"/>
          <w:color w:val="auto"/>
        </w:rPr>
      </w:pPr>
    </w:p>
    <w:p>
      <w:pPr>
        <w:ind w:left="60" w:right="540" w:firstLine="480"/>
        <w:spacing w:after="0" w:line="270" w:lineRule="auto"/>
        <w:rPr>
          <w:sz w:val="20"/>
          <w:szCs w:val="20"/>
          <w:color w:val="auto"/>
        </w:rPr>
      </w:pPr>
      <w:r>
        <w:rPr>
          <w:rFonts w:ascii="Times New Roman" w:cs="Times New Roman" w:eastAsia="Times New Roman" w:hAnsi="Times New Roman"/>
          <w:sz w:val="19"/>
          <w:szCs w:val="19"/>
          <w:color w:val="auto"/>
        </w:rPr>
        <w:t>On April 7, 2025, Chimerix filed an amended Recommendation Statement and we filed an amended Tender Offer Document, each containing supplemental disclosures related to the Chimerix Acquisition. Pursuant to a memorandum of understanding between the parties, the Rosenthal Lawsuit was dismissed on April 7, 2025. The remaining lawsuits in the Chimerix Transaction Litigation were dismissed on June 26, 2025.</w:t>
      </w:r>
    </w:p>
    <w:p>
      <w:pPr>
        <w:spacing w:after="0" w:line="64" w:lineRule="exact"/>
        <w:rPr>
          <w:sz w:val="20"/>
          <w:szCs w:val="20"/>
          <w:color w:val="auto"/>
        </w:rPr>
      </w:pPr>
    </w:p>
    <w:p>
      <w:pPr>
        <w:ind w:left="60" w:right="20" w:firstLine="480"/>
        <w:spacing w:after="0" w:line="277" w:lineRule="auto"/>
        <w:rPr>
          <w:sz w:val="20"/>
          <w:szCs w:val="20"/>
          <w:color w:val="auto"/>
        </w:rPr>
      </w:pPr>
      <w:r>
        <w:rPr>
          <w:rFonts w:ascii="Times New Roman" w:cs="Times New Roman" w:eastAsia="Times New Roman" w:hAnsi="Times New Roman"/>
          <w:sz w:val="19"/>
          <w:szCs w:val="19"/>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14. Shareholders’ Equity</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Share Repurchase Program</w:t>
      </w:r>
    </w:p>
    <w:p>
      <w:pPr>
        <w:spacing w:after="0" w:line="129" w:lineRule="exact"/>
        <w:rPr>
          <w:sz w:val="20"/>
          <w:szCs w:val="20"/>
          <w:color w:val="auto"/>
        </w:rPr>
      </w:pPr>
    </w:p>
    <w:p>
      <w:pPr>
        <w:ind w:left="60" w:right="20" w:firstLine="480"/>
        <w:spacing w:after="0" w:line="258" w:lineRule="auto"/>
        <w:rPr>
          <w:sz w:val="20"/>
          <w:szCs w:val="20"/>
          <w:color w:val="auto"/>
        </w:rPr>
      </w:pPr>
      <w:r>
        <w:rPr>
          <w:rFonts w:ascii="Times New Roman" w:cs="Times New Roman" w:eastAsia="Times New Roman" w:hAnsi="Times New Roman"/>
          <w:sz w:val="19"/>
          <w:szCs w:val="19"/>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year ended December 31, 2025, we spent a total of $125.0 million to repurchase 1.1 million of our ordinary shares, all under the New Repurchase Program, at a purchase price, including commissions, of $109.52 per share. In 2024, we spent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The repurchases made under the New Share Repurchase Program in 2024 were effected in privately negotiated transactions with or through one of the initial purchasers of the 2030 Notes concurrently with the pricing of the offering of the 2030 Notes. All ordinary shares repurchased were canceled. As of December 31, 2025, the remaining amount authorized for repurchases under the New Repurchase Program was $225.0 million, exclusive of any brokerage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1443355</wp:posOffset>
            </wp:positionV>
            <wp:extent cx="259080" cy="2546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708">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F-34</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F-35</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709">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74" w:name="page275"/>
    <w:bookmarkEnd w:id="27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Authorized But Unissued Ordinary Shares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We had reserved the following shares of authorized but unissued ordinary shares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2011 Equity Incentive Plan</w:t>
            </w:r>
          </w:p>
        </w:tc>
        <w:tc>
          <w:tcPr>
            <w:tcW w:w="13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100" w:type="dxa"/>
            <w:vAlign w:val="bottom"/>
            <w:gridSpan w:val="2"/>
            <w:vMerge w:val="continue"/>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20,610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22,056</w:t>
            </w:r>
          </w:p>
        </w:tc>
        <w:tc>
          <w:tcPr>
            <w:tcW w:w="0" w:type="dxa"/>
            <w:vAlign w:val="bottom"/>
          </w:tcPr>
          <w:p>
            <w:pPr>
              <w:spacing w:after="0"/>
              <w:rPr>
                <w:sz w:val="1"/>
                <w:szCs w:val="1"/>
                <w:color w:val="auto"/>
              </w:rPr>
            </w:pPr>
          </w:p>
        </w:tc>
      </w:tr>
      <w:tr>
        <w:trPr>
          <w:trHeight w:val="254"/>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2007 Employee Stock Purchase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3,485</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3,701</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GW Incentive Plans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1,408</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Amended and Restated 2007 Non-Employee Directors Stock Award Plan</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631</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677</w:t>
            </w:r>
          </w:p>
        </w:tc>
        <w:tc>
          <w:tcPr>
            <w:tcW w:w="0" w:type="dxa"/>
            <w:vAlign w:val="bottom"/>
          </w:tcPr>
          <w:p>
            <w:pPr>
              <w:spacing w:after="0"/>
              <w:rPr>
                <w:sz w:val="1"/>
                <w:szCs w:val="1"/>
                <w:color w:val="auto"/>
              </w:rPr>
            </w:pPr>
          </w:p>
        </w:tc>
      </w:tr>
      <w:tr>
        <w:trPr>
          <w:trHeight w:val="237"/>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25,896</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27,842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31"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9"/>
          <w:szCs w:val="19"/>
          <w:color w:val="auto"/>
        </w:rPr>
        <w:t>In 2025 and 2024, we did not declare or pay cash dividends on our common equity. Under Irish law, dividends may only be paid, and share repurchases and redemptions must generally be funded only out of, “distributable reserves.” In addition, the terms of the Amended Credit Agreement restrict our ability to make certain restricted payments, including dividends and other distributions by us in respect of our ordinary shares, subject to, among other exceptions, (1) a general exception for dividends and other restricted payments not to exceed in the aggregate the greater of $350 million and 3.5% of consolidated total assets (as defined in the Amended Credit Agreement) when made, and (2) an exception that allows for dividends and other restricted payments equal to an amount tied to our financial performance, so long as no default or event of default shall have occurred and is continuing under the Amended Credit Agreement and the total net leverage ratio (as defined in the Amended Credit Agreement) on a pro forma basis does not exceed 5:1, and (3) an exception that allows for additional dividends and other restricted payments, so long as no default or event of default shall have occurred and is continuing under the Amended Credit Agreement and the total net total leverage ratio (as defined in the Amended Credit Agreement) on a pro forma basis is not greater than 4:1. Any future determination as to the payment of dividends will, subject to Irish legal requirements, be at the sole discretion of our board of directors and will depend on our consolidated financial condition, results of operations, capital requirements, compliance with the terms of the Amended Credit Agreement or other future borrowing arrangements, and other factors our board of directors deems relevant.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Comprehensive Income (Loss)</w:t>
      </w:r>
    </w:p>
    <w:p>
      <w:pPr>
        <w:spacing w:after="0" w:line="133" w:lineRule="exact"/>
        <w:rPr>
          <w:sz w:val="20"/>
          <w:szCs w:val="20"/>
          <w:color w:val="auto"/>
        </w:rPr>
      </w:pPr>
    </w:p>
    <w:p>
      <w:pPr>
        <w:ind w:right="220" w:firstLine="480"/>
        <w:spacing w:after="0" w:line="299" w:lineRule="auto"/>
        <w:rPr>
          <w:sz w:val="20"/>
          <w:szCs w:val="20"/>
          <w:color w:val="auto"/>
        </w:rPr>
      </w:pPr>
      <w:r>
        <w:rPr>
          <w:rFonts w:ascii="Times New Roman" w:cs="Times New Roman" w:eastAsia="Times New Roman" w:hAnsi="Times New Roman"/>
          <w:sz w:val="19"/>
          <w:szCs w:val="19"/>
          <w:color w:val="auto"/>
        </w:rPr>
        <w:t>Comprehensive income (loss) includes net income (loss) and all changes in shareholders’ equity during a period, except for those changes resulting from investments by shareholders or distributions to shareholders.</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Accumulated Other Comprehensive Loss</w:t>
      </w:r>
    </w:p>
    <w:p>
      <w:pPr>
        <w:spacing w:after="0" w:line="129" w:lineRule="exact"/>
        <w:rPr>
          <w:sz w:val="20"/>
          <w:szCs w:val="20"/>
          <w:color w:val="auto"/>
        </w:rPr>
      </w:pPr>
    </w:p>
    <w:p>
      <w:pPr>
        <w:ind w:right="680" w:firstLine="480"/>
        <w:spacing w:after="0" w:line="299" w:lineRule="auto"/>
        <w:rPr>
          <w:sz w:val="20"/>
          <w:szCs w:val="20"/>
          <w:color w:val="auto"/>
        </w:rPr>
      </w:pPr>
      <w:r>
        <w:rPr>
          <w:rFonts w:ascii="Times New Roman" w:cs="Times New Roman" w:eastAsia="Times New Roman" w:hAnsi="Times New Roman"/>
          <w:sz w:val="19"/>
          <w:szCs w:val="19"/>
          <w:color w:val="auto"/>
        </w:rPr>
        <w:t>The components of accumulated other comprehensive loss as of December 31, 2025 and 2024 were as follows (in thousands):</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Net Unrealized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3"/>
              </w:rPr>
              <w:t>Foreign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6" w:lineRule="exact"/>
              <w:rPr>
                <w:sz w:val="20"/>
                <w:szCs w:val="20"/>
                <w:color w:val="auto"/>
              </w:rPr>
            </w:pPr>
            <w:r>
              <w:rPr>
                <w:rFonts w:ascii="Times New Roman" w:cs="Times New Roman" w:eastAsia="Times New Roman" w:hAnsi="Times New Roman"/>
                <w:sz w:val="16"/>
                <w:szCs w:val="16"/>
                <w:b w:val="1"/>
                <w:bCs w:val="1"/>
                <w:color w:val="auto"/>
                <w:w w:val="97"/>
              </w:rPr>
              <w:t>Gain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92"/>
              <w:spacing w:after="0" w:line="156"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0" w:type="dxa"/>
            <w:vAlign w:val="bottom"/>
          </w:tcPr>
          <w:p>
            <w:pPr>
              <w:spacing w:after="0"/>
              <w:rPr>
                <w:sz w:val="1"/>
                <w:szCs w:val="1"/>
                <w:color w:val="auto"/>
              </w:rPr>
            </w:pPr>
          </w:p>
        </w:tc>
      </w:tr>
      <w:tr>
        <w:trPr>
          <w:trHeight w:val="154"/>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4" w:lineRule="exact"/>
              <w:rPr>
                <w:sz w:val="20"/>
                <w:szCs w:val="20"/>
                <w:color w:val="auto"/>
              </w:rPr>
            </w:pPr>
            <w:r>
              <w:rPr>
                <w:rFonts w:ascii="Times New Roman" w:cs="Times New Roman" w:eastAsia="Times New Roman" w:hAnsi="Times New Roman"/>
                <w:sz w:val="16"/>
                <w:szCs w:val="16"/>
                <w:b w:val="1"/>
                <w:bCs w:val="1"/>
                <w:color w:val="auto"/>
                <w:w w:val="99"/>
              </w:rPr>
              <w:t>From</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12"/>
              <w:spacing w:after="0" w:line="154"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12"/>
              <w:spacing w:after="0" w:line="154"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12"/>
              <w:spacing w:after="0" w:line="156" w:lineRule="exact"/>
              <w:rPr>
                <w:sz w:val="20"/>
                <w:szCs w:val="20"/>
                <w:color w:val="auto"/>
              </w:rPr>
            </w:pPr>
            <w:r>
              <w:rPr>
                <w:rFonts w:ascii="Times New Roman" w:cs="Times New Roman" w:eastAsia="Times New Roman" w:hAnsi="Times New Roman"/>
                <w:sz w:val="16"/>
                <w:szCs w:val="16"/>
                <w:b w:val="1"/>
                <w:bCs w:val="1"/>
                <w:color w:val="auto"/>
              </w:rPr>
              <w:t>Hedging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92"/>
              <w:spacing w:after="0" w:line="156"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5"/>
              </w:rPr>
              <w:t>Comprehensive</w:t>
            </w:r>
          </w:p>
        </w:tc>
        <w:tc>
          <w:tcPr>
            <w:tcW w:w="0" w:type="dxa"/>
            <w:vAlign w:val="bottom"/>
          </w:tcPr>
          <w:p>
            <w:pPr>
              <w:spacing w:after="0"/>
              <w:rPr>
                <w:sz w:val="1"/>
                <w:szCs w:val="1"/>
                <w:color w:val="auto"/>
              </w:rPr>
            </w:pPr>
          </w:p>
        </w:tc>
      </w:tr>
      <w:tr>
        <w:trPr>
          <w:trHeight w:val="207"/>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6"/>
              </w:rPr>
              <w:t>Activities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231"/>
        </w:trPr>
        <w:tc>
          <w:tcPr>
            <w:tcW w:w="5940" w:type="dxa"/>
            <w:vAlign w:val="bottom"/>
            <w:gridSpan w:val="2"/>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(948,407)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(947,667)</w:t>
            </w:r>
          </w:p>
        </w:tc>
        <w:tc>
          <w:tcPr>
            <w:tcW w:w="0" w:type="dxa"/>
            <w:vAlign w:val="bottom"/>
          </w:tcPr>
          <w:p>
            <w:pPr>
              <w:spacing w:after="0"/>
              <w:rPr>
                <w:sz w:val="1"/>
                <w:szCs w:val="1"/>
                <w:color w:val="auto"/>
              </w:rPr>
            </w:pPr>
          </w:p>
        </w:tc>
      </w:tr>
      <w:tr>
        <w:trPr>
          <w:trHeight w:val="254"/>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 comprehensive income before reclassifications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380,172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380,380</w:t>
            </w:r>
          </w:p>
        </w:tc>
        <w:tc>
          <w:tcPr>
            <w:tcW w:w="0" w:type="dxa"/>
            <w:vAlign w:val="bottom"/>
          </w:tcPr>
          <w:p>
            <w:pPr>
              <w:spacing w:after="0"/>
              <w:rPr>
                <w:sz w:val="1"/>
                <w:szCs w:val="1"/>
                <w:color w:val="auto"/>
              </w:rPr>
            </w:pPr>
          </w:p>
        </w:tc>
      </w:tr>
      <w:tr>
        <w:trPr>
          <w:trHeight w:val="259"/>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Amounts reclassified from accumulated other comprehensive loss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(1,311)</w:t>
            </w:r>
          </w:p>
        </w:tc>
        <w:tc>
          <w:tcPr>
            <w:tcW w:w="0" w:type="dxa"/>
            <w:vAlign w:val="bottom"/>
          </w:tcPr>
          <w:p>
            <w:pPr>
              <w:spacing w:after="0"/>
              <w:rPr>
                <w:sz w:val="1"/>
                <w:szCs w:val="1"/>
                <w:color w:val="auto"/>
              </w:rPr>
            </w:pPr>
          </w:p>
        </w:tc>
      </w:tr>
      <w:tr>
        <w:trPr>
          <w:trHeight w:val="235"/>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 comprehensive income (loss), net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380,172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379,069</w:t>
            </w:r>
          </w:p>
        </w:tc>
        <w:tc>
          <w:tcPr>
            <w:tcW w:w="0" w:type="dxa"/>
            <w:vAlign w:val="bottom"/>
          </w:tcPr>
          <w:p>
            <w:pPr>
              <w:spacing w:after="0"/>
              <w:rPr>
                <w:sz w:val="1"/>
                <w:szCs w:val="1"/>
                <w:color w:val="auto"/>
              </w:rPr>
            </w:pPr>
          </w:p>
        </w:tc>
      </w:t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(568,235)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(568,598)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20" w:firstLine="480"/>
        <w:spacing w:after="0" w:line="299" w:lineRule="auto"/>
        <w:rPr>
          <w:sz w:val="20"/>
          <w:szCs w:val="20"/>
          <w:color w:val="auto"/>
        </w:rPr>
      </w:pPr>
      <w:r>
        <w:rPr>
          <w:rFonts w:ascii="Times New Roman" w:cs="Times New Roman" w:eastAsia="Times New Roman" w:hAnsi="Times New Roman"/>
          <w:sz w:val="19"/>
          <w:szCs w:val="19"/>
          <w:color w:val="auto"/>
        </w:rPr>
        <w:t>In 2025, other comprehensive income (loss) primarily reflects foreign currency translation adjustments due to the strengthening of the sterling against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Net Income (Loss) per Ordinary Share</w:t>
      </w:r>
    </w:p>
    <w:p>
      <w:pPr>
        <w:spacing w:after="0" w:line="133" w:lineRule="exact"/>
        <w:rPr>
          <w:sz w:val="20"/>
          <w:szCs w:val="20"/>
          <w:color w:val="auto"/>
        </w:rPr>
      </w:pPr>
    </w:p>
    <w:p>
      <w:pPr>
        <w:jc w:val="both"/>
        <w:ind w:right="520" w:firstLine="480"/>
        <w:spacing w:after="0" w:line="277" w:lineRule="auto"/>
        <w:rPr>
          <w:sz w:val="20"/>
          <w:szCs w:val="20"/>
          <w:color w:val="auto"/>
        </w:rPr>
      </w:pPr>
      <w:r>
        <w:rPr>
          <w:rFonts w:ascii="Times New Roman" w:cs="Times New Roman" w:eastAsia="Times New Roman" w:hAnsi="Times New Roman"/>
          <w:sz w:val="19"/>
          <w:szCs w:val="19"/>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363855</wp:posOffset>
            </wp:positionV>
            <wp:extent cx="259080" cy="2546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710">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F-36</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F-35</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711">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75" w:name="page276"/>
    <w:bookmarkEnd w:id="275"/>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740" w:firstLine="480"/>
        <w:spacing w:after="0" w:line="299" w:lineRule="auto"/>
        <w:rPr>
          <w:sz w:val="20"/>
          <w:szCs w:val="20"/>
          <w:color w:val="auto"/>
        </w:rPr>
      </w:pPr>
      <w:r>
        <w:rPr>
          <w:rFonts w:ascii="Times New Roman" w:cs="Times New Roman" w:eastAsia="Times New Roman" w:hAnsi="Times New Roman"/>
          <w:sz w:val="19"/>
          <w:szCs w:val="19"/>
          <w:color w:val="auto"/>
        </w:rPr>
        <w:t>Basic and diluted net income (loss) per ordinary share were computed as follows (in thousands, except per share amounts):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Numerator:</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1"/>
        </w:trPr>
        <w:tc>
          <w:tcPr>
            <w:tcW w:w="56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Net income (loss)</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(356,148)</w:t>
            </w:r>
          </w:p>
        </w:tc>
        <w:tc>
          <w:tcPr>
            <w:tcW w:w="40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560,120</w:t>
            </w:r>
          </w:p>
        </w:tc>
        <w:tc>
          <w:tcPr>
            <w:tcW w:w="420" w:type="dxa"/>
            <w:vAlign w:val="bottom"/>
            <w:gridSpan w:val="3"/>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414,832</w:t>
            </w:r>
          </w:p>
        </w:tc>
        <w:tc>
          <w:tcPr>
            <w:tcW w:w="0" w:type="dxa"/>
            <w:vAlign w:val="bottom"/>
          </w:tcPr>
          <w:p>
            <w:pPr>
              <w:spacing w:after="0"/>
              <w:rPr>
                <w:sz w:val="1"/>
                <w:szCs w:val="1"/>
                <w:color w:val="auto"/>
              </w:rPr>
            </w:pPr>
          </w:p>
        </w:tc>
      </w:tr>
      <w:tr>
        <w:trPr>
          <w:trHeight w:val="200"/>
        </w:trPr>
        <w:tc>
          <w:tcPr>
            <w:tcW w:w="568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9"/>
                <w:szCs w:val="19"/>
                <w:color w:val="auto"/>
              </w:rPr>
              <w:t>Effect of interest on assumed conversions of the 2026 Notes and the</w:t>
            </w:r>
          </w:p>
        </w:tc>
        <w:tc>
          <w:tcPr>
            <w:tcW w:w="3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10,762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24,876</w:t>
            </w:r>
          </w:p>
        </w:tc>
        <w:tc>
          <w:tcPr>
            <w:tcW w:w="0" w:type="dxa"/>
            <w:vAlign w:val="bottom"/>
          </w:tcPr>
          <w:p>
            <w:pPr>
              <w:spacing w:after="0"/>
              <w:rPr>
                <w:sz w:val="1"/>
                <w:szCs w:val="1"/>
                <w:color w:val="auto"/>
              </w:rPr>
            </w:pPr>
          </w:p>
        </w:tc>
      </w:tr>
      <w:tr>
        <w:trPr>
          <w:trHeight w:val="256"/>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2024 Notes, net of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income (loss) for dilutive net income (loss) per ordinary share</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(356,148)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570,882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439,708</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6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9"/>
                <w:szCs w:val="19"/>
                <w:color w:val="auto"/>
              </w:rPr>
              <w:t>Weighted-average ordinary shares used in per share calculations -</w:t>
            </w:r>
          </w:p>
        </w:tc>
        <w:tc>
          <w:tcPr>
            <w:tcW w:w="3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60,981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61,838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63,291</w:t>
            </w:r>
          </w:p>
        </w:tc>
        <w:tc>
          <w:tcPr>
            <w:tcW w:w="0" w:type="dxa"/>
            <w:vAlign w:val="bottom"/>
          </w:tcPr>
          <w:p>
            <w:pPr>
              <w:spacing w:after="0"/>
              <w:rPr>
                <w:sz w:val="1"/>
                <w:szCs w:val="1"/>
                <w:color w:val="auto"/>
              </w:rPr>
            </w:pPr>
          </w:p>
        </w:tc>
      </w:tr>
      <w:tr>
        <w:trPr>
          <w:trHeight w:val="251"/>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basic</w:t>
            </w:r>
          </w:p>
        </w:tc>
        <w:tc>
          <w:tcPr>
            <w:tcW w:w="3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Dilutive effect of the 2026 Notes and the 2024 Notes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8,016</w:t>
            </w:r>
          </w:p>
        </w:tc>
        <w:tc>
          <w:tcPr>
            <w:tcW w:w="0" w:type="dxa"/>
            <w:vAlign w:val="bottom"/>
          </w:tcPr>
          <w:p>
            <w:pPr>
              <w:spacing w:after="0"/>
              <w:rPr>
                <w:sz w:val="1"/>
                <w:szCs w:val="1"/>
                <w:color w:val="auto"/>
              </w:rPr>
            </w:pPr>
          </w:p>
        </w:tc>
      </w:tr>
      <w:tr>
        <w:trPr>
          <w:trHeight w:val="25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Dilutive effect of employee equity incentive and purchase plans</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759</w:t>
            </w:r>
          </w:p>
        </w:tc>
        <w:tc>
          <w:tcPr>
            <w:tcW w:w="0" w:type="dxa"/>
            <w:vAlign w:val="bottom"/>
          </w:tcPr>
          <w:p>
            <w:pPr>
              <w:spacing w:after="0"/>
              <w:rPr>
                <w:sz w:val="1"/>
                <w:szCs w:val="1"/>
                <w:color w:val="auto"/>
              </w:rPr>
            </w:pPr>
          </w:p>
        </w:tc>
      </w:tr>
      <w:tr>
        <w:trPr>
          <w:trHeight w:val="184"/>
        </w:trPr>
        <w:tc>
          <w:tcPr>
            <w:tcW w:w="5680" w:type="dxa"/>
            <w:vAlign w:val="bottom"/>
            <w:gridSpan w:val="2"/>
          </w:tcPr>
          <w:p>
            <w:pPr>
              <w:spacing w:after="0" w:line="184" w:lineRule="exact"/>
              <w:rPr>
                <w:sz w:val="20"/>
                <w:szCs w:val="20"/>
                <w:color w:val="auto"/>
              </w:rPr>
            </w:pPr>
            <w:r>
              <w:rPr>
                <w:rFonts w:ascii="Times New Roman" w:cs="Times New Roman" w:eastAsia="Times New Roman" w:hAnsi="Times New Roman"/>
                <w:sz w:val="19"/>
                <w:szCs w:val="19"/>
                <w:color w:val="auto"/>
              </w:rPr>
              <w:t>Weighted-average ordinary shares used in per share calculations -</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60,981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66,007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72,066</w:t>
            </w:r>
          </w:p>
        </w:tc>
        <w:tc>
          <w:tcPr>
            <w:tcW w:w="0" w:type="dxa"/>
            <w:vAlign w:val="bottom"/>
          </w:tcPr>
          <w:p>
            <w:pPr>
              <w:spacing w:after="0"/>
              <w:rPr>
                <w:sz w:val="1"/>
                <w:szCs w:val="1"/>
                <w:color w:val="auto"/>
              </w:rPr>
            </w:pPr>
          </w:p>
        </w:tc>
      </w:tr>
      <w:tr>
        <w:trPr>
          <w:trHeight w:val="247"/>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diluted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Net income (loss) per ordinary share:</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6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Basic</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(5.84)</w:t>
            </w:r>
          </w:p>
        </w:tc>
        <w:tc>
          <w:tcPr>
            <w:tcW w:w="40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9.06</w:t>
            </w:r>
          </w:p>
        </w:tc>
        <w:tc>
          <w:tcPr>
            <w:tcW w:w="420" w:type="dxa"/>
            <w:vAlign w:val="bottom"/>
            <w:gridSpan w:val="3"/>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6.55</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9"/>
                <w:szCs w:val="19"/>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80" w:type="dxa"/>
            <w:vAlign w:val="bottom"/>
            <w:gridSpan w:val="2"/>
            <w:vMerge w:val="continue"/>
          </w:tcPr>
          <w:p>
            <w:pPr>
              <w:spacing w:after="0"/>
              <w:rPr>
                <w:sz w:val="20"/>
                <w:szCs w:val="20"/>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(5.84)</w:t>
            </w:r>
          </w:p>
        </w:tc>
        <w:tc>
          <w:tcPr>
            <w:tcW w:w="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8.65</w:t>
            </w:r>
          </w:p>
        </w:tc>
        <w:tc>
          <w:tcPr>
            <w:tcW w:w="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60" w:right="180" w:firstLine="480"/>
        <w:spacing w:after="0" w:line="259" w:lineRule="auto"/>
        <w:rPr>
          <w:sz w:val="20"/>
          <w:szCs w:val="20"/>
          <w:color w:val="auto"/>
        </w:rPr>
      </w:pPr>
      <w:r>
        <w:rPr>
          <w:rFonts w:ascii="Times New Roman" w:cs="Times New Roman" w:eastAsia="Times New Roman" w:hAnsi="Times New Roman"/>
          <w:sz w:val="19"/>
          <w:szCs w:val="19"/>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r>
        <w:rPr>
          <w:rFonts w:ascii="PMingLiU" w:cs="PMingLiU" w:eastAsia="PMingLiU" w:hAnsi="PMingLiU"/>
          <w:sz w:val="21"/>
          <w:szCs w:val="21"/>
          <w:color w:val="auto"/>
        </w:rPr>
        <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 August 2023, we irrevocably elected to fix the settlement method for exchanges of the 2024 Notes to a combination of</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cash and ordinary shares of the Company with a specified cash amount per $1,000 principal amount of the 2024 Notes of</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$1,000. As a result, the assumed issuance of ordinary shares upon exchange of the 2024 Notes has only been included in the</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calculation of diluted net income per ordinary share in 2023 up to the date the irrevocable election was made. In August 2024</w:t>
      </w:r>
    </w:p>
    <w:p>
      <w:pPr>
        <w:ind w:left="60"/>
        <w:spacing w:after="0" w:line="237" w:lineRule="auto"/>
        <w:rPr>
          <w:sz w:val="20"/>
          <w:szCs w:val="20"/>
          <w:color w:val="auto"/>
        </w:rPr>
      </w:pPr>
      <w:r>
        <w:rPr>
          <w:rFonts w:ascii="Times New Roman" w:cs="Times New Roman" w:eastAsia="Times New Roman" w:hAnsi="Times New Roman"/>
          <w:sz w:val="19"/>
          <w:szCs w:val="19"/>
          <w:color w:val="auto"/>
        </w:rPr>
        <w:t xml:space="preserve">we repaid the aggregate principal amount in cash.  </w:t>
      </w:r>
      <w:r>
        <w:rPr>
          <w:rFonts w:ascii="PMingLiU" w:cs="PMingLiU" w:eastAsia="PMingLiU" w:hAnsi="PMingLiU"/>
          <w:sz w:val="21"/>
          <w:szCs w:val="21"/>
          <w:b w:val="1"/>
          <w:bCs w:val="1"/>
          <w:i w:val="1"/>
          <w:iCs w:val="1"/>
          <w:color w:val="auto"/>
        </w:rPr>
        <w:t/>
      </w:r>
    </w:p>
    <w:p>
      <w:pPr>
        <w:spacing w:after="0" w:line="86"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In July 2024, we irrevocably elected to fix the settlement method for exchanges of the 2026 Notes to a combination of cash and ordinary shares of the Company with a specified cash amount per $1,000 principal amount of 2026 Notes exchanged equal to or in excess of $1,000. As a result, the assumed issuance of ordinary shares upon exchange of the 2026 Notes has only been included in the calculation of diluted net income per ordinary share in 2024, up to the date the irrevocable election was made.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average price of our ordinary shares in 2025 and 2024 did not exceed the conversion price of the 2026 Notes.</w:t>
      </w:r>
    </w:p>
    <w:p>
      <w:pPr>
        <w:spacing w:after="0" w:line="78" w:lineRule="exact"/>
        <w:rPr>
          <w:sz w:val="20"/>
          <w:szCs w:val="20"/>
          <w:color w:val="auto"/>
        </w:rPr>
      </w:pPr>
    </w:p>
    <w:p>
      <w:pPr>
        <w:ind w:left="60" w:right="160" w:firstLine="480"/>
        <w:spacing w:after="0" w:line="263" w:lineRule="auto"/>
        <w:rPr>
          <w:sz w:val="20"/>
          <w:szCs w:val="20"/>
          <w:color w:val="auto"/>
        </w:rPr>
      </w:pPr>
      <w:r>
        <w:rPr>
          <w:rFonts w:ascii="Times New Roman" w:cs="Times New Roman" w:eastAsia="Times New Roman" w:hAnsi="Times New Roman"/>
          <w:sz w:val="19"/>
          <w:szCs w:val="19"/>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the 2030 Notes. For the year ended December 31, 2025, the 2030 Notes have been excluded from the computation of diluted net loss per ordinary share, as the effect was anti-dilutive. The average price of our ordinary shares in 2024 did not exceed the conversion price of the 2030 Notes.</w:t>
      </w:r>
    </w:p>
    <w:p>
      <w:pPr>
        <w:spacing w:after="0" w:line="70" w:lineRule="exact"/>
        <w:rPr>
          <w:sz w:val="20"/>
          <w:szCs w:val="20"/>
          <w:color w:val="auto"/>
        </w:rPr>
      </w:pPr>
    </w:p>
    <w:p>
      <w:pPr>
        <w:ind w:left="60" w:right="100" w:firstLine="480"/>
        <w:spacing w:after="0" w:line="277" w:lineRule="auto"/>
        <w:rPr>
          <w:sz w:val="20"/>
          <w:szCs w:val="20"/>
          <w:color w:val="auto"/>
        </w:rPr>
      </w:pPr>
      <w:r>
        <w:rPr>
          <w:rFonts w:ascii="Times New Roman" w:cs="Times New Roman" w:eastAsia="Times New Roman" w:hAnsi="Times New Roman"/>
          <w:sz w:val="19"/>
          <w:szCs w:val="19"/>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Employee equity incentive and purchase plans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20"/>
                <w:szCs w:val="20"/>
                <w:color w:val="auto"/>
              </w:rPr>
            </w:pPr>
          </w:p>
        </w:tc>
        <w:tc>
          <w:tcPr>
            <w:tcW w:w="142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1"/>
        </w:trPr>
        <w:tc>
          <w:tcPr>
            <w:tcW w:w="4260" w:type="dxa"/>
            <w:vAlign w:val="bottom"/>
            <w:gridSpan w:val="2"/>
            <w:vMerge w:val="continue"/>
          </w:tcPr>
          <w:p>
            <w:pPr>
              <w:spacing w:after="0"/>
              <w:rPr>
                <w:sz w:val="20"/>
                <w:szCs w:val="20"/>
                <w:color w:val="auto"/>
              </w:rPr>
            </w:pPr>
          </w:p>
        </w:tc>
        <w:tc>
          <w:tcPr>
            <w:tcW w:w="14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8"/>
              </w:rPr>
              <w:t>4,369</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4,074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9"/>
                <w:szCs w:val="19"/>
                <w:color w:val="auto"/>
              </w:rPr>
              <w:t>2,973</w:t>
            </w:r>
          </w:p>
        </w:tc>
        <w:tc>
          <w:tcPr>
            <w:tcW w:w="0" w:type="dxa"/>
            <w:vAlign w:val="bottom"/>
          </w:tcPr>
          <w:p>
            <w:pPr>
              <w:spacing w:after="0"/>
              <w:rPr>
                <w:sz w:val="1"/>
                <w:szCs w:val="1"/>
                <w:color w:val="auto"/>
              </w:rPr>
            </w:pPr>
          </w:p>
        </w:tc>
      </w:tr>
      <w:tr>
        <w:trPr>
          <w:trHeight w:val="258"/>
        </w:trPr>
        <w:tc>
          <w:tcPr>
            <w:tcW w:w="4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2030 Notes</w:t>
            </w:r>
          </w:p>
        </w:tc>
        <w:tc>
          <w:tcPr>
            <w:tcW w:w="1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80" w:type="dxa"/>
            <w:vAlign w:val="bottom"/>
          </w:tcPr>
          <w:p>
            <w:pPr>
              <w:spacing w:after="0"/>
              <w:rPr>
                <w:sz w:val="22"/>
                <w:szCs w:val="22"/>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407"/>
        </w:trPr>
        <w:tc>
          <w:tcPr>
            <w:tcW w:w="680" w:type="dxa"/>
            <w:vAlign w:val="bottom"/>
            <w:vMerge w:val="restart"/>
          </w:tcPr>
          <w:p>
            <w:pPr>
              <w:spacing w:after="0"/>
              <w:rPr>
                <w:sz w:val="20"/>
                <w:szCs w:val="20"/>
                <w:color w:val="auto"/>
              </w:rPr>
            </w:pPr>
            <w:r>
              <w:rPr>
                <w:rFonts w:ascii="Arial" w:cs="Arial" w:eastAsia="Arial" w:hAnsi="Arial"/>
                <w:sz w:val="20"/>
                <w:szCs w:val="20"/>
                <w:b w:val="1"/>
                <w:bCs w:val="1"/>
                <w:color w:val="5C004B"/>
              </w:rPr>
              <w:t>F-36</w:t>
            </w:r>
          </w:p>
        </w:tc>
        <w:tc>
          <w:tcPr>
            <w:tcW w:w="3580" w:type="dxa"/>
            <w:vAlign w:val="bottom"/>
            <w:vMerge w:val="restart"/>
          </w:tcPr>
          <w:p>
            <w:pPr>
              <w:ind w:left="260"/>
              <w:spacing w:after="0"/>
              <w:rPr>
                <w:sz w:val="20"/>
                <w:szCs w:val="20"/>
                <w:color w:val="auto"/>
              </w:rPr>
            </w:pPr>
            <w:r>
              <w:rPr>
                <w:rFonts w:ascii="Arial" w:cs="Arial" w:eastAsia="Arial" w:hAnsi="Arial"/>
                <w:sz w:val="16"/>
                <w:szCs w:val="16"/>
                <w:color w:val="auto"/>
              </w:rPr>
              <w:t>2025 ANNUAL REPORT</w:t>
            </w:r>
          </w:p>
        </w:tc>
        <w:tc>
          <w:tcPr>
            <w:tcW w:w="2300" w:type="dxa"/>
            <w:vAlign w:val="bottom"/>
            <w:gridSpan w:val="2"/>
            <w:vMerge w:val="restart"/>
          </w:tcPr>
          <w:p>
            <w:pPr>
              <w:jc w:val="right"/>
              <w:ind w:right="1340"/>
              <w:spacing w:after="0"/>
              <w:rPr>
                <w:sz w:val="20"/>
                <w:szCs w:val="20"/>
                <w:color w:val="auto"/>
              </w:rPr>
            </w:pPr>
            <w:r>
              <w:rPr>
                <w:rFonts w:ascii="Times New Roman" w:cs="Times New Roman" w:eastAsia="Times New Roman" w:hAnsi="Times New Roman"/>
                <w:sz w:val="19"/>
                <w:szCs w:val="19"/>
                <w:color w:val="auto"/>
              </w:rPr>
              <w:t>F-37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3580" w:type="dxa"/>
            <w:vAlign w:val="bottom"/>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Borders>
              <w:right w:val="single" w:sz="8" w:color="5C004B"/>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-269240</wp:posOffset>
            </wp:positionV>
            <wp:extent cx="1416050" cy="2546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712">
                      <a:extLst>
                        <a:ext uri="{28A0092B-C50C-407E-A947-70E740481C1C}"/>
                      </a:extLst>
                    </a:blip>
                    <a:srcRect/>
                    <a:stretch>
                      <a:fillRect/>
                    </a:stretch>
                  </pic:blipFill>
                  <pic:spPr bwMode="auto">
                    <a:xfrm>
                      <a:off x="0" y="0"/>
                      <a:ext cx="1416050" cy="254635"/>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76" w:name="page277"/>
    <w:bookmarkEnd w:id="276"/>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Segment and Other Information</w:t>
      </w:r>
    </w:p>
    <w:p>
      <w:pPr>
        <w:spacing w:after="0" w:line="133"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segment performance and decides how to allocate resources for the segment based on net income (loss) and a measure of segment assets which are on the consolidated statements of income (loss) and consolidated balance sheet.</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presents total long-lived assets by location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Ireland</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160" w:type="dxa"/>
            <w:vAlign w:val="bottom"/>
            <w:gridSpan w:val="2"/>
            <w:vMerge w:val="continue"/>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95,947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85,703</w:t>
            </w:r>
          </w:p>
        </w:tc>
        <w:tc>
          <w:tcPr>
            <w:tcW w:w="0" w:type="dxa"/>
            <w:vAlign w:val="bottom"/>
          </w:tcPr>
          <w:p>
            <w:pPr>
              <w:spacing w:after="0"/>
              <w:rPr>
                <w:sz w:val="1"/>
                <w:szCs w:val="1"/>
                <w:color w:val="auto"/>
              </w:rPr>
            </w:pPr>
          </w:p>
        </w:tc>
      </w:tr>
      <w:tr>
        <w:trPr>
          <w:trHeight w:val="254"/>
        </w:trPr>
        <w:tc>
          <w:tcPr>
            <w:tcW w:w="7160" w:type="dxa"/>
            <w:vAlign w:val="bottom"/>
            <w:gridSpan w:val="2"/>
          </w:tcPr>
          <w:p>
            <w:pPr>
              <w:ind w:left="6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81,801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77,741</w:t>
            </w:r>
          </w:p>
        </w:tc>
        <w:tc>
          <w:tcPr>
            <w:tcW w:w="0" w:type="dxa"/>
            <w:vAlign w:val="bottom"/>
          </w:tcPr>
          <w:p>
            <w:pPr>
              <w:spacing w:after="0"/>
              <w:rPr>
                <w:sz w:val="1"/>
                <w:szCs w:val="1"/>
                <w:color w:val="auto"/>
              </w:rPr>
            </w:pPr>
          </w:p>
        </w:tc>
      </w:tr>
      <w:tr>
        <w:trPr>
          <w:trHeight w:val="256"/>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45,611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33,724</w:t>
            </w:r>
          </w:p>
        </w:tc>
        <w:tc>
          <w:tcPr>
            <w:tcW w:w="0" w:type="dxa"/>
            <w:vAlign w:val="bottom"/>
          </w:tcPr>
          <w:p>
            <w:pPr>
              <w:spacing w:after="0"/>
              <w:rPr>
                <w:sz w:val="1"/>
                <w:szCs w:val="1"/>
                <w:color w:val="auto"/>
              </w:rPr>
            </w:pPr>
          </w:p>
        </w:tc>
      </w:tr>
      <w:tr>
        <w:trPr>
          <w:trHeight w:val="256"/>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Italy</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26,976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21,931</w:t>
            </w:r>
          </w:p>
        </w:tc>
        <w:tc>
          <w:tcPr>
            <w:tcW w:w="0" w:type="dxa"/>
            <w:vAlign w:val="bottom"/>
          </w:tcPr>
          <w:p>
            <w:pPr>
              <w:spacing w:after="0"/>
              <w:rPr>
                <w:sz w:val="1"/>
                <w:szCs w:val="1"/>
                <w:color w:val="auto"/>
              </w:rPr>
            </w:pPr>
          </w:p>
        </w:tc>
      </w:tr>
      <w:tr>
        <w:trPr>
          <w:trHeight w:val="258"/>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8,402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7,896</w:t>
            </w:r>
          </w:p>
        </w:tc>
        <w:tc>
          <w:tcPr>
            <w:tcW w:w="0" w:type="dxa"/>
            <w:vAlign w:val="bottom"/>
          </w:tcPr>
          <w:p>
            <w:pPr>
              <w:spacing w:after="0"/>
              <w:rPr>
                <w:sz w:val="1"/>
                <w:szCs w:val="1"/>
                <w:color w:val="auto"/>
              </w:rPr>
            </w:pPr>
          </w:p>
        </w:tc>
      </w:tr>
      <w:tr>
        <w:trPr>
          <w:trHeight w:val="239"/>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Total long-lived assets (1)</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258,737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226,995</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_________________________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Long-lived assets consist of property, plant and equipment and operating lease assets.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Revenues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presents a summary of total revenues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Xywav</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2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1,656,986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1,473,202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1,272,977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Xyrem</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146,034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233,816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569,730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Epidiolex/Epidyolex</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1,059,197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972,423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845,468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20" w:type="dxa"/>
            <w:vAlign w:val="bottom"/>
            <w:gridSpan w:val="2"/>
          </w:tcPr>
          <w:p>
            <w:pPr>
              <w:ind w:left="60"/>
              <w:spacing w:after="0" w:line="258" w:lineRule="exact"/>
              <w:rPr>
                <w:sz w:val="20"/>
                <w:szCs w:val="20"/>
                <w:color w:val="auto"/>
              </w:rPr>
            </w:pPr>
            <w:r>
              <w:rPr>
                <w:rFonts w:ascii="Times New Roman" w:cs="Times New Roman" w:eastAsia="Times New Roman" w:hAnsi="Times New Roman"/>
                <w:sz w:val="19"/>
                <w:szCs w:val="19"/>
                <w:color w:val="auto"/>
              </w:rPr>
              <w:t>Sativex</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16,277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18,877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Total Neuroscience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2,878,494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2,698,318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2,707,843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Rylaze/Enrylaze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402,920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410,846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Zepzelca</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307,309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320,318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Defitelio/defibrotide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199,392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216,565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Vyxeos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146,709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162,595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147,495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Modeyso</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8"/>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Ziihera</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24,810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2"/>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Total Oncology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1,129,183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1,111,375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1,015,254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11,471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Product sales,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4,021,849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3,821,164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3,736,943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High-sodium oxybate AG royalty revenue</w:t>
            </w:r>
          </w:p>
        </w:tc>
        <w:tc>
          <w:tcPr>
            <w:tcW w:w="320" w:type="dxa"/>
            <w:vAlign w:val="bottom"/>
          </w:tcPr>
          <w:p>
            <w:pPr>
              <w:spacing w:after="0"/>
              <w:rPr>
                <w:sz w:val="22"/>
                <w:szCs w:val="22"/>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211,725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217,575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75,918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royalty and contract revenues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34,012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30,211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Total revenues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4,267,586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4,068,950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3,834,204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____________________________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Divestiture of Sativex was completed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1258570</wp:posOffset>
            </wp:positionV>
            <wp:extent cx="259080" cy="2546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71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F-38</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F-37</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71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77" w:name="page278"/>
    <w:bookmarkEnd w:id="277"/>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presents a summary of total revenues attributed to geographic sources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United States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3,831,598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3,660,109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3,489,977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Europe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341,122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312,706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269,243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All 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94,866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96,135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74,984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revenues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4,267,586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4,068,950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3,834,204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right="24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presents a summary of the percentage of total revenues from customers that represented more than 10% of our total revenues:</w:t>
      </w:r>
    </w:p>
    <w:p>
      <w:pPr>
        <w:spacing w:after="0" w:line="10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3669665</wp:posOffset>
                </wp:positionH>
                <wp:positionV relativeFrom="paragraph">
                  <wp:posOffset>24765</wp:posOffset>
                </wp:positionV>
                <wp:extent cx="2671445" cy="0"/>
                <wp:wrapNone/>
                <wp:docPr id="936" name="Shape 9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144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936" o:spid="_x0000_s19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95pt,1.95pt" to="499.3pt,1.95pt" o:allowincell="f" strokecolor="#000000" strokeweight="0.931pt"/>
            </w:pict>
          </mc:Fallback>
        </mc:AlternateConten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8"/>
                <w:szCs w:val="18"/>
                <w:color w:val="auto"/>
              </w:rPr>
            </w:pPr>
          </w:p>
        </w:tc>
        <w:tc>
          <w:tcPr>
            <w:tcW w:w="142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1"/>
        </w:trPr>
        <w:tc>
          <w:tcPr>
            <w:tcW w:w="5660" w:type="dxa"/>
            <w:vAlign w:val="bottom"/>
          </w:tcPr>
          <w:p>
            <w:pPr>
              <w:spacing w:after="0"/>
              <w:rPr>
                <w:sz w:val="20"/>
                <w:szCs w:val="20"/>
                <w:color w:val="auto"/>
              </w:rPr>
            </w:pPr>
            <w:r>
              <w:rPr>
                <w:rFonts w:ascii="Times New Roman" w:cs="Times New Roman" w:eastAsia="Times New Roman" w:hAnsi="Times New Roman"/>
                <w:sz w:val="19"/>
                <w:szCs w:val="19"/>
                <w:color w:val="auto"/>
              </w:rPr>
              <w:t>ESSDS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42%</w:t>
            </w:r>
          </w:p>
        </w:tc>
        <w:tc>
          <w:tcPr>
            <w:tcW w:w="6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254"/>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ASD</w:t>
            </w:r>
          </w:p>
        </w:tc>
        <w:tc>
          <w:tcPr>
            <w:tcW w:w="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7 %</w:t>
            </w:r>
          </w:p>
        </w:tc>
      </w:tr>
      <w:tr>
        <w:trPr>
          <w:trHeight w:val="258"/>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0F.HVVRQ</w:t>
            </w:r>
          </w:p>
        </w:tc>
        <w:tc>
          <w:tcPr>
            <w:tcW w:w="4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w:t>
            </w:r>
          </w:p>
        </w:tc>
      </w:tr>
    </w:tbl>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Financing and payment</w:t>
      </w:r>
    </w:p>
    <w:p>
      <w:pPr>
        <w:spacing w:after="0" w:line="129" w:lineRule="exact"/>
        <w:rPr>
          <w:sz w:val="20"/>
          <w:szCs w:val="20"/>
          <w:color w:val="auto"/>
        </w:rPr>
      </w:pPr>
    </w:p>
    <w:p>
      <w:pPr>
        <w:ind w:left="60" w:right="300" w:firstLine="480"/>
        <w:spacing w:after="0" w:line="299" w:lineRule="auto"/>
        <w:rPr>
          <w:sz w:val="20"/>
          <w:szCs w:val="20"/>
          <w:color w:val="auto"/>
        </w:rPr>
      </w:pPr>
      <w:r>
        <w:rPr>
          <w:rFonts w:ascii="Times New Roman" w:cs="Times New Roman" w:eastAsia="Times New Roman" w:hAnsi="Times New Roman"/>
          <w:sz w:val="19"/>
          <w:szCs w:val="19"/>
          <w:color w:val="auto"/>
        </w:rPr>
        <w:t>Our payment terms vary by the type and location of our customer, but payment is generally required in a term ranging from 30 to 65 days.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19. Share-Based Compensation</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GW Incentive Plans</w:t>
      </w:r>
    </w:p>
    <w:p>
      <w:pPr>
        <w:spacing w:after="0" w:line="129" w:lineRule="exact"/>
        <w:rPr>
          <w:sz w:val="20"/>
          <w:szCs w:val="20"/>
          <w:color w:val="auto"/>
        </w:rPr>
      </w:pPr>
    </w:p>
    <w:p>
      <w:pPr>
        <w:ind w:left="60" w:firstLine="480"/>
        <w:spacing w:after="0" w:line="263" w:lineRule="auto"/>
        <w:rPr>
          <w:sz w:val="20"/>
          <w:szCs w:val="20"/>
          <w:color w:val="auto"/>
        </w:rPr>
      </w:pPr>
      <w:r>
        <w:rPr>
          <w:rFonts w:ascii="Times New Roman" w:cs="Times New Roman" w:eastAsia="Times New Roman" w:hAnsi="Times New Roman"/>
          <w:sz w:val="19"/>
          <w:szCs w:val="19"/>
          <w:color w:val="auto"/>
        </w:rPr>
        <w:t>On May 5, 2021, we acquired the entire issued share capital of GW. In connection with the GW Acquisition, we assumed the GW Incentive Plans. The terms of the GW Incentive Plans provide for the grant of stock options, stock appreciation rights, RSUs, other stock awards, and performance awards that may be settled in cash, shares, or other property. Ordinary shares granted to employees in exchange for American Depositary Shares of GW, in connection with the GW Acquisition, vested ratably over a service period of two years, while all post-acquisition grants vest ratably over service periods of four years and expire no more than 10 years after the date of grant. As of December 31, 2025, a total of 1,864,475 of our ordinary shares had been authorized for issuance under the GW Incentive Plans.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2011 Plan</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In connection with the Azur Merger, Jazz Pharmaceuticals, Inc.’s board of directors adopted the 2011 Plan in</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October 2011, and its stockholders approved the 2011 Plan at the special meeting of the stockholders held in December 2011.</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The 2011 Plan became effective immediately before the consummation of the Azur Merger and was assumed and adopted by us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upon the consummation of the Azur Merger. The terms of the 2011 Plan provide for the grant of stock options, stock</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appreciation rights, RSUs, other stock awards, and performance awards that may be settled in cash, shares, or other property.</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All outstanding grants under the 2011 Plan were granted to employees and vest ratably over service periods of four years and</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expire no more than 10 years after the date of grant. As of December 31, 2025, a total of 34,836,988 of our ordinary shares had</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been authorized for issuance under the 2011 Plan.</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ESPP</w:t>
      </w:r>
    </w:p>
    <w:p>
      <w:pPr>
        <w:spacing w:after="0" w:line="129" w:lineRule="exact"/>
        <w:rPr>
          <w:sz w:val="20"/>
          <w:szCs w:val="20"/>
          <w:color w:val="auto"/>
        </w:rPr>
      </w:pPr>
    </w:p>
    <w:p>
      <w:pPr>
        <w:ind w:left="60" w:right="20" w:firstLine="480"/>
        <w:spacing w:after="0" w:line="261" w:lineRule="auto"/>
        <w:rPr>
          <w:sz w:val="20"/>
          <w:szCs w:val="20"/>
          <w:color w:val="auto"/>
        </w:rPr>
      </w:pPr>
      <w:r>
        <w:rPr>
          <w:rFonts w:ascii="Times New Roman" w:cs="Times New Roman" w:eastAsia="Times New Roman" w:hAnsi="Times New Roman"/>
          <w:sz w:val="19"/>
          <w:szCs w:val="19"/>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2025, a total of 7,029,250 of our ordinary shares had been authorized for issuance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661670</wp:posOffset>
            </wp:positionV>
            <wp:extent cx="259080" cy="2546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71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F-38</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F-39</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71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78" w:name="page279"/>
    <w:bookmarkEnd w:id="278"/>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2007 Directors Award Plan</w:t>
      </w:r>
    </w:p>
    <w:p>
      <w:pPr>
        <w:spacing w:after="0" w:line="129" w:lineRule="exact"/>
        <w:rPr>
          <w:sz w:val="20"/>
          <w:szCs w:val="20"/>
          <w:color w:val="auto"/>
        </w:rPr>
      </w:pPr>
    </w:p>
    <w:p>
      <w:pPr>
        <w:ind w:right="80" w:firstLine="480"/>
        <w:spacing w:after="0" w:line="258" w:lineRule="auto"/>
        <w:rPr>
          <w:sz w:val="20"/>
          <w:szCs w:val="20"/>
          <w:color w:val="auto"/>
        </w:rPr>
      </w:pPr>
      <w:r>
        <w:rPr>
          <w:rFonts w:ascii="Times New Roman" w:cs="Times New Roman" w:eastAsia="Times New Roman" w:hAnsi="Times New Roman"/>
          <w:sz w:val="19"/>
          <w:szCs w:val="19"/>
          <w:color w:val="auto"/>
        </w:rPr>
        <w:t>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2025, a total of 1,403,938 of our ordinary shares had been authorized for issuance under the 2007 Directors Award Plan.</w:t>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Share-Based Compensation</w:t>
      </w:r>
    </w:p>
    <w:p>
      <w:pPr>
        <w:spacing w:after="0" w:line="129" w:lineRule="exact"/>
        <w:rPr>
          <w:sz w:val="20"/>
          <w:szCs w:val="20"/>
          <w:color w:val="auto"/>
        </w:rPr>
      </w:pPr>
    </w:p>
    <w:p>
      <w:pPr>
        <w:ind w:right="120" w:firstLine="480"/>
        <w:spacing w:after="0" w:line="299" w:lineRule="auto"/>
        <w:rPr>
          <w:sz w:val="20"/>
          <w:szCs w:val="20"/>
          <w:color w:val="auto"/>
        </w:rPr>
      </w:pPr>
      <w:r>
        <w:rPr>
          <w:rFonts w:ascii="Times New Roman" w:cs="Times New Roman" w:eastAsia="Times New Roman" w:hAnsi="Times New Roman"/>
          <w:sz w:val="19"/>
          <w:szCs w:val="19"/>
          <w:color w:val="auto"/>
        </w:rPr>
        <w:t>Share-based compensation expense related to RSUs, PRSUs, share options and grants under our ESPP was as follows (in thousands):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60" w:type="dxa"/>
            <w:vAlign w:val="bottom"/>
            <w:gridSpan w:val="2"/>
            <w:vMerge w:val="continue"/>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186,622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158,570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Research and development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86,480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Cost of product sales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18,031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14,802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15,052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Total share-based compensation expense, pre-tax</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291,133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248,045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Income tax benefit from share-based compensation expense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(51,810)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(40,552)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share-based compensation expense, net of tax</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239,323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207,493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right="480" w:firstLine="480"/>
        <w:spacing w:after="0" w:line="299" w:lineRule="auto"/>
        <w:rPr>
          <w:sz w:val="20"/>
          <w:szCs w:val="20"/>
          <w:color w:val="auto"/>
        </w:rPr>
      </w:pPr>
      <w:r>
        <w:rPr>
          <w:rFonts w:ascii="Times New Roman" w:cs="Times New Roman" w:eastAsia="Times New Roman" w:hAnsi="Times New Roman"/>
          <w:sz w:val="19"/>
          <w:szCs w:val="19"/>
          <w:color w:val="auto"/>
        </w:rPr>
        <w:t>We recognized income tax benefits related to share option exercises of $5.0 million, $0.3 million and $1.9 million in 2025, 2024 and 2023, respectively.</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RSUs</w:t>
      </w:r>
    </w:p>
    <w:p>
      <w:pPr>
        <w:spacing w:after="0" w:line="129" w:lineRule="exact"/>
        <w:rPr>
          <w:sz w:val="20"/>
          <w:szCs w:val="20"/>
          <w:color w:val="auto"/>
        </w:rPr>
      </w:pPr>
    </w:p>
    <w:p>
      <w:pPr>
        <w:ind w:right="100" w:firstLine="480"/>
        <w:spacing w:after="0" w:line="263" w:lineRule="auto"/>
        <w:rPr>
          <w:sz w:val="20"/>
          <w:szCs w:val="20"/>
          <w:color w:val="auto"/>
        </w:rPr>
      </w:pPr>
      <w:r>
        <w:rPr>
          <w:rFonts w:ascii="Times New Roman" w:cs="Times New Roman" w:eastAsia="Times New Roman" w:hAnsi="Times New Roman"/>
          <w:sz w:val="19"/>
          <w:szCs w:val="19"/>
          <w:color w:val="auto"/>
        </w:rPr>
        <w:t>In 2025, 2024 and 2023, we granted RSUs covering an equal number of our ordinary shares to employees with a weighted-average grant date fair value of $139.80, $118.41 and $144.65, respectively. The fair value of RSUs is determined on the date of grant based on the market price of our ordinary shares as of that date. The fair value of RSUs is recognized as an expense ratably over the vesting period of four years. In 2025, 2024 and 2023, 1,464,000, 1,341,000 and 1,094,000 RSUs were released, respectively, with 964,000, 892,000 and 735,000 ordinary shares issued, respectively, and 500,000, 449,000 and 359,000 ordinary shares withheld for tax purposes, respectively. The total fair value of shares vested was $199.0 million, $156.0 million and $155.5 million during 2025, 2024 and 2023, respectively.</w:t>
      </w:r>
    </w:p>
    <w:p>
      <w:pPr>
        <w:spacing w:after="0" w:line="70" w:lineRule="exact"/>
        <w:rPr>
          <w:sz w:val="20"/>
          <w:szCs w:val="20"/>
          <w:color w:val="auto"/>
        </w:rPr>
      </w:pPr>
    </w:p>
    <w:p>
      <w:pPr>
        <w:ind w:right="50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total compensation cost not yet recognized related to unvested RSUs was $328.1 million, which is expected to be recognized over a weighted-average period of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1724025</wp:posOffset>
            </wp:positionV>
            <wp:extent cx="259080" cy="2546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71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F-40</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F-39</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71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79" w:name="page280"/>
    <w:bookmarkEnd w:id="279"/>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summarizes information as of December 31, 2025 and activity during 2025 related to our RSUs: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2"/>
              <w:spacing w:after="0" w:line="156"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2"/>
              <w:spacing w:after="0" w:line="156" w:lineRule="exact"/>
              <w:rPr>
                <w:sz w:val="20"/>
                <w:szCs w:val="20"/>
                <w:color w:val="auto"/>
              </w:rPr>
            </w:pPr>
            <w:r>
              <w:rPr>
                <w:rFonts w:ascii="Times New Roman" w:cs="Times New Roman" w:eastAsia="Times New Roman" w:hAnsi="Times New Roman"/>
                <w:sz w:val="16"/>
                <w:szCs w:val="16"/>
                <w:b w:val="1"/>
                <w:bCs w:val="1"/>
                <w:color w:val="auto"/>
                <w:w w:val="96"/>
              </w:rPr>
              <w:t>Grant-Date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line="156"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7"/>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Outstanding at January 1, 2025</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29"/>
        </w:trPr>
        <w:tc>
          <w:tcPr>
            <w:tcW w:w="4240" w:type="dxa"/>
            <w:vAlign w:val="bottom"/>
            <w:gridSpan w:val="2"/>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133.60</w:t>
            </w: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RSUs 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139.80</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RSUs released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140.28</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RSUs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132.38</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Outstanding at December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749,044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PRSUs</w:t>
      </w:r>
    </w:p>
    <w:p>
      <w:pPr>
        <w:spacing w:after="0" w:line="129" w:lineRule="exact"/>
        <w:rPr>
          <w:sz w:val="20"/>
          <w:szCs w:val="20"/>
          <w:color w:val="auto"/>
        </w:rPr>
      </w:pPr>
    </w:p>
    <w:p>
      <w:pPr>
        <w:ind w:left="60" w:firstLine="480"/>
        <w:spacing w:after="0" w:line="261" w:lineRule="auto"/>
        <w:rPr>
          <w:sz w:val="20"/>
          <w:szCs w:val="20"/>
          <w:color w:val="auto"/>
        </w:rPr>
      </w:pPr>
      <w:r>
        <w:rPr>
          <w:rFonts w:ascii="Times New Roman" w:cs="Times New Roman" w:eastAsia="Times New Roman" w:hAnsi="Times New Roman"/>
          <w:sz w:val="19"/>
          <w:szCs w:val="19"/>
          <w:color w:val="auto"/>
        </w:rPr>
        <w:t>The Compensation &amp; Management Development Committee of our board of directors and, in the case of our President and Chief Executive Officer, the independent members of our board of directors, approved awards of PRSUs to certain of our employees, subject to vesting on the achievement of certain commercial and pipeline performance criteria to be assessed over a performance period from the date of the grant to December 31, 2025, December 31, 2026 and December 31, 2027, respectively. The number of shares that vest is determined based on the Company’s achievement with respect to the performance criteria. For PRSUs granted prior to 2024, the amount of shares that vest will be subject to adjustment based on the application of a relative TSR modifier. For PRSUs granted in 2025 and 2024, relative TSR represents one of the performance metrics. In both cases, the number of shares that may be earned ranges between 0% and 200% of the target number of PRSUs granted.</w:t>
      </w:r>
    </w:p>
    <w:p>
      <w:pPr>
        <w:spacing w:after="0" w:line="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summarizes information as of December 31, 2025 and activity during 2025 related to our PRSUs: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PRSUs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2"/>
              <w:spacing w:after="0" w:line="154"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3"/>
                <w:szCs w:val="13"/>
                <w:color w:val="auto"/>
              </w:rPr>
            </w:pPr>
          </w:p>
        </w:tc>
        <w:tc>
          <w:tcPr>
            <w:tcW w:w="13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2"/>
              <w:spacing w:after="0" w:line="156" w:lineRule="exact"/>
              <w:rPr>
                <w:sz w:val="20"/>
                <w:szCs w:val="20"/>
                <w:color w:val="auto"/>
              </w:rPr>
            </w:pPr>
            <w:r>
              <w:rPr>
                <w:rFonts w:ascii="Times New Roman" w:cs="Times New Roman" w:eastAsia="Times New Roman" w:hAnsi="Times New Roman"/>
                <w:sz w:val="16"/>
                <w:szCs w:val="16"/>
                <w:b w:val="1"/>
                <w:bCs w:val="1"/>
                <w:color w:val="auto"/>
                <w:w w:val="96"/>
              </w:rPr>
              <w:t>Grant-Date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line="156"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7"/>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Outstanding at January 1, 2025</w:t>
            </w:r>
          </w:p>
        </w:tc>
        <w:tc>
          <w:tcPr>
            <w:tcW w:w="13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31"/>
        </w:trPr>
        <w:tc>
          <w:tcPr>
            <w:tcW w:w="4240" w:type="dxa"/>
            <w:vAlign w:val="bottom"/>
            <w:gridSpan w:val="2"/>
            <w:vMerge w:val="continue"/>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150.82</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PRSUs 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168.75</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PRSUs released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171.37</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PRSUs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161.31</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2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Outstanding at December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134,181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60" w:right="40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total compensation cost not yet recognized related to unvested PRSUs was $42.1 million, which is expected to be recognized over a weighted-average period of 1.5 years.</w:t>
      </w:r>
    </w:p>
    <w:p>
      <w:pPr>
        <w:spacing w:after="0" w:line="38" w:lineRule="exact"/>
        <w:rPr>
          <w:sz w:val="20"/>
          <w:szCs w:val="20"/>
          <w:color w:val="auto"/>
        </w:rPr>
      </w:pPr>
    </w:p>
    <w:p>
      <w:pPr>
        <w:ind w:left="60" w:right="60" w:firstLine="480"/>
        <w:spacing w:after="0" w:line="261" w:lineRule="auto"/>
        <w:rPr>
          <w:sz w:val="20"/>
          <w:szCs w:val="20"/>
          <w:color w:val="auto"/>
        </w:rPr>
      </w:pPr>
      <w:r>
        <w:rPr>
          <w:rFonts w:ascii="Times New Roman" w:cs="Times New Roman" w:eastAsia="Times New Roman" w:hAnsi="Times New Roman"/>
          <w:sz w:val="19"/>
          <w:szCs w:val="19"/>
          <w:color w:val="auto"/>
        </w:rPr>
        <w:t>As the PRSUs granted in each year are subject to a market condition, the grant date fair value for such PRSUs was based on a Monte Carlo simulation model. In 2025, 2024 and 2023, we granted PRSUs to employees with a weighted-average grant date fair value of $168.75, $131.04 and $156.91, respectively. The Company evaluated the performance targets in the context of its current long-range financial plan and its product candidate development pipeline and recognized compensation expense based on the probable number of awards that will ultimately vest. In 2025 and 2024, 154,000 and 124,000 PRSUs were released, respectively, with 99,000 and 80,000 ordinary shares issued, respectively, and 55,000 and 44,000 ordinary shares withheld for tax purposes, respectively. The total fair value of shares vested was $18.8 million and $14.8 million during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2157730</wp:posOffset>
            </wp:positionV>
            <wp:extent cx="259080" cy="2546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71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F-40</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F-41</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72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602" w:right="999" w:bottom="0" w:gutter="0" w:footer="0" w:header="0"/>
        </w:sectPr>
      </w:pPr>
    </w:p>
    <w:bookmarkStart w:id="280" w:name="page281"/>
    <w:bookmarkEnd w:id="280"/>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Share Options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There were no share options granted in 2025, 2024 and 2023.</w:t>
      </w:r>
    </w:p>
    <w:p>
      <w:pPr>
        <w:spacing w:after="0" w:line="131" w:lineRule="exact"/>
        <w:rPr>
          <w:sz w:val="20"/>
          <w:szCs w:val="20"/>
          <w:color w:val="auto"/>
        </w:rPr>
      </w:pPr>
    </w:p>
    <w:p>
      <w:pPr>
        <w:ind w:right="56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summarizes information as of December 31, 2025 and activity during 2025 related to our share option plans:</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3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5"/>
              </w:rPr>
              <w:t>Subject to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72"/>
              <w:spacing w:after="0" w:line="156"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2"/>
              <w:spacing w:after="0" w:line="156"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7"/>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Outstanding at January 1, 2025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29"/>
        </w:trPr>
        <w:tc>
          <w:tcPr>
            <w:tcW w:w="424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2,158</w:t>
            </w:r>
          </w:p>
        </w:tc>
        <w:tc>
          <w:tcPr>
            <w:tcW w:w="80" w:type="dxa"/>
            <w:vAlign w:val="bottom"/>
          </w:tcPr>
          <w:p>
            <w:pPr>
              <w:spacing w:after="0"/>
              <w:rPr>
                <w:sz w:val="19"/>
                <w:szCs w:val="19"/>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139.79</w:t>
            </w: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Options 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134.51</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Options expired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167.80</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December 31, 2025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1,160</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134.57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41,403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Vested and exercisable at December 31, 2025</w:t>
            </w: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134.57</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41,403</w:t>
            </w:r>
          </w:p>
        </w:tc>
        <w:tc>
          <w:tcPr>
            <w:tcW w:w="0" w:type="dxa"/>
            <w:vAlign w:val="bottom"/>
          </w:tcPr>
          <w:p>
            <w:pPr>
              <w:spacing w:after="0" w:line="20" w:lineRule="exact"/>
              <w:rPr>
                <w:sz w:val="1"/>
                <w:szCs w:val="1"/>
                <w:color w:val="auto"/>
              </w:rPr>
            </w:pPr>
          </w:p>
        </w:tc>
      </w:tr>
      <w:tr>
        <w:trPr>
          <w:trHeight w:val="254"/>
        </w:trPr>
        <w:tc>
          <w:tcPr>
            <w:tcW w:w="4240" w:type="dxa"/>
            <w:vAlign w:val="bottom"/>
            <w:vMerge w:val="continue"/>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1,160</w:t>
            </w:r>
          </w:p>
        </w:tc>
        <w:tc>
          <w:tcPr>
            <w:tcW w:w="3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120" w:firstLine="480"/>
        <w:spacing w:after="0" w:line="266" w:lineRule="auto"/>
        <w:rPr>
          <w:sz w:val="20"/>
          <w:szCs w:val="20"/>
          <w:color w:val="auto"/>
        </w:rPr>
      </w:pPr>
      <w:r>
        <w:rPr>
          <w:rFonts w:ascii="Times New Roman" w:cs="Times New Roman" w:eastAsia="Times New Roman" w:hAnsi="Times New Roman"/>
          <w:sz w:val="19"/>
          <w:szCs w:val="19"/>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$21.7 million, $0.2 million and $6.3 million during 2025, 2024 and 2023, respectively. We issued new ordinary shares upon exercise of share options.</w:t>
      </w:r>
    </w:p>
    <w:p>
      <w:pPr>
        <w:spacing w:after="0" w:line="70" w:lineRule="exact"/>
        <w:rPr>
          <w:sz w:val="20"/>
          <w:szCs w:val="20"/>
          <w:color w:val="auto"/>
        </w:rPr>
      </w:pPr>
    </w:p>
    <w:p>
      <w:pPr>
        <w:ind w:right="160" w:firstLine="480"/>
        <w:spacing w:after="0" w:line="299" w:lineRule="auto"/>
        <w:rPr>
          <w:sz w:val="20"/>
          <w:szCs w:val="20"/>
          <w:color w:val="auto"/>
        </w:rPr>
      </w:pPr>
      <w:r>
        <w:rPr>
          <w:rFonts w:ascii="Times New Roman" w:cs="Times New Roman" w:eastAsia="Times New Roman" w:hAnsi="Times New Roman"/>
          <w:sz w:val="19"/>
          <w:szCs w:val="19"/>
          <w:color w:val="auto"/>
        </w:rPr>
        <w:t>As of December 31, 2025, total compensation cost not yet recognized related to grants under the ESPP was $3.8 million, which is expected to be recognized over a weighted-average period of 0.9 years.</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i w:val="1"/>
          <w:iCs w:val="1"/>
          <w:color w:val="auto"/>
        </w:rPr>
        <w:t>Nominal Strike Price Options</w:t>
      </w:r>
    </w:p>
    <w:p>
      <w:pPr>
        <w:spacing w:after="0" w:line="129"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19"/>
          <w:szCs w:val="19"/>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58" w:lineRule="exact"/>
        <w:rPr>
          <w:sz w:val="20"/>
          <w:szCs w:val="20"/>
          <w:color w:val="auto"/>
        </w:rPr>
      </w:pPr>
    </w:p>
    <w:p>
      <w:pPr>
        <w:ind w:right="34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summarizes information as of December 31, 2025 and activity during 2025 related to our nominal strike price options: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5"/>
              </w:rPr>
              <w:t>Subject to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73"/>
              <w:spacing w:after="0" w:line="156"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13"/>
                <w:szCs w:val="13"/>
                <w:color w:val="auto"/>
              </w:rPr>
            </w:pPr>
          </w:p>
        </w:tc>
        <w:tc>
          <w:tcPr>
            <w:tcW w:w="134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3"/>
              <w:spacing w:after="0" w:line="154"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60" w:type="dxa"/>
            <w:vAlign w:val="bottom"/>
          </w:tcPr>
          <w:p>
            <w:pPr>
              <w:spacing w:after="0"/>
              <w:rPr>
                <w:sz w:val="13"/>
                <w:szCs w:val="13"/>
                <w:color w:val="auto"/>
              </w:rPr>
            </w:pPr>
          </w:p>
        </w:tc>
        <w:tc>
          <w:tcPr>
            <w:tcW w:w="13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7"/>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Outstanding at January 1, 2025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80" w:type="dxa"/>
            <w:vAlign w:val="bottom"/>
          </w:tcPr>
          <w:p>
            <w:pPr>
              <w:spacing w:after="0"/>
              <w:rPr>
                <w:sz w:val="20"/>
                <w:szCs w:val="20"/>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w:t>
            </w: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December 31, 2025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Vested and exercisable at December 31, 2025</w:t>
            </w: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0.02</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1,496</w:t>
            </w:r>
          </w:p>
        </w:tc>
        <w:tc>
          <w:tcPr>
            <w:tcW w:w="0" w:type="dxa"/>
            <w:vAlign w:val="bottom"/>
          </w:tcPr>
          <w:p>
            <w:pPr>
              <w:spacing w:after="0" w:line="20" w:lineRule="exact"/>
              <w:rPr>
                <w:sz w:val="1"/>
                <w:szCs w:val="1"/>
                <w:color w:val="auto"/>
              </w:rPr>
            </w:pPr>
          </w:p>
        </w:tc>
      </w:tr>
      <w:tr>
        <w:trPr>
          <w:trHeight w:val="254"/>
        </w:trPr>
        <w:tc>
          <w:tcPr>
            <w:tcW w:w="4240" w:type="dxa"/>
            <w:vAlign w:val="bottom"/>
            <w:vMerge w:val="continue"/>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3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20" w:firstLine="480"/>
        <w:spacing w:after="0" w:line="299" w:lineRule="auto"/>
        <w:rPr>
          <w:sz w:val="20"/>
          <w:szCs w:val="20"/>
          <w:color w:val="auto"/>
        </w:rPr>
      </w:pPr>
      <w:r>
        <w:rPr>
          <w:rFonts w:ascii="Times New Roman" w:cs="Times New Roman" w:eastAsia="Times New Roman" w:hAnsi="Times New Roman"/>
          <w:sz w:val="19"/>
          <w:szCs w:val="19"/>
          <w:color w:val="auto"/>
        </w:rPr>
        <w:t>The aggregate intrinsic value of nominal strike price options exercised was $1.5 million, $0.9 million and $3.9 million during 2025, 2024 and 2023, respectively. We issued new ordinary shares upon exercise of nominal strike price options.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Employee Benefit Plans</w:t>
      </w:r>
    </w:p>
    <w:p>
      <w:pPr>
        <w:spacing w:after="0" w:line="133"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19"/>
          <w:szCs w:val="19"/>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2025, 2024 and 2023 we recorded expense of $17.9 million, $16.4 million and $13.4 million, respectively, related to this plan.</w:t>
      </w:r>
    </w:p>
    <w:p>
      <w:pPr>
        <w:spacing w:after="0" w:line="64"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9"/>
          <w:szCs w:val="19"/>
          <w:color w:val="auto"/>
        </w:rPr>
        <w:t>We also operate a number of defined contribution retirement plans for certain non-U.S. based employees. Expenses related to contributions to such plans for the years ended December 31, 2025, 2024 and 2023 were $17.1 million, $15.2 million and $14.0 million,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 Income Taxes</w:t>
      </w:r>
    </w:p>
    <w:p>
      <w:pPr>
        <w:spacing w:after="0" w:line="133" w:lineRule="exact"/>
        <w:rPr>
          <w:sz w:val="20"/>
          <w:szCs w:val="20"/>
          <w:color w:val="auto"/>
        </w:rPr>
      </w:pPr>
    </w:p>
    <w:p>
      <w:pPr>
        <w:ind w:right="980" w:firstLine="480"/>
        <w:spacing w:after="0" w:line="299" w:lineRule="auto"/>
        <w:rPr>
          <w:sz w:val="20"/>
          <w:szCs w:val="20"/>
          <w:color w:val="auto"/>
        </w:rPr>
      </w:pPr>
      <w:r>
        <w:rPr>
          <w:rFonts w:ascii="Times New Roman" w:cs="Times New Roman" w:eastAsia="Times New Roman" w:hAnsi="Times New Roman"/>
          <w:sz w:val="19"/>
          <w:szCs w:val="19"/>
          <w:color w:val="auto"/>
        </w:rPr>
        <w:t>The components of income (loss) before income tax benefit and equity in loss of investees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105410</wp:posOffset>
            </wp:positionV>
            <wp:extent cx="259080" cy="2546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72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185"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F-42</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F-41</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72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81" w:name="page282"/>
    <w:bookmarkEnd w:id="281"/>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Ireland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6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164,697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497,860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United States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(872,206)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29,594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gridSpan w:val="2"/>
          </w:tcPr>
          <w:p>
            <w:pPr>
              <w:spacing w:after="0"/>
              <w:rPr>
                <w:sz w:val="20"/>
                <w:szCs w:val="20"/>
                <w:color w:val="auto"/>
              </w:rPr>
            </w:pPr>
            <w:r>
              <w:rPr>
                <w:rFonts w:ascii="PMingLiU" w:cs="PMingLiU" w:eastAsia="PMingLiU" w:hAnsi="PMingLiU"/>
                <w:sz w:val="19"/>
                <w:szCs w:val="19"/>
                <w:color w:val="auto"/>
              </w:rPr>
              <w:t>8QLWHG.LQJGRP</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(251,890)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(411,356)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(643,096)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331,540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354,253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497,867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(627,859)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470,351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sets forth the details of income tax expense (benefit) (in thousands):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Current</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0"/>
        </w:trPr>
        <w:tc>
          <w:tcPr>
            <w:tcW w:w="56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Ireland</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71,627</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97,680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77,343</w:t>
            </w:r>
          </w:p>
        </w:tc>
        <w:tc>
          <w:tcPr>
            <w:tcW w:w="0" w:type="dxa"/>
            <w:vAlign w:val="bottom"/>
          </w:tcPr>
          <w:p>
            <w:pPr>
              <w:spacing w:after="0"/>
              <w:rPr>
                <w:sz w:val="1"/>
                <w:szCs w:val="1"/>
                <w:color w:val="auto"/>
              </w:rPr>
            </w:pPr>
          </w:p>
        </w:tc>
      </w:tr>
      <w:tr>
        <w:trPr>
          <w:trHeight w:val="265"/>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22,065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20,803</w:t>
            </w:r>
          </w:p>
        </w:tc>
        <w:tc>
          <w:tcPr>
            <w:tcW w:w="0" w:type="dxa"/>
            <w:vAlign w:val="bottom"/>
          </w:tcPr>
          <w:p>
            <w:pPr>
              <w:spacing w:after="0"/>
              <w:rPr>
                <w:sz w:val="1"/>
                <w:szCs w:val="1"/>
                <w:color w:val="auto"/>
              </w:rPr>
            </w:pPr>
          </w:p>
        </w:tc>
      </w:tr>
      <w:tr>
        <w:trPr>
          <w:trHeight w:val="263"/>
        </w:trPr>
        <w:tc>
          <w:tcPr>
            <w:tcW w:w="5620" w:type="dxa"/>
            <w:vAlign w:val="bottom"/>
            <w:gridSpan w:val="2"/>
          </w:tcPr>
          <w:p>
            <w:pPr>
              <w:ind w:left="12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7,726</w:t>
            </w:r>
          </w:p>
        </w:tc>
        <w:tc>
          <w:tcPr>
            <w:tcW w:w="0" w:type="dxa"/>
            <w:vAlign w:val="bottom"/>
          </w:tcPr>
          <w:p>
            <w:pPr>
              <w:spacing w:after="0"/>
              <w:rPr>
                <w:sz w:val="1"/>
                <w:szCs w:val="1"/>
                <w:color w:val="auto"/>
              </w:rPr>
            </w:pPr>
          </w:p>
        </w:tc>
      </w:tr>
      <w:tr>
        <w:trPr>
          <w:trHeight w:val="259"/>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47,700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(3,054)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34,433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current tax expense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172,528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116,898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140,305</w:t>
            </w: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exclusive of other components below</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Ireland</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(9,820)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(20,022)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(10,919)</w:t>
            </w:r>
          </w:p>
        </w:tc>
        <w:tc>
          <w:tcPr>
            <w:tcW w:w="0" w:type="dxa"/>
            <w:vAlign w:val="bottom"/>
          </w:tcPr>
          <w:p>
            <w:pPr>
              <w:spacing w:after="0"/>
              <w:rPr>
                <w:sz w:val="1"/>
                <w:szCs w:val="1"/>
                <w:color w:val="auto"/>
              </w:rPr>
            </w:pPr>
          </w:p>
        </w:tc>
      </w:tr>
      <w:tr>
        <w:trPr>
          <w:trHeight w:val="254"/>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(296,555)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(63,162)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(89,246)</w:t>
            </w:r>
          </w:p>
        </w:tc>
        <w:tc>
          <w:tcPr>
            <w:tcW w:w="0" w:type="dxa"/>
            <w:vAlign w:val="bottom"/>
          </w:tcPr>
          <w:p>
            <w:pPr>
              <w:spacing w:after="0"/>
              <w:rPr>
                <w:sz w:val="1"/>
                <w:szCs w:val="1"/>
                <w:color w:val="auto"/>
              </w:rPr>
            </w:pPr>
          </w:p>
        </w:tc>
      </w:tr>
      <w:tr>
        <w:trPr>
          <w:trHeight w:val="256"/>
        </w:trPr>
        <w:tc>
          <w:tcPr>
            <w:tcW w:w="5620" w:type="dxa"/>
            <w:vAlign w:val="bottom"/>
            <w:gridSpan w:val="2"/>
          </w:tcPr>
          <w:p>
            <w:pPr>
              <w:ind w:left="12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(122,939)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(114,600)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(150,506)</w:t>
            </w:r>
          </w:p>
        </w:tc>
        <w:tc>
          <w:tcPr>
            <w:tcW w:w="0" w:type="dxa"/>
            <w:vAlign w:val="bottom"/>
          </w:tcPr>
          <w:p>
            <w:pPr>
              <w:spacing w:after="0"/>
              <w:rPr>
                <w:sz w:val="1"/>
                <w:szCs w:val="1"/>
                <w:color w:val="auto"/>
              </w:rPr>
            </w:pPr>
          </w:p>
        </w:tc>
      </w:tr>
      <w:tr>
        <w:trPr>
          <w:trHeight w:val="258"/>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(13,582)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(11,481)</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(8,990)</w:t>
            </w:r>
          </w:p>
        </w:tc>
        <w:tc>
          <w:tcPr>
            <w:tcW w:w="0" w:type="dxa"/>
            <w:vAlign w:val="bottom"/>
          </w:tcPr>
          <w:p>
            <w:pPr>
              <w:spacing w:after="0"/>
              <w:rPr>
                <w:sz w:val="1"/>
                <w:szCs w:val="1"/>
                <w:color w:val="auto"/>
              </w:rPr>
            </w:pPr>
          </w:p>
        </w:tc>
      </w:tr>
      <w:tr>
        <w:trPr>
          <w:trHeight w:val="236"/>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deferred, exclusive of other components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(442,896)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(209,265)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(259,661)</w:t>
            </w:r>
          </w:p>
        </w:tc>
        <w:tc>
          <w:tcPr>
            <w:tcW w:w="0" w:type="dxa"/>
            <w:vAlign w:val="bottom"/>
          </w:tcPr>
          <w:p>
            <w:pPr>
              <w:spacing w:after="0"/>
              <w:rPr>
                <w:sz w:val="1"/>
                <w:szCs w:val="1"/>
                <w:color w:val="auto"/>
              </w:rPr>
            </w:pPr>
          </w:p>
        </w:tc>
      </w:tr>
      <w:tr>
        <w:trPr>
          <w:trHeight w:val="231"/>
        </w:trPr>
        <w:tc>
          <w:tcPr>
            <w:tcW w:w="5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change in tax rates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w:t>
            </w:r>
          </w:p>
        </w:tc>
        <w:tc>
          <w:tcPr>
            <w:tcW w:w="0" w:type="dxa"/>
            <w:vAlign w:val="bottom"/>
          </w:tcPr>
          <w:p>
            <w:pPr>
              <w:spacing w:after="0"/>
              <w:rPr>
                <w:sz w:val="1"/>
                <w:szCs w:val="1"/>
                <w:color w:val="auto"/>
              </w:rPr>
            </w:pPr>
          </w:p>
        </w:tc>
      </w:tr>
      <w:tr>
        <w:trPr>
          <w:trHeight w:val="256"/>
        </w:trPr>
        <w:tc>
          <w:tcPr>
            <w:tcW w:w="5620" w:type="dxa"/>
            <w:vAlign w:val="bottom"/>
            <w:gridSpan w:val="2"/>
          </w:tcPr>
          <w:p>
            <w:pPr>
              <w:ind w:left="12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w:t>
            </w:r>
          </w:p>
        </w:tc>
        <w:tc>
          <w:tcPr>
            <w:tcW w:w="0" w:type="dxa"/>
            <w:vAlign w:val="bottom"/>
          </w:tcPr>
          <w:p>
            <w:pPr>
              <w:spacing w:after="0"/>
              <w:rPr>
                <w:sz w:val="1"/>
                <w:szCs w:val="1"/>
                <w:color w:val="auto"/>
              </w:rPr>
            </w:pPr>
          </w:p>
        </w:tc>
      </w:tr>
      <w:tr>
        <w:trPr>
          <w:trHeight w:val="258"/>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6"/>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deferred, change in tax rates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(556)</w:t>
            </w:r>
          </w:p>
        </w:tc>
        <w:tc>
          <w:tcPr>
            <w:tcW w:w="0" w:type="dxa"/>
            <w:vAlign w:val="bottom"/>
          </w:tcPr>
          <w:p>
            <w:pPr>
              <w:spacing w:after="0"/>
              <w:rPr>
                <w:sz w:val="1"/>
                <w:szCs w:val="1"/>
                <w:color w:val="auto"/>
              </w:rPr>
            </w:pPr>
          </w:p>
        </w:tc>
      </w:tr>
      <w:tr>
        <w:trPr>
          <w:trHeight w:val="236"/>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deferred tax benefit</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(444,971)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(208,327)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(260,217)</w:t>
            </w:r>
          </w:p>
        </w:tc>
        <w:tc>
          <w:tcPr>
            <w:tcW w:w="0" w:type="dxa"/>
            <w:vAlign w:val="bottom"/>
          </w:tcPr>
          <w:p>
            <w:pPr>
              <w:spacing w:after="0"/>
              <w:rPr>
                <w:sz w:val="1"/>
                <w:szCs w:val="1"/>
                <w:color w:val="auto"/>
              </w:rPr>
            </w:pPr>
          </w:p>
        </w:tc>
      </w:tr>
      <w:tr>
        <w:trPr>
          <w:trHeight w:val="271"/>
        </w:trPr>
        <w:tc>
          <w:tcPr>
            <w:tcW w:w="5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income tax expense (benefit)</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Ireland</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61,807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77,658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66,424</w:t>
            </w:r>
          </w:p>
        </w:tc>
        <w:tc>
          <w:tcPr>
            <w:tcW w:w="0" w:type="dxa"/>
            <w:vAlign w:val="bottom"/>
          </w:tcPr>
          <w:p>
            <w:pPr>
              <w:spacing w:after="0"/>
              <w:rPr>
                <w:sz w:val="1"/>
                <w:szCs w:val="1"/>
                <w:color w:val="auto"/>
              </w:rPr>
            </w:pPr>
          </w:p>
        </w:tc>
      </w:tr>
      <w:tr>
        <w:trPr>
          <w:trHeight w:val="296"/>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(254,537)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(69,267)</w:t>
            </w:r>
          </w:p>
        </w:tc>
        <w:tc>
          <w:tcPr>
            <w:tcW w:w="0" w:type="dxa"/>
            <w:vAlign w:val="bottom"/>
          </w:tcPr>
          <w:p>
            <w:pPr>
              <w:spacing w:after="0"/>
              <w:rPr>
                <w:sz w:val="1"/>
                <w:szCs w:val="1"/>
                <w:color w:val="auto"/>
              </w:rPr>
            </w:pPr>
          </w:p>
        </w:tc>
      </w:tr>
      <w:tr>
        <w:trPr>
          <w:trHeight w:val="293"/>
        </w:trPr>
        <w:tc>
          <w:tcPr>
            <w:tcW w:w="5620" w:type="dxa"/>
            <w:vAlign w:val="bottom"/>
            <w:gridSpan w:val="2"/>
          </w:tcPr>
          <w:p>
            <w:pPr>
              <w:ind w:left="12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(113,831)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(114,393)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(142,512)</w:t>
            </w:r>
          </w:p>
        </w:tc>
        <w:tc>
          <w:tcPr>
            <w:tcW w:w="0" w:type="dxa"/>
            <w:vAlign w:val="bottom"/>
          </w:tcPr>
          <w:p>
            <w:pPr>
              <w:spacing w:after="0"/>
              <w:rPr>
                <w:sz w:val="1"/>
                <w:szCs w:val="1"/>
                <w:color w:val="auto"/>
              </w:rPr>
            </w:pPr>
          </w:p>
        </w:tc>
      </w:tr>
      <w:tr>
        <w:trPr>
          <w:trHeight w:val="295"/>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34,118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(14,552)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25,443</w:t>
            </w:r>
          </w:p>
        </w:tc>
        <w:tc>
          <w:tcPr>
            <w:tcW w:w="0" w:type="dxa"/>
            <w:vAlign w:val="bottom"/>
          </w:tcPr>
          <w:p>
            <w:pPr>
              <w:spacing w:after="0"/>
              <w:rPr>
                <w:sz w:val="1"/>
                <w:szCs w:val="1"/>
                <w:color w:val="auto"/>
              </w:rPr>
            </w:pPr>
          </w:p>
        </w:tc>
      </w:tr>
      <w:tr>
        <w:trPr>
          <w:trHeight w:val="276"/>
        </w:trPr>
        <w:tc>
          <w:tcPr>
            <w:tcW w:w="5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income tax expense (benefit)</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(272,443)</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(91,429)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(119,912)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60" w:right="100" w:firstLine="480"/>
        <w:spacing w:after="0" w:line="405" w:lineRule="auto"/>
        <w:rPr>
          <w:sz w:val="20"/>
          <w:szCs w:val="20"/>
          <w:color w:val="auto"/>
        </w:rPr>
      </w:pPr>
      <w:r>
        <w:rPr>
          <w:rFonts w:ascii="Times New Roman" w:cs="Times New Roman" w:eastAsia="Times New Roman" w:hAnsi="Times New Roman"/>
          <w:sz w:val="15"/>
          <w:szCs w:val="15"/>
          <w:color w:val="auto"/>
        </w:rPr>
        <w:t xml:space="preserve">Our income tax benefit was $272.4 million, $91.4 million and $119.9 million in 2025, 2024 and 2023, respectively. Our income tax benefit in 2025 arose primarily due to the reversal of a valuation allowance against certain U.S. federal and state deferred tax assets acquired through the Chimerix Acquisition. Apart from the reversal of the valuation allowance, the income </w:t>
      </w:r>
      <w:r>
        <w:rPr>
          <w:rFonts w:ascii="PMingLiU" w:cs="PMingLiU" w:eastAsia="PMingLiU" w:hAnsi="PMingLiU"/>
          <w:sz w:val="15"/>
          <w:szCs w:val="15"/>
          <w:color w:val="auto"/>
        </w:rPr>
        <w:t>WD[EHQHILWVUHODWHWRWD[DULVLQJRQLQFRPHRUORVVHVLQ,UHODQGWKH8.WKH86DQGFHUWDLQRWKHUIRUHLJQMXULVGLFWLRQV</w:t>
      </w:r>
      <w:r>
        <w:rPr>
          <w:rFonts w:ascii="Times New Roman" w:cs="Times New Roman" w:eastAsia="Times New Roman" w:hAnsi="Times New Roman"/>
          <w:sz w:val="15"/>
          <w:szCs w:val="15"/>
          <w:color w:val="auto"/>
        </w:rPr>
        <w:t>, offset</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1351915</wp:posOffset>
            </wp:positionV>
            <wp:extent cx="259080" cy="2546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72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F-42</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F-43</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72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602" w:right="999" w:bottom="0" w:gutter="0" w:footer="0" w:header="0"/>
        </w:sectPr>
      </w:pPr>
    </w:p>
    <w:bookmarkStart w:id="282" w:name="page283"/>
    <w:bookmarkEnd w:id="282"/>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60" w:firstLine="438"/>
        <w:spacing w:after="0" w:line="264" w:lineRule="auto"/>
        <w:rPr>
          <w:sz w:val="20"/>
          <w:szCs w:val="20"/>
          <w:color w:val="auto"/>
        </w:rPr>
      </w:pPr>
      <w:r>
        <w:rPr>
          <w:rFonts w:ascii="Times New Roman" w:cs="Times New Roman" w:eastAsia="Times New Roman" w:hAnsi="Times New Roman"/>
          <w:sz w:val="19"/>
          <w:szCs w:val="19"/>
          <w:color w:val="auto"/>
        </w:rPr>
        <w:t>Beginning with the 2025 annual reporting, we adopted ASU 2023-09 prospectively. See Note 2 - Summary of Significant Accounting Policies - Adoption of New Accounting Standards for additional details on the adoption of ASU 2023-09. The reconciliation between the income tax benefit at the Irish statutory trading income tax rate of 12.5 percent, the jurisdiction of tax domicile of Jazz Pharmaceuticals, applied to the loss before income tax benefit and equity in loss of investees and our reported income tax benefit pursuant to the disclosure requirements of ASU 2023-09 for the year ended December 31, 2025 was as follows (in thousands, except percentages):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center"/>
              <w:ind w:right="263"/>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0" w:type="dxa"/>
            <w:vAlign w:val="bottom"/>
          </w:tcPr>
          <w:p>
            <w:pPr>
              <w:spacing w:after="0"/>
              <w:rPr>
                <w:sz w:val="1"/>
                <w:szCs w:val="1"/>
                <w:color w:val="auto"/>
              </w:rPr>
            </w:pPr>
          </w:p>
        </w:tc>
      </w:tr>
      <w:tr>
        <w:trPr>
          <w:trHeight w:val="232"/>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Income tax at the statutory tax rate</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7120" w:type="dxa"/>
            <w:vAlign w:val="bottom"/>
            <w:gridSpan w:val="2"/>
            <w:vMerge w:val="continue"/>
          </w:tcPr>
          <w:p>
            <w:pPr>
              <w:spacing w:after="0"/>
              <w:rPr>
                <w:sz w:val="23"/>
                <w:szCs w:val="23"/>
                <w:color w:val="auto"/>
              </w:rPr>
            </w:pP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(78,482)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12.5 %</w:t>
            </w:r>
          </w:p>
        </w:tc>
        <w:tc>
          <w:tcPr>
            <w:tcW w:w="0" w:type="dxa"/>
            <w:vAlign w:val="bottom"/>
          </w:tcPr>
          <w:p>
            <w:pPr>
              <w:spacing w:after="0"/>
              <w:rPr>
                <w:sz w:val="1"/>
                <w:szCs w:val="1"/>
                <w:color w:val="auto"/>
              </w:rPr>
            </w:pPr>
          </w:p>
        </w:tc>
      </w:tr>
      <w:tr>
        <w:trPr>
          <w:trHeight w:val="258"/>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Domestic tax effects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Effects of cross-border tax laws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29,812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258"/>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Non-taxable/non-deductible items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Non-deductible financing costs</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(0.2)</w:t>
            </w:r>
          </w:p>
        </w:tc>
        <w:tc>
          <w:tcPr>
            <w:tcW w:w="0" w:type="dxa"/>
            <w:vAlign w:val="bottom"/>
          </w:tcPr>
          <w:p>
            <w:pPr>
              <w:spacing w:after="0"/>
              <w:rPr>
                <w:sz w:val="1"/>
                <w:szCs w:val="1"/>
                <w:color w:val="auto"/>
              </w:rPr>
            </w:pPr>
          </w:p>
        </w:tc>
      </w:tr>
      <w:tr>
        <w:trPr>
          <w:trHeight w:val="258"/>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Foreign tax effects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United States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Statutory income tax rate differential</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(74,137)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Non-deductible acquired in-process research and development expense</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187,346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(29.8)</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(199,907)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31.8</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Research and orphan drug tax credits</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5.6</w:t>
            </w:r>
          </w:p>
        </w:tc>
        <w:tc>
          <w:tcPr>
            <w:tcW w:w="0" w:type="dxa"/>
            <w:vAlign w:val="bottom"/>
          </w:tcPr>
          <w:p>
            <w:pPr>
              <w:spacing w:after="0"/>
              <w:rPr>
                <w:sz w:val="1"/>
                <w:szCs w:val="1"/>
                <w:color w:val="auto"/>
              </w:rPr>
            </w:pPr>
          </w:p>
        </w:tc>
      </w:tr>
      <w:tr>
        <w:trPr>
          <w:trHeight w:val="296"/>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Foreign Derived Intangible Income benefit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4.6</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Non-deductible compensation</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Non-deductible contingent consideration payments</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State and local income tax, net of federal benefit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0.9</w:t>
            </w:r>
          </w:p>
        </w:tc>
        <w:tc>
          <w:tcPr>
            <w:tcW w:w="0" w:type="dxa"/>
            <w:vAlign w:val="bottom"/>
          </w:tcPr>
          <w:p>
            <w:pPr>
              <w:spacing w:after="0"/>
              <w:rPr>
                <w:sz w:val="1"/>
                <w:szCs w:val="1"/>
                <w:color w:val="auto"/>
              </w:rPr>
            </w:pPr>
          </w:p>
        </w:tc>
      </w:tr>
      <w:tr>
        <w:trPr>
          <w:trHeight w:val="296"/>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Tax deficiencies/(excess tax benefits) from share-based compensation</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(0.8)</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(0.1)</w:t>
            </w:r>
          </w:p>
        </w:tc>
        <w:tc>
          <w:tcPr>
            <w:tcW w:w="0" w:type="dxa"/>
            <w:vAlign w:val="bottom"/>
          </w:tcPr>
          <w:p>
            <w:pPr>
              <w:spacing w:after="0"/>
              <w:rPr>
                <w:sz w:val="1"/>
                <w:szCs w:val="1"/>
                <w:color w:val="auto"/>
              </w:rPr>
            </w:pPr>
          </w:p>
        </w:tc>
      </w:tr>
      <w:tr>
        <w:trPr>
          <w:trHeight w:val="258"/>
        </w:trPr>
        <w:tc>
          <w:tcPr>
            <w:tcW w:w="7120" w:type="dxa"/>
            <w:vAlign w:val="bottom"/>
            <w:gridSpan w:val="2"/>
          </w:tcPr>
          <w:p>
            <w:pPr>
              <w:ind w:left="220"/>
              <w:spacing w:after="0"/>
              <w:rPr>
                <w:sz w:val="20"/>
                <w:szCs w:val="20"/>
                <w:color w:val="auto"/>
              </w:rPr>
            </w:pPr>
            <w:r>
              <w:rPr>
                <w:rFonts w:ascii="PMingLiU" w:cs="PMingLiU" w:eastAsia="PMingLiU" w:hAnsi="PMingLiU"/>
                <w:sz w:val="19"/>
                <w:szCs w:val="19"/>
                <w:color w:val="auto"/>
              </w:rPr>
              <w:t>8QLWHG.LQJGRP</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Statutory income tax rate differential</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96"/>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Patent box incentive benefit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(60,993)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Non-deductible financing costs</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(0.3)</w:t>
            </w:r>
          </w:p>
        </w:tc>
        <w:tc>
          <w:tcPr>
            <w:tcW w:w="0" w:type="dxa"/>
            <w:vAlign w:val="bottom"/>
          </w:tcPr>
          <w:p>
            <w:pPr>
              <w:spacing w:after="0"/>
              <w:rPr>
                <w:sz w:val="1"/>
                <w:szCs w:val="1"/>
                <w:color w:val="auto"/>
              </w:rPr>
            </w:pPr>
          </w:p>
        </w:tc>
      </w:tr>
      <w:tr>
        <w:trPr>
          <w:trHeight w:val="258"/>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Italy</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Statutory income tax rate differential</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(0.3)</w:t>
            </w:r>
          </w:p>
        </w:tc>
        <w:tc>
          <w:tcPr>
            <w:tcW w:w="0" w:type="dxa"/>
            <w:vAlign w:val="bottom"/>
          </w:tcPr>
          <w:p>
            <w:pPr>
              <w:spacing w:after="0"/>
              <w:rPr>
                <w:sz w:val="1"/>
                <w:szCs w:val="1"/>
                <w:color w:val="auto"/>
              </w:rPr>
            </w:pPr>
          </w:p>
        </w:tc>
      </w:tr>
      <w:tr>
        <w:trPr>
          <w:trHeight w:val="258"/>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Malta</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Statutory income tax rate differential</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64,010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96"/>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Deduction on subsidiary equity</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(90,788)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14.5</w:t>
            </w:r>
          </w:p>
        </w:tc>
        <w:tc>
          <w:tcPr>
            <w:tcW w:w="0" w:type="dxa"/>
            <w:vAlign w:val="bottom"/>
          </w:tcPr>
          <w:p>
            <w:pPr>
              <w:spacing w:after="0"/>
              <w:rPr>
                <w:sz w:val="1"/>
                <w:szCs w:val="1"/>
                <w:color w:val="auto"/>
              </w:rPr>
            </w:pPr>
          </w:p>
        </w:tc>
      </w:tr>
      <w:tr>
        <w:trPr>
          <w:trHeight w:val="293"/>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(0.1)</w:t>
            </w:r>
          </w:p>
        </w:tc>
        <w:tc>
          <w:tcPr>
            <w:tcW w:w="0" w:type="dxa"/>
            <w:vAlign w:val="bottom"/>
          </w:tcPr>
          <w:p>
            <w:pPr>
              <w:spacing w:after="0"/>
              <w:rPr>
                <w:sz w:val="1"/>
                <w:szCs w:val="1"/>
                <w:color w:val="auto"/>
              </w:rPr>
            </w:pPr>
          </w:p>
        </w:tc>
      </w:tr>
      <w:tr>
        <w:trPr>
          <w:trHeight w:val="293"/>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 foreign jurisdictions</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98"/>
        </w:trPr>
        <w:tc>
          <w:tcPr>
            <w:tcW w:w="71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Worldwide changes in unrecognized tax benefits</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0.9</w:t>
            </w:r>
          </w:p>
        </w:tc>
        <w:tc>
          <w:tcPr>
            <w:tcW w:w="0" w:type="dxa"/>
            <w:vAlign w:val="bottom"/>
          </w:tcPr>
          <w:p>
            <w:pPr>
              <w:spacing w:after="0"/>
              <w:rPr>
                <w:sz w:val="1"/>
                <w:szCs w:val="1"/>
                <w:color w:val="auto"/>
              </w:rPr>
            </w:pPr>
          </w:p>
        </w:tc>
      </w:tr>
      <w:tr>
        <w:trPr>
          <w:trHeight w:val="277"/>
        </w:trPr>
        <w:tc>
          <w:tcPr>
            <w:tcW w:w="7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income tax benefit</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(272,443)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43.4 %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BBBBBBBBBBBBBBBBBBBBBBBB</w:t>
      </w:r>
      <w:r>
        <w:rPr>
          <w:rFonts w:ascii="PMingLiU" w:cs="PMingLiU" w:eastAsia="PMingLiU" w:hAnsi="PMingLiU"/>
          <w:sz w:val="17"/>
          <w:szCs w:val="17"/>
          <w:b w:val="1"/>
          <w:bCs w:val="1"/>
          <w:i w:val="1"/>
          <w:iCs w:val="1"/>
          <w:color w:val="auto"/>
        </w:rPr>
        <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Related to Pillar two top-up taxes imposed by Ireland in respect of income in Malta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730250</wp:posOffset>
            </wp:positionV>
            <wp:extent cx="259080" cy="2546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72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F-44</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F-43</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72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83" w:name="page284"/>
    <w:bookmarkEnd w:id="283"/>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160" w:firstLine="438"/>
        <w:spacing w:after="0" w:line="277" w:lineRule="auto"/>
        <w:rPr>
          <w:sz w:val="20"/>
          <w:szCs w:val="20"/>
          <w:color w:val="auto"/>
        </w:rPr>
      </w:pPr>
      <w:r>
        <w:rPr>
          <w:rFonts w:ascii="Times New Roman" w:cs="Times New Roman" w:eastAsia="Times New Roman" w:hAnsi="Times New Roman"/>
          <w:sz w:val="19"/>
          <w:szCs w:val="19"/>
          <w:color w:val="auto"/>
        </w:rPr>
        <w:t>The reconciliation between income tax benefit at the Irish statutory trading income tax rate of 12.5 percent, the jurisdiction of tax domicile of Jazz Pharmaceuticals, applied to the income before income tax benefit and equity in loss of investees and our reported income tax benefit for the years ended December 31, 2024 and 2023 was as follows (in thousands):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Income tax expense at the statutory income tax rate</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58,794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37,241</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201,996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75,081</w:t>
            </w:r>
          </w:p>
        </w:tc>
      </w:tr>
      <w:tr>
        <w:trPr>
          <w:trHeight w:val="254"/>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Deduction on subsidiary equity</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(180,460)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(153,655)</w:t>
            </w:r>
          </w:p>
        </w:tc>
      </w:tr>
      <w:tr>
        <w:trPr>
          <w:trHeight w:val="256"/>
        </w:trPr>
        <w:tc>
          <w:tcPr>
            <w:tcW w:w="712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19"/>
                <w:szCs w:val="19"/>
                <w:color w:val="auto"/>
              </w:rPr>
              <w:t>Change in estimates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(106,007)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(5,472)</w:t>
            </w:r>
          </w:p>
        </w:tc>
      </w:tr>
      <w:tr>
        <w:trPr>
          <w:trHeight w:val="254"/>
        </w:trPr>
        <w:tc>
          <w:tcPr>
            <w:tcW w:w="712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19"/>
                <w:szCs w:val="19"/>
                <w:color w:val="auto"/>
              </w:rPr>
              <w:t>Patent box incentive benefit</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(65,413)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(13,862)</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Research and other tax credits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(65,255)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(49,900)</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Foreign derived intangible income benefit</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(42,400)</w:t>
            </w:r>
          </w:p>
        </w:tc>
      </w:tr>
      <w:tr>
        <w:trPr>
          <w:trHeight w:val="254"/>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Foreign income tax rate differential</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38,346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(7,763)</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Non-deductible financing costs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22,437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15,705</w:t>
            </w:r>
          </w:p>
        </w:tc>
      </w:tr>
      <w:tr>
        <w:trPr>
          <w:trHeight w:val="254"/>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Tax deficiencies/(excess tax benefits) from share-based compensation</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18,074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3,959</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Non-deductible compensation</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14,092</w:t>
            </w:r>
          </w:p>
        </w:tc>
      </w:tr>
      <w:tr>
        <w:trPr>
          <w:trHeight w:val="254"/>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Change in unrecognized tax benefits</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(12,612)</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Change in tax rate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(605)</w:t>
            </w:r>
          </w:p>
        </w:tc>
      </w:tr>
      <w:tr>
        <w:trPr>
          <w:trHeight w:val="256"/>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Non-deductible facility expense</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16,618</w:t>
            </w:r>
          </w:p>
        </w:tc>
      </w:tr>
      <w:tr>
        <w:trPr>
          <w:trHeight w:val="258"/>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3,913</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3,661</w:t>
            </w:r>
          </w:p>
        </w:tc>
      </w:tr>
      <w:tr>
        <w:trPr>
          <w:trHeight w:val="239"/>
        </w:trPr>
        <w:tc>
          <w:tcPr>
            <w:tcW w:w="7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Reported income tax benefit</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(91,429)</w:t>
            </w:r>
          </w:p>
        </w:tc>
        <w:tc>
          <w:tcPr>
            <w:tcW w:w="42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(119,912)</w:t>
            </w: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60"/>
        <w:spacing w:after="0"/>
        <w:rPr>
          <w:sz w:val="20"/>
          <w:szCs w:val="20"/>
          <w:color w:val="auto"/>
        </w:rPr>
      </w:pPr>
      <w:r>
        <w:rPr>
          <w:rFonts w:ascii="Arial" w:cs="Arial" w:eastAsia="Arial" w:hAnsi="Arial"/>
          <w:sz w:val="19"/>
          <w:szCs w:val="19"/>
          <w:color w:val="auto"/>
        </w:rPr>
        <w:t>BBBBBBBBBBBBBBBBBBBBBBBB</w:t>
      </w:r>
      <w:r>
        <w:rPr>
          <w:rFonts w:ascii="PMingLiU" w:cs="PMingLiU" w:eastAsia="PMingLiU" w:hAnsi="PMingLiU"/>
          <w:sz w:val="17"/>
          <w:szCs w:val="17"/>
          <w:b w:val="1"/>
          <w:bCs w:val="1"/>
          <w:i w:val="1"/>
          <w:iCs w:val="1"/>
          <w:color w:val="auto"/>
        </w:rPr>
        <w:t/>
      </w:r>
    </w:p>
    <w:p>
      <w:pPr>
        <w:spacing w:after="0" w:line="43" w:lineRule="exact"/>
        <w:rPr>
          <w:sz w:val="20"/>
          <w:szCs w:val="20"/>
          <w:color w:val="auto"/>
        </w:rPr>
      </w:pPr>
    </w:p>
    <w:p>
      <w:pPr>
        <w:ind w:left="60" w:right="100" w:firstLine="2"/>
        <w:spacing w:after="0" w:line="256" w:lineRule="auto"/>
        <w:tabs>
          <w:tab w:leader="none" w:pos="30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2024 change in estimates includes a benefit of $103.3 million that is fully offset by a related change in valuation allowance, resulting in a net nil impact to our income tax benefit.</w:t>
      </w:r>
    </w:p>
    <w:p>
      <w:pPr>
        <w:ind w:left="60" w:right="60" w:firstLine="2"/>
        <w:spacing w:after="0" w:line="274" w:lineRule="auto"/>
        <w:tabs>
          <w:tab w:leader="none" w:pos="30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2024 patent box incentive benefit includes a non-recurring benefit of $40.9 million related to a claim for benefits in Italy in respect of tax years 2020 to 2023.</w:t>
      </w:r>
    </w:p>
    <w:p>
      <w:pPr>
        <w:spacing w:after="0" w:line="60" w:lineRule="exact"/>
        <w:rPr>
          <w:sz w:val="20"/>
          <w:szCs w:val="20"/>
          <w:color w:val="auto"/>
        </w:rPr>
      </w:pPr>
    </w:p>
    <w:p>
      <w:pPr>
        <w:ind w:left="60" w:right="380" w:firstLine="480"/>
        <w:spacing w:after="0" w:line="299" w:lineRule="auto"/>
        <w:rPr>
          <w:sz w:val="20"/>
          <w:szCs w:val="20"/>
          <w:color w:val="auto"/>
        </w:rPr>
      </w:pPr>
      <w:r>
        <w:rPr>
          <w:rFonts w:ascii="Times New Roman" w:cs="Times New Roman" w:eastAsia="Times New Roman" w:hAnsi="Times New Roman"/>
          <w:sz w:val="19"/>
          <w:szCs w:val="19"/>
          <w:color w:val="auto"/>
        </w:rPr>
        <w:t>The following table sets forth the details of income taxes paid, net of refunds received, by jurisdiction pursuant to the disclosure requirements of ASU 2023-09 for the year ended December 31, 2025 (in thousands):</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207"/>
        </w:trPr>
        <w:tc>
          <w:tcPr>
            <w:tcW w:w="8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33"/>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Ireland</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30"/>
        </w:trPr>
        <w:tc>
          <w:tcPr>
            <w:tcW w:w="85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82,363</w:t>
            </w:r>
          </w:p>
        </w:tc>
        <w:tc>
          <w:tcPr>
            <w:tcW w:w="0" w:type="dxa"/>
            <w:vAlign w:val="bottom"/>
          </w:tcPr>
          <w:p>
            <w:pPr>
              <w:spacing w:after="0"/>
              <w:rPr>
                <w:sz w:val="1"/>
                <w:szCs w:val="1"/>
                <w:color w:val="auto"/>
              </w:rPr>
            </w:pPr>
          </w:p>
        </w:tc>
      </w:tr>
      <w:tr>
        <w:trPr>
          <w:trHeight w:val="258"/>
        </w:trPr>
        <w:tc>
          <w:tcPr>
            <w:tcW w:w="8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Foreign</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United States - federal</w:t>
            </w:r>
          </w:p>
        </w:tc>
        <w:tc>
          <w:tcPr>
            <w:tcW w:w="1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9"/>
                <w:szCs w:val="19"/>
                <w:color w:val="auto"/>
              </w:rPr>
              <w:t>11,763</w:t>
            </w:r>
          </w:p>
        </w:tc>
        <w:tc>
          <w:tcPr>
            <w:tcW w:w="0" w:type="dxa"/>
            <w:vAlign w:val="bottom"/>
          </w:tcPr>
          <w:p>
            <w:pPr>
              <w:spacing w:after="0"/>
              <w:rPr>
                <w:sz w:val="1"/>
                <w:szCs w:val="1"/>
                <w:color w:val="auto"/>
              </w:rPr>
            </w:pPr>
          </w:p>
        </w:tc>
      </w:tr>
      <w:tr>
        <w:trPr>
          <w:trHeight w:val="259"/>
        </w:trPr>
        <w:tc>
          <w:tcPr>
            <w:tcW w:w="85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27,682</w:t>
            </w:r>
          </w:p>
        </w:tc>
        <w:tc>
          <w:tcPr>
            <w:tcW w:w="0" w:type="dxa"/>
            <w:vAlign w:val="bottom"/>
          </w:tcPr>
          <w:p>
            <w:pPr>
              <w:spacing w:after="0"/>
              <w:rPr>
                <w:sz w:val="1"/>
                <w:szCs w:val="1"/>
                <w:color w:val="auto"/>
              </w:rPr>
            </w:pPr>
          </w:p>
        </w:tc>
      </w:tr>
      <w:tr>
        <w:trPr>
          <w:trHeight w:val="235"/>
        </w:trPr>
        <w:tc>
          <w:tcPr>
            <w:tcW w:w="8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foreign</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39,445</w:t>
            </w:r>
          </w:p>
        </w:tc>
        <w:tc>
          <w:tcPr>
            <w:tcW w:w="0" w:type="dxa"/>
            <w:vAlign w:val="bottom"/>
          </w:tcPr>
          <w:p>
            <w:pPr>
              <w:spacing w:after="0"/>
              <w:rPr>
                <w:sz w:val="1"/>
                <w:szCs w:val="1"/>
                <w:color w:val="auto"/>
              </w:rPr>
            </w:pPr>
          </w:p>
        </w:tc>
      </w:tr>
      <w:tr>
        <w:trPr>
          <w:trHeight w:val="238"/>
        </w:trPr>
        <w:tc>
          <w:tcPr>
            <w:tcW w:w="8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cash paid for income taxes, net of refunds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121,808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2435225</wp:posOffset>
            </wp:positionV>
            <wp:extent cx="259080" cy="2546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727">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F-44</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F-45</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728">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20"/>
          </w:cols>
          <w:pgMar w:left="900" w:top="602" w:right="959" w:bottom="0" w:gutter="0" w:footer="0" w:header="0"/>
        </w:sectPr>
      </w:pPr>
    </w:p>
    <w:bookmarkStart w:id="284" w:name="page285"/>
    <w:bookmarkEnd w:id="284"/>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Significant components of our net deferred tax assets (liabilities) were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71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398,547</w:t>
            </w:r>
          </w:p>
        </w:tc>
        <w:tc>
          <w:tcPr>
            <w:tcW w:w="500" w:type="dxa"/>
            <w:vAlign w:val="bottom"/>
            <w:gridSpan w:val="3"/>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295,779</w:t>
            </w:r>
          </w:p>
        </w:tc>
        <w:tc>
          <w:tcPr>
            <w:tcW w:w="0" w:type="dxa"/>
            <w:vAlign w:val="bottom"/>
          </w:tcPr>
          <w:p>
            <w:pPr>
              <w:spacing w:after="0"/>
              <w:rPr>
                <w:sz w:val="1"/>
                <w:szCs w:val="1"/>
                <w:color w:val="auto"/>
              </w:rPr>
            </w:pPr>
          </w:p>
        </w:tc>
      </w:tr>
      <w:tr>
        <w:trPr>
          <w:trHeight w:val="25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Deduction on subsidiary equity carryforwards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395,115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393,960</w:t>
            </w:r>
          </w:p>
        </w:tc>
        <w:tc>
          <w:tcPr>
            <w:tcW w:w="0" w:type="dxa"/>
            <w:vAlign w:val="bottom"/>
          </w:tcPr>
          <w:p>
            <w:pPr>
              <w:spacing w:after="0"/>
              <w:rPr>
                <w:sz w:val="1"/>
                <w:szCs w:val="1"/>
                <w:color w:val="auto"/>
              </w:rPr>
            </w:pPr>
          </w:p>
        </w:tc>
      </w:tr>
      <w:tr>
        <w:trPr>
          <w:trHeight w:val="25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Operating loss carryforwards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394,614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307,413</w:t>
            </w:r>
          </w:p>
        </w:tc>
        <w:tc>
          <w:tcPr>
            <w:tcW w:w="0" w:type="dxa"/>
            <w:vAlign w:val="bottom"/>
          </w:tcPr>
          <w:p>
            <w:pPr>
              <w:spacing w:after="0"/>
              <w:rPr>
                <w:sz w:val="1"/>
                <w:szCs w:val="1"/>
                <w:color w:val="auto"/>
              </w:rPr>
            </w:pPr>
          </w:p>
        </w:tc>
      </w:tr>
      <w:tr>
        <w:trPr>
          <w:trHeight w:val="254"/>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Intangible assets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264,002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243,391</w:t>
            </w:r>
          </w:p>
        </w:tc>
        <w:tc>
          <w:tcPr>
            <w:tcW w:w="0" w:type="dxa"/>
            <w:vAlign w:val="bottom"/>
          </w:tcPr>
          <w:p>
            <w:pPr>
              <w:spacing w:after="0"/>
              <w:rPr>
                <w:sz w:val="1"/>
                <w:szCs w:val="1"/>
                <w:color w:val="auto"/>
              </w:rPr>
            </w:pPr>
          </w:p>
        </w:tc>
      </w:tr>
      <w:tr>
        <w:trPr>
          <w:trHeight w:val="25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Tax credit carryforwards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190,819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127,483</w:t>
            </w:r>
          </w:p>
        </w:tc>
        <w:tc>
          <w:tcPr>
            <w:tcW w:w="0" w:type="dxa"/>
            <w:vAlign w:val="bottom"/>
          </w:tcPr>
          <w:p>
            <w:pPr>
              <w:spacing w:after="0"/>
              <w:rPr>
                <w:sz w:val="1"/>
                <w:szCs w:val="1"/>
                <w:color w:val="auto"/>
              </w:rPr>
            </w:pPr>
          </w:p>
        </w:tc>
      </w:tr>
      <w:tr>
        <w:trPr>
          <w:trHeight w:val="254"/>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Accrued liabilities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130,948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115,290</w:t>
            </w:r>
          </w:p>
        </w:tc>
        <w:tc>
          <w:tcPr>
            <w:tcW w:w="0" w:type="dxa"/>
            <w:vAlign w:val="bottom"/>
          </w:tcPr>
          <w:p>
            <w:pPr>
              <w:spacing w:after="0"/>
              <w:rPr>
                <w:sz w:val="1"/>
                <w:szCs w:val="1"/>
                <w:color w:val="auto"/>
              </w:rPr>
            </w:pPr>
          </w:p>
        </w:tc>
      </w:tr>
      <w:tr>
        <w:trPr>
          <w:trHeight w:val="25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Share-based compensation</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47,878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47,486</w:t>
            </w:r>
          </w:p>
        </w:tc>
        <w:tc>
          <w:tcPr>
            <w:tcW w:w="0" w:type="dxa"/>
            <w:vAlign w:val="bottom"/>
          </w:tcPr>
          <w:p>
            <w:pPr>
              <w:spacing w:after="0"/>
              <w:rPr>
                <w:sz w:val="1"/>
                <w:szCs w:val="1"/>
                <w:color w:val="auto"/>
              </w:rPr>
            </w:pPr>
          </w:p>
        </w:tc>
      </w:tr>
      <w:tr>
        <w:trPr>
          <w:trHeight w:val="25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Indirect effects of unrecognized tax benefits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35,000</w:t>
            </w:r>
          </w:p>
        </w:tc>
        <w:tc>
          <w:tcPr>
            <w:tcW w:w="0" w:type="dxa"/>
            <w:vAlign w:val="bottom"/>
          </w:tcPr>
          <w:p>
            <w:pPr>
              <w:spacing w:after="0"/>
              <w:rPr>
                <w:sz w:val="1"/>
                <w:szCs w:val="1"/>
                <w:color w:val="auto"/>
              </w:rPr>
            </w:pPr>
          </w:p>
        </w:tc>
      </w:tr>
      <w:tr>
        <w:trPr>
          <w:trHeight w:val="258"/>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15,714</w:t>
            </w:r>
          </w:p>
        </w:tc>
        <w:tc>
          <w:tcPr>
            <w:tcW w:w="0" w:type="dxa"/>
            <w:vAlign w:val="bottom"/>
          </w:tcPr>
          <w:p>
            <w:pPr>
              <w:spacing w:after="0"/>
              <w:rPr>
                <w:sz w:val="1"/>
                <w:szCs w:val="1"/>
                <w:color w:val="auto"/>
              </w:rPr>
            </w:pPr>
          </w:p>
        </w:tc>
      </w:tr>
      <w:tr>
        <w:trPr>
          <w:trHeight w:val="232"/>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1,869,723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1,581,516</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Valuation allowance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(529,674)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(509,190)</w:t>
            </w:r>
          </w:p>
        </w:tc>
        <w:tc>
          <w:tcPr>
            <w:tcW w:w="0" w:type="dxa"/>
            <w:vAlign w:val="bottom"/>
          </w:tcPr>
          <w:p>
            <w:pPr>
              <w:spacing w:after="0"/>
              <w:rPr>
                <w:sz w:val="1"/>
                <w:szCs w:val="1"/>
                <w:color w:val="auto"/>
              </w:rPr>
            </w:pPr>
          </w:p>
        </w:tc>
      </w:tr>
      <w:tr>
        <w:trPr>
          <w:trHeight w:val="232"/>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assets, net of valuation allowance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1,340,049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1,072,326</w:t>
            </w: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liabilities: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Intangible assets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(1,041,150)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(1,130,485)</w:t>
            </w:r>
          </w:p>
        </w:tc>
        <w:tc>
          <w:tcPr>
            <w:tcW w:w="0" w:type="dxa"/>
            <w:vAlign w:val="bottom"/>
          </w:tcPr>
          <w:p>
            <w:pPr>
              <w:spacing w:after="0"/>
              <w:rPr>
                <w:sz w:val="1"/>
                <w:szCs w:val="1"/>
                <w:color w:val="auto"/>
              </w:rPr>
            </w:pPr>
          </w:p>
        </w:tc>
      </w:tr>
      <w:tr>
        <w:trPr>
          <w:trHeight w:val="266"/>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Inventories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(13,532)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(47,802)</w:t>
            </w:r>
          </w:p>
        </w:tc>
        <w:tc>
          <w:tcPr>
            <w:tcW w:w="0" w:type="dxa"/>
            <w:vAlign w:val="bottom"/>
          </w:tcPr>
          <w:p>
            <w:pPr>
              <w:spacing w:after="0"/>
              <w:rPr>
                <w:sz w:val="1"/>
                <w:szCs w:val="1"/>
                <w:color w:val="auto"/>
              </w:rPr>
            </w:pPr>
          </w:p>
        </w:tc>
      </w:tr>
      <w:tr>
        <w:trPr>
          <w:trHeight w:val="258"/>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(10,707)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(10,530)</w:t>
            </w:r>
          </w:p>
        </w:tc>
        <w:tc>
          <w:tcPr>
            <w:tcW w:w="0" w:type="dxa"/>
            <w:vAlign w:val="bottom"/>
          </w:tcPr>
          <w:p>
            <w:pPr>
              <w:spacing w:after="0"/>
              <w:rPr>
                <w:sz w:val="1"/>
                <w:szCs w:val="1"/>
                <w:color w:val="auto"/>
              </w:rPr>
            </w:pPr>
          </w:p>
        </w:tc>
      </w:tr>
      <w:tr>
        <w:trPr>
          <w:trHeight w:val="236"/>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(1,065,389)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(1,188,817)</w:t>
            </w:r>
          </w:p>
        </w:tc>
        <w:tc>
          <w:tcPr>
            <w:tcW w:w="0" w:type="dxa"/>
            <w:vAlign w:val="bottom"/>
          </w:tcPr>
          <w:p>
            <w:pPr>
              <w:spacing w:after="0"/>
              <w:rPr>
                <w:sz w:val="1"/>
                <w:szCs w:val="1"/>
                <w:color w:val="auto"/>
              </w:rPr>
            </w:pPr>
          </w:p>
        </w:tc>
      </w:t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deferred tax assets (liabilities)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274,660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(116,491)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right="120" w:firstLine="480"/>
        <w:spacing w:after="0" w:line="299" w:lineRule="auto"/>
        <w:rPr>
          <w:sz w:val="20"/>
          <w:szCs w:val="20"/>
          <w:color w:val="auto"/>
        </w:rPr>
      </w:pPr>
      <w:r>
        <w:rPr>
          <w:rFonts w:ascii="Times New Roman" w:cs="Times New Roman" w:eastAsia="Times New Roman" w:hAnsi="Times New Roman"/>
          <w:sz w:val="19"/>
          <w:szCs w:val="19"/>
          <w:color w:val="auto"/>
        </w:rPr>
        <w:t>The net change in valuation allowance was an increase of $20.5 million, $196.9 million, and $77.6 million in 2025, 2024 and 2023, respectively.</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the presentation of deferred tax assets and liabilities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0"/>
        </w:trPr>
        <w:tc>
          <w:tcPr>
            <w:tcW w:w="7100" w:type="dxa"/>
            <w:vAlign w:val="bottom"/>
            <w:gridSpan w:val="2"/>
            <w:vMerge w:val="continue"/>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869,130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560,245</w:t>
            </w:r>
          </w:p>
        </w:tc>
        <w:tc>
          <w:tcPr>
            <w:tcW w:w="0" w:type="dxa"/>
            <w:vAlign w:val="bottom"/>
          </w:tcPr>
          <w:p>
            <w:pPr>
              <w:spacing w:after="0"/>
              <w:rPr>
                <w:sz w:val="1"/>
                <w:szCs w:val="1"/>
                <w:color w:val="auto"/>
              </w:rPr>
            </w:pPr>
          </w:p>
        </w:tc>
      </w:tr>
      <w:tr>
        <w:trPr>
          <w:trHeight w:val="259"/>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liabilities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(594,470)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(676,736)</w:t>
            </w:r>
          </w:p>
        </w:tc>
        <w:tc>
          <w:tcPr>
            <w:tcW w:w="0" w:type="dxa"/>
            <w:vAlign w:val="bottom"/>
          </w:tcPr>
          <w:p>
            <w:pPr>
              <w:spacing w:after="0"/>
              <w:rPr>
                <w:sz w:val="1"/>
                <w:szCs w:val="1"/>
                <w:color w:val="auto"/>
              </w:rPr>
            </w:pPr>
          </w:p>
        </w:tc>
      </w:tr>
      <w:tr>
        <w:trPr>
          <w:trHeight w:val="240"/>
        </w:trPr>
        <w:tc>
          <w:tcPr>
            <w:tcW w:w="7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deferred tax assets (liabilities)</w:t>
            </w: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274,660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(116,491)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80"/>
        <w:spacing w:after="0" w:line="367" w:lineRule="auto"/>
        <w:rPr>
          <w:sz w:val="20"/>
          <w:szCs w:val="20"/>
          <w:color w:val="auto"/>
        </w:rPr>
      </w:pPr>
      <w:r>
        <w:rPr>
          <w:rFonts w:ascii="Times New Roman" w:cs="Times New Roman" w:eastAsia="Times New Roman" w:hAnsi="Times New Roman"/>
          <w:sz w:val="15"/>
          <w:szCs w:val="15"/>
          <w:color w:val="auto"/>
        </w:rPr>
        <w:t xml:space="preserve">As of December 31, 2025, we had net operating loss (“NOL”) and tax credit carryforwards for U.S. federal income tax purposes of $432.3 million and $75.6 million, respectively, available to reduce future income subject to income taxes. The U.S. federal NOL carryforwards will expire, if not utilized, in the tax years 2026 to 2036 and the U.S. federal tax credits will expire, if not utilized, in the tax years 2027 to 2045. In addition, we had $30.3 million of NOL carryforwards and $0.7 million of tax credit carryforwards as of December 31, 2025 available to reduce future taxable income for U.S. state income tax purposes. The U.S. state NOL carryforwards will expire, if not utilized, in the tax years 2026 to 2044. As of December 31, 2025, there were NOL and other carryforwards for income tax purposes of $1,128.9 million, $980.2 million and $448.4 million available to </w:t>
      </w:r>
      <w:r>
        <w:rPr>
          <w:rFonts w:ascii="PMingLiU" w:cs="PMingLiU" w:eastAsia="PMingLiU" w:hAnsi="PMingLiU"/>
          <w:sz w:val="15"/>
          <w:szCs w:val="15"/>
          <w:color w:val="auto"/>
        </w:rPr>
        <w:t>UHGXFHIXWXUHLQFRPHVXEMHFWWRLQFRPHWD[HVLQ0DOWDWKH8.DQG,UHODQGUHVSHFWLYHO\7KH12/VDQGRWKHUFDUU\IRUZDUGV JHQHUDWHGLQ0DOWDWKH8.DQG,UHODQGKDYHQRH[SLUDWLRQGDWH:HDOVRKDGIRUHLJQWD[FUHGLWFDUU\IRUZDUGVLQ,UHODQGD</w:t>
      </w:r>
      <w:r>
        <w:rPr>
          <w:rFonts w:ascii="Times New Roman" w:cs="Times New Roman" w:eastAsia="Times New Roman" w:hAnsi="Times New Roman"/>
          <w:sz w:val="15"/>
          <w:szCs w:val="15"/>
          <w:color w:val="auto"/>
        </w:rPr>
        <w:t>s of</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December 31, 2025, of $113.4 million, which may only be utilized against certain sources of income. The foreign tax credit carryforwards have no expiration date.</w:t>
      </w:r>
    </w:p>
    <w:p>
      <w:pPr>
        <w:spacing w:after="0" w:line="258" w:lineRule="exact"/>
        <w:rPr>
          <w:sz w:val="20"/>
          <w:szCs w:val="20"/>
          <w:color w:val="auto"/>
        </w:rPr>
      </w:pPr>
    </w:p>
    <w:p>
      <w:pPr>
        <w:jc w:val="both"/>
        <w:ind w:right="420" w:firstLine="480"/>
        <w:spacing w:after="0" w:line="277" w:lineRule="auto"/>
        <w:rPr>
          <w:sz w:val="20"/>
          <w:szCs w:val="20"/>
          <w:color w:val="auto"/>
        </w:rPr>
      </w:pPr>
      <w:r>
        <w:rPr>
          <w:rFonts w:ascii="Times New Roman" w:cs="Times New Roman" w:eastAsia="Times New Roman" w:hAnsi="Times New Roman"/>
          <w:sz w:val="19"/>
          <w:szCs w:val="19"/>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w:t>
      </w:r>
    </w:p>
    <w:p>
      <w:pPr>
        <w:spacing w:after="0" w:line="58" w:lineRule="exact"/>
        <w:rPr>
          <w:sz w:val="20"/>
          <w:szCs w:val="20"/>
          <w:color w:val="auto"/>
        </w:rPr>
      </w:pPr>
    </w:p>
    <w:p>
      <w:pPr>
        <w:jc w:val="both"/>
        <w:ind w:right="160" w:firstLine="480"/>
        <w:spacing w:after="0" w:line="265" w:lineRule="auto"/>
        <w:rPr>
          <w:sz w:val="20"/>
          <w:szCs w:val="20"/>
          <w:color w:val="auto"/>
        </w:rPr>
      </w:pPr>
      <w:r>
        <w:rPr>
          <w:rFonts w:ascii="Times New Roman" w:cs="Times New Roman" w:eastAsia="Times New Roman" w:hAnsi="Times New Roman"/>
          <w:sz w:val="19"/>
          <w:szCs w:val="19"/>
          <w:color w:val="auto"/>
        </w:rPr>
        <w:t>Valuation allowances require an assessment of both positive and negative evidence when determining whether it is more likely than not that deferred tax assets are recoverable. Such assessment is required by tax-paying component. Our valuation allowance was $529.7 million and $509.2 million as of December 31, 2025 and 2024, respectively, for certain Irish, U.S.</w:t>
      </w:r>
    </w:p>
    <w:p>
      <w:pPr>
        <w:ind w:right="220"/>
        <w:spacing w:after="0" w:line="263" w:lineRule="auto"/>
        <w:rPr>
          <w:sz w:val="20"/>
          <w:szCs w:val="20"/>
          <w:color w:val="auto"/>
        </w:rPr>
      </w:pPr>
      <w:r>
        <w:rPr>
          <w:rFonts w:ascii="Times New Roman" w:cs="Times New Roman" w:eastAsia="Times New Roman" w:hAnsi="Times New Roman"/>
          <w:sz w:val="19"/>
          <w:szCs w:val="19"/>
          <w:color w:val="auto"/>
        </w:rPr>
        <w:t>(federal and state) and foreign deferred tax assets which we maintain until sufficient positive evidence exists to support reversal. As part of the overall change in valuation allowance, we recognized a net income tax benefit of $204.9 million in 2025 and a net income tax expense of $202.0 million and $76.2 million in 2024 and 2023, respectively. The FDA approval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187325</wp:posOffset>
            </wp:positionV>
            <wp:extent cx="259080" cy="2546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729">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314"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F-46</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F-45</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730">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85" w:name="page286"/>
    <w:bookmarkEnd w:id="285"/>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left="60" w:right="20"/>
        <w:spacing w:after="0" w:line="259" w:lineRule="auto"/>
        <w:rPr>
          <w:sz w:val="20"/>
          <w:szCs w:val="20"/>
          <w:color w:val="auto"/>
        </w:rPr>
      </w:pPr>
      <w:r>
        <w:rPr>
          <w:rFonts w:ascii="Times New Roman" w:cs="Times New Roman" w:eastAsia="Times New Roman" w:hAnsi="Times New Roman"/>
          <w:sz w:val="19"/>
          <w:szCs w:val="19"/>
          <w:color w:val="auto"/>
        </w:rPr>
        <w:t>Modeyso and its commercial launch in August 2025 provided sufficient positive evidence to support a change in judgment regarding the realizability of the deferred tax assets acquired through the Chimerix Acquisition. We concluded it is more-likely-than-not that the assets will be realized through related future income. Accordingly, the valuation allowance recorded at the acquisition date was released during the third quarter and we recognized a deferred tax asset of $212.5 million on the balance sheet, with a corresponding U.S federal and state income tax benefit in the income statement. The changes in valuation allowance in 2024 and 2023 related primarily to the creation of a valuation allowance against certain deferred tax assets primarily associated with carryforwards in foreign subsidiaries and foreign tax credit carryforwards in Ireland. We periodically evaluate the likelihood of the realization of deferred tax assets and will adjust such amounts in light of changing facts and circumstances including, but not limited to, future projections of taxable income, tax legislation, rulings by relevant taxing authorities, the progress of tax examinations and the regulatory approval of products currently under development. Realization of the deferred tax assets is dependent on future taxable income. The Company believes that it is more likely than not to generate sufficient taxable income to realize the deferred tax assets carried as of December 31, 2025 for which no valuation allowance has been recognized.</w:t>
      </w:r>
    </w:p>
    <w:p>
      <w:pPr>
        <w:spacing w:after="0" w:line="314" w:lineRule="exact"/>
        <w:rPr>
          <w:sz w:val="20"/>
          <w:szCs w:val="20"/>
          <w:color w:val="auto"/>
        </w:rPr>
      </w:pPr>
    </w:p>
    <w:p>
      <w:pPr>
        <w:ind w:left="60" w:firstLine="480"/>
        <w:spacing w:after="0" w:line="266" w:lineRule="auto"/>
        <w:rPr>
          <w:sz w:val="20"/>
          <w:szCs w:val="20"/>
          <w:color w:val="auto"/>
        </w:rPr>
      </w:pPr>
      <w:r>
        <w:rPr>
          <w:rFonts w:ascii="Times New Roman" w:cs="Times New Roman" w:eastAsia="Times New Roman" w:hAnsi="Times New Roman"/>
          <w:sz w:val="19"/>
          <w:szCs w:val="19"/>
          <w:color w:val="auto"/>
        </w:rPr>
        <w:t>No provision has been made for income tax on undistributed earnings of the Company’s foreign subsidiaries where such earnings are considered indefinitely reinvested in the foreign operations.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$56 million on repatriation of these unremitted earnings to Ireland.</w:t>
      </w:r>
    </w:p>
    <w:p>
      <w:pPr>
        <w:spacing w:after="0" w:line="70" w:lineRule="exact"/>
        <w:rPr>
          <w:sz w:val="20"/>
          <w:szCs w:val="20"/>
          <w:color w:val="auto"/>
        </w:rPr>
      </w:pPr>
    </w:p>
    <w:p>
      <w:pPr>
        <w:ind w:left="60" w:right="100" w:firstLine="480"/>
        <w:spacing w:after="0" w:line="277" w:lineRule="auto"/>
        <w:rPr>
          <w:sz w:val="20"/>
          <w:szCs w:val="20"/>
          <w:color w:val="auto"/>
        </w:rPr>
      </w:pPr>
      <w:r>
        <w:rPr>
          <w:rFonts w:ascii="Times New Roman" w:cs="Times New Roman" w:eastAsia="Times New Roman" w:hAnsi="Times New Roman"/>
          <w:sz w:val="19"/>
          <w:szCs w:val="19"/>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positions which we judge may not be sustained upon examination.</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 reconciliation of our unrecognized tax benefits follows (in thousands):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Balance at the beginning of the year</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1"/>
        </w:trPr>
        <w:tc>
          <w:tcPr>
            <w:tcW w:w="5680" w:type="dxa"/>
            <w:vAlign w:val="bottom"/>
            <w:gridSpan w:val="2"/>
            <w:vMerge w:val="continue"/>
          </w:tcPr>
          <w:p>
            <w:pPr>
              <w:spacing w:after="0"/>
              <w:rPr>
                <w:sz w:val="20"/>
                <w:szCs w:val="20"/>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125,978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122,694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143,976</w:t>
            </w:r>
          </w:p>
        </w:tc>
        <w:tc>
          <w:tcPr>
            <w:tcW w:w="0" w:type="dxa"/>
            <w:vAlign w:val="bottom"/>
          </w:tcPr>
          <w:p>
            <w:pPr>
              <w:spacing w:after="0"/>
              <w:rPr>
                <w:sz w:val="1"/>
                <w:szCs w:val="1"/>
                <w:color w:val="auto"/>
              </w:rPr>
            </w:pPr>
          </w:p>
        </w:tc>
      </w:tr>
      <w:tr>
        <w:trPr>
          <w:trHeight w:val="254"/>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Increases related to current year tax positions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32,559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15,004</w:t>
            </w:r>
          </w:p>
        </w:tc>
        <w:tc>
          <w:tcPr>
            <w:tcW w:w="0" w:type="dxa"/>
            <w:vAlign w:val="bottom"/>
          </w:tcPr>
          <w:p>
            <w:pPr>
              <w:spacing w:after="0"/>
              <w:rPr>
                <w:sz w:val="1"/>
                <w:szCs w:val="1"/>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Increases related to prior year tax positions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0" w:type="dxa"/>
            <w:vAlign w:val="bottom"/>
          </w:tcPr>
          <w:p>
            <w:pPr>
              <w:spacing w:after="0"/>
              <w:rPr>
                <w:sz w:val="1"/>
                <w:szCs w:val="1"/>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Decreases related to prior year tax positions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(12,702)</w:t>
            </w:r>
          </w:p>
        </w:tc>
        <w:tc>
          <w:tcPr>
            <w:tcW w:w="0" w:type="dxa"/>
            <w:vAlign w:val="bottom"/>
          </w:tcPr>
          <w:p>
            <w:pPr>
              <w:spacing w:after="0"/>
              <w:rPr>
                <w:sz w:val="1"/>
                <w:szCs w:val="1"/>
                <w:color w:val="auto"/>
              </w:rPr>
            </w:pPr>
          </w:p>
        </w:tc>
      </w:tr>
      <w:tr>
        <w:trPr>
          <w:trHeight w:val="254"/>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Acquisition-related increases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18,663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Decreases related to settlements with taxing authorities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8"/>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Lapse of the applicable statute of limitations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(26,706)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(26,520)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(23,808)</w:t>
            </w: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Balance at the end of the year</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125,978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122,694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60" w:right="60" w:firstLine="480"/>
        <w:spacing w:after="0" w:line="261" w:lineRule="auto"/>
        <w:rPr>
          <w:sz w:val="20"/>
          <w:szCs w:val="20"/>
          <w:color w:val="auto"/>
        </w:rPr>
      </w:pPr>
      <w:r>
        <w:rPr>
          <w:rFonts w:ascii="Times New Roman" w:cs="Times New Roman" w:eastAsia="Times New Roman" w:hAnsi="Times New Roman"/>
          <w:sz w:val="19"/>
          <w:szCs w:val="19"/>
          <w:color w:val="auto"/>
        </w:rPr>
        <w:t>The unrecognized tax benefits were included in income taxes payable, other non-current liabilities and deferred tax assets, net, in our consolidated balance sheets. Interest related to income taxes is recorded in income tax benefit in our consolidated statements of income (loss). As of December 31, 2025 and 2024, our accrued interest related to income taxes was $5.8 million and $8.6 million, respectively. Interest related to income taxes recognized in the consolidated statements of income (loss) were not significant. Included in the balance of unrecognized tax benefits were potential benefits of</w:t>
      </w:r>
    </w:p>
    <w:p>
      <w:pPr>
        <w:spacing w:after="0" w:line="2" w:lineRule="exact"/>
        <w:rPr>
          <w:sz w:val="20"/>
          <w:szCs w:val="20"/>
          <w:color w:val="auto"/>
        </w:rPr>
      </w:pPr>
    </w:p>
    <w:p>
      <w:pPr>
        <w:ind w:left="60" w:right="240"/>
        <w:spacing w:after="0" w:line="271" w:lineRule="auto"/>
        <w:rPr>
          <w:sz w:val="20"/>
          <w:szCs w:val="20"/>
          <w:color w:val="auto"/>
        </w:rPr>
      </w:pPr>
      <w:r>
        <w:rPr>
          <w:rFonts w:ascii="Times New Roman" w:cs="Times New Roman" w:eastAsia="Times New Roman" w:hAnsi="Times New Roman"/>
          <w:sz w:val="19"/>
          <w:szCs w:val="19"/>
          <w:color w:val="auto"/>
        </w:rPr>
        <w:t>$101.2 million and $86.8 million at December 31, 2025 and 2024, respectively, that, if recognized, would affect the effective tax rate on income.</w:t>
      </w:r>
    </w:p>
    <w:p>
      <w:pPr>
        <w:spacing w:after="0" w:line="63" w:lineRule="exact"/>
        <w:rPr>
          <w:sz w:val="20"/>
          <w:szCs w:val="20"/>
          <w:color w:val="auto"/>
        </w:rPr>
      </w:pPr>
    </w:p>
    <w:p>
      <w:pPr>
        <w:ind w:left="60" w:right="20" w:firstLine="480"/>
        <w:spacing w:after="0" w:line="384" w:lineRule="auto"/>
        <w:rPr>
          <w:sz w:val="20"/>
          <w:szCs w:val="20"/>
          <w:color w:val="auto"/>
        </w:rPr>
      </w:pPr>
      <w:r>
        <w:rPr>
          <w:rFonts w:ascii="PMingLiU" w:cs="PMingLiU" w:eastAsia="PMingLiU" w:hAnsi="PMingLiU"/>
          <w:sz w:val="15"/>
          <w:szCs w:val="15"/>
          <w:color w:val="auto"/>
        </w:rPr>
        <w:t xml:space="preserve">:HILOHLQFRPHWD[UHWXUQVLQPXOWLSOHWD[MXULVGLFWLRQVWKHPRVWVLJQLILFDQWRIZKLFKDUH,UHODQGWKH8.DQGWKH86 </w:t>
      </w:r>
      <w:r>
        <w:rPr>
          <w:rFonts w:ascii="Times New Roman" w:cs="Times New Roman" w:eastAsia="Times New Roman" w:hAnsi="Times New Roman"/>
          <w:sz w:val="15"/>
          <w:szCs w:val="15"/>
          <w:color w:val="auto"/>
        </w:rPr>
        <w:t xml:space="preserve">(both at the federal level and in various state jurisdictions). For Ireland we are no longer subject to income tax examinations by </w:t>
      </w:r>
      <w:r>
        <w:rPr>
          <w:rFonts w:ascii="PMingLiU" w:cs="PMingLiU" w:eastAsia="PMingLiU" w:hAnsi="PMingLiU"/>
          <w:sz w:val="15"/>
          <w:szCs w:val="15"/>
          <w:color w:val="auto"/>
        </w:rPr>
        <w:t xml:space="preserve">WD[LQJDXWKRULWLHVIRUWKH\HDUVSULRUWR)RUWKH8.ZHDUHQRORQJHUVXEMHFWWRLQFRPHWD[H[DPLQDWLRQVE\WD[LQJ </w:t>
      </w:r>
      <w:r>
        <w:rPr>
          <w:rFonts w:ascii="Times New Roman" w:cs="Times New Roman" w:eastAsia="Times New Roman" w:hAnsi="Times New Roman"/>
          <w:sz w:val="15"/>
          <w:szCs w:val="15"/>
          <w:color w:val="auto"/>
        </w:rPr>
        <w:t>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Certain of our Italian subsidiaries are currently under examination by the Italian taxing authorities for the years ended December 31, 2019, 2023, 2024 and 2025.</w:t>
      </w:r>
    </w:p>
    <w:p>
      <w:pPr>
        <w:spacing w:after="0" w:line="3" w:lineRule="exact"/>
        <w:rPr>
          <w:sz w:val="20"/>
          <w:szCs w:val="20"/>
          <w:color w:val="auto"/>
        </w:rPr>
      </w:pPr>
    </w:p>
    <w:p>
      <w:pPr>
        <w:ind w:left="60" w:right="140" w:firstLine="480"/>
        <w:spacing w:after="0" w:line="266" w:lineRule="auto"/>
        <w:rPr>
          <w:sz w:val="20"/>
          <w:szCs w:val="20"/>
          <w:color w:val="auto"/>
        </w:rPr>
      </w:pPr>
      <w:r>
        <w:rPr>
          <w:rFonts w:ascii="Times New Roman" w:cs="Times New Roman" w:eastAsia="Times New Roman" w:hAnsi="Times New Roman"/>
          <w:sz w:val="19"/>
          <w:szCs w:val="19"/>
          <w:color w:val="auto"/>
        </w:rPr>
        <w:t>The Government of Ireland, the jurisdiction in which Jazz Pharmaceuticals plc is incorporated, transposed the Global Minimum Tax Pillar Two rules into domestic legislation with effect from January 1, 2024. The legislation closely follows the EU Minimum Tax Directive and certain OECD Guidance released to date. The Company is within the scope of these rules. Under the legislation, we are liable to pay a top-up tax for the difference between the Pillar Two effective tax rate per jurisdiction and the 15% minimum rate. The rules on how to calculate the Pillar Two effective tax rate are detailed and highly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174625</wp:posOffset>
            </wp:positionV>
            <wp:extent cx="259080" cy="2546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731">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F-46</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F-47</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732">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00" w:top="602" w:right="979" w:bottom="0" w:gutter="0" w:footer="0" w:header="0"/>
        </w:sectPr>
      </w:pPr>
    </w:p>
    <w:bookmarkStart w:id="286" w:name="page287"/>
    <w:bookmarkEnd w:id="286"/>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STATEMENTS—(Continued)</w:t>
      </w:r>
    </w:p>
    <w:p>
      <w:pPr>
        <w:spacing w:after="0" w:line="200" w:lineRule="exact"/>
        <w:rPr>
          <w:sz w:val="20"/>
          <w:szCs w:val="20"/>
          <w:color w:val="auto"/>
        </w:rPr>
      </w:pPr>
    </w:p>
    <w:p>
      <w:pPr>
        <w:spacing w:after="0" w:line="212" w:lineRule="exact"/>
        <w:rPr>
          <w:sz w:val="20"/>
          <w:szCs w:val="20"/>
          <w:color w:val="auto"/>
        </w:rPr>
      </w:pPr>
    </w:p>
    <w:p>
      <w:pPr>
        <w:ind w:right="140" w:firstLine="1"/>
        <w:spacing w:after="0" w:line="264" w:lineRule="auto"/>
        <w:rPr>
          <w:sz w:val="20"/>
          <w:szCs w:val="20"/>
          <w:color w:val="auto"/>
        </w:rPr>
      </w:pPr>
      <w:r>
        <w:rPr>
          <w:rFonts w:ascii="Times New Roman" w:cs="Times New Roman" w:eastAsia="Times New Roman" w:hAnsi="Times New Roman"/>
          <w:sz w:val="19"/>
          <w:szCs w:val="19"/>
          <w:color w:val="auto"/>
        </w:rPr>
        <w:t>complex and specific adjustments envisaged in the Pillar Two legislation can give rise to different effective tax rates compared to those calculated for accounting purposes. We account for Pillar Two top-up taxes as a current tax when they are incurred. Our income tax benefit for 2025 includes a provision for Pillar Two top-up taxes of $32.2 million. We were not subject to the top-up tax in 2024.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 Subsequent Events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On January 26, 2026, we completed the sale of our rare pediatric disease PRV for total cash consideration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$200.0 million. We are entitled to 50% of the post-tax proceeds with the remainder due to the former stockholders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Oncoceutics, Inc., which was acquired by Chimerix in 2021. We received the PRV in connection with the approval of Modeyso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FDA for the treatment of adult and pediatric patients 1 year of age and older with diffuse midline glioma harboring an H3</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9"/>
          <w:szCs w:val="19"/>
          <w:color w:val="auto"/>
        </w:rPr>
        <w:t>.0PXWDWLRQLQ$XJXVW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6478270</wp:posOffset>
            </wp:positionV>
            <wp:extent cx="259080" cy="2546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733">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800" w:type="dxa"/>
        <w:tblCellMar>
          <w:top w:w="0" w:type="dxa"/>
          <w:left w:w="0" w:type="dxa"/>
          <w:bottom w:w="0" w:type="dxa"/>
          <w:right w:w="0" w:type="dxa"/>
        </w:tblCellMar>
      </w:tblPr>
      <w:tr>
        <w:trPr>
          <w:trHeight w:val="285"/>
        </w:trPr>
        <w:tc>
          <w:tcPr>
            <w:tcW w:w="1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F-48</w:t>
            </w:r>
          </w:p>
        </w:tc>
        <w:tc>
          <w:tcPr>
            <w:tcW w:w="3100" w:type="dxa"/>
            <w:vAlign w:val="bottom"/>
          </w:tcPr>
          <w:p>
            <w:pPr>
              <w:ind w:left="1080"/>
              <w:spacing w:after="0"/>
              <w:rPr>
                <w:sz w:val="20"/>
                <w:szCs w:val="20"/>
                <w:color w:val="auto"/>
              </w:rPr>
            </w:pPr>
            <w:r>
              <w:rPr>
                <w:rFonts w:ascii="Arial" w:cs="Arial" w:eastAsia="Arial" w:hAnsi="Arial"/>
                <w:sz w:val="16"/>
                <w:szCs w:val="16"/>
                <w:color w:val="auto"/>
              </w:rPr>
              <w:t>2025 ANNUAL REPORT</w:t>
            </w:r>
          </w:p>
        </w:tc>
        <w:tc>
          <w:tcPr>
            <w:tcW w:w="660" w:type="dxa"/>
            <w:vAlign w:val="bottom"/>
          </w:tcPr>
          <w:p>
            <w:pPr>
              <w:ind w:left="260"/>
              <w:spacing w:after="0"/>
              <w:rPr>
                <w:sz w:val="20"/>
                <w:szCs w:val="20"/>
                <w:color w:val="auto"/>
              </w:rPr>
            </w:pPr>
            <w:r>
              <w:rPr>
                <w:rFonts w:ascii="Arial" w:cs="Arial" w:eastAsia="Arial" w:hAnsi="Arial"/>
                <w:sz w:val="20"/>
                <w:szCs w:val="20"/>
                <w:b w:val="1"/>
                <w:bCs w:val="1"/>
                <w:color w:val="5C004B"/>
                <w:w w:val="92"/>
              </w:rPr>
              <w:t>F-47</w:t>
            </w:r>
          </w:p>
        </w:tc>
        <w:tc>
          <w:tcPr>
            <w:tcW w:w="0" w:type="dxa"/>
            <w:vAlign w:val="bottom"/>
          </w:tcPr>
          <w:p>
            <w:pPr>
              <w:spacing w:after="0"/>
              <w:rPr>
                <w:sz w:val="1"/>
                <w:szCs w:val="1"/>
                <w:color w:val="auto"/>
              </w:rPr>
            </w:pPr>
          </w:p>
        </w:tc>
      </w:tr>
      <w:tr>
        <w:trPr>
          <w:trHeight w:val="102"/>
        </w:trPr>
        <w:tc>
          <w:tcPr>
            <w:tcW w:w="144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-208915</wp:posOffset>
            </wp:positionV>
            <wp:extent cx="1134745" cy="1168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734">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10000"/>
          </w:cols>
          <w:pgMar w:left="960" w:top="602" w:right="919" w:bottom="0" w:gutter="0" w:footer="0" w:header="0"/>
        </w:sectPr>
      </w:pPr>
    </w:p>
    <w:bookmarkStart w:id="287" w:name="page288"/>
    <w:bookmarkEnd w:id="287"/>
    <w:p>
      <w:pPr>
        <w:ind w:left="4560"/>
        <w:spacing w:after="0"/>
        <w:rPr>
          <w:sz w:val="20"/>
          <w:szCs w:val="20"/>
          <w:color w:val="auto"/>
        </w:rPr>
      </w:pPr>
      <w:r>
        <w:rPr>
          <w:rFonts w:ascii="Times New Roman" w:cs="Times New Roman" w:eastAsia="Times New Roman" w:hAnsi="Times New Roman"/>
          <w:sz w:val="19"/>
          <w:szCs w:val="19"/>
          <w:b w:val="1"/>
          <w:bCs w:val="1"/>
          <w:color w:val="auto"/>
        </w:rPr>
        <w:t>Schedule II</w:t>
      </w:r>
    </w:p>
    <w:p>
      <w:pPr>
        <w:spacing w:after="0" w:line="1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Valuation and Qualifying Accounts</w:t>
      </w:r>
    </w:p>
    <w:p>
      <w:pPr>
        <w:spacing w:after="0" w:line="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8"/>
              <w:spacing w:after="0" w:line="156" w:lineRule="exact"/>
              <w:rPr>
                <w:sz w:val="20"/>
                <w:szCs w:val="20"/>
                <w:color w:val="auto"/>
              </w:rPr>
            </w:pPr>
            <w:r>
              <w:rPr>
                <w:rFonts w:ascii="Times New Roman" w:cs="Times New Roman" w:eastAsia="Times New Roman" w:hAnsi="Times New Roman"/>
                <w:sz w:val="16"/>
                <w:szCs w:val="16"/>
                <w:b w:val="1"/>
                <w:bCs w:val="1"/>
                <w:color w:val="auto"/>
                <w:w w:val="96"/>
              </w:rPr>
              <w:t>charged to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87"/>
              <w:spacing w:after="0" w:line="154"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8"/>
              <w:spacing w:after="0" w:line="154"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67"/>
              <w:spacing w:after="0" w:line="154" w:lineRule="exact"/>
              <w:rPr>
                <w:sz w:val="20"/>
                <w:szCs w:val="20"/>
                <w:color w:val="auto"/>
              </w:rPr>
            </w:pPr>
            <w:r>
              <w:rPr>
                <w:rFonts w:ascii="Times New Roman" w:cs="Times New Roman" w:eastAsia="Times New Roman" w:hAnsi="Times New Roman"/>
                <w:sz w:val="16"/>
                <w:szCs w:val="16"/>
                <w:b w:val="1"/>
                <w:bCs w:val="1"/>
                <w:color w:val="auto"/>
                <w:w w:val="94"/>
              </w:rPr>
              <w:t>end of</w:t>
            </w:r>
          </w:p>
        </w:tc>
        <w:tc>
          <w:tcPr>
            <w:tcW w:w="0" w:type="dxa"/>
            <w:vAlign w:val="bottom"/>
          </w:tcPr>
          <w:p>
            <w:pPr>
              <w:spacing w:after="0"/>
              <w:rPr>
                <w:sz w:val="1"/>
                <w:szCs w:val="1"/>
                <w:color w:val="auto"/>
              </w:rPr>
            </w:pPr>
          </w:p>
        </w:tc>
      </w:tr>
      <w:tr>
        <w:trPr>
          <w:trHeight w:val="207"/>
        </w:trPr>
        <w:tc>
          <w:tcPr>
            <w:tcW w:w="3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For the year ended December 31, 2025</w:t>
            </w: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7"/>
              </w:rPr>
              <w:t>of period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expenses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80" w:type="dxa"/>
            <w:vAlign w:val="bottom"/>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1,110</w:t>
            </w:r>
          </w:p>
        </w:tc>
        <w:tc>
          <w:tcPr>
            <w:tcW w:w="0" w:type="dxa"/>
            <w:vAlign w:val="bottom"/>
          </w:tcPr>
          <w:p>
            <w:pPr>
              <w:spacing w:after="0"/>
              <w:rPr>
                <w:sz w:val="1"/>
                <w:szCs w:val="1"/>
                <w:color w:val="auto"/>
              </w:rPr>
            </w:pPr>
          </w:p>
        </w:tc>
      </w:tr>
      <w:tr>
        <w:trPr>
          <w:trHeight w:val="25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sales discounts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14,043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(17,266)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1,955</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chargebacks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233,316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(231,512)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14,229</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 valuation allowance</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509,190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217,708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(223,729)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529,674</w:t>
            </w:r>
          </w:p>
        </w:tc>
        <w:tc>
          <w:tcPr>
            <w:tcW w:w="0" w:type="dxa"/>
            <w:vAlign w:val="bottom"/>
          </w:tcPr>
          <w:p>
            <w:pPr>
              <w:spacing w:after="0"/>
              <w:rPr>
                <w:sz w:val="1"/>
                <w:szCs w:val="1"/>
                <w:color w:val="auto"/>
              </w:rPr>
            </w:pPr>
          </w:p>
        </w:tc>
      </w:tr>
      <w:tr>
        <w:trPr>
          <w:trHeight w:val="48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For the year ended December 31, 2024</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5,981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6,223</w:t>
            </w:r>
          </w:p>
        </w:tc>
        <w:tc>
          <w:tcPr>
            <w:tcW w:w="0" w:type="dxa"/>
            <w:vAlign w:val="bottom"/>
          </w:tcPr>
          <w:p>
            <w:pPr>
              <w:spacing w:after="0"/>
              <w:rPr>
                <w:sz w:val="1"/>
                <w:szCs w:val="1"/>
                <w:color w:val="auto"/>
              </w:rPr>
            </w:pPr>
          </w:p>
        </w:tc>
      </w:tr>
      <w:tr>
        <w:trPr>
          <w:trHeight w:val="25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sales discounts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5,962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24,334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(16,253)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14,043</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chargebacks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14,932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212,389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(214,896)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12,425</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 valuation allowance</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312,340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205,894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509,190</w:t>
            </w:r>
          </w:p>
        </w:tc>
        <w:tc>
          <w:tcPr>
            <w:tcW w:w="0" w:type="dxa"/>
            <w:vAlign w:val="bottom"/>
          </w:tcPr>
          <w:p>
            <w:pPr>
              <w:spacing w:after="0"/>
              <w:rPr>
                <w:sz w:val="1"/>
                <w:szCs w:val="1"/>
                <w:color w:val="auto"/>
              </w:rPr>
            </w:pPr>
          </w:p>
        </w:tc>
      </w:tr>
      <w:tr>
        <w:trPr>
          <w:trHeight w:val="48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For the year ended December 31, 2023</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doubtful accounts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sales discounts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2,980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22,334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(19,352)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5,962</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chargebacks</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14,621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185,886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(185,575)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14,932</w:t>
            </w:r>
          </w:p>
        </w:tc>
        <w:tc>
          <w:tcPr>
            <w:tcW w:w="0" w:type="dxa"/>
            <w:vAlign w:val="bottom"/>
          </w:tcPr>
          <w:p>
            <w:pPr>
              <w:spacing w:after="0"/>
              <w:rPr>
                <w:sz w:val="1"/>
                <w:szCs w:val="1"/>
                <w:color w:val="auto"/>
              </w:rPr>
            </w:pPr>
          </w:p>
        </w:tc>
      </w:tr>
      <w:tr>
        <w:trPr>
          <w:trHeight w:val="210"/>
        </w:trPr>
        <w:tc>
          <w:tcPr>
            <w:tcW w:w="33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Deferred tax asset valuation allowance</w:t>
            </w:r>
          </w:p>
        </w:tc>
        <w:tc>
          <w:tcPr>
            <w:tcW w:w="86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(2)(3)</w:t>
            </w:r>
          </w:p>
        </w:tc>
        <w:tc>
          <w:tcPr>
            <w:tcW w:w="18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234,732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76,670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1,368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(430)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auto"/>
              </w:rPr>
              <w:t>312,340</w:t>
            </w: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__________________________</w:t>
            </w: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80" w:right="400" w:hanging="611"/>
        <w:spacing w:after="0" w:line="255" w:lineRule="auto"/>
        <w:tabs>
          <w:tab w:leader="none" w:pos="660" w:val="left"/>
        </w:tabs>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color w:val="auto"/>
        </w:rPr>
        <w:t>Shown as a reduction of accounts receivable. Charges related to sales discounts and chargebacks are reflected as a reduction of revenue.</w:t>
      </w:r>
    </w:p>
    <w:p>
      <w:pPr>
        <w:spacing w:after="0" w:line="1" w:lineRule="exact"/>
        <w:rPr>
          <w:sz w:val="20"/>
          <w:szCs w:val="20"/>
          <w:color w:val="auto"/>
        </w:rPr>
      </w:pPr>
    </w:p>
    <w:p>
      <w:pPr>
        <w:ind w:left="680" w:hanging="611"/>
        <w:spacing w:after="0" w:line="255" w:lineRule="auto"/>
        <w:tabs>
          <w:tab w:leader="none" w:pos="660" w:val="left"/>
        </w:tabs>
        <w:rPr>
          <w:sz w:val="20"/>
          <w:szCs w:val="20"/>
          <w:color w:val="auto"/>
        </w:rPr>
      </w:pPr>
      <w:r>
        <w:rPr>
          <w:rFonts w:ascii="Times New Roman" w:cs="Times New Roman" w:eastAsia="Times New Roman" w:hAnsi="Times New Roman"/>
          <w:sz w:val="19"/>
          <w:szCs w:val="19"/>
          <w:color w:val="auto"/>
        </w:rPr>
        <w:t>(2)</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 Other additions in 2025 include recognition of a valuation allowance against deferred tax assets acquired through the Chimerix Acquisition, and currency translation adjustments.</w:t>
      </w:r>
    </w:p>
    <w:p>
      <w:pPr>
        <w:spacing w:after="0" w:line="3" w:lineRule="exact"/>
        <w:rPr>
          <w:sz w:val="20"/>
          <w:szCs w:val="20"/>
          <w:color w:val="auto"/>
        </w:rPr>
      </w:pPr>
    </w:p>
    <w:p>
      <w:pPr>
        <w:ind w:left="680" w:right="160" w:hanging="611"/>
        <w:spacing w:after="0" w:line="259" w:lineRule="auto"/>
        <w:tabs>
          <w:tab w:leader="none" w:pos="660" w:val="left"/>
        </w:tabs>
        <w:rPr>
          <w:sz w:val="20"/>
          <w:szCs w:val="20"/>
          <w:color w:val="auto"/>
        </w:rPr>
      </w:pPr>
      <w:r>
        <w:rPr>
          <w:rFonts w:ascii="Times New Roman" w:cs="Times New Roman" w:eastAsia="Times New Roman" w:hAnsi="Times New Roman"/>
          <w:sz w:val="19"/>
          <w:szCs w:val="19"/>
          <w:color w:val="auto"/>
        </w:rPr>
        <w:t>(3)</w:t>
      </w:r>
      <w:r>
        <w:rPr>
          <w:rFonts w:ascii="PMingLiU" w:cs="PMingLiU" w:eastAsia="PMingLiU" w:hAnsi="PMingLiU"/>
          <w:sz w:val="19"/>
          <w:szCs w:val="19"/>
          <w:color w:val="auto"/>
        </w:rPr>
        <w:t/>
      </w:r>
      <w:r>
        <w:rPr>
          <w:sz w:val="20"/>
          <w:szCs w:val="20"/>
          <w:color w:val="auto"/>
        </w:rPr>
        <w:tab/>
      </w:r>
      <w:r>
        <w:rPr>
          <w:rFonts w:ascii="Times New Roman" w:cs="Times New Roman" w:eastAsia="Times New Roman" w:hAnsi="Times New Roman"/>
          <w:sz w:val="19"/>
          <w:szCs w:val="19"/>
          <w:color w:val="auto"/>
        </w:rPr>
        <w:t>Deductions from the deferred tax asset valuation allowance in 2025 include the release of the valuation allowance recorded against the deferred tax assets acquired through the Chimerix Acquisition. Deductions from the deferred tax asset valuation allowance also include movements relating to utilization of NOLs and tax credit and other carryforwards, other releases of valuation allowances and other movements including adjustments following finalization of tax returns and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3286125</wp:posOffset>
            </wp:positionV>
            <wp:extent cx="259080" cy="2546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735">
                      <a:extLst>
                        <a:ext uri="{28A0092B-C50C-407E-A947-70E740481C1C}"/>
                      </a:extLst>
                    </a:blip>
                    <a:srcRect/>
                    <a:stretch>
                      <a:fillRect/>
                    </a:stretch>
                  </pic:blipFill>
                  <pic:spPr bwMode="auto">
                    <a:xfrm>
                      <a:off x="0" y="0"/>
                      <a:ext cx="259080"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0"/>
                <w:szCs w:val="20"/>
                <w:b w:val="1"/>
                <w:bCs w:val="1"/>
                <w:color w:val="5C004B"/>
              </w:rPr>
              <w:t>F-48</w:t>
            </w:r>
          </w:p>
        </w:tc>
        <w:tc>
          <w:tcPr>
            <w:tcW w:w="3100" w:type="dxa"/>
            <w:vAlign w:val="bottom"/>
          </w:tcPr>
          <w:p>
            <w:pPr>
              <w:ind w:left="260"/>
              <w:spacing w:after="0"/>
              <w:rPr>
                <w:sz w:val="20"/>
                <w:szCs w:val="20"/>
                <w:color w:val="auto"/>
              </w:rPr>
            </w:pPr>
            <w:r>
              <w:rPr>
                <w:rFonts w:ascii="Arial" w:cs="Arial" w:eastAsia="Arial" w:hAnsi="Arial"/>
                <w:sz w:val="16"/>
                <w:szCs w:val="16"/>
                <w:color w:val="auto"/>
              </w:rPr>
              <w:t>2025 ANNUAL REPORT</w:t>
            </w:r>
          </w:p>
        </w:tc>
        <w:tc>
          <w:tcPr>
            <w:tcW w:w="14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color w:val="auto"/>
                <w:w w:val="94"/>
              </w:rPr>
              <w:t>F-49</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-208915</wp:posOffset>
            </wp:positionV>
            <wp:extent cx="1134745" cy="1168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736">
                      <a:extLst>
                        <a:ext uri="{28A0092B-C50C-407E-A947-70E740481C1C}"/>
                      </a:extLst>
                    </a:blip>
                    <a:srcRect/>
                    <a:stretch>
                      <a:fillRect/>
                    </a:stretch>
                  </pic:blipFill>
                  <pic:spPr bwMode="auto">
                    <a:xfrm>
                      <a:off x="0" y="0"/>
                      <a:ext cx="1134745" cy="116840"/>
                    </a:xfrm>
                    <a:prstGeom prst="rect">
                      <a:avLst/>
                    </a:prstGeom>
                    <a:noFill/>
                  </pic:spPr>
                </pic:pic>
              </a:graphicData>
            </a:graphic>
          </wp:anchor>
        </w:drawing>
      </w:r>
    </w:p>
    <w:p>
      <w:pPr>
        <w:sectPr>
          <w:pgSz w:w="11880" w:h="15479" w:orient="portrait"/>
          <w:cols w:equalWidth="0" w:num="1">
            <w:col w:w="9980"/>
          </w:cols>
          <w:pgMar w:left="900" w:top="837" w:right="999" w:bottom="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89" w:name="page290"/>
    <w:bookmarkEnd w:id="289"/>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165" cy="6516370"/>
                <wp:wrapNone/>
                <wp:docPr id="959" name="Shape 9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6516370"/>
                        </a:xfrm>
                        <a:prstGeom prst="rect">
                          <a:avLst/>
                        </a:prstGeom>
                        <a:solidFill>
                          <a:srgbClr val="F3F3F1"/>
                        </a:solidFill>
                      </wps:spPr>
                      <wps:bodyPr/>
                    </wps:wsp>
                  </a:graphicData>
                </a:graphic>
              </wp:anchor>
            </w:drawing>
          </mc:Choice>
          <mc:Fallback>
            <w:pict>
              <v:rect id="Shape 959" o:spid="_x0000_s1984" style="position:absolute;margin-left:0pt;margin-top:0pt;width:593.95pt;height:513.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3F3F1" stroked="f">
                <w10:wrap anchorx="page" anchory="page"/>
              </v:rect>
            </w:pict>
          </mc:Fallback>
        </mc:AlternateContent>
        <w:drawing>
          <wp:anchor simplePos="0" relativeHeight="251657728" behindDoc="1" locked="0" layoutInCell="0" allowOverlap="1">
            <wp:simplePos x="0" y="0"/>
            <wp:positionH relativeFrom="page">
              <wp:posOffset>556895</wp:posOffset>
            </wp:positionH>
            <wp:positionV relativeFrom="page">
              <wp:posOffset>7696200</wp:posOffset>
            </wp:positionV>
            <wp:extent cx="2311400" cy="402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737">
                      <a:extLst>
                        <a:ext uri="{28A0092B-C50C-407E-A947-70E740481C1C}"/>
                      </a:extLst>
                    </a:blip>
                    <a:srcRect/>
                    <a:stretch>
                      <a:fillRect/>
                    </a:stretch>
                  </pic:blipFill>
                  <pic:spPr bwMode="auto">
                    <a:xfrm>
                      <a:off x="0" y="0"/>
                      <a:ext cx="23114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20"/>
          <w:szCs w:val="20"/>
          <w:color w:val="000045"/>
        </w:rPr>
        <w:t>Fifth Floor,</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9"/>
          <w:szCs w:val="19"/>
          <w:color w:val="000045"/>
        </w:rPr>
        <w:t>Waterloo Exchange,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20"/>
          <w:szCs w:val="20"/>
          <w:color w:val="000045"/>
        </w:rPr>
        <w:t>Waterloo Road,</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20"/>
          <w:szCs w:val="20"/>
          <w:color w:val="000045"/>
        </w:rPr>
        <w:t>Dublin 4</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20"/>
          <w:szCs w:val="20"/>
          <w:color w:val="000045"/>
        </w:rPr>
        <w:t>+353.1.634.7800</w:t>
      </w:r>
    </w:p>
    <w:sectPr>
      <w:pgSz w:w="11880" w:h="15479" w:orient="portrait"/>
      <w:cols w:equalWidth="0" w:num="1">
        <w:col w:w="8999"/>
      </w:cols>
      <w:pgMar w:left="1440" w:top="1440" w:right="1440" w:bottom="45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ց"/>
      <w:numFmt w:val="bullet"/>
      <w:start w:val="1"/>
    </w:lvl>
  </w:abstractNum>
  <w:abstractNum w:abstractNumId="2">
    <w:nsid w:val="66EF438D"/>
    <w:multiLevelType w:val="hybridMultilevel"/>
    <w:lvl w:ilvl="0">
      <w:lvlJc w:val="left"/>
      <w:lvlText w:val="տ"/>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04"/>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16"/>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2026-06-08T20:04:17Z</dcterms:created>
  <dcterms:modified xsi:type="dcterms:W3CDTF">2026-06-08T20:04:17Z</dcterms:modified>
</cp:coreProperties>
</file>