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Pearce Samantha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5TH FL, WATERLOO EXCHANGE WATERLOO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Jazz Pharmaceuticals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JAZZ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Commercial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 4</w:t>
            </w:r>
          </w:p>
        </w:tc>
        <w:tc>
          <w:tcPr>
            <w:tcW w:w="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188.69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50,272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tax obligations arising out of vesting of a portion of previously granted restricted stock units.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/s/Paz Dizon, as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0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For: Samantha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Pearce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27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5688" TargetMode="External"/><Relationship Id="rId14" Type="http://schemas.openxmlformats.org/officeDocument/2006/relationships/hyperlink" Target="http://www.sec.gov/cgi-bin/browse-edgar?action=getcompany&amp;CIK=00012325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2026-03-09T16:27:45Z</dcterms:created>
  <dcterms:modified xsi:type="dcterms:W3CDTF">2026-03-09T16:27:45Z</dcterms:modified>
</cp:coreProperties>
</file>