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295910</wp:posOffset>
            </wp:positionV>
            <wp:extent cx="3893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186690</wp:posOffset>
            </wp:positionV>
            <wp:extent cx="3893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2"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6" w:lineRule="exact"/>
        <w:rPr>
          <w:sz w:val="24"/>
          <w:szCs w:val="24"/>
          <w:color w:val="auto"/>
        </w:rPr>
      </w:pPr>
    </w:p>
    <w:tbl>
      <w:tblPr>
        <w:tblLayout w:type="fixed"/>
        <w:tblInd w:w="192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404"/>
        </w:trPr>
        <w:tc>
          <w:tcPr>
            <w:tcW w:w="2020" w:type="dxa"/>
            <w:vAlign w:val="bottom"/>
          </w:tcPr>
          <w:p>
            <w:pPr>
              <w:jc w:val="center"/>
              <w:ind w:right="62"/>
              <w:spacing w:after="0"/>
              <w:rPr>
                <w:sz w:val="20"/>
                <w:szCs w:val="20"/>
                <w:color w:val="auto"/>
              </w:rPr>
            </w:pPr>
            <w:r>
              <w:rPr>
                <w:rFonts w:ascii="Arial" w:cs="Arial" w:eastAsia="Arial" w:hAnsi="Arial"/>
                <w:sz w:val="18"/>
                <w:szCs w:val="18"/>
                <w:b w:val="1"/>
                <w:bCs w:val="1"/>
                <w:color w:val="auto"/>
                <w:w w:val="94"/>
              </w:rPr>
              <w:t>Ireland</w:t>
            </w:r>
          </w:p>
        </w:tc>
        <w:tc>
          <w:tcPr>
            <w:tcW w:w="5180" w:type="dxa"/>
            <w:vAlign w:val="bottom"/>
          </w:tcPr>
          <w:p>
            <w:pPr>
              <w:jc w:val="center"/>
              <w:ind w:left="3964"/>
              <w:spacing w:after="0"/>
              <w:rPr>
                <w:sz w:val="20"/>
                <w:szCs w:val="20"/>
                <w:color w:val="auto"/>
              </w:rPr>
            </w:pPr>
            <w:r>
              <w:rPr>
                <w:rFonts w:ascii="Arial" w:cs="Arial" w:eastAsia="Arial" w:hAnsi="Arial"/>
                <w:sz w:val="18"/>
                <w:szCs w:val="18"/>
                <w:b w:val="1"/>
                <w:bCs w:val="1"/>
                <w:color w:val="auto"/>
                <w:w w:val="89"/>
              </w:rPr>
              <w:t>98-1032470</w:t>
            </w:r>
          </w:p>
        </w:tc>
      </w:tr>
      <w:tr>
        <w:trPr>
          <w:trHeight w:val="180"/>
        </w:trPr>
        <w:tc>
          <w:tcPr>
            <w:tcW w:w="20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(State or other jurisdiction of</w:t>
            </w:r>
          </w:p>
        </w:tc>
        <w:tc>
          <w:tcPr>
            <w:tcW w:w="5180" w:type="dxa"/>
            <w:vAlign w:val="bottom"/>
          </w:tcPr>
          <w:p>
            <w:pPr>
              <w:jc w:val="center"/>
              <w:ind w:left="3964"/>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0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incorporation or organization)</w:t>
            </w:r>
          </w:p>
        </w:tc>
        <w:tc>
          <w:tcPr>
            <w:tcW w:w="5180" w:type="dxa"/>
            <w:vAlign w:val="bottom"/>
          </w:tcPr>
          <w:p>
            <w:pPr>
              <w:jc w:val="center"/>
              <w:ind w:left="39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167640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90"/>
              </w:rPr>
              <w:t>Title of each class</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2"/>
              </w:rPr>
              <w:t>Trading Symbol(s)</w:t>
            </w:r>
          </w:p>
        </w:tc>
        <w:tc>
          <w:tcPr>
            <w:tcW w:w="4660" w:type="dxa"/>
            <w:vAlign w:val="bottom"/>
          </w:tcPr>
          <w:p>
            <w:pPr>
              <w:jc w:val="center"/>
              <w:ind w:right="230"/>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60" w:type="dxa"/>
            <w:vAlign w:val="bottom"/>
          </w:tcPr>
          <w:p>
            <w:pPr>
              <w:jc w:val="center"/>
              <w:ind w:left="10"/>
              <w:spacing w:after="0"/>
              <w:rPr>
                <w:sz w:val="20"/>
                <w:szCs w:val="20"/>
                <w:color w:val="auto"/>
              </w:rPr>
            </w:pPr>
            <w:r>
              <w:rPr>
                <w:rFonts w:ascii="Arial" w:cs="Arial" w:eastAsia="Arial" w:hAnsi="Arial"/>
                <w:sz w:val="18"/>
                <w:szCs w:val="18"/>
                <w:color w:val="auto"/>
                <w:w w:val="89"/>
              </w:rPr>
              <w:t>Ordinary shares, nominal value $0.0001 per share</w:t>
            </w:r>
          </w:p>
        </w:tc>
        <w:tc>
          <w:tcPr>
            <w:tcW w:w="2260" w:type="dxa"/>
            <w:vAlign w:val="bottom"/>
          </w:tcPr>
          <w:p>
            <w:pPr>
              <w:jc w:val="center"/>
              <w:ind w:right="150"/>
              <w:spacing w:after="0"/>
              <w:rPr>
                <w:sz w:val="20"/>
                <w:szCs w:val="20"/>
                <w:color w:val="auto"/>
              </w:rPr>
            </w:pPr>
            <w:r>
              <w:rPr>
                <w:rFonts w:ascii="Arial" w:cs="Arial" w:eastAsia="Arial" w:hAnsi="Arial"/>
                <w:sz w:val="18"/>
                <w:szCs w:val="18"/>
                <w:color w:val="auto"/>
                <w:w w:val="97"/>
              </w:rPr>
              <w:t>JAZZ</w:t>
            </w:r>
          </w:p>
        </w:tc>
        <w:tc>
          <w:tcPr>
            <w:tcW w:w="4660" w:type="dxa"/>
            <w:vAlign w:val="bottom"/>
          </w:tcPr>
          <w:p>
            <w:pPr>
              <w:jc w:val="center"/>
              <w:ind w:right="230"/>
              <w:spacing w:after="0"/>
              <w:rPr>
                <w:sz w:val="20"/>
                <w:szCs w:val="20"/>
                <w:color w:val="auto"/>
              </w:rPr>
            </w:pPr>
            <w:r>
              <w:rPr>
                <w:rFonts w:ascii="Arial" w:cs="Arial" w:eastAsia="Arial" w:hAnsi="Arial"/>
                <w:sz w:val="18"/>
                <w:szCs w:val="18"/>
                <w:color w:val="auto"/>
                <w:w w:val="91"/>
              </w:rPr>
              <w:t>The Nasdaq Stock Market LLC</w:t>
            </w:r>
          </w:p>
        </w:tc>
      </w:tr>
    </w:tbl>
    <w:p>
      <w:pPr>
        <w:spacing w:after="0" w:line="94" w:lineRule="exact"/>
        <w:rPr>
          <w:sz w:val="24"/>
          <w:szCs w:val="24"/>
          <w:color w:val="auto"/>
        </w:rPr>
      </w:pPr>
    </w:p>
    <w:p>
      <w:pPr>
        <w:ind w:right="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firstLine="432"/>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0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55" w:lineRule="exact"/>
        <w:rPr>
          <w:sz w:val="24"/>
          <w:szCs w:val="24"/>
          <w:color w:val="auto"/>
        </w:rPr>
      </w:pPr>
    </w:p>
    <w:p>
      <w:pPr>
        <w:jc w:val="both"/>
        <w:ind w:right="24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right="5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2019, 56,621,139 ordinary shares of the registrant, nominal value $0.0001 per share, were outstanding.</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3160" w:type="dxa"/>
            <w:vAlign w:val="bottom"/>
            <w:tcBorders>
              <w:bottom w:val="single" w:sz="8" w:color="0000FF"/>
            </w:tcBorders>
            <w:gridSpan w:val="8"/>
          </w:tcPr>
          <w:p>
            <w:pPr>
              <w:spacing w:after="0" w:line="189"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6740" w:type="dxa"/>
            <w:vAlign w:val="bottom"/>
            <w:gridSpan w:val="9"/>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7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June 30, 2019 and December 31, 2018</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7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 Three and Six Months Ended June 30, 2019 and 2018</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40" w:type="dxa"/>
            <w:vAlign w:val="bottom"/>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 Three and Six Months Ended June 30, 2019 and 2018</w:t>
              </w:r>
            </w:hyperlink>
          </w:p>
        </w:tc>
        <w:tc>
          <w:tcPr>
            <w:tcW w:w="120" w:type="dxa"/>
            <w:vAlign w:val="bottom"/>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Shareholders’ Equity - Three and Six Months Ended June 30, 2019 and 2018</w:t>
              </w:r>
            </w:hyperlink>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0" w:type="dxa"/>
            <w:vAlign w:val="bottom"/>
            <w:gridSpan w:val="11"/>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 Six Months Ended June 30, 2019 and 2018</w:t>
              </w:r>
            </w:hyperlink>
          </w:p>
        </w:tc>
        <w:tc>
          <w:tcPr>
            <w:tcW w:w="1420" w:type="dxa"/>
            <w:vAlign w:val="bottom"/>
            <w:gridSpan w:val="2"/>
          </w:tcPr>
          <w:p>
            <w:pPr>
              <w:spacing w:after="0"/>
              <w:rPr>
                <w:sz w:val="21"/>
                <w:szCs w:val="21"/>
                <w:color w:val="auto"/>
              </w:rPr>
            </w:pPr>
          </w:p>
        </w:tc>
        <w:tc>
          <w:tcPr>
            <w:tcW w:w="340" w:type="dxa"/>
            <w:vAlign w:val="bottom"/>
            <w:gridSpan w:val="2"/>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gridSpan w:val="7"/>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3000" w:type="dxa"/>
            <w:vAlign w:val="bottom"/>
            <w:gridSpan w:val="4"/>
          </w:tcPr>
          <w:p>
            <w:pPr>
              <w:spacing w:after="0"/>
              <w:rPr>
                <w:sz w:val="21"/>
                <w:szCs w:val="21"/>
                <w:color w:val="auto"/>
              </w:rPr>
            </w:pPr>
          </w:p>
        </w:tc>
        <w:tc>
          <w:tcPr>
            <w:tcW w:w="1760" w:type="dxa"/>
            <w:vAlign w:val="bottom"/>
            <w:gridSpan w:val="4"/>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780" w:type="dxa"/>
            <w:vAlign w:val="bottom"/>
            <w:gridSpan w:val="2"/>
          </w:tcPr>
          <w:p>
            <w:pPr>
              <w:jc w:val="center"/>
              <w:ind w:left="51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2300" w:type="dxa"/>
            <w:vAlign w:val="bottom"/>
            <w:gridSpan w:val="5"/>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Controls and Procedures</w:t>
              </w:r>
            </w:hyperlink>
          </w:p>
        </w:tc>
        <w:tc>
          <w:tcPr>
            <w:tcW w:w="2580" w:type="dxa"/>
            <w:vAlign w:val="bottom"/>
            <w:gridSpan w:val="3"/>
          </w:tcPr>
          <w:p>
            <w:pPr>
              <w:spacing w:after="0"/>
              <w:rPr>
                <w:sz w:val="24"/>
                <w:szCs w:val="24"/>
                <w:color w:val="auto"/>
              </w:rPr>
            </w:pPr>
          </w:p>
        </w:tc>
        <w:tc>
          <w:tcPr>
            <w:tcW w:w="4400" w:type="dxa"/>
            <w:vAlign w:val="bottom"/>
            <w:gridSpan w:val="7"/>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292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 – OTHER INFORMATION</w:t>
              </w:r>
            </w:hyperlink>
          </w:p>
        </w:tc>
        <w:tc>
          <w:tcPr>
            <w:tcW w:w="698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Legal Proceedings</w:t>
              </w:r>
            </w:hyperlink>
          </w:p>
        </w:tc>
        <w:tc>
          <w:tcPr>
            <w:tcW w:w="7440" w:type="dxa"/>
            <w:vAlign w:val="bottom"/>
            <w:gridSpan w:val="12"/>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5"/>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7440" w:type="dxa"/>
            <w:vAlign w:val="bottom"/>
            <w:gridSpan w:val="12"/>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Unregistered Sales of Equity Securities and Use of Proceeds</w:t>
              </w:r>
            </w:hyperlink>
          </w:p>
        </w:tc>
        <w:tc>
          <w:tcPr>
            <w:tcW w:w="4400" w:type="dxa"/>
            <w:vAlign w:val="bottom"/>
            <w:gridSpan w:val="7"/>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79</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Other Information</w:t>
              </w:r>
            </w:hyperlink>
          </w:p>
        </w:tc>
        <w:tc>
          <w:tcPr>
            <w:tcW w:w="3040" w:type="dxa"/>
            <w:vAlign w:val="bottom"/>
            <w:gridSpan w:val="5"/>
          </w:tcPr>
          <w:p>
            <w:pPr>
              <w:spacing w:after="0"/>
              <w:rPr>
                <w:sz w:val="24"/>
                <w:szCs w:val="24"/>
                <w:color w:val="auto"/>
              </w:rPr>
            </w:pPr>
          </w:p>
        </w:tc>
        <w:tc>
          <w:tcPr>
            <w:tcW w:w="4400" w:type="dxa"/>
            <w:vAlign w:val="bottom"/>
            <w:gridSpan w:val="7"/>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80</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440" w:type="dxa"/>
            <w:vAlign w:val="bottom"/>
            <w:gridSpan w:val="12"/>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Exhibits</w:t>
              </w:r>
            </w:hyperlink>
          </w:p>
        </w:tc>
        <w:tc>
          <w:tcPr>
            <w:tcW w:w="7440" w:type="dxa"/>
            <w:vAlign w:val="bottom"/>
            <w:gridSpan w:val="12"/>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372"/>
        </w:trPr>
        <w:tc>
          <w:tcPr>
            <w:tcW w:w="1100" w:type="dxa"/>
            <w:vAlign w:val="bottom"/>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SIGNATURES</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84</w:t>
              </w:r>
            </w:hyperlink>
          </w:p>
        </w:tc>
        <w:tc>
          <w:tcPr>
            <w:tcW w:w="700" w:type="dxa"/>
            <w:vAlign w:val="bottom"/>
          </w:tcPr>
          <w:p>
            <w:pPr>
              <w:spacing w:after="0"/>
              <w:rPr>
                <w:sz w:val="24"/>
                <w:szCs w:val="24"/>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bl>
    <w:p>
      <w:pPr>
        <w:spacing w:after="0" w:line="337" w:lineRule="exact"/>
        <w:rPr>
          <w:sz w:val="20"/>
          <w:szCs w:val="20"/>
          <w:color w:val="auto"/>
        </w:rPr>
      </w:pPr>
    </w:p>
    <w:p>
      <w:pPr>
        <w:ind w:right="200" w:firstLine="432"/>
        <w:spacing w:after="0" w:line="212" w:lineRule="auto"/>
        <w:rPr>
          <w:sz w:val="20"/>
          <w:szCs w:val="20"/>
          <w:color w:val="auto"/>
        </w:rPr>
      </w:pPr>
      <w:r>
        <w:rPr>
          <w:rFonts w:ascii="Arial" w:cs="Arial" w:eastAsia="Arial" w:hAnsi="Arial"/>
          <w:sz w:val="18"/>
          <w:szCs w:val="18"/>
          <w:color w:val="auto"/>
        </w:rPr>
        <w:t>We own or have rights to various copyrights, trademarks, and trade names used in our business in the U.S. and/or other countries, including the following: Jazz Pharmaceuticals</w:t>
      </w:r>
      <w:r>
        <w:rPr>
          <w:rFonts w:ascii="Arial" w:cs="Arial" w:eastAsia="Arial" w:hAnsi="Arial"/>
          <w:sz w:val="25"/>
          <w:szCs w:val="25"/>
          <w:color w:val="auto"/>
          <w:vertAlign w:val="superscript"/>
        </w:rPr>
        <w:t>®</w:t>
      </w:r>
      <w:r>
        <w:rPr>
          <w:rFonts w:ascii="Arial" w:cs="Arial" w:eastAsia="Arial" w:hAnsi="Arial"/>
          <w:sz w:val="18"/>
          <w:szCs w:val="18"/>
          <w:color w:val="auto"/>
        </w:rPr>
        <w:t>, 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(sodium oxybate) oral solution, 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Erwinase</w:t>
      </w:r>
      <w:r>
        <w:rPr>
          <w:rFonts w:ascii="Arial" w:cs="Arial" w:eastAsia="Arial" w:hAnsi="Arial"/>
          <w:sz w:val="25"/>
          <w:szCs w:val="25"/>
          <w:color w:val="auto"/>
          <w:vertAlign w:val="superscript"/>
        </w:rPr>
        <w:t>®</w:t>
      </w:r>
      <w:r>
        <w:rPr>
          <w:rFonts w:ascii="Arial" w:cs="Arial" w:eastAsia="Arial" w:hAnsi="Arial"/>
          <w:sz w:val="18"/>
          <w:szCs w:val="18"/>
          <w:color w:val="auto"/>
        </w:rPr>
        <w:t>,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sodium),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CombiPlex</w:t>
      </w:r>
      <w:r>
        <w:rPr>
          <w:rFonts w:ascii="Arial" w:cs="Arial" w:eastAsia="Arial" w:hAnsi="Arial"/>
          <w:sz w:val="25"/>
          <w:szCs w:val="25"/>
          <w:color w:val="auto"/>
          <w:vertAlign w:val="superscript"/>
        </w:rPr>
        <w:t>®</w:t>
      </w:r>
      <w:r>
        <w:rPr>
          <w:rFonts w:ascii="Arial" w:cs="Arial" w:eastAsia="Arial" w:hAnsi="Arial"/>
          <w:sz w:val="18"/>
          <w:szCs w:val="18"/>
          <w:color w:val="auto"/>
        </w:rPr>
        <w:t>, Vyxeos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(daunorubicin and cytarabine) liposome for injection, Vyxeos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44 mg/100 mg powder for concentrate for solution for infusion, Sunosi</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(solriamfetol) and FazaClo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(clozapine, USP).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309,622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263,838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68,999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75,367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67,572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1,370,066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1,234,005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127,183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200,358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2,687,941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2,731,334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924,990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927,630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184,383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57,879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5,488,661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5,203,491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0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82,222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40,602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264,887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345,487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1,567,842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1,563,025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156,289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309,097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120,713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218,879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Non-voting euro deferred shares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redemption reserve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2,171,458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2,113,630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1,021,879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841,050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2,983,434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2,757,422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5,488,661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5,203,491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42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422"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523,423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496,095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1,026,754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936,942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534,133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500,479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1,042,319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945,092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 of product sales (excluding amortization of intangible assets)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27,676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61,182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68,633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343,961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365,792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62,384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122,489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118,799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107,966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42,896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42,896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58,200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329,850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347,280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704,293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704,086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241,006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Income before income tax provision (benefit) and equity in loss of investees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299,326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194,905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36,524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55,670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loss of investees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261,898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92,321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347,099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138,312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ordinary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6"/>
              </w:rPr>
              <w:t>Weighted-average ordinary shares used in per share calculations -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60,053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57,427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57,753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61,309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347,099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138,312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(31,961)</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 (loss) on hedging activities, net of income tax (benefit)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provision of ($440), $193, ($689) and $651, respectively</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4,558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272,136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22,861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334,454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110,909</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760" w:type="dxa"/>
            <w:vAlign w:val="bottom"/>
            <w:gridSpan w:val="4"/>
            <w:vMerge w:val="restart"/>
          </w:tcPr>
          <w:p>
            <w:pPr>
              <w:jc w:val="right"/>
              <w:ind w:right="28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Non-voting Euro Deferred</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Redemption</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740" w:type="dxa"/>
            <w:vAlign w:val="bottom"/>
          </w:tcPr>
          <w:p>
            <w:pPr>
              <w:jc w:val="right"/>
              <w:ind w:right="22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57,504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2,113,630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841,050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2,757,422</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w w:val="99"/>
              </w:rPr>
              <w:t>Cumulative effect adjustment from</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adoption of new accounting</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standards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payment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27,861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27,861</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(22,883)</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85,201</w:t>
            </w:r>
          </w:p>
        </w:tc>
        <w:tc>
          <w:tcPr>
            <w:tcW w:w="0" w:type="dxa"/>
            <w:vAlign w:val="bottom"/>
          </w:tcPr>
          <w:p>
            <w:pPr>
              <w:spacing w:after="0"/>
              <w:rPr>
                <w:sz w:val="1"/>
                <w:szCs w:val="1"/>
                <w:color w:val="auto"/>
              </w:rPr>
            </w:pPr>
          </w:p>
        </w:tc>
      </w:tr>
      <w:tr>
        <w:trPr>
          <w:trHeight w:val="24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56,903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2,130,738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(220,674)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819,850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2,730,447</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under</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6,032</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28,658</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(59,869)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(59,869)</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10,238</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261,898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261,898</w:t>
            </w:r>
          </w:p>
        </w:tc>
        <w:tc>
          <w:tcPr>
            <w:tcW w:w="0" w:type="dxa"/>
            <w:vAlign w:val="bottom"/>
          </w:tcPr>
          <w:p>
            <w:pPr>
              <w:spacing w:after="0"/>
              <w:rPr>
                <w:sz w:val="1"/>
                <w:szCs w:val="1"/>
                <w:color w:val="auto"/>
              </w:rPr>
            </w:pPr>
          </w:p>
        </w:tc>
      </w:tr>
      <w:tr>
        <w:trPr>
          <w:trHeight w:val="24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56,626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2,171,458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1,021,879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2,983,434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760" w:type="dxa"/>
            <w:vAlign w:val="bottom"/>
            <w:gridSpan w:val="4"/>
            <w:vMerge w:val="restart"/>
          </w:tcPr>
          <w:p>
            <w:pPr>
              <w:jc w:val="right"/>
              <w:ind w:right="28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Non-voting Euro Deferred</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Redemption</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740" w:type="dxa"/>
            <w:vAlign w:val="bottom"/>
          </w:tcPr>
          <w:p>
            <w:pPr>
              <w:jc w:val="right"/>
              <w:ind w:right="22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59,898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1,935,486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(140,878)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917,956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2,713,097</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w w:val="99"/>
              </w:rPr>
              <w:t>Cumulative effect adjustment from</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adoption of new accounting</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standards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10,588</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payment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(14,594)</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24,276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24,276</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(34,546)</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42,057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42,057</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45,991</w:t>
            </w:r>
          </w:p>
        </w:tc>
        <w:tc>
          <w:tcPr>
            <w:tcW w:w="0" w:type="dxa"/>
            <w:vAlign w:val="bottom"/>
          </w:tcPr>
          <w:p>
            <w:pPr>
              <w:spacing w:after="0"/>
              <w:rPr>
                <w:sz w:val="1"/>
                <w:szCs w:val="1"/>
                <w:color w:val="auto"/>
              </w:rPr>
            </w:pPr>
          </w:p>
        </w:tc>
      </w:tr>
      <w:tr>
        <w:trPr>
          <w:trHeight w:val="24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2018</w:t>
            </w: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59,989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1,955,756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(98,768)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929,050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2,786,571</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51,023</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under</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5,447</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26,294</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(21,015)</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(69,460)</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92,321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92,321</w:t>
            </w:r>
          </w:p>
        </w:tc>
        <w:tc>
          <w:tcPr>
            <w:tcW w:w="0" w:type="dxa"/>
            <w:vAlign w:val="bottom"/>
          </w:tcPr>
          <w:p>
            <w:pPr>
              <w:spacing w:after="0"/>
              <w:rPr>
                <w:sz w:val="1"/>
                <w:szCs w:val="1"/>
                <w:color w:val="auto"/>
              </w:rPr>
            </w:pPr>
          </w:p>
        </w:tc>
      </w:tr>
      <w:tr>
        <w:trPr>
          <w:trHeight w:val="24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2018</w:t>
            </w: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60,386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2,037,091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1,000,356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2,869,752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347,099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138,312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107,966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42,896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non-cash transactions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(54,356)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lease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lease liabilities, less current portion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359,333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maturity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(505,350)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163,414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(242,733)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employee equity incentive and purchase plans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67,058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tenant improvement allowance on build-to-suit lease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modification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328,117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386,035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637,739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485,081</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11"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Jazz Pharmaceuticals plc is a global biopharmaceutical company dedicated to developing life-changing medicines for people with limited or no options. As a leader in sleep medicine and with a growing hematology/oncology portfolio, we have a diverse portfolio of products and product candidates in development.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560" w:hanging="320"/>
        <w:spacing w:after="0" w:line="314"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Sunosi™ (solriamfetol)</w:t>
      </w:r>
      <w:r>
        <w:rPr>
          <w:rFonts w:ascii="Arial" w:cs="Arial" w:eastAsia="Arial" w:hAnsi="Arial"/>
          <w:sz w:val="16"/>
          <w:szCs w:val="16"/>
          <w:color w:val="auto"/>
        </w:rPr>
        <w:t>, our newest lead marketed product launched in July 2019 and approved in the U.S. to improve wakefulness in adult</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with excessive daytime sleepiness, or EDS, associated with narcolepsy or obstructive sleep apnea. We are also seeking approval for solriamfetol in Europe and submitted a marketing authorization application to the European Medicines Agency in the fourth quarter of 2018;</w:t>
      </w:r>
    </w:p>
    <w:p>
      <w:pPr>
        <w:spacing w:after="0" w:line="34" w:lineRule="exact"/>
        <w:rPr>
          <w:rFonts w:ascii="Arial" w:cs="Arial" w:eastAsia="Arial" w:hAnsi="Arial"/>
          <w:sz w:val="16"/>
          <w:szCs w:val="16"/>
          <w:b w:val="1"/>
          <w:bCs w:val="1"/>
          <w:color w:val="auto"/>
        </w:rPr>
      </w:pPr>
    </w:p>
    <w:p>
      <w:pPr>
        <w:ind w:left="720" w:right="60" w:hanging="320"/>
        <w:spacing w:after="0" w:line="218"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and marketed in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both cataplexy and EDS in both adult and pediatric patients with narcolepsy;</w:t>
      </w:r>
    </w:p>
    <w:p>
      <w:pPr>
        <w:spacing w:after="0" w:line="91" w:lineRule="exact"/>
        <w:rPr>
          <w:rFonts w:ascii="Arial" w:cs="Arial" w:eastAsia="Arial" w:hAnsi="Arial"/>
          <w:sz w:val="18"/>
          <w:szCs w:val="18"/>
          <w:b w:val="1"/>
          <w:bCs w:val="1"/>
          <w:color w:val="auto"/>
        </w:rPr>
      </w:pPr>
    </w:p>
    <w:p>
      <w:pPr>
        <w:ind w:left="720" w:right="280" w:hanging="320"/>
        <w:spacing w:after="0" w:line="214"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ind w:left="720" w:right="420" w:hanging="320"/>
        <w:spacing w:after="0" w:line="260"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320" w:hanging="320"/>
        <w:spacing w:after="0" w:line="201"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44 mg/100 mg powder for concentrate for solution for infusion) for the treatment of adults with newly-diagnosed therapy-related acute myeloid leukemia, or acute myeloid leukemia with myelodysplasia-related changes.</w:t>
      </w:r>
    </w:p>
    <w:p>
      <w:pPr>
        <w:spacing w:after="0" w:line="9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March 2019, we announced positive top-line results from our Phase 3 study evaluating the efficacy and safety of JZP-258, an oxybate product candidate that contains 92% less sodium than Xyrem, for the treatment of cataplexy and EDS in adult patients with narcolepsy, and we expect to submit a new drug application, or NDA, for this product by as early as the end of 2019.</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440" w:hanging="327"/>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acquisitions, collaborations, licensing arrangements, partnerships and venture investments; and</w:t>
      </w:r>
    </w:p>
    <w:p>
      <w:pPr>
        <w:spacing w:after="0" w:line="57" w:lineRule="exact"/>
        <w:rPr>
          <w:rFonts w:ascii="Arial" w:cs="Arial" w:eastAsia="Arial" w:hAnsi="Arial"/>
          <w:sz w:val="17"/>
          <w:szCs w:val="17"/>
          <w:color w:val="auto"/>
        </w:rPr>
      </w:pPr>
    </w:p>
    <w:p>
      <w:pPr>
        <w:ind w:left="740" w:right="14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Maximizing the value of our products and product candidates by continuing to implement our comprehensive global development plans, including through generating additional clinical data and seeking regulatory approval for new indications.</w:t>
      </w:r>
    </w:p>
    <w:p>
      <w:pPr>
        <w:spacing w:after="0" w:line="62"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10-Q should be read in conjunction with our annual consolidated financial statements and accompanying notes included in our Annual Report on Form 10-K for the year ended December 31,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20" w:firstLine="432"/>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six months ended June 30, 2019 are not necessarily indicative of the results to be expected for the year ending December 31, 2019, for any other interim period or for any future period.</w:t>
      </w:r>
    </w:p>
    <w:p>
      <w:pPr>
        <w:spacing w:after="0" w:line="6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10-K for the year ended December 31, 2018 with the exception of the accounting policy relating to operating leases and financing obligations which was updated as a result of adopting Accounting Standards Update No. 2016-02, “Leases”, or ASU No. 2016-02.</w:t>
      </w:r>
    </w:p>
    <w:p>
      <w:pPr>
        <w:spacing w:after="0" w:line="73"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assets, other current liabilities, and operating lease liabilities on our condensed consolidated balance sheets. Operating lease assets and operating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operating lease asset also includes any lease payments made and excludes lease incentives and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5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vehicle leases we account for the lease and non-lease components as a single lease component.</w:t>
      </w:r>
    </w:p>
    <w:p>
      <w:pPr>
        <w:spacing w:after="0" w:line="6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have elected the short-term lease exemption and, therefore, do not recognize a right-of-use asset or corresponding liability for lease arrangements with an original term of 12 months or less.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February 2016, the Financial Accounting Standards Board, or FASB, issued ASU No. 2016-02. Under the new guidance, lessees are required to recognize a right-of-use asset, which represents the lessee’s right to use, or control the use of, a specified asset for the lease term, and a corresponding lease liability, which represents the lessee’s obligation to make lease payments under a lease, measured on a discounted basis. We adopted ASU No. 2016-02 on a modified retrospective basis applied to leases existing as of, or entered into after, January 1, 2019. We elected the package of practical expedients permitted under the transition guidance within the new standard, which among other things, allowed us to carry forward the historical lease classification of those leases in place as of January 1, 2019.</w:t>
      </w:r>
    </w:p>
    <w:p>
      <w:pPr>
        <w:spacing w:after="0" w:line="8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adoption of ASU No. 2016-02 resulted in the recognition of right-of-use assets and lease liabilities of $149.4 million and $162.9 million, respectively, on the consolidated balance sheet as of January 1, 2019, and the de-recognition of the build-to-suit assets and related financing obligations on the consolidated balance sheet as of December 31, 2018 of $95.4 million and $109.8 million, respectively, with the balance impacting retained earnings, deferred rent and deferred tax liabilities. The right-of-use assets and lease liabilities primarily relate to real estate leases. Refer to Note 10 for lease-related disclosures.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cumulative effect of the changes made to our consolidated balance sheet as of January 1, 2019 for the adoption of the ASU No. 2016-02 was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Balance at December</w:t>
            </w:r>
          </w:p>
        </w:tc>
        <w:tc>
          <w:tcPr>
            <w:tcW w:w="24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Transition</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Balance at January 1,</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center"/>
              <w:ind w:right="2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jc w:val="right"/>
              <w:ind w:right="179"/>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200,358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(95,397)</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104,961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273,052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153,158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153,158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310,586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218,879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105,264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841,050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845,898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financial results are significantly influenced by sales of Xyrem. Our ability to maintain or increase Xyrem product sales is subject to a number of risks and uncertainties, including, without limitation, the introduction of new products in the U.S. market that compete with, or otherwise disrupt the market for, Xyrem in the treatment of cataplexy and/or EDS in narcolepsy, including our recently-approved product, Sunosi; the introduction of a generic version of Xyrem in the U.S. market before the entry dates specified in our settlements with the abbreviated new drug application, or ANDA, filers or on terms that are different from those contemplated by the settlement agreements; increased pricing pressure from, changes in policies by, or restrictions on reimbursement imposed by, third party payors, including pressure to agree to discounts, rebates or other restrictive pricing terms for Xyrem; changes in healthcare laws and policy, including changes in requirements for patient assistance programs, rebates, reimbursement and coverage by federal healthcare programs, and changes resulting from increased scrutiny on pharmaceutical pricing and risk evaluation and mitigation strategy, or REMS, programs by government entities; changes to or uncertainties around our Xyrem REMS, or any failure to comply with our REMS obligations to the satisfaction of the FDA; challenges to our intellectual property around Xyrem, including the possibility of new ANDA or NDA filers or new post-grant patent review proceedings; operational disruptions at the Xyrem central pharmacy; any supply or manufacturing problems, including any problems with our sole source Xyrem active pharmaceutical ingredient, or API, provider; continued acceptance of Xyrem by physicians and patients, including as a result of negative publicity that surfaces from time to time; and changes to our label, including new safety warnings or changes to our boxed warning, that further restrict how we market and sell Xyrem.</w:t>
      </w:r>
    </w:p>
    <w:p>
      <w:pPr>
        <w:spacing w:after="0" w:line="67"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In addition to risks related specifically to Xyrem,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effectively commercializing our other products, including effectively launching and commercializing new products such as our recently-approved product Sunosi; competition; obtaining and maintaining adequate coverage and reimbursement for our products; increasing scrutiny of pharmaceutical product pricing and resulting changes in healthcare laws and policy; market acceptance; delays or problems in the supply of our products, loss of single source suppliers or failure to comply with manufacturing regulations; regulatory approval and successful launch of our late-stage product candidates; identifying, acquiring or in-licensing additional products or product candidates; pharmaceutical product development and the inherent uncertainty of clinical success; the regulatory approval process;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5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June 30, 2019, we had foreign exchange forward contracts with notional amounts totaling $288.9 million. As of June 30, 2019, the outstanding foreign exchange forward contracts had a net asset fair value of $1.6 million. As of June 30, 2019, we had interest rate swap contracts with notional amounts totaling $300.0 million. These outstanding interest rate swap contracts had a net liability fair value of $1.4 million as of June 30, 2019. The counterparties to these contracts are large multinational commercial banks, and we believe the risk of nonperformance is not significant.</w:t>
      </w:r>
    </w:p>
    <w:p>
      <w:pPr>
        <w:spacing w:after="0" w:line="7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June 30, 2019 and December 31, 2018, allowances on receivables were not material. As of June 30, 2019, two customers accounted for 88% of gross accounts receivable, Express Scripts Specialty Distribution Services, Inc. and its affiliates, or Express Scripts, the central pharmacy for Xyrem, which accounted for 78% of gross accounts receivable, and McKesson Corporation and affiliates, or McKesson, which accounted for 10% of gross accounts receivable. As of December 31, 2018, two customers accounted for 89% of gross accounts receivable, Express Scripts, which accounted for 74% of gross accounts receivable, and McKesson, which accounted for 15% of gross accounts receivable.</w:t>
      </w:r>
    </w:p>
    <w:p>
      <w:pPr>
        <w:spacing w:after="0" w:line="61"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We depend on single source suppliers for most of our products, product candidates and their APIs. With respect to Xyrem, the API is manufactured for us by a single source supplier and the finished product is manufactured both by us in our facility in Athlone, Ireland and by our U.S.-based Xyrem supplier.</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0" w:firstLine="432"/>
        <w:spacing w:after="0" w:line="276"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standard is effective for us beginning January 1, 2020 and early adoption is permitted. The new guidance is not expected to have a material impact on our results of operations and financial position.</w:t>
      </w:r>
    </w:p>
    <w:p>
      <w:pPr>
        <w:spacing w:after="0" w:line="6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which simplifies the accounting for goodwill impairment by eliminating Step 2 of the current goodwill impairment test. Goodwill impairment will now be the amount by which the reporting unit’s carrying value exceeds its fair value, limited to the carrying value of the goodwill. The standard is effective for us beginning January 1, 2020. Early adoption is permitted for any impairment tests performed after January 1, 2017. The new guidance is not expected to have a material impact on our results of operations and financial position.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Collaboration and License Agreement</w:t>
      </w:r>
    </w:p>
    <w:p>
      <w:pPr>
        <w:spacing w:after="0" w:line="12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On January 2, 2019, we entered into a strategic collaboration agreement with Codiak BioSciences, Inc., or Codiak, focused on the research, development and commercialization of exosome therapeutics to treat cancer. Codiak granted us an exclusive, worldwide, royalty-bearing license to develop, manufacture and commercialize therapeutic candidates directed at five targets to be developed using Codiak's engEx™ precision engineering platform for exosome therapeutics.</w:t>
      </w:r>
    </w:p>
    <w:p>
      <w:pPr>
        <w:spacing w:after="0" w:line="7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Under the terms of the agreement, Codiak is responsible for the execution of preclinical and early clinical development of therapeutic candidates directed at all five targets through Phase 1/2 proof of concept studies. Following the conclusion of the applicable Phase 1/2 study, we will be responsible for future development, potential regulatory submissions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commercialization for each product. Codiak has the option to participate in co-commercialization and cost/profit-sharing in the U.S. and Canada on up to two products.</w:t>
      </w:r>
    </w:p>
    <w:p>
      <w:pPr>
        <w:spacing w:after="0" w:line="6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part of the agreement, we paid Codiak an upfront payment of $56.0 million in January 2019, which was recorded as acquired IPR&amp;D expense in our condensed consolidated statements of income for the six months ended June 30, 2019. Codiak is eligible to receive up to $20 million in preclinical development milestone payments across all five programs. Codiak is also eligible to receive milestone payments totaling up to $200 million per target based on investigational new drug application acceptance, clinical and regulatory milestones, including approvals in the U.S., the European Union and Japan, and certain sales milestones. Codiak is also eligible to receive tiered royalties on net sales of each approved product.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Cash and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Investments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261,194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261,194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261,194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370,000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370,000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251,545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251,545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251,545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882,739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882,739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637,739</w:t>
            </w: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Cash and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Investments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215,606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215,606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215,606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515,000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515,000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94,016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94,016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94,016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824,622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824,622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309,622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515,000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Our investment balances represent time deposits with original maturities of greater than three months and less than one year.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by major security type, our available-for-sale securities and derivative contracts as of June 30, 2019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that were measured at fair value on a recurring basis and were categorized using the fair value hierarchy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98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251,545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251,545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94,016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94,016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251,545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371,745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623,290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520,264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614,280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June 30, 2019, our available-for-sale securities included time deposits and money market funds, and their carrying values were approximately equal to their fair values. Time deposits were measured at fair value using Level 2 inputs and money market funds were measured using quoted prices in active markets, which represent Level 1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8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and our own credit risk, as well as an evaluation of our counterparties’ credit risks. Based on these inputs, the derivative assets and liabilities are classified within Level 2 of the fair value hierarchy.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the different levels of the fair value hierarchy in 2019 or 2018.</w:t>
      </w:r>
    </w:p>
    <w:p>
      <w:pPr>
        <w:spacing w:after="0" w:line="117"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As of June 30, 2019, the carrying amount of investments measured using the measurement alternative for equity investments without a readily determinable fair value was $4.5 million. The carrying amount, which is recorded within other non-current assets, represents the purchase price paid in December 2018.</w:t>
      </w:r>
    </w:p>
    <w:p>
      <w:pPr>
        <w:spacing w:after="0" w:line="73"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As of June 30, 2019, the estimated fair values of our 1.875% exchangeable senior notes due 2021, or the 2021 Notes, and our 1.50% exchangeable senior notes due 2024, or the 2024 Notes, were approximately $587 million and $567 million, respectively. The fair values of the 2021 Notes and the 2024 Notes, which we refer to together as the Exchangeable Senior Notes, were estimated using quoted market prices obtained from brokers (Level 2). The estimated fair value of our borrowing under our term loan was approximately equal to its book value based on the borrowing rates currently available for variable rate loans (Level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We are exposed to certain risks arising from operating internationally, including fluctuations in interest rates on our outstanding term loan borrowings and fluctuations in foreign exchange rates primarily related to the translation of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4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which are effective until July 2021. These agreements hedge contractual term loan interest rates. As of June 30, 2019 and December 31, 2018, the interest rate swap agreements had a notional amount of $300.0 million. As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result of these agreements, the interest rate on a portion of our term loan borrowings was fixed at 1.895%, plus the borrowing spread, until July 12, 2021.</w:t>
      </w:r>
    </w:p>
    <w:p>
      <w:pPr>
        <w:spacing w:after="0" w:line="14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effective portion of changes in the fair value of derivatives designated as and that qualify as cash flow hedges is recorded in accumulated other comprehensive loss and is subsequently reclassified into earnings in the period that the hedged forecasted transaction affects earnings. The impact on accumulated other comprehensive loss and earnings from derivative instruments that qualified as cash flow hedges for the three and six months ended June 30, 2019 and 2018 was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2018</w:t>
            </w: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Gain (loss) recognized in accumulated other comprehensive loss,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4,409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0"/>
              </w:rPr>
              <w:t>Loss (gain) reclassified from accumulated other comprehensive loss to</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net of tax</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149</w:t>
            </w:r>
          </w:p>
        </w:tc>
      </w:tr>
    </w:tbl>
    <w:p>
      <w:pPr>
        <w:spacing w:after="0" w:line="391"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6"/>
          <w:szCs w:val="16"/>
          <w:color w:val="auto"/>
        </w:rPr>
        <w:t>A</w:t>
      </w:r>
      <w:r>
        <w:rPr>
          <w:rFonts w:ascii="Arial" w:cs="Arial" w:eastAsia="Arial" w:hAnsi="Arial"/>
          <w:sz w:val="18"/>
          <w:szCs w:val="18"/>
          <w:color w:val="auto"/>
        </w:rPr>
        <w:t>ssuming no change in LIBOR-based interest rates from market rates as of June 30, 2019, $0.1 million of losses, net of tax, recognized in accumulated</w:t>
      </w:r>
      <w:r>
        <w:rPr>
          <w:rFonts w:ascii="Arial" w:cs="Arial" w:eastAsia="Arial" w:hAnsi="Arial"/>
          <w:sz w:val="16"/>
          <w:szCs w:val="16"/>
          <w:color w:val="auto"/>
        </w:rPr>
        <w:t xml:space="preserve"> </w:t>
      </w:r>
      <w:r>
        <w:rPr>
          <w:rFonts w:ascii="Arial" w:cs="Arial" w:eastAsia="Arial" w:hAnsi="Arial"/>
          <w:sz w:val="18"/>
          <w:szCs w:val="18"/>
          <w:color w:val="auto"/>
        </w:rPr>
        <w:t>other comprehensive loss will be reclassified to earnings over the next 12 months.</w:t>
      </w:r>
    </w:p>
    <w:p>
      <w:pPr>
        <w:spacing w:after="0" w:line="6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June 30, 2019 and December 31, 2018, the notional amount of foreign exchange contracts where hedge accounting is not applied was $288.9 million and $271.5 million, respectively.</w:t>
      </w:r>
    </w:p>
    <w:p>
      <w:pPr>
        <w:spacing w:after="0" w:line="80"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foreign exchange loss in our condensed consolidated statements of income included the following gains and losses associated with foreign exchange contracts not designated as hedging instruments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Exchange Forward Contracts: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6"/>
              </w:rPr>
              <w:t>2018</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loss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w:t>
            </w:r>
          </w:p>
        </w:tc>
      </w:tr>
      <w:tr>
        <w:trPr>
          <w:trHeight w:val="27"/>
        </w:trPr>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cash flow effects of our derivative contracts for the six months ended June 30, 2019 and 2018 are included within net cash provided by operating activities in the condensed consolidated statements of cash flows.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0"/>
              </w:rPr>
              <w:t>Asset Derivatives</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Sheet Location</w:t>
            </w: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22"/>
                <w:szCs w:val="22"/>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22"/>
                <w:szCs w:val="22"/>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2200" w:type="dxa"/>
            <w:vAlign w:val="bottom"/>
            <w:gridSpan w:val="3"/>
          </w:tcPr>
          <w:p>
            <w:pPr>
              <w:ind w:left="80"/>
              <w:spacing w:after="0"/>
              <w:rPr>
                <w:sz w:val="20"/>
                <w:szCs w:val="20"/>
                <w:color w:val="auto"/>
              </w:rPr>
            </w:pPr>
            <w:r>
              <w:rPr>
                <w:rFonts w:ascii="Arial" w:cs="Arial" w:eastAsia="Arial" w:hAnsi="Arial"/>
                <w:sz w:val="18"/>
                <w:szCs w:val="18"/>
                <w:color w:val="auto"/>
              </w:rPr>
              <w:t>Other current assets   $</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non-current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720" w:type="dxa"/>
            <w:vAlign w:val="bottom"/>
            <w:gridSpan w:val="2"/>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vMerge w:val="restart"/>
          </w:tcPr>
          <w:p>
            <w:pPr>
              <w:ind w:left="9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 Derivatives</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Liability Derivatives</w:t>
            </w:r>
          </w:p>
        </w:tc>
      </w:tr>
      <w:tr>
        <w:trPr>
          <w:trHeight w:val="264"/>
        </w:trPr>
        <w:tc>
          <w:tcPr>
            <w:tcW w:w="4700" w:type="dxa"/>
            <w:vAlign w:val="bottom"/>
          </w:tcPr>
          <w:p>
            <w:pPr>
              <w:spacing w:after="0"/>
              <w:rPr>
                <w:sz w:val="22"/>
                <w:szCs w:val="22"/>
                <w:color w:val="auto"/>
              </w:rPr>
            </w:pPr>
          </w:p>
        </w:tc>
        <w:tc>
          <w:tcPr>
            <w:tcW w:w="2200" w:type="dxa"/>
            <w:vAlign w:val="bottom"/>
            <w:gridSpan w:val="3"/>
          </w:tcPr>
          <w:p>
            <w:pPr>
              <w:jc w:val="center"/>
              <w:ind w:right="510"/>
              <w:spacing w:after="0"/>
              <w:rPr>
                <w:sz w:val="20"/>
                <w:szCs w:val="20"/>
                <w:color w:val="auto"/>
              </w:rPr>
            </w:pPr>
            <w:r>
              <w:rPr>
                <w:rFonts w:ascii="Arial" w:cs="Arial" w:eastAsia="Arial" w:hAnsi="Arial"/>
                <w:sz w:val="14"/>
                <w:szCs w:val="14"/>
                <w:b w:val="1"/>
                <w:bCs w:val="1"/>
                <w:color w:val="auto"/>
                <w:w w:val="91"/>
              </w:rPr>
              <w:t>Balance Sheet Location</w:t>
            </w:r>
          </w:p>
        </w:tc>
        <w:tc>
          <w:tcPr>
            <w:tcW w:w="1120" w:type="dxa"/>
            <w:vAlign w:val="bottom"/>
          </w:tcPr>
          <w:p>
            <w:pPr>
              <w:jc w:val="right"/>
              <w:ind w:right="396"/>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22"/>
                <w:szCs w:val="22"/>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22"/>
                <w:szCs w:val="22"/>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2200" w:type="dxa"/>
            <w:vAlign w:val="bottom"/>
            <w:gridSpan w:val="3"/>
          </w:tcPr>
          <w:p>
            <w:pPr>
              <w:jc w:val="right"/>
              <w:ind w:right="270"/>
              <w:spacing w:after="0"/>
              <w:rPr>
                <w:sz w:val="20"/>
                <w:szCs w:val="20"/>
                <w:color w:val="auto"/>
              </w:rPr>
            </w:pPr>
            <w:r>
              <w:rPr>
                <w:rFonts w:ascii="Arial" w:cs="Arial" w:eastAsia="Arial" w:hAnsi="Arial"/>
                <w:sz w:val="18"/>
                <w:szCs w:val="18"/>
                <w:color w:val="auto"/>
                <w:w w:val="96"/>
              </w:rPr>
              <w:t>Other current assets   $</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70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center"/>
              <w:ind w:right="510"/>
              <w:spacing w:after="0"/>
              <w:rPr>
                <w:sz w:val="20"/>
                <w:szCs w:val="20"/>
                <w:color w:val="auto"/>
              </w:rPr>
            </w:pPr>
            <w:r>
              <w:rPr>
                <w:rFonts w:ascii="Arial" w:cs="Arial" w:eastAsia="Arial" w:hAnsi="Arial"/>
                <w:sz w:val="18"/>
                <w:szCs w:val="18"/>
                <w:color w:val="auto"/>
                <w:w w:val="90"/>
              </w:rPr>
              <w:t>Other non-current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3"/>
            <w:shd w:val="clear" w:color="auto" w:fill="CCEEFF"/>
          </w:tcPr>
          <w:p>
            <w:pPr>
              <w:jc w:val="center"/>
              <w:ind w:right="530"/>
              <w:spacing w:after="0"/>
              <w:rPr>
                <w:sz w:val="20"/>
                <w:szCs w:val="20"/>
                <w:color w:val="auto"/>
              </w:rPr>
            </w:pPr>
            <w:r>
              <w:rPr>
                <w:rFonts w:ascii="Arial" w:cs="Arial" w:eastAsia="Arial" w:hAnsi="Arial"/>
                <w:sz w:val="18"/>
                <w:szCs w:val="18"/>
                <w:color w:val="auto"/>
                <w:w w:val="80"/>
              </w:rPr>
              <w:t>assets</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720" w:type="dxa"/>
            <w:vAlign w:val="bottom"/>
            <w:gridSpan w:val="2"/>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1,460</w:t>
            </w: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contracts and foreign exchange forward contracts subject to such provisions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0"/>
              </w:rPr>
              <w:t>June 30, 2019</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3"/>
                <w:szCs w:val="13"/>
                <w:color w:val="auto"/>
              </w:rPr>
            </w:pPr>
          </w:p>
        </w:tc>
        <w:tc>
          <w:tcPr>
            <w:tcW w:w="3860" w:type="dxa"/>
            <w:vAlign w:val="bottom"/>
            <w:gridSpan w:val="9"/>
            <w:vMerge w:val="restart"/>
          </w:tcPr>
          <w:p>
            <w:pPr>
              <w:jc w:val="center"/>
              <w:ind w:right="15"/>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1"/>
        </w:trPr>
        <w:tc>
          <w:tcPr>
            <w:tcW w:w="3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1360" w:type="dxa"/>
            <w:vAlign w:val="bottom"/>
            <w:gridSpan w:val="3"/>
          </w:tcPr>
          <w:p>
            <w:pPr>
              <w:jc w:val="center"/>
              <w:ind w:right="120"/>
              <w:spacing w:after="0" w:line="111" w:lineRule="exact"/>
              <w:rPr>
                <w:sz w:val="20"/>
                <w:szCs w:val="20"/>
                <w:color w:val="auto"/>
              </w:rPr>
            </w:pPr>
            <w:r>
              <w:rPr>
                <w:rFonts w:ascii="Arial" w:cs="Arial" w:eastAsia="Arial" w:hAnsi="Arial"/>
                <w:sz w:val="12"/>
                <w:szCs w:val="12"/>
                <w:b w:val="1"/>
                <w:bCs w:val="1"/>
                <w:color w:val="auto"/>
              </w:rPr>
              <w:t>Assets/ Liabilities</w:t>
            </w:r>
          </w:p>
        </w:tc>
        <w:tc>
          <w:tcPr>
            <w:tcW w:w="12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34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Financial</w:t>
            </w: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7"/>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Received (Pledged)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4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750"/>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3"/>
              </w:rPr>
              <w:t>December 31, 2018</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3"/>
                <w:szCs w:val="13"/>
                <w:color w:val="auto"/>
              </w:rPr>
            </w:pPr>
          </w:p>
        </w:tc>
        <w:tc>
          <w:tcPr>
            <w:tcW w:w="3860" w:type="dxa"/>
            <w:vAlign w:val="bottom"/>
            <w:gridSpan w:val="9"/>
            <w:vMerge w:val="restart"/>
          </w:tcPr>
          <w:p>
            <w:pPr>
              <w:jc w:val="center"/>
              <w:ind w:right="15"/>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1"/>
        </w:trPr>
        <w:tc>
          <w:tcPr>
            <w:tcW w:w="3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1360" w:type="dxa"/>
            <w:vAlign w:val="bottom"/>
            <w:gridSpan w:val="3"/>
          </w:tcPr>
          <w:p>
            <w:pPr>
              <w:jc w:val="center"/>
              <w:ind w:right="120"/>
              <w:spacing w:after="0" w:line="111" w:lineRule="exact"/>
              <w:rPr>
                <w:sz w:val="20"/>
                <w:szCs w:val="20"/>
                <w:color w:val="auto"/>
              </w:rPr>
            </w:pPr>
            <w:r>
              <w:rPr>
                <w:rFonts w:ascii="Arial" w:cs="Arial" w:eastAsia="Arial" w:hAnsi="Arial"/>
                <w:sz w:val="12"/>
                <w:szCs w:val="12"/>
                <w:b w:val="1"/>
                <w:bCs w:val="1"/>
                <w:color w:val="auto"/>
              </w:rPr>
              <w:t>Assets/ Liabilities</w:t>
            </w:r>
          </w:p>
        </w:tc>
        <w:tc>
          <w:tcPr>
            <w:tcW w:w="12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34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Financial</w:t>
            </w: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7"/>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Received (Pledged)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4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729"/>
        </w:trPr>
        <w:tc>
          <w:tcPr>
            <w:tcW w:w="334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gridSpan w:val="4"/>
          </w:tcPr>
          <w:p>
            <w:pPr>
              <w:ind w:left="440"/>
              <w:spacing w:after="0"/>
              <w:rPr>
                <w:sz w:val="20"/>
                <w:szCs w:val="20"/>
                <w:color w:val="auto"/>
              </w:rPr>
            </w:pPr>
            <w:r>
              <w:rPr>
                <w:rFonts w:ascii="Arial" w:cs="Arial" w:eastAsia="Arial" w:hAnsi="Arial"/>
                <w:sz w:val="18"/>
                <w:szCs w:val="18"/>
                <w:color w:val="auto"/>
              </w:rPr>
              <w:t>Inventories consisted of the following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4"/>
          </w:tcPr>
          <w:p>
            <w:pPr>
              <w:ind w:left="58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4"/>
                <w:szCs w:val="24"/>
                <w:color w:val="auto"/>
              </w:rPr>
            </w:pPr>
          </w:p>
        </w:tc>
        <w:tc>
          <w:tcPr>
            <w:tcW w:w="136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29,185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68,999</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restart"/>
          </w:tcPr>
          <w:p>
            <w:pPr>
              <w:ind w:left="7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0"/>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96"/>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9720" w:type="dxa"/>
            <w:vAlign w:val="bottom"/>
            <w:gridSpan w:val="2"/>
          </w:tcPr>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927,630</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Foreign exchange</w:t>
            </w: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(2,640)</w:t>
            </w:r>
          </w:p>
        </w:tc>
      </w:tr>
      <w:tr>
        <w:trPr>
          <w:trHeight w:val="27"/>
        </w:trPr>
        <w:tc>
          <w:tcPr>
            <w:tcW w:w="1280" w:type="dxa"/>
            <w:vAlign w:val="bottom"/>
            <w:tcBorders>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924,990</w:t>
            </w:r>
          </w:p>
        </w:tc>
      </w:tr>
      <w:tr>
        <w:trPr>
          <w:trHeight w:val="20"/>
        </w:trPr>
        <w:tc>
          <w:tcPr>
            <w:tcW w:w="12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Acquired developed technologies</w:t>
            </w:r>
          </w:p>
        </w:tc>
        <w:tc>
          <w:tcPr>
            <w:tcW w:w="12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3,184,381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2,435,703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3,110,641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2,478,228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Priority review voucher</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111,101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contracts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Total finite-lived intangible assets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3,310,557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2,546,804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3,236,894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2,589,329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Acquired IPR&amp;D assets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141,137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141,137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142,005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142,005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3,451,694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(763,753)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2,687,941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3,378,899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2,731,334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increase in the gross carrying amount of intangible assets as of June 30, 2019 compared to December 31, 2018 reflects the capitalization of milestone payments triggered by FDA approval of Sunosi in March 2019 and subsequent U.S. Drug Enforcement Agency scheduling in June 2019, partially offset by the negative impact of foreign currency translation adjustments due to the weakening of the euro against the U.S. dollar.</w:t>
      </w:r>
    </w:p>
    <w:p>
      <w:pPr>
        <w:spacing w:after="0" w:line="5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 We reduced the estimated remaining useful life of the Erwinaze intangible asset due to the receipt of a contract termination notice from Porton Biopharma Limited in February 2019. The reduction in the estimated remaining useful life increased intangible asset amortization expense by $15.0 million and $25.2 million, reduced net income by $10.2 million and $17.1 million, and reduced basic and diluted net income per ordinary share by $0.18 and $0.30 during the three and six months ended June 30, 2019, respectively.</w:t>
      </w:r>
    </w:p>
    <w:p>
      <w:pPr>
        <w:spacing w:after="0" w:line="5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Based on acquired developed technology intangible assets recorded as of June 30, 2019, and assuming the underlying assets will not be impaired and that we will not change the expected lives of the assets, future amortization expenses were estimated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45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2"/>
                <w:szCs w:val="12"/>
                <w:color w:val="auto"/>
              </w:rPr>
            </w:pPr>
          </w:p>
        </w:tc>
        <w:tc>
          <w:tcPr>
            <w:tcW w:w="1440" w:type="dxa"/>
            <w:vAlign w:val="bottom"/>
          </w:tcPr>
          <w:p>
            <w:pPr>
              <w:jc w:val="right"/>
              <w:ind w:right="395"/>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ind w:right="515"/>
              <w:spacing w:after="0" w:line="158"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(remainder)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126,961</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252,774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205,135</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159,563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159,563</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1,531,707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2,435,703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4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3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33,483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51,243</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Manufacturing equipment and machinery</w:t>
            </w:r>
          </w:p>
        </w:tc>
        <w:tc>
          <w:tcPr>
            <w:tcW w:w="3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25,837</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13,679</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Build-to-suit facility</w:t>
            </w:r>
          </w:p>
        </w:tc>
        <w:tc>
          <w:tcPr>
            <w:tcW w:w="3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52,067</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249,966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(49,608)</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200,358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decrease in the carrying amount of construction-in-progress and build-to-suit facility assets as of June 30, 2019 compared to December 31, 2018 reflects the de-recognition of assets related to build-to-suit facility leases on adoption of ASU No. 2016-02.</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40" w:type="dxa"/>
            <w:vAlign w:val="bottom"/>
          </w:tcPr>
          <w:p>
            <w:pPr>
              <w:jc w:val="right"/>
              <w:ind w:right="37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58,543</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trial accruals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construction-in-progress</w:t>
            </w: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1,065</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Inventory-related accruals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Selling and marketing accruals</w:t>
            </w: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6,780</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2,333</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Derivative instrument liabilities</w:t>
            </w: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1,460</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loss contingency</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58,154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31,611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22,804</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218,751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264,887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4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2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2021 Notes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(60,910)</w:t>
            </w:r>
          </w:p>
        </w:tc>
      </w:tr>
      <w:tr>
        <w:trPr>
          <w:trHeight w:val="27"/>
        </w:trPr>
        <w:tc>
          <w:tcPr>
            <w:tcW w:w="42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524,806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514,090</w:t>
            </w:r>
          </w:p>
        </w:tc>
      </w:tr>
      <w:tr>
        <w:trPr>
          <w:trHeight w:val="324"/>
        </w:trPr>
        <w:tc>
          <w:tcPr>
            <w:tcW w:w="4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2024 Notes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(138,914)</w:t>
            </w:r>
          </w:p>
        </w:tc>
      </w:tr>
      <w:tr>
        <w:trPr>
          <w:trHeight w:val="27"/>
        </w:trPr>
        <w:tc>
          <w:tcPr>
            <w:tcW w:w="42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436,086</w:t>
            </w:r>
          </w:p>
        </w:tc>
      </w:tr>
      <w:tr>
        <w:trPr>
          <w:trHeight w:val="324"/>
        </w:trPr>
        <w:tc>
          <w:tcPr>
            <w:tcW w:w="79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646,236</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1,601,229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1,596,412</w:t>
            </w:r>
          </w:p>
        </w:tc>
      </w:tr>
      <w:tr>
        <w:trPr>
          <w:trHeight w:val="27"/>
        </w:trPr>
        <w:tc>
          <w:tcPr>
            <w:tcW w:w="7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33,387</w:t>
            </w: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1,567,842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1,563,025</w:t>
            </w:r>
          </w:p>
        </w:tc>
      </w:tr>
      <w:tr>
        <w:trPr>
          <w:trHeight w:val="20"/>
        </w:trPr>
        <w:tc>
          <w:tcPr>
            <w:tcW w:w="4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7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of June 30, 2019, the carrying values of the equity component of the 2021 Notes and the 2024 Notes, net of equity issuance costs, were $126.9 million and $149.8 million,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Scheduled maturities with respect to our long-term debt principal balances outstanding as of June 30, 2019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56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Scheduled Long-Term</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(remainder)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16,693</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608,387</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517,493</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1,784,347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lease expense for the three and six months ended June 30, 2019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Lease Cost</w:t>
            </w:r>
          </w:p>
        </w:tc>
        <w:tc>
          <w:tcPr>
            <w:tcW w:w="5320" w:type="dxa"/>
            <w:vAlign w:val="bottom"/>
          </w:tcPr>
          <w:p>
            <w:pPr>
              <w:spacing w:after="0"/>
              <w:rPr>
                <w:sz w:val="14"/>
                <w:szCs w:val="14"/>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gridSpan w:val="2"/>
            <w:vMerge w:val="continue"/>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540" w:type="dxa"/>
            <w:vAlign w:val="bottom"/>
            <w:tcBorders>
              <w:bottom w:val="single" w:sz="8" w:color="CCEEFF"/>
            </w:tcBorders>
            <w:gridSpan w:val="2"/>
            <w:shd w:val="clear" w:color="auto" w:fill="CCEEFF"/>
          </w:tcPr>
          <w:p>
            <w:pPr>
              <w:ind w:left="53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1,220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5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Sublease income</w:t>
            </w:r>
          </w:p>
        </w:tc>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lease cost</w:t>
            </w:r>
          </w:p>
        </w:tc>
        <w:tc>
          <w:tcPr>
            <w:tcW w:w="5540" w:type="dxa"/>
            <w:vAlign w:val="bottom"/>
            <w:gridSpan w:val="2"/>
            <w:shd w:val="clear" w:color="auto" w:fill="CCEEFF"/>
          </w:tcPr>
          <w:p>
            <w:pPr>
              <w:ind w:left="53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12,830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2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8480" w:type="dxa"/>
            <w:vAlign w:val="bottom"/>
            <w:gridSpan w:val="3"/>
          </w:tcPr>
          <w:p>
            <w:pPr>
              <w:ind w:left="40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5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Classification</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457"/>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gridSpan w:val="2"/>
            <w:vMerge w:val="continue"/>
          </w:tcPr>
          <w:p>
            <w:pPr>
              <w:spacing w:after="0"/>
              <w:rPr>
                <w:sz w:val="16"/>
                <w:szCs w:val="16"/>
                <w:color w:val="auto"/>
              </w:rPr>
            </w:pPr>
          </w:p>
        </w:tc>
        <w:tc>
          <w:tcPr>
            <w:tcW w:w="5540" w:type="dxa"/>
            <w:vAlign w:val="bottom"/>
            <w:tcBorders>
              <w:bottom w:val="single" w:sz="8" w:color="CCEEFF"/>
            </w:tcBorders>
            <w:gridSpan w:val="2"/>
            <w:vMerge w:val="continue"/>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Operating lease assets</w:t>
            </w:r>
          </w:p>
        </w:tc>
        <w:tc>
          <w:tcPr>
            <w:tcW w:w="5540" w:type="dxa"/>
            <w:vAlign w:val="bottom"/>
            <w:gridSpan w:val="2"/>
          </w:tcPr>
          <w:p>
            <w:pPr>
              <w:ind w:left="360"/>
              <w:spacing w:after="0"/>
              <w:rPr>
                <w:sz w:val="20"/>
                <w:szCs w:val="20"/>
                <w:color w:val="auto"/>
              </w:rPr>
            </w:pPr>
            <w:r>
              <w:rPr>
                <w:rFonts w:ascii="Arial" w:cs="Arial" w:eastAsia="Arial" w:hAnsi="Arial"/>
                <w:sz w:val="18"/>
                <w:szCs w:val="18"/>
                <w:color w:val="auto"/>
              </w:rPr>
              <w:t>Operating lease assets</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144,746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5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Operating lease liabilities</w:t>
            </w:r>
          </w:p>
        </w:tc>
        <w:tc>
          <w:tcPr>
            <w:tcW w:w="5540" w:type="dxa"/>
            <w:vAlign w:val="bottom"/>
            <w:gridSpan w:val="2"/>
          </w:tcPr>
          <w:p>
            <w:pPr>
              <w:ind w:left="36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8,722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5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Operating lease liabilities</w:t>
            </w:r>
          </w:p>
        </w:tc>
        <w:tc>
          <w:tcPr>
            <w:tcW w:w="554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156,289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5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165,011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497"/>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gridSpan w:val="2"/>
            <w:vMerge w:val="continue"/>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 (years)</w:t>
            </w: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4"/>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8480" w:type="dxa"/>
            <w:vAlign w:val="bottom"/>
            <w:gridSpan w:val="3"/>
          </w:tcPr>
          <w:p>
            <w:pPr>
              <w:ind w:left="40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5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80" w:type="dxa"/>
            <w:vAlign w:val="bottom"/>
            <w:gridSpan w:val="3"/>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152,142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spacing w:after="0"/>
              <w:rPr>
                <w:sz w:val="20"/>
                <w:szCs w:val="20"/>
                <w:color w:val="auto"/>
              </w:rPr>
            </w:pPr>
            <w:r>
              <w:rPr>
                <w:rFonts w:ascii="Arial" w:cs="Arial" w:eastAsia="Arial" w:hAnsi="Arial"/>
                <w:sz w:val="18"/>
                <w:szCs w:val="18"/>
                <w:color w:val="auto"/>
              </w:rPr>
              <w:t>_____________________________</w:t>
            </w:r>
          </w:p>
        </w:tc>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620" w:right="4560" w:hanging="5396"/>
        <w:spacing w:after="0" w:line="542"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balances recognized on January 1, 2019 on adoption of ASU No. 2016-02. 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operating lease liabilities were as follows (in thousands):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7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4"/>
                <w:szCs w:val="14"/>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Operating leases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9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2019 (remainder)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6,716</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21,050</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20,923</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20,889</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21,066</w:t>
            </w:r>
          </w:p>
        </w:tc>
      </w:tr>
      <w:tr>
        <w:trPr>
          <w:trHeight w:val="243"/>
        </w:trPr>
        <w:tc>
          <w:tcPr>
            <w:tcW w:w="978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128,223</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218,867</w:t>
            </w:r>
          </w:p>
        </w:tc>
      </w:tr>
      <w:tr>
        <w:trPr>
          <w:trHeight w:val="243"/>
        </w:trPr>
        <w:tc>
          <w:tcPr>
            <w:tcW w:w="9780" w:type="dxa"/>
            <w:vAlign w:val="bottom"/>
            <w:gridSpan w:val="3"/>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(53,856)</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June 30, 2019 and December 31, 2018.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and Other Commitments</w:t>
      </w:r>
    </w:p>
    <w:p>
      <w:pPr>
        <w:spacing w:after="0" w:line="117"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We have noncancelable operating leases for our office buildings and we are obligated to make payments under noncancelable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leases for automobiles used by our sales force. Refer to Note 10 for details of the maturity of our operating lease liabilities.</w:t>
      </w:r>
    </w:p>
    <w:p>
      <w:pPr>
        <w:spacing w:after="0" w:line="1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i w:val="1"/>
          <w:iCs w:val="1"/>
          <w:color w:val="auto"/>
        </w:rPr>
        <w:t xml:space="preserve">Other Commitments. </w:t>
      </w:r>
      <w:r>
        <w:rPr>
          <w:rFonts w:ascii="Arial" w:cs="Arial" w:eastAsia="Arial" w:hAnsi="Arial"/>
          <w:sz w:val="18"/>
          <w:szCs w:val="18"/>
          <w:color w:val="auto"/>
        </w:rPr>
        <w:t>As of June 30, 2019, we had $69.6 million of noncancelable purchase commitments due within one year,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litigation pending that could have, individually or in the aggregate, a material adverse effect on our results of operations or financial condition.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May and October 2016 and in February 2017, we received subpoenas from the U.S. Attorney’s Office for the District of Massachusetts requesting documents related to our support of charitable organizations that provide financial assistance to Medicare patients. In April 2018, we reached an agreement in principle with the U.S. Department of Justice, or DOJ, on terms for a civil settlement of potential claims by the DOJ in the amount of $57.0 million plus interest to accrue at the statutory rate of 2.75%, subject to negotiation of a definitive settlement agreement and other contingencies. On April 4, 2019, we finalized the settlement agreement with the DOJ and the Office of Inspector General of the U.S. Department of Health and Human Services,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and we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During 2018, we recorded $58.2 million related to this matter, including related interest, within selling, general and administrative expenses on our consolidated statement of income. During the six months ended June 30, 2019, we recorded an additional $0.4 million of interest related to this matter. The settlement amount was paid in April 2019. Under the settlement agreement, we are released from any civil or administrative monetary claim arising from allegations relating to our conduct between 2011 and May 2014 in supporting a charitable foundation that provided financial assistance to Medicare patients. The settlement agreement is not an admission of any wrongdoing or liability by us but a settlement of claims. In the event of a breach of the corporate integrity agreement, we could become liable for payment of certain stipulated penalties or could be excluded from participation in federal health programs.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November 2016, our board of directors authorized a share repurchase program pursuant to which we are authorized to repurchase a number of ordinary shares having an aggregate purchase price of up to $300.0 million, exclusive of any brokerage commissions. In November and December 2018, our board of directors increased the existing share repurchase program authorization by $320.0 million and $400.0 million, respectively, thereby increasing the total amount authorized to $1.02 billion.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the six months ended June 30, 2019, we spent a total of $171.1 million to purchase 1.3 million of our ordinary shares under the share repurchase program at an average total purchase price, including commissions, of $131.17 per share. All ordinary shares repurchased were canceled. As of June 30, 2019, the remaining amount authorized under the share repurchase program was $208.0 million.</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accumulated other comprehensive loss as of June 30, 2019 and December 31,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Unrealized</w:t>
            </w:r>
          </w:p>
        </w:tc>
        <w:tc>
          <w:tcPr>
            <w:tcW w:w="24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 (Loss) From</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loss, net</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During the six months ended June 30, 2019, other comprehensive loss reflects foreign currency translation adjustments, primarily due to the weakening of the euro against the U.S. dollar, and the net unrealized loss on derivatives that qualify as cash flow hedges.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Ordinary Share</w:t>
      </w:r>
    </w:p>
    <w:p>
      <w:pPr>
        <w:spacing w:after="0" w:line="12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net income per ordinary share were computed as follows (in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261,898</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92,321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347,099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138,312</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3"/>
              </w:rPr>
              <w:t>Weighted-average ordinary shares used in per share calculations -</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56,707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60,177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56,955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60,053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Dilutive effect of employee equity incentive and purchase plans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9"/>
        </w:trPr>
        <w:tc>
          <w:tcPr>
            <w:tcW w:w="5160" w:type="dxa"/>
            <w:vAlign w:val="bottom"/>
          </w:tcPr>
          <w:p>
            <w:pPr>
              <w:ind w:left="180"/>
              <w:spacing w:after="0"/>
              <w:rPr>
                <w:sz w:val="20"/>
                <w:szCs w:val="20"/>
                <w:color w:val="auto"/>
              </w:rPr>
            </w:pPr>
            <w:r>
              <w:rPr>
                <w:rFonts w:ascii="Arial" w:cs="Arial" w:eastAsia="Arial" w:hAnsi="Arial"/>
                <w:sz w:val="18"/>
                <w:szCs w:val="18"/>
                <w:color w:val="auto"/>
                <w:w w:val="93"/>
              </w:rPr>
              <w:t>Weighted-average ordinary shares used in per share calculations -</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57,427</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61,438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57,753</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61,309</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ordinary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Exchangeable Senior Notes. The potential issue of ordinary shares issuable upon exchange of the Exchangeable Senior Notes had no effect on diluted net income per ordinary share because the average price of our ordinary shares for the three and six months ended June 30, 2019 and 2018 did not exceed the effective exchange prices per ordinary share of the Exchangeable Senior Notes.</w:t>
      </w:r>
    </w:p>
    <w:p>
      <w:pPr>
        <w:spacing w:after="0" w:line="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per ordinary share for the periods presented because including them would have an anti-dilutive effect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ind w:left="98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6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6"/>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22"/>
                <w:szCs w:val="22"/>
                <w:color w:val="auto"/>
              </w:rPr>
            </w:pPr>
          </w:p>
        </w:tc>
        <w:tc>
          <w:tcPr>
            <w:tcW w:w="1480" w:type="dxa"/>
            <w:vAlign w:val="bottom"/>
          </w:tcPr>
          <w:p>
            <w:pPr>
              <w:ind w:left="6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516"/>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Exchangeable Senior Notes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5,504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5,504</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Options, RSUs and ESPP</w:t>
            </w:r>
          </w:p>
        </w:tc>
        <w:tc>
          <w:tcPr>
            <w:tcW w:w="600" w:type="dxa"/>
            <w:vAlign w:val="bottom"/>
          </w:tcPr>
          <w:p>
            <w:pPr>
              <w:jc w:val="right"/>
              <w:ind w:right="39"/>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1"/>
                <w:szCs w:val="21"/>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3,340</w:t>
            </w:r>
          </w:p>
        </w:tc>
      </w:tr>
      <w:tr>
        <w:trPr>
          <w:trHeight w:val="918"/>
        </w:trPr>
        <w:tc>
          <w:tcPr>
            <w:tcW w:w="60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413,212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781,529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672,785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27,622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58,713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88,521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109,340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46,055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87,555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Vyxeos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31,362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60,305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54,179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5,172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8,844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25,079</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523,423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496,095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1,026,754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936,942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 and contract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10,710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15,565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534,133</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500,479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1,042,319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945,092</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480,932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943,794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861,046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36,518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35,018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71,919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63,349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16,683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26,606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20,697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534,133</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500,479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1,042,319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945,092</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presents a summary of the percentage of total revenues from customers that represented more than 10% of our total revenues: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240" w:type="dxa"/>
            <w:vAlign w:val="bottom"/>
            <w:gridSpan w:val="3"/>
          </w:tcPr>
          <w:p>
            <w:pPr>
              <w:jc w:val="center"/>
              <w:ind w:left="861"/>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center"/>
              <w:ind w:left="901"/>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r>
      <w:tr>
        <w:trPr>
          <w:trHeight w:val="192"/>
        </w:trPr>
        <w:tc>
          <w:tcPr>
            <w:tcW w:w="50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41"/>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Express Scripts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McKesson</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payment terms vary by the type and location of our customer but payment is generally required in a term ranging from 30 to 45 days.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440" w:firstLine="432"/>
        <w:spacing w:after="0" w:line="297" w:lineRule="auto"/>
        <w:rPr>
          <w:sz w:val="20"/>
          <w:szCs w:val="20"/>
          <w:color w:val="auto"/>
        </w:rPr>
      </w:pPr>
      <w:r>
        <w:rPr>
          <w:rFonts w:ascii="Arial" w:cs="Arial" w:eastAsia="Arial" w:hAnsi="Arial"/>
          <w:sz w:val="16"/>
          <w:szCs w:val="16"/>
          <w:color w:val="auto"/>
        </w:rPr>
        <w:t>The deferred revenue balance as of June 30, 2019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$1.2 million and $3.1 million during the three and six months ended June 30, 2019, respectively, relating to these upfront payments. The deferred revenue balances are being recognized over an average of four years representing the period over which we expect to perform our research and developments obligations under each agreement.</w:t>
      </w:r>
    </w:p>
    <w:p>
      <w:pPr>
        <w:spacing w:after="0" w:line="5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six months ended June 30,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Contract Liabilities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14,995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Amount recognized within royalties and contract revenues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(3,054)</w:t>
            </w:r>
          </w:p>
        </w:tc>
      </w:tr>
      <w:tr>
        <w:trPr>
          <w:trHeight w:val="27"/>
        </w:trPr>
        <w:tc>
          <w:tcPr>
            <w:tcW w:w="9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11,941</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Share-based compensation expense related to share options, RSUs and grants under our ESPP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41,055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11,419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9,084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3,497</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28,289</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26,312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55,841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50,615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share-based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23,816</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21,466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47,701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42,101</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shows the number of shares underlying options granted to purchase our ordinary shares, the weighted-average assumptions used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and the resulting weighted-average grant date fair value of share options granted: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underlying options granted (in thousands)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1,232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42.56</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46.28</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Black-Scholes option pricing model assumption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term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Range of risk-free rates</w:t>
            </w:r>
          </w:p>
        </w:tc>
        <w:tc>
          <w:tcPr>
            <w:tcW w:w="36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w w:val="97"/>
              </w:rPr>
              <w:t>2.5-2.7%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2.2-2.7%</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shows the number of RSUs granted covering an equal number of our ordinary shares and the weighted-average grant date fair value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RSUs granted: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granted (in thousands)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132.73</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152.36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138.87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141.36</w:t>
            </w:r>
          </w:p>
        </w:tc>
      </w:tr>
    </w:tbl>
    <w:p>
      <w:pPr>
        <w:spacing w:after="0" w:line="39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62"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As of June 30, 2019, compensation cost not yet recognized related to unvested share options and RSUs was $98.7 million and $124.0 million, respectively, which is expected to be recognized over a weighted-average period of 2.8 years.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Our income tax benefit was $78.7 million and $49.5 million in the three and six months ended June 30, 2019, respectively, compared to an income tax provision of $36.5 million and $55.7 million for the same periods in 2018. The effective tax rate was (42.7)% and (16.5)% in the three and six months ended June 30, 2019, respectively, compared to 28.2% and 28.6% for the same periods in 2018. The income tax benefit for the three and six months ended June 30, 2019 includes a discrete tax benefit of $112.3 million resulting from an intra-entity intellectual property asset transfer. The tax benefit, which represents a deferred future benefit, was recorded as a deferred tax asset. The decrease in the effective tax rates for the three and six months ended June 30, 2019 compared to the same periods in 2018 was primarily due to the impact of the intra-entity intellectual property asset transfer. Excluding this effect, the decrease in the effective tax rate for the three months ended June 30, 2019 compared to the same period in 2018 was primarily due to the impairment charge recognized on the Prialt assets held for sale in 2018, and the decrease in the effective tax rate for the six months ended June 30, 2019 compared to the same period in 2018 was primarily due to the impairment charge recognized on the Prialt assets held for sale and the impact of the loss contingency expense in 2018. The effective tax rates for the three and six months ended June 30, 2019 were lower than the Irish statutory rate of 12.5% primarily due to the impact of the intra-entity intellectual property asset transfer. We do not provide for Irish income taxes on undistributed earnings of our foreign operations that are intended to be indefinitely reinvested in our foreign subsidiaries.</w:t>
      </w:r>
    </w:p>
    <w:p>
      <w:pPr>
        <w:spacing w:after="0" w:line="72"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Our net deferred tax liability primarily arose due to the acquisition of Celator Pharmaceuticals, Inc. The balance is net of deferred tax assets which are comprised primarily of U.S. federal and state tax credits, U.S. federal and state and foreign net operating loss carryforwards and other temporary differences. We maintain a valuation allowance against certain foreign and U.S. federal and state deferred tax assets. Each reporting period, we evaluate the need for a valuation allowance on our deferred tax assets by jurisdiction and adjust our estimates as more information becomes available.</w:t>
      </w:r>
    </w:p>
    <w:p>
      <w:pPr>
        <w:spacing w:after="0" w:line="46"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and the U.S. (both at the federal level and in various state jurisdictions). In Ireland, we are no longer subject to income tax audits by taxing authorities for the years prior to 2013. The U.S. jurisdictions generally have statutes of limitations three to four years from the later of the return due date or the date when the return was filed. However, in the U.S. (at the federal level and in most states), carryforward tax attributes that were generated in 2014 and earlier may still be adjusted upon examination by the tax authorities. Certain of our subsidiaries are currently under examination by the French tax authorities for the years ended December 31, 2012, 2013, 2015, 2016 and 2017. These examinations may lead to ordinary course adjustments or proposed adjustments to our taxes. In December 2015, we received proposed tax assessment notices, and, in October 2018, we received revised tax assessment notices from the French tax authorities for 2012 and 2013, and in December 2018, we received a proposed tax assessment notice for 2015, relating to certain transfer pricing adjustments. The notices provide for additional French tax of approximately $43 million for 2012 and 2013 and approximately $4 million for 2015, including interest and penalties through the respective dates of the proposed assessments, translated at the foreign exchange rate at June 30, 2019. We disagree with the assessments and are contesting them vigorously.</w:t>
      </w:r>
    </w:p>
    <w:p>
      <w:pPr>
        <w:spacing w:after="0" w:line="27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Jazz Pharmaceuticals plc is a global biopharmaceutical company dedicated to developing life-changing medicines for people with limited or no options. As a leader in sleep medicine and with a growing hematology/oncology portfolio, we have a diverse portfolio of products and product candidates in development.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40" w:hanging="327"/>
        <w:spacing w:after="0" w:line="233" w:lineRule="auto"/>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Sunosi</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our newest lead marketed product launched in July 2019 and approved in the U.S. to improve wakefulness in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excessive daytime sleepiness, or EDS, associated with narcolepsy or obstructive sleep apnea, or OSA. We are also seeking approval for solriamfetol in Europe and submitted a marketing authorization application, or MAA, to the European Medicines Agency, or EMA, in the fourth quarter of 2018;</w:t>
      </w:r>
    </w:p>
    <w:p>
      <w:pPr>
        <w:spacing w:after="0" w:line="90" w:lineRule="exact"/>
        <w:rPr>
          <w:rFonts w:ascii="Arial" w:cs="Arial" w:eastAsia="Arial" w:hAnsi="Arial"/>
          <w:sz w:val="18"/>
          <w:szCs w:val="18"/>
          <w:b w:val="1"/>
          <w:bCs w:val="1"/>
          <w:color w:val="auto"/>
        </w:rPr>
      </w:pPr>
    </w:p>
    <w:p>
      <w:pPr>
        <w:ind w:left="740" w:right="40" w:hanging="327"/>
        <w:spacing w:after="0" w:line="218" w:lineRule="auto"/>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and marketed in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both cataplexy and EDS in both adult and pediatric patients with narcolepsy;</w:t>
      </w:r>
    </w:p>
    <w:p>
      <w:pPr>
        <w:spacing w:after="0" w:line="91" w:lineRule="exact"/>
        <w:rPr>
          <w:rFonts w:ascii="Arial" w:cs="Arial" w:eastAsia="Arial" w:hAnsi="Arial"/>
          <w:sz w:val="18"/>
          <w:szCs w:val="18"/>
          <w:b w:val="1"/>
          <w:bCs w:val="1"/>
          <w:color w:val="auto"/>
        </w:rPr>
      </w:pPr>
    </w:p>
    <w:p>
      <w:pPr>
        <w:ind w:left="740" w:right="260" w:hanging="327"/>
        <w:spacing w:after="0" w:line="214" w:lineRule="auto"/>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jc w:val="both"/>
        <w:ind w:left="740" w:right="420" w:hanging="327"/>
        <w:spacing w:after="0" w:line="260" w:lineRule="auto"/>
        <w:tabs>
          <w:tab w:leader="none" w:pos="7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40" w:right="300" w:hanging="327"/>
        <w:spacing w:after="0" w:line="211" w:lineRule="auto"/>
        <w:tabs>
          <w:tab w:leader="none" w:pos="7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Vyxeos</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(daunorubicin and cytarabine) liposome for injection</w:t>
      </w:r>
      <w:r>
        <w:rPr>
          <w:rFonts w:ascii="Arial" w:cs="Arial" w:eastAsia="Arial" w:hAnsi="Arial"/>
          <w:sz w:val="17"/>
          <w:szCs w:val="17"/>
          <w:color w:val="auto"/>
        </w:rPr>
        <w:t>, a product approved in the U.S. and in Europe (where it is marketed as</w:t>
      </w:r>
      <w:r>
        <w:rPr>
          <w:rFonts w:ascii="Arial" w:cs="Arial" w:eastAsia="Arial" w:hAnsi="Arial"/>
          <w:sz w:val="17"/>
          <w:szCs w:val="17"/>
          <w:b w:val="1"/>
          <w:bCs w:val="1"/>
          <w:color w:val="auto"/>
        </w:rPr>
        <w:t xml:space="preserve"> </w:t>
      </w:r>
      <w:r>
        <w:rPr>
          <w:rFonts w:ascii="Arial" w:cs="Arial" w:eastAsia="Arial" w:hAnsi="Arial"/>
          <w:sz w:val="17"/>
          <w:szCs w:val="17"/>
          <w:color w:val="auto"/>
        </w:rPr>
        <w:t>Vyxeos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44 mg/100 mg powder for concentrate for solution for infusion) for the treatment of adults with newly-diagnosed therapy-related acute myeloid leukemia, or t-AML, or acute myeloid leukemia, or AML, with myelodysplasia-related changes, or AML-MRC.</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440" w:hanging="327"/>
        <w:spacing w:after="0" w:line="286"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acquisitions, collaborations, licensing arrangements, partnerships and venture investments; and</w:t>
      </w:r>
    </w:p>
    <w:p>
      <w:pPr>
        <w:spacing w:after="0" w:line="57" w:lineRule="exact"/>
        <w:rPr>
          <w:rFonts w:ascii="Arial" w:cs="Arial" w:eastAsia="Arial" w:hAnsi="Arial"/>
          <w:sz w:val="17"/>
          <w:szCs w:val="17"/>
          <w:color w:val="auto"/>
        </w:rPr>
      </w:pPr>
    </w:p>
    <w:p>
      <w:pPr>
        <w:ind w:left="740" w:right="140" w:hanging="32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Maximizing the value of our products and product candidates by continuing to implement our comprehensive global development plans, including through generating additional clinical data and seeking regulatory approval for new indications.</w:t>
      </w:r>
    </w:p>
    <w:p>
      <w:pPr>
        <w:spacing w:after="0" w:line="6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the three and six months ended June 30, 2019, our total net product sales increased by 6% and 10%, compared to the same periods in 2018, primarily due to an increase in Xyrem net product sales. We expect total net product sales to increase in 2019 over 2018, primarily due to expected growth in sales of Xyrem, Defitelio and Vyxeos. Our ability to increase net product sales is subject to a number of risks and uncertainties as set forth below and under “Risk Factors” in Part II, Item 1A of this Quarterly Report on Form 10-Q. For additional information regarding our net product sales, see “—Results of Operations.”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Developments Affecting Our Business</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In April 2019, we finalized a settlement agreement with the U.S. Department of Justice, or DOJ, and the Office of Inspector General of the Department of Health and Human Services, or OIG, and we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For more information, see Note 11, Commitments and Contingencies—Other Contingencies of the Notes to Condensed Consolidated Financial Statements included in Part I, Item 1 of this Quarterly Report on Form 10-Q.</w:t>
      </w:r>
    </w:p>
    <w:p>
      <w:pPr>
        <w:spacing w:after="0" w:line="6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June 2019, the U.S. Drug Enforcement Agency, or DEA, designated Sunosi as a Schedule IV controlled substance, and, in July 2019, Sunosi was launched in the U.S.</w:t>
      </w:r>
    </w:p>
    <w:p>
      <w:pPr>
        <w:spacing w:after="0" w:line="62" w:lineRule="exact"/>
        <w:rPr>
          <w:sz w:val="20"/>
          <w:szCs w:val="20"/>
          <w:color w:val="auto"/>
        </w:rPr>
      </w:pPr>
    </w:p>
    <w:p>
      <w:pPr>
        <w:ind w:right="800" w:firstLine="405"/>
        <w:spacing w:after="0" w:line="277" w:lineRule="auto"/>
        <w:rPr>
          <w:sz w:val="20"/>
          <w:szCs w:val="20"/>
          <w:color w:val="auto"/>
        </w:rPr>
      </w:pPr>
      <w:r>
        <w:rPr>
          <w:rFonts w:ascii="Arial" w:cs="Arial" w:eastAsia="Arial" w:hAnsi="Arial"/>
          <w:sz w:val="17"/>
          <w:szCs w:val="17"/>
          <w:color w:val="auto"/>
        </w:rPr>
        <w:t>In June 2019, our partner, Nippon Shinyaku Co., Ltd, announced that Japan's Ministry of Health, Labour and Welfare approved the marketing authorization of Defitelio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injection 200mg (defibrotide sodium) for the treatment of sinusoidal obstruction syndrome/hepatic VOD.</w:t>
      </w:r>
    </w:p>
    <w:p>
      <w:pPr>
        <w:spacing w:after="0" w:line="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June 2019, we received notice from ImmunoGen, Inc., or ImmunoGen, that, as a result of portfolio prioritization and restructuring initiatives, ImmunoGen will be discontinuing development of its IMGN779 antibody-drug conjugate, or ADC, product candidate, for which we possess opt-in rights, as well as the programs from which a third opt-in candidate was to be selected. IMGN632, a CD123-targeted ADC product candidate for which we possess opt-in rights, remains under development by ImmunoGen.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In July 2019, we acquired from Redx Pharma plc, or Redx, a pan-RAF inhibitor program for the potential treatment of RAF and RAS mutant tumors. Under the terms of our agreement with Redx, we paid Redx $3.5 million at closing and Redx is eligible to receive up to $203 million in development, regulatory and commercial milestone payments from us, as well as incremental tiered royalties in mid-single digit percentage based on any future net sales.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Continued Emphasis on Research and Development</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During the six months ended June 30, 2019, we continued our focus on research and development activities, all in our sleep and hematology/oncology therapeutic areas.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recent research and development activities included the following developments:</w:t>
      </w:r>
    </w:p>
    <w:p>
      <w:pPr>
        <w:spacing w:after="0" w:line="117" w:lineRule="exact"/>
        <w:rPr>
          <w:sz w:val="20"/>
          <w:szCs w:val="20"/>
          <w:color w:val="auto"/>
        </w:rPr>
      </w:pPr>
    </w:p>
    <w:p>
      <w:pPr>
        <w:ind w:left="740" w:right="18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July 2019, we announced that we are pursuing development activities for solriamfetol for the potential treatment of EDS in patients with major depressive disorder, or MDD; and</w:t>
      </w:r>
    </w:p>
    <w:p>
      <w:pPr>
        <w:spacing w:after="0" w:line="62" w:lineRule="exact"/>
        <w:rPr>
          <w:rFonts w:ascii="Arial" w:cs="Arial" w:eastAsia="Arial" w:hAnsi="Arial"/>
          <w:sz w:val="18"/>
          <w:szCs w:val="18"/>
          <w:color w:val="auto"/>
        </w:rPr>
      </w:pPr>
    </w:p>
    <w:p>
      <w:pPr>
        <w:ind w:left="740" w:right="18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2019, we announced that, based on the results of a Phase 1 clinical trial, we plan to commence a single-arm, pivotal Phase 2/3 clinical trial of JZP-458, a recombinant crisantaspase product candidate, for the potential treatment of ALL and lymphoblastic lymphoma, or LBL, by the end of 2019.</w:t>
      </w:r>
    </w:p>
    <w:p>
      <w:pPr>
        <w:spacing w:after="0" w:line="73"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Below is a summary of ongoing and planned development projects related to our products and pipeline and their corresponding current stages of development: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Sleep</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400" w:type="dxa"/>
            <w:vAlign w:val="bottom"/>
            <w:gridSpan w:val="3"/>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8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Submitted for Regulatory Approval</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Solriamfetol in the European Union, or EU</w:t>
            </w:r>
          </w:p>
        </w:tc>
        <w:tc>
          <w:tcPr>
            <w:tcW w:w="7400" w:type="dxa"/>
            <w:vAlign w:val="bottom"/>
            <w:gridSpan w:val="3"/>
          </w:tcPr>
          <w:p>
            <w:pPr>
              <w:ind w:left="640"/>
              <w:spacing w:after="0"/>
              <w:rPr>
                <w:sz w:val="20"/>
                <w:szCs w:val="20"/>
                <w:color w:val="auto"/>
              </w:rPr>
            </w:pPr>
            <w:r>
              <w:rPr>
                <w:rFonts w:ascii="Arial" w:cs="Arial" w:eastAsia="Arial" w:hAnsi="Arial"/>
                <w:sz w:val="18"/>
                <w:szCs w:val="18"/>
                <w:color w:val="auto"/>
              </w:rPr>
              <w:t>EDS in OSA and EDS in narcolepsy</w:t>
            </w:r>
          </w:p>
        </w:tc>
      </w:tr>
      <w:tr>
        <w:trPr>
          <w:trHeight w:val="27"/>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JZP-258 (oxybate; 92% sodium reduction)</w:t>
            </w:r>
          </w:p>
        </w:tc>
        <w:tc>
          <w:tcPr>
            <w:tcW w:w="7400" w:type="dxa"/>
            <w:vAlign w:val="bottom"/>
            <w:gridSpan w:val="3"/>
          </w:tcPr>
          <w:p>
            <w:pPr>
              <w:ind w:left="640"/>
              <w:spacing w:after="0"/>
              <w:rPr>
                <w:sz w:val="20"/>
                <w:szCs w:val="20"/>
                <w:color w:val="auto"/>
              </w:rPr>
            </w:pPr>
            <w:r>
              <w:rPr>
                <w:rFonts w:ascii="Arial" w:cs="Arial" w:eastAsia="Arial" w:hAnsi="Arial"/>
                <w:sz w:val="18"/>
                <w:szCs w:val="18"/>
                <w:color w:val="auto"/>
              </w:rPr>
              <w:t>Cataplexy and EDS in narcolepsy</w:t>
            </w:r>
          </w:p>
        </w:tc>
      </w:tr>
      <w:tr>
        <w:trPr>
          <w:trHeight w:val="27"/>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3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JZP-258 (oxybate; 92% sodium reduction)</w:t>
            </w:r>
          </w:p>
        </w:tc>
        <w:tc>
          <w:tcPr>
            <w:tcW w:w="740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Idiopathic hypersomnia</w:t>
            </w:r>
          </w:p>
        </w:tc>
      </w:tr>
      <w:tr>
        <w:trPr>
          <w:trHeight w:val="243"/>
        </w:trPr>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3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Oxybate once-nightly formulation</w:t>
            </w:r>
          </w:p>
        </w:tc>
        <w:tc>
          <w:tcPr>
            <w:tcW w:w="740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Narcolepsy</w:t>
            </w:r>
          </w:p>
        </w:tc>
      </w:tr>
      <w:tr>
        <w:trPr>
          <w:trHeight w:val="342"/>
        </w:trPr>
        <w:tc>
          <w:tcPr>
            <w:tcW w:w="398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Hematology/Oncology</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80" w:type="dxa"/>
            <w:vAlign w:val="bottom"/>
          </w:tcPr>
          <w:p>
            <w:pPr>
              <w:spacing w:after="0"/>
              <w:rPr>
                <w:sz w:val="24"/>
                <w:szCs w:val="24"/>
                <w:color w:val="auto"/>
              </w:rPr>
            </w:pPr>
          </w:p>
        </w:tc>
      </w:tr>
    </w:tbl>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Product Candidates</w:t>
            </w: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30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5900" w:type="dxa"/>
            <w:vAlign w:val="bottom"/>
          </w:tcPr>
          <w:p>
            <w:pPr>
              <w:spacing w:after="0"/>
              <w:rPr>
                <w:sz w:val="4"/>
                <w:szCs w:val="4"/>
                <w:color w:val="auto"/>
              </w:rPr>
            </w:pPr>
          </w:p>
        </w:tc>
      </w:tr>
      <w:tr>
        <w:trPr>
          <w:trHeight w:val="250"/>
        </w:trPr>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3</w:t>
            </w:r>
          </w:p>
        </w:tc>
        <w:tc>
          <w:tcPr>
            <w:tcW w:w="9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2"/>
          </w:tcPr>
          <w:p>
            <w:pPr>
              <w:spacing w:after="0"/>
              <w:rPr>
                <w:sz w:val="20"/>
                <w:szCs w:val="20"/>
                <w:color w:val="auto"/>
              </w:rPr>
            </w:pPr>
            <w:r>
              <w:rPr>
                <w:rFonts w:ascii="Arial" w:cs="Arial" w:eastAsia="Arial" w:hAnsi="Arial"/>
                <w:sz w:val="18"/>
                <w:szCs w:val="18"/>
                <w:color w:val="auto"/>
              </w:rPr>
              <w:t>Prevention of VOD in high-risk patients following HSCT</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AML or high-risk myelodysplastic syndrome, or MDS (AML19) (cooperative group study)</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2"/>
          </w:tcPr>
          <w:p>
            <w:pPr>
              <w:spacing w:after="0"/>
              <w:rPr>
                <w:sz w:val="20"/>
                <w:szCs w:val="20"/>
                <w:color w:val="auto"/>
              </w:rPr>
            </w:pPr>
            <w:r>
              <w:rPr>
                <w:rFonts w:ascii="Arial" w:cs="Arial" w:eastAsia="Arial" w:hAnsi="Arial"/>
                <w:sz w:val="18"/>
                <w:szCs w:val="18"/>
                <w:color w:val="auto"/>
              </w:rPr>
              <w:t>AML or high-risk MDS (AML18) (cooperative group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Newly diagnosed adults with standard and high-risk AML (cooperative group study)</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2"/>
          </w:tcPr>
          <w:p>
            <w:pPr>
              <w:spacing w:after="0"/>
              <w:rPr>
                <w:sz w:val="20"/>
                <w:szCs w:val="20"/>
                <w:color w:val="auto"/>
              </w:rPr>
            </w:pPr>
            <w:r>
              <w:rPr>
                <w:rFonts w:ascii="Arial" w:cs="Arial" w:eastAsia="Arial" w:hAnsi="Arial"/>
                <w:sz w:val="18"/>
                <w:szCs w:val="18"/>
                <w:color w:val="auto"/>
              </w:rPr>
              <w:t>Newly diagnosed pediatric patients (planned cooperative group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2/3</w:t>
            </w:r>
          </w:p>
        </w:tc>
        <w:tc>
          <w:tcPr>
            <w:tcW w:w="9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JZP-458 (recombinant crisantaspase)</w:t>
            </w:r>
          </w:p>
        </w:tc>
        <w:tc>
          <w:tcPr>
            <w:tcW w:w="6800" w:type="dxa"/>
            <w:vAlign w:val="bottom"/>
            <w:gridSpan w:val="2"/>
          </w:tcPr>
          <w:p>
            <w:pPr>
              <w:spacing w:after="0"/>
              <w:rPr>
                <w:sz w:val="20"/>
                <w:szCs w:val="20"/>
                <w:color w:val="auto"/>
              </w:rPr>
            </w:pPr>
            <w:r>
              <w:rPr>
                <w:rFonts w:ascii="Arial" w:cs="Arial" w:eastAsia="Arial" w:hAnsi="Arial"/>
                <w:sz w:val="18"/>
                <w:szCs w:val="18"/>
                <w:color w:val="auto"/>
              </w:rPr>
              <w:t>ALL/LBL (planned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2</w:t>
            </w:r>
          </w:p>
        </w:tc>
        <w:tc>
          <w:tcPr>
            <w:tcW w:w="9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2"/>
          </w:tcPr>
          <w:p>
            <w:pPr>
              <w:spacing w:after="0"/>
              <w:rPr>
                <w:sz w:val="20"/>
                <w:szCs w:val="20"/>
                <w:color w:val="auto"/>
              </w:rPr>
            </w:pPr>
            <w:r>
              <w:rPr>
                <w:rFonts w:ascii="Arial" w:cs="Arial" w:eastAsia="Arial" w:hAnsi="Arial"/>
                <w:sz w:val="18"/>
                <w:szCs w:val="18"/>
                <w:color w:val="auto"/>
              </w:rPr>
              <w:t>Prevention of acute Graft versus Host Disease following allogeneic HSCT</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Treatment of transplant-associated thrombotic microangiopathy</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(planned study)</w:t>
            </w:r>
          </w:p>
        </w:tc>
      </w:tr>
      <w:tr>
        <w:trPr>
          <w:trHeight w:val="229"/>
        </w:trPr>
        <w:tc>
          <w:tcPr>
            <w:tcW w:w="20" w:type="dxa"/>
            <w:vAlign w:val="bottom"/>
          </w:tcPr>
          <w:p>
            <w:pPr>
              <w:spacing w:after="0"/>
              <w:rPr>
                <w:sz w:val="19"/>
                <w:szCs w:val="19"/>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2"/>
          </w:tcPr>
          <w:p>
            <w:pPr>
              <w:spacing w:after="0"/>
              <w:rPr>
                <w:sz w:val="20"/>
                <w:szCs w:val="20"/>
                <w:color w:val="auto"/>
              </w:rPr>
            </w:pPr>
            <w:r>
              <w:rPr>
                <w:rFonts w:ascii="Arial" w:cs="Arial" w:eastAsia="Arial" w:hAnsi="Arial"/>
                <w:sz w:val="18"/>
                <w:szCs w:val="18"/>
                <w:color w:val="auto"/>
                <w:w w:val="96"/>
              </w:rPr>
              <w:t>Prevention of chimeric antigen receptor T-cell therapy-associated neurotoxicity (planned</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Vyxeos + venetoclax</w:t>
            </w: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 novo or relapsed/refractory, or R/R, AML (MD Anderson Cancer Center, or MD</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Anderson, collaboration study)</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2"/>
          </w:tcPr>
          <w:p>
            <w:pPr>
              <w:spacing w:after="0"/>
              <w:rPr>
                <w:sz w:val="20"/>
                <w:szCs w:val="20"/>
                <w:color w:val="auto"/>
              </w:rPr>
            </w:pPr>
            <w:r>
              <w:rPr>
                <w:rFonts w:ascii="Arial" w:cs="Arial" w:eastAsia="Arial" w:hAnsi="Arial"/>
                <w:sz w:val="18"/>
                <w:szCs w:val="18"/>
                <w:color w:val="auto"/>
              </w:rPr>
              <w:t>High-risk MDS (cooperative group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R/R AML (Children’s Oncology Group cooperative group study)</w:t>
            </w:r>
          </w:p>
        </w:tc>
      </w:tr>
      <w:tr>
        <w:trPr>
          <w:trHeight w:val="4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0" w:type="dxa"/>
            <w:vAlign w:val="bottom"/>
            <w:gridSpan w:val="2"/>
          </w:tcPr>
          <w:p>
            <w:pPr>
              <w:ind w:left="102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00"/>
          </w:cols>
          <w:pgMar w:left="240" w:top="125" w:right="25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817"/>
        </w:trPr>
        <w:tc>
          <w:tcPr>
            <w:tcW w:w="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Candidates</w:t>
            </w: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300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Newly diagnosed older adults with high-risk AML (planned cooperative group study)</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Vyxeos + venetoclax</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High-risk AML (planned cooperative group study)</w:t>
            </w:r>
          </w:p>
        </w:tc>
      </w:tr>
      <w:tr>
        <w:trPr>
          <w:trHeight w:val="243"/>
        </w:trPr>
        <w:tc>
          <w:tcPr>
            <w:tcW w:w="6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Phase 1</w:t>
            </w:r>
          </w:p>
        </w:tc>
        <w:tc>
          <w:tcPr>
            <w:tcW w:w="900" w:type="dxa"/>
            <w:vAlign w:val="bottom"/>
          </w:tcPr>
          <w:p>
            <w:pPr>
              <w:spacing w:after="0"/>
              <w:rPr>
                <w:sz w:val="21"/>
                <w:szCs w:val="21"/>
                <w:color w:val="auto"/>
              </w:rPr>
            </w:pPr>
          </w:p>
        </w:tc>
        <w:tc>
          <w:tcPr>
            <w:tcW w:w="59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Vyxeos + gemtuzumab</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43"/>
        </w:trPr>
        <w:tc>
          <w:tcPr>
            <w:tcW w:w="6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Vyxeos + venetoclax</w:t>
            </w:r>
          </w:p>
        </w:tc>
        <w:tc>
          <w:tcPr>
            <w:tcW w:w="6800" w:type="dxa"/>
            <w:vAlign w:val="bottom"/>
            <w:gridSpan w:val="2"/>
          </w:tcPr>
          <w:p>
            <w:pPr>
              <w:spacing w:after="0"/>
              <w:rPr>
                <w:sz w:val="20"/>
                <w:szCs w:val="20"/>
                <w:color w:val="auto"/>
              </w:rPr>
            </w:pPr>
            <w:r>
              <w:rPr>
                <w:rFonts w:ascii="Arial" w:cs="Arial" w:eastAsia="Arial" w:hAnsi="Arial"/>
                <w:sz w:val="18"/>
                <w:szCs w:val="18"/>
                <w:color w:val="auto"/>
              </w:rPr>
              <w:t>Low intensity therapy for first-line, unfit AML (planned Phase 1b study)</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Low intensity dosing for higher risk MDS (MD Anderson collaboration study)</w:t>
            </w:r>
          </w:p>
        </w:tc>
      </w:tr>
      <w:tr>
        <w:trPr>
          <w:trHeight w:val="229"/>
        </w:trPr>
        <w:tc>
          <w:tcPr>
            <w:tcW w:w="60" w:type="dxa"/>
            <w:vAlign w:val="bottom"/>
          </w:tcPr>
          <w:p>
            <w:pPr>
              <w:spacing w:after="0"/>
              <w:rPr>
                <w:sz w:val="19"/>
                <w:szCs w:val="19"/>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IMGN632</w:t>
            </w:r>
          </w:p>
        </w:tc>
        <w:tc>
          <w:tcPr>
            <w:tcW w:w="6800" w:type="dxa"/>
            <w:vAlign w:val="bottom"/>
            <w:gridSpan w:val="2"/>
          </w:tcPr>
          <w:p>
            <w:pPr>
              <w:spacing w:after="0"/>
              <w:rPr>
                <w:sz w:val="20"/>
                <w:szCs w:val="20"/>
                <w:color w:val="auto"/>
              </w:rPr>
            </w:pPr>
            <w:r>
              <w:rPr>
                <w:rFonts w:ascii="Arial" w:cs="Arial" w:eastAsia="Arial" w:hAnsi="Arial"/>
                <w:sz w:val="18"/>
                <w:szCs w:val="18"/>
                <w:color w:val="auto"/>
                <w:w w:val="94"/>
              </w:rPr>
              <w:t>CD123+ hematological malignancies including AML and blastic plasmacytoid dendritic cell</w:t>
            </w:r>
          </w:p>
        </w:tc>
      </w:tr>
      <w:tr>
        <w:trPr>
          <w:trHeight w:val="230"/>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neoplasm (Jazz opt-in opportunity with ImmunoGen)</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9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CombiPlex</w:t>
            </w:r>
          </w:p>
        </w:tc>
        <w:tc>
          <w:tcPr>
            <w:tcW w:w="6800" w:type="dxa"/>
            <w:vAlign w:val="bottom"/>
            <w:gridSpan w:val="2"/>
          </w:tcPr>
          <w:p>
            <w:pPr>
              <w:spacing w:after="0"/>
              <w:rPr>
                <w:sz w:val="20"/>
                <w:szCs w:val="20"/>
                <w:color w:val="auto"/>
              </w:rPr>
            </w:pPr>
            <w:r>
              <w:rPr>
                <w:rFonts w:ascii="Arial" w:cs="Arial" w:eastAsia="Arial" w:hAnsi="Arial"/>
                <w:sz w:val="18"/>
                <w:szCs w:val="18"/>
                <w:color w:val="auto"/>
              </w:rPr>
              <w:t>Solid tumors candidate</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CombiPlex</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Hematology/oncology exploratory activities</w:t>
            </w:r>
          </w:p>
        </w:tc>
      </w:tr>
      <w:tr>
        <w:trPr>
          <w:trHeight w:val="243"/>
        </w:trPr>
        <w:tc>
          <w:tcPr>
            <w:tcW w:w="6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Recombinant crisantaspase-HLE</w:t>
            </w:r>
          </w:p>
        </w:tc>
        <w:tc>
          <w:tcPr>
            <w:tcW w:w="6800" w:type="dxa"/>
            <w:vAlign w:val="bottom"/>
            <w:gridSpan w:val="2"/>
          </w:tcPr>
          <w:p>
            <w:pPr>
              <w:spacing w:after="0"/>
              <w:rPr>
                <w:sz w:val="20"/>
                <w:szCs w:val="20"/>
                <w:color w:val="auto"/>
              </w:rPr>
            </w:pPr>
            <w:r>
              <w:rPr>
                <w:rFonts w:ascii="Arial" w:cs="Arial" w:eastAsia="Arial" w:hAnsi="Arial"/>
                <w:sz w:val="18"/>
                <w:szCs w:val="18"/>
                <w:color w:val="auto"/>
                <w:w w:val="99"/>
              </w:rPr>
              <w:t>ALL and other hematological malignancies (collaboration with Pfenex, Inc., or Pfenex)</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Recombinant pegaspargase</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Hematological malignancies (Jazz opt-in opportunity with Pfenex)</w:t>
            </w:r>
          </w:p>
        </w:tc>
      </w:tr>
      <w:tr>
        <w:trPr>
          <w:trHeight w:val="243"/>
        </w:trPr>
        <w:tc>
          <w:tcPr>
            <w:tcW w:w="6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2"/>
          </w:tcPr>
          <w:p>
            <w:pPr>
              <w:spacing w:after="0"/>
              <w:rPr>
                <w:sz w:val="20"/>
                <w:szCs w:val="20"/>
                <w:color w:val="auto"/>
              </w:rPr>
            </w:pPr>
            <w:r>
              <w:rPr>
                <w:rFonts w:ascii="Arial" w:cs="Arial" w:eastAsia="Arial" w:hAnsi="Arial"/>
                <w:sz w:val="18"/>
                <w:szCs w:val="18"/>
                <w:color w:val="auto"/>
              </w:rPr>
              <w:t>Exploratory activities</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Exosome NRAS candidate</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Hematological malignancies (collaboration with Codiak Biosciences, Inc., or Codiak)</w:t>
            </w:r>
          </w:p>
        </w:tc>
      </w:tr>
      <w:tr>
        <w:trPr>
          <w:trHeight w:val="243"/>
        </w:trPr>
        <w:tc>
          <w:tcPr>
            <w:tcW w:w="6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Exosome STAT3 candidate</w:t>
            </w:r>
          </w:p>
        </w:tc>
        <w:tc>
          <w:tcPr>
            <w:tcW w:w="6800" w:type="dxa"/>
            <w:vAlign w:val="bottom"/>
            <w:gridSpan w:val="2"/>
          </w:tcPr>
          <w:p>
            <w:pPr>
              <w:spacing w:after="0"/>
              <w:rPr>
                <w:sz w:val="20"/>
                <w:szCs w:val="20"/>
                <w:color w:val="auto"/>
              </w:rPr>
            </w:pPr>
            <w:r>
              <w:rPr>
                <w:rFonts w:ascii="Arial" w:cs="Arial" w:eastAsia="Arial" w:hAnsi="Arial"/>
                <w:sz w:val="18"/>
                <w:szCs w:val="18"/>
                <w:color w:val="auto"/>
              </w:rPr>
              <w:t>Hematological malignancies (collaboration with Codiak)</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Exosome-based candidates</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tumors/hematological malignancies (collaboration with Codiak)</w:t>
            </w:r>
          </w:p>
        </w:tc>
      </w:tr>
      <w:tr>
        <w:trPr>
          <w:trHeight w:val="243"/>
        </w:trPr>
        <w:tc>
          <w:tcPr>
            <w:tcW w:w="6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Pan-RAF inhibitor program</w:t>
            </w:r>
          </w:p>
        </w:tc>
        <w:tc>
          <w:tcPr>
            <w:tcW w:w="6800" w:type="dxa"/>
            <w:vAlign w:val="bottom"/>
            <w:gridSpan w:val="2"/>
          </w:tcPr>
          <w:p>
            <w:pPr>
              <w:spacing w:after="0"/>
              <w:rPr>
                <w:sz w:val="20"/>
                <w:szCs w:val="20"/>
                <w:color w:val="auto"/>
              </w:rPr>
            </w:pPr>
            <w:r>
              <w:rPr>
                <w:rFonts w:ascii="Arial" w:cs="Arial" w:eastAsia="Arial" w:hAnsi="Arial"/>
                <w:sz w:val="18"/>
                <w:szCs w:val="18"/>
                <w:color w:val="auto"/>
              </w:rPr>
              <w:t>RAF and RAS mutant tumors (acquired from Redx, which is continuing development)</w:t>
            </w:r>
          </w:p>
        </w:tc>
      </w:tr>
    </w:tbl>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2019 and beyond, we expect that our research and development expenses will continue to increase from historical levels, particularly as we prepare for anticipated regulatory submissions and trial data read-outs, initiate and undertake additional clinical trials and related development work and potentially acquire rights to additional product candidates. Our ability to continue to undertake our planned development activities, as well as the success of these activities, are subject to a number of risks and uncertainties, including the risk factors under the headings “Risks Related to Our Business” and “Risks Related to Our Industry” in Part II, Item 1A of this Quarterly Report on Form 10-Q.</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Challenges, Risks and Trends Related to Our Business</w:t>
      </w:r>
    </w:p>
    <w:p>
      <w:pPr>
        <w:spacing w:after="0" w:line="11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 xml:space="preserve">Xyrem. </w:t>
      </w:r>
      <w:r>
        <w:rPr>
          <w:rFonts w:ascii="Arial" w:cs="Arial" w:eastAsia="Arial" w:hAnsi="Arial"/>
          <w:sz w:val="17"/>
          <w:szCs w:val="17"/>
          <w:color w:val="auto"/>
        </w:rPr>
        <w:t>Xyrem is our largest selling product, and our financial results are significantly influenced by sales of Xyrem, which were 79% and 76% of our</w:t>
      </w:r>
      <w:r>
        <w:rPr>
          <w:rFonts w:ascii="Arial" w:cs="Arial" w:eastAsia="Arial" w:hAnsi="Arial"/>
          <w:sz w:val="17"/>
          <w:szCs w:val="17"/>
          <w:i w:val="1"/>
          <w:iCs w:val="1"/>
          <w:color w:val="auto"/>
        </w:rPr>
        <w:t xml:space="preserve"> </w:t>
      </w:r>
      <w:r>
        <w:rPr>
          <w:rFonts w:ascii="Arial" w:cs="Arial" w:eastAsia="Arial" w:hAnsi="Arial"/>
          <w:sz w:val="17"/>
          <w:szCs w:val="17"/>
          <w:color w:val="auto"/>
        </w:rPr>
        <w:t>net product sales for the three and six months ended June 30, 2019, respectively, and 75% of our net product sales for the year ended December 31, 2018. Our future plans assume that sales of Xyrem will increase, but there is no guarantee that we can maintain sales of Xyrem at or near current levels, or that Xyrem sales will continue to grow. We have periodically increased the price of Xyrem, most recently in July 2019, and there is no guarantee that price adjustments we have taken or may take in the future will not negatively affect Xyrem sales volumes and revenues from Xyrem.</w:t>
      </w:r>
    </w:p>
    <w:p>
      <w:pPr>
        <w:spacing w:after="0" w:line="6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Although Xyrem is protected by patents covering its manufacture, formulation, distribution system and method of use, nine companies have sent us notices that they had filed abbreviated new drug applications, or ANDAs, seeking approval to market a generic version of Xyrem, and we have filed and settled patent lawsuits with all nine companies. To date, the FDA has approved or tentatively approved three of these ANDAs, and we believe that it is likely that the FDA will approve or tentatively approve additional ANDAs. In connection with the ANDA settlement agreements, we granted four of the filers the right to sell an authorized generic version of Xyrem, or an AG Product, and we granted each of the nine filers a license to launch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 In the absence of any circumstances triggering acceleration, the earliest launch of an AG Product would be January 1, 2023. For a further description of the settlement agreements, including a more complete description of potential dates of market entry for an AG Product(s) and generic sodium oxybate product(s) and circumstances that might trigger acceleration of such dates, see the risk factor under the heading “</w:t>
      </w:r>
      <w:r>
        <w:rPr>
          <w:rFonts w:ascii="Arial" w:cs="Arial" w:eastAsia="Arial" w:hAnsi="Arial"/>
          <w:sz w:val="17"/>
          <w:szCs w:val="17"/>
          <w:i w:val="1"/>
          <w:iCs w:val="1"/>
          <w:color w:val="auto"/>
        </w:rPr>
        <w:t>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08"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introduction of a new product in the U.S. market that competes with, or otherwise disrupts the market for, Xyrem would adversely affect sales of Xyrem”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1A of this Quarterly Report on Form 10-Q.</w:t>
      </w:r>
    </w:p>
    <w:p>
      <w:pPr>
        <w:spacing w:after="0" w:line="62"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In addition to generic and authorized generic versions of Xyrem, we and others have launched and may in the future launch products as treatment options in cataplexy and/or EDS in patients with narcolepsy, including other branded sodium oxybate products and other new and existing branded market entrants. For example, Avadel Pharmaceuticals plc is conducting a Phase 3 clinical trial of a once-nightly formula of sodium oxybate which uses its proprietary technology for the treatment of EDS and cataplexy in patients with narcolepsy, and has indicated that it intends to seek approval of its product candidate in the U.S. under a Section 505(b)(2) new drug application, or NDA, approval pathway. Other companies may also develop a sodium oxybate or similar product using, for example, an alternative formulation or a different delivery technology and pursue a similar regulatory approval strategy in the future.</w:t>
      </w:r>
    </w:p>
    <w:p>
      <w:pPr>
        <w:spacing w:after="0" w:line="8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Non-oxybate products intended for the treatment of EDS or cataplexy in narcolepsy, even if not directly competitive with Xyrem, could have the effect of changing treatment regimens and payor coverage of Xyrem, and indirectly materially and adversely affect sales of Xyrem. Prescribers often prescribe stimulants or wake-promoting agents for treatment of EDS, and anti-depressants for cataplexy, before prescribing or instead of prescribing Xyrem, and payors often require patients to try such medications before they will cover Xyrem. It is possible that additional branded or generic products that treat symptoms of narcolepsy will also be prescribed before or instead of Xyrem, or that payors will require patients to try such products before they will cover Xyrem, or that payors will exclude Xyrem from formulary coverage in favor of a newly-launched product. Our product Sunosi is an example of a new market entrant recently approved by the FDA to improve wakefulness in adult patients with EDS associated with narcolepsy or OSA and that we launched in July 2019. Another example is pitolisant, a drug that has already been approved in Europe to treat adult patients with narcolepsy with or without cataplexy. Harmony Biosciences LLC, which has exclusive U.S. rights to seek approval of and commercialize pitolisant, announced in February 2019 that the FDA had accepted its pitolisant NDA for filing with priority review.</w:t>
      </w:r>
    </w:p>
    <w:p>
      <w:pPr>
        <w:spacing w:after="0" w:line="7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receipt of marketing approval and commercialization of an alternative product approved in the U.S. for the treatment of narcolepsy patients could negatively impact our ability to maintain and grow sales of Xyrem, largely due to payor actions taken in response to the disruption of the narcolepsy market. This could have the additional impact of potentially triggering acceleration of market entry of the AG Products or other generic sodium oxybate products under our ANDA litigation settlement agreements. We expect that the approval and launch of any other sodium oxybate or alternative product that treats narcolepsy, or the launch of an AG Product or other generic version of Xyrem, could have a material adverse effect on our sales of and revenues from Xyrem and on our business, financial condition, results of operations and growth prospects.</w:t>
      </w:r>
    </w:p>
    <w:p>
      <w:pPr>
        <w:spacing w:after="0" w:line="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Future Xyrem sales may also be impacted by changes to, or uncertainties around, regulatory restrictions, including changes to our current Xyrem risk evaluation and mitigation strategy, or REMS, which requires, among other things, that Xyrem be distributed through a single pharmacy. We cannot predict whether the FDA will request, seek to require or ultimately require modifications to, or impose additional requirements on, the Xyrem REMS, including in connection with the submission of applications for new oxybate products, new oxybate indications or the introduction of authorized generics, or whether the FDA will approve modifications to the Xyrem REMS that we consider warranted in connection with the submission of applications for new oxybate products. We may face pressure to further modify the Xyrem REMS or to license or share intellectual property pertinent to the Xyrem REMS, including proprietary data required for the safe distribution of sodium oxybate, in connection with the FDA’s approval of the generic sodium oxybate REMS or otherwise. Any such modifications to the Xyrem REMS approved, required or rejected by the FDA could make it more difficult or expensive for us to distribute Xyrem, make distribution easier for sodium oxybate competitors, disrupt continuity of care for Xyrem patients and/or negatively affect sales of Xyrem. We also cannot predict the impact of future implementation of a generic sodium oxybate REMS on the Xyrem REMS.</w:t>
      </w:r>
    </w:p>
    <w:p>
      <w:pPr>
        <w:spacing w:after="0" w:line="70"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i w:val="1"/>
          <w:iCs w:val="1"/>
          <w:color w:val="auto"/>
        </w:rPr>
        <w:t xml:space="preserve">Erwinaze/Erwinase. </w:t>
      </w:r>
      <w:r>
        <w:rPr>
          <w:rFonts w:ascii="Arial" w:cs="Arial" w:eastAsia="Arial" w:hAnsi="Arial"/>
          <w:sz w:val="16"/>
          <w:szCs w:val="16"/>
          <w:color w:val="auto"/>
        </w:rPr>
        <w:t>Sales of our second largest product, Erwinaze/Erwinase (which we refer to in this report as Erwinaze unless otherwise indicated 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context otherwise requires), were 5% and 9% of our net product sales for the three and six months ended June 30, 2019, respectively, and 9% for the year ended December 31, 2018. Erwinaze is licensed from and manufactured by a single source, Porton Biopharma Limited, or PBL, a company that is wholly owned by the UK Department of Health and Social Care. Our license and supply agreement with PBL, which includes our license for Erwinaze, expires on December 31, 2020. We and PBL had been engaged in discussions related to entry into a replacement agreement to extend the term of our commercial relationship past 2020, but we did not reach agreement. Unless we and PBL enter into a new agreement, we will lose our rights to Erwinaze effective December 31, 2020, other than our right to sell certain Erwinaze inventory for a post-termination sales period of 12 months. In such event, we may not be able to replace the product sales we would lose from Erwinaze, which in 2018 totaled $174.7 million, and our business, financial condition, results of operations and growth prospects would be materially adversely affected. In addition, we cannot predict whether and to what extent uncertainty related to our rights to, and availability of, Erwinaze after 2020 will negatively impact sales of and revenues from this product.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 continuing and significant challenge to maintaining sales of Erwinaze and a barrier to increasing sales is PBL’s inability to consistently supply product adequate to meet market demand. All Erwinaze that PBL has been able to supply is currently completely absorbed by demand for the product. In addition, PBL is subject to a January 2017 warning letter issued by the FDA citing significant violations of the FDA’s current Good Manufacturing Practices, or cGMP, as well as an inspection report from the UK Medicines and Healthcare Products Regulatory Agency listing several major findings, including major deficiencies and failures by PBL to comply with cGMP. PBL’s product quality and manufacturing issues have resulted, and continue to result, in disruptions in our ability to supply markets from time to time and have caused, and may in the future cause, us to implement batch-specific, modified product use instructions. We have been experiencing, and continue to experience, supply disruptions globally and expect further supply disruptions during 2019 and 2020. These supply disruptions will continue to adversely impact our ability to generate sales of and revenues from Erwinaze and our business, financial condition, results of operations and growth prospects could be materially adversely affected.</w:t>
      </w:r>
    </w:p>
    <w:p>
      <w:pPr>
        <w:spacing w:after="0" w:line="7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Defitelio/defibrotide. </w:t>
      </w:r>
      <w:r>
        <w:rPr>
          <w:rFonts w:ascii="Arial" w:cs="Arial" w:eastAsia="Arial" w:hAnsi="Arial"/>
          <w:sz w:val="18"/>
          <w:szCs w:val="18"/>
          <w:color w:val="auto"/>
        </w:rPr>
        <w:t>Sales of Defitelio/defibrotide were 9% of our net product sales for the three and six months ended June 30, 2019 and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Our ability to maintain and grow sales and to realize the anticipated benefits from our investment in Defitelio is subject to a number of risks and uncertainties, including continued acceptance by hospital pharmacy and therapeutics committees in the U.S., the continued availability of favorable pricing and adequate coverage and reimbursement, the limited experience of, and need to educate, physicians in recognizing, diagnosing and treating VOD, and the limited size of the population of VOD patients who are indicated for treatment with Defitelio. If sales of Defitelio do not reach the levels we expect, our anticipated revenue from the product will be negatively affected and our business, financial condition, results of operations and growth prospects could be materially adversely affected.</w:t>
      </w:r>
    </w:p>
    <w:p>
      <w:pPr>
        <w:spacing w:after="0" w:line="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Vyxeos</w:t>
      </w:r>
      <w:r>
        <w:rPr>
          <w:rFonts w:ascii="Arial" w:cs="Arial" w:eastAsia="Arial" w:hAnsi="Arial"/>
          <w:sz w:val="18"/>
          <w:szCs w:val="18"/>
          <w:color w:val="auto"/>
        </w:rPr>
        <w:t>. Sales of Vyxeos were 6% of our net product sales for the three and six months ended June 30, 2019 and 5% of our net product sales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We began selling Vyxeos in the U.S. in August 2017 following NDA approval. In August 2018, the European Commission, or EC, granted marketing authorization for Vyxeos. We are continuing our rolling launch of Vyxeos in the EU and are continuing to make pricing and reimbursement submissions in EU member states.</w:t>
      </w:r>
    </w:p>
    <w:p>
      <w:pPr>
        <w:spacing w:after="0" w:line="7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ability to realize the anticipated benefits from our investment in Vyxeos is subject to a number of risks and uncertainties, including acceptance by hospital pharmacy and therapeutics committees in the U.S., the EU and other countries, the availability of adequate coverage, pricing and reimbursement approvals, competition from new and existing products and potential competition from products in development, and delays or problems in the supply or manufacture of Vyxeos. If sales of Vyxeos do not reach the levels we expect, our anticipated revenue from the product will be negatively affected, which could have a material adverse effect on our business, financial condition, results of operations and growth prospects.</w:t>
      </w:r>
    </w:p>
    <w:p>
      <w:pPr>
        <w:spacing w:after="0" w:line="64"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i w:val="1"/>
          <w:iCs w:val="1"/>
          <w:color w:val="auto"/>
        </w:rPr>
        <w:t xml:space="preserve">Sunosi/solriamfetol. </w:t>
      </w:r>
      <w:r>
        <w:rPr>
          <w:rFonts w:ascii="Arial" w:cs="Arial" w:eastAsia="Arial" w:hAnsi="Arial"/>
          <w:sz w:val="17"/>
          <w:szCs w:val="17"/>
          <w:color w:val="auto"/>
        </w:rPr>
        <w:t>The FDA approved Sunosi in March 2019, and we launched Sunosi in July 2019. In the fourth quarter of 2018, we submitted an</w:t>
      </w:r>
      <w:r>
        <w:rPr>
          <w:rFonts w:ascii="Arial" w:cs="Arial" w:eastAsia="Arial" w:hAnsi="Arial"/>
          <w:sz w:val="17"/>
          <w:szCs w:val="17"/>
          <w:i w:val="1"/>
          <w:iCs w:val="1"/>
          <w:color w:val="auto"/>
        </w:rPr>
        <w:t xml:space="preserve"> </w:t>
      </w:r>
      <w:r>
        <w:rPr>
          <w:rFonts w:ascii="Arial" w:cs="Arial" w:eastAsia="Arial" w:hAnsi="Arial"/>
          <w:sz w:val="17"/>
          <w:szCs w:val="17"/>
          <w:color w:val="auto"/>
        </w:rPr>
        <w:t>MAA to the EMA for solriamfetol. We cannot predict whether our solriamfetol MAA will be approved in a timely manner, or at all. Our ability to realize the anticipated benefits from our investment in Sunosi is subject to a number of risks and uncertainties, including, among other things, market acceptance of Sunosi, including our ability, in a competitive retail pharmacy market, to differentiate Sunosi from other branded and generic products that treat EDS in patients with narcolepsy with which physicians are more familiar; the availability of adequate formulary positions and pricing and adequate coverage and reimbursement by government programs and other third party payors, including the impact of any delays in coverage decisions by payors; restrictions on permitted promotional activities based on any additional limitations on the labeling for the product that may be required by the FDA in the future and any such limitations that may be required by the EC or other regulatory authority on any approved labeling; market acceptance of Sunosi; delays or problems in the supply or manufacture of Sunosi; and our ability to satisfy the FDA’s post-marketing requirements and other post-marketing requirements or commitments, if any, imposed by the EC in connection with its potential marketing authorization. If we are unable to successfully launch and commercialize Sunosi in the U.S., if we are unable to obtain approval of our solriamfetol MAA in a timely manner, or at all, if the EC requires product labeling that negatively impacts patient, physician or payor acceptance of the product, or if sales of Sunosi in the U.S. and in the EU (if approved) do not reach the levels we expect, our anticipated revenue from the product will be negatively affected, which could have a material adverse effect on our business, financial condition, results of operations and growth prospects.</w:t>
      </w:r>
    </w:p>
    <w:p>
      <w:pPr>
        <w:spacing w:after="0" w:line="7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i w:val="1"/>
          <w:iCs w:val="1"/>
          <w:color w:val="auto"/>
        </w:rPr>
        <w:t xml:space="preserve">JZP-258. </w:t>
      </w:r>
      <w:r>
        <w:rPr>
          <w:rFonts w:ascii="Arial" w:cs="Arial" w:eastAsia="Arial" w:hAnsi="Arial"/>
          <w:sz w:val="16"/>
          <w:szCs w:val="16"/>
          <w:color w:val="auto"/>
        </w:rPr>
        <w:t>In March 2019, we announced positive top-line results from our Phase 3 study evaluating the efficacy and safety of JZP-258 for the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cataplexy and EDS in adult patients with narcolepsy, and we expect to submit an NDA for this product by as early as the end of 2019. We cannot predict whether we will be able to submit our planned NDA in a timely manner or at all. Any failure or delay in successfully completing necessary clinical trials and conducting other activities, including chemistry, manufacturing and controls activities, that are required to complete our planned NDA submission and obtain regulatory approval, could materially and adversely affect our growth prospects. If we submit an NDA to the FDA for approval and the FDA determines that our safety or efficacy data do not warrant marketing approval, we may be required to conduct additional clinical trials, which could be costly and time-consuming, or we may not be able to commercialize JZP-258, in which event we would not receive any return on our investment.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i w:val="1"/>
          <w:iCs w:val="1"/>
          <w:color w:val="auto"/>
        </w:rPr>
        <w:t>Other Challenges and Risks</w:t>
      </w:r>
      <w:r>
        <w:rPr>
          <w:rFonts w:ascii="Arial" w:cs="Arial" w:eastAsia="Arial" w:hAnsi="Arial"/>
          <w:sz w:val="17"/>
          <w:szCs w:val="17"/>
          <w:color w:val="auto"/>
        </w:rPr>
        <w:t>. We anticipate that we will continue to face a number of other challenges and risks to our business and our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execute our strategy in 2019 and beyond. Some of these challenges and risks are specific to our business, and others are common to companies in the pharmaceutical industry with development and commercial operations. In this regard, a key aspect of our growth strategy is our continued and growing investment in research and development activities. Our ability to successfully develop product candidates for one or more indications as well as our ability to identify new indications for existing products are subject to a number of risks and uncertainties, such as the difficulty and uncertainty of pharmaceutical product development, including the timing thereof, and the uncertainty of clinical success, such as the risk that results from preclinical studies and/or early clinical trials may not be predictive of results obtained in later and larger clinical trials. In addition, obtaining regulatory approval for product candidates is subject to the inherent uncertainty associated with the regulatory approval process, especially as we continue to increase investment in our product pipeline development projects and undertake planned regulatory submissions for our product candidates.</w:t>
      </w:r>
    </w:p>
    <w:p>
      <w:pPr>
        <w:spacing w:after="0" w:line="7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also seek to expand our business through corporate development activities. Our ability to identify and acquire, in-license or develop additional products or product candidates to grow our business are subject to a number of risks and uncertainties, including the risks associated with business combination or product or product candidate acquisition transactions, such as the challenges inherent in the integration of acquired businesses with our historical business, the increase in geographic dispersion among our centers of operation and the risks that we may acquire unanticipated liabilities along with acquired businesses or otherwise fail to realize the anticipated benefits (commercial or otherwise) from such transactions. In addition, we may not realize the anticipated benefits of our collaborations with third parties for the acquisition and development of product candidates, including as a result of the inability of a collaboration partner to obtain and maintain adequate funding to pursue development activities or our inability to agree with our collaboration partners on our respective contractual rights.</w:t>
      </w:r>
    </w:p>
    <w:p>
      <w:pPr>
        <w:spacing w:after="0" w:line="8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are increasingly experiencing pressure from third party payors to agree to discounts, rebates or other restrictive pricing terms for Xyrem. As our business becomes more complex, we may enter into rebate agreements to ensure that patients continue to have access to Xyrem, and to support the long-term success of our sleep franchise, which might result in lower net revenues for Xyrem. In addition to increasing pricing pressure from, and restrictions on reimbursement imposed by, governmental and private third party payors, due to the attention being paid globally to healthcare cost containment, drug pricing by pharmaceutical companies is currently, and is expected to continue to be, under close scrutiny by both federal and state governments, including with respect to companies that have increased the price of products after acquiring those products from other companies. In addition, REMS programs have increasingly drawn public scrutiny from the U.S. Congress, the Federal Trade Commission and the FDA, with allegations that such programs are used as a means of improperly blocking or delaying competition. If we become the subject of any future government investigation with respect to drug pricing or other business practices, including as they relate to the Xyrem REMS or otherwise, we could incur significant expense and could be distracted from operation of our business and execution of our strategy.</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Any of these risks and uncertainties could have a material adverse effect on our business, financial condition, results of operations and growth prospects.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 of these risks are discussed in greater detail, along with other risks, in “Risk Factors” in Part II, Item 1A of this Quarterly Report on Form 10-Q.</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Increase/</w:t>
            </w:r>
          </w:p>
        </w:tc>
        <w:tc>
          <w:tcPr>
            <w:tcW w:w="260" w:type="dxa"/>
            <w:vAlign w:val="bottom"/>
            <w:vMerge w:val="restart"/>
          </w:tcPr>
          <w:p>
            <w:pPr>
              <w:spacing w:after="0"/>
              <w:rPr>
                <w:sz w:val="14"/>
                <w:szCs w:val="14"/>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496,095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6 %  $</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1,026,754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936,942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10,710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Cost of product sales (excluding amortization of</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34,714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68,633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176,014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158,579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343,961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365,792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122,489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118,799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61,576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54,959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118,461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107,966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42,896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N/A(1)</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w w:val="94"/>
              </w:rPr>
              <w:t>Acquired in-process research and development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N/A(1)</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58,200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40,251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Loss on extinguishment and modification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N/A(1)</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36,524</w:t>
            </w:r>
          </w:p>
        </w:tc>
        <w:tc>
          <w:tcPr>
            <w:tcW w:w="100" w:type="dxa"/>
            <w:vAlign w:val="bottom"/>
          </w:tcPr>
          <w:p>
            <w:pPr>
              <w:spacing w:after="0"/>
              <w:rPr>
                <w:sz w:val="21"/>
                <w:szCs w:val="21"/>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N/A(1)</w:t>
            </w:r>
          </w:p>
        </w:tc>
        <w:tc>
          <w:tcPr>
            <w:tcW w:w="980" w:type="dxa"/>
            <w:vAlign w:val="bottom"/>
          </w:tcPr>
          <w:p>
            <w:pPr>
              <w:jc w:val="right"/>
              <w:spacing w:after="0"/>
              <w:rPr>
                <w:sz w:val="20"/>
                <w:szCs w:val="20"/>
                <w:color w:val="auto"/>
              </w:rPr>
            </w:pPr>
            <w:r>
              <w:rPr>
                <w:rFonts w:ascii="Arial" w:cs="Arial" w:eastAsia="Arial" w:hAnsi="Arial"/>
                <w:sz w:val="18"/>
                <w:szCs w:val="18"/>
                <w:color w:val="auto"/>
              </w:rPr>
              <w:t>(49,534)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55,670</w:t>
            </w:r>
          </w:p>
        </w:tc>
        <w:tc>
          <w:tcPr>
            <w:tcW w:w="10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 of investees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(1) Comparison to prior period not meaningful.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product sales, royalties and contract revenues, and total revenues (in thousands, except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413,212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781,529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672,785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27,622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58,713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88,521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109,340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40,498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75,559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Vyxeos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31,362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27,951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60,305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54,179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25,079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6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523,423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496,095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1,026,754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936,942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534,133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500,479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1,042,319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945,092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Xyrem product sales increased in the three and six months ended June 30, 2019 compared to the same periods in 2018 due to a higher average net selling price and, to a lesser extent, an increase in sales volume. Price increases were instituted in January 2019 and January 2018. Xyrem product sales volume increased by 5% in the three and six months ended June 30, 2019 compared to the same periods in 2018 primarily driven by an increase in the average number of patients on Xyrem. Erwinaze/Erwinase product sales decreased in the three and six months ended June 30, 2019 compared to the same periods in 2018 primarily due to a decrease in product availability. Ongoing supply challenges at PBL continue to negatively impact our ability to supply the market. We have been experiencing, and continue to experience, supply disruptions globally and expect further supply disruptions during 2019 and 2020. Defitelio/defibrotide product sales increased in the three and six months ended June 30, 2019 compared to the same periods in 2018 primarily due to higher volumes as a result of increased use by transplant centers that treat adult and pediatric patients. Vyxeos product sales increased in the three and six months ended June 30, 2019 compared to the same periods in 2018 following the commercial launch in the EU in September 2018. Other product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sales decreased in the three and six months ended June 30, 2019 compared to the same periods in 2018 primarily due to the sale of our rights to Prialt to TerSera Therapeutics LLC, or TerSera, in September 2018. We expect total product sales will increase in 2019 over 2018, primarily due to expected growth in sales of Xyrem, Defitelio and Vyxeos.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Royalties and contract revenues increased in the three and six months ended June 30, 2019 compared to the same periods in 2018 due to higher contract revenues from out-licensing agreements resulting from a regulatory approval milestone. We expect royalties and contract revenues to increase in 2019 compared to 2018, due to higher contract revenues from out-licensing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Cost of product sales decreased in the three and six months ended June 30, 2019 compared to the same periods in 2018 primarily due to product mix. Gross margin as a percentage of net product sales was 94.7% and 94.0% in the three and six months ended June 30, 2019, respectively, compared to 93.0% and 92.7% for the same periods in 2018. The increase in the gross margin percentage in the three and six months ended June 30, 2019 was primarily due to a change in product mix. We do not expect our gross margin as a percentage of net product sales to change materially in 2019 compared to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Selling, general and administrative expenses increased in the three months ended June 30, 2019 compared to the same period in 2018 primarily due to higher expenses related to the launch of Sunosi in the U.S., an increase in compensation-related expenses driven by higher headcount, and an increase in other expenses related to the expansion and support of our business. Selling, general and administrative expenses decreased in the six months ended June 30, 2019 compared to the same period in 2018 primarily due to the loss contingency of $57.0 million recorded in the 2018 period. In April 2019, we finalized a settlement agreement with the DOJ and the OIG. For a further description of this matter, see Note 11, Commitments and Contingencies—Other Contingencies of the Notes to Condensed Consolidated Financial Statements included in Part I, Item 1 of this Quarterly Report on Form 10-Q. We expect selling, general and administrative expenses in 2019 to increase compared to 2018, primarily due to an increase in compensation-related expenses driven by higher headcount, other expenses related to the expansion and support of our business and an increase in expenses related to the commercial launch of Sunosi in the U.S., the continuation of the commercial launch of Vyxeos in the EU and the preparation for the planned commercial launch of Sunosi in the EU.</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milestone payments and other research and development costs. Clinical studies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studies and outside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33,034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63,265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20,855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42,165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35,248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Milestone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8,495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17,059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12,163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62,384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122,489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118,799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Research and development expenses increased by $6.3 million and $3.7 million in the three and six months ended June 30, 2019, respectively, compared to the same periods in 2018. Clinical studies and outside services costs increased by $0.8 million and $2.9 million for the three and six months ended June 30, 2019, respectively, compared to the same periods in 2018 primarily due to an increase in expenses related to our ongoing pre-clinical and clinical development programs and regulatory activities. Personnel expenses increased by $2.8 million and $6.9 million in the three and six months ended June 30, 2019 compared to the same periods in 2018, primarily due to increased headcount in support of our development programs. Milestone expense of $11.0 million in the six months ended June 30, 2018 related to milestone payments following FDA acceptance of our NDA for solriamfetol in March 2018.</w:t>
      </w:r>
    </w:p>
    <w:p>
      <w:pPr>
        <w:spacing w:after="0" w:line="57" w:lineRule="exact"/>
        <w:rPr>
          <w:sz w:val="20"/>
          <w:szCs w:val="20"/>
          <w:color w:val="auto"/>
        </w:rPr>
      </w:pPr>
    </w:p>
    <w:p>
      <w:pPr>
        <w:ind w:right="80" w:firstLine="432"/>
        <w:spacing w:after="0" w:line="219" w:lineRule="exact"/>
        <w:rPr>
          <w:sz w:val="20"/>
          <w:szCs w:val="20"/>
          <w:color w:val="auto"/>
        </w:rPr>
      </w:pPr>
      <w:r>
        <w:rPr>
          <w:rFonts w:ascii="Arial" w:cs="Arial" w:eastAsia="Arial" w:hAnsi="Arial"/>
          <w:sz w:val="16"/>
          <w:szCs w:val="16"/>
          <w:color w:val="auto"/>
        </w:rPr>
        <w:t>For 2019 and beyond, we expect that our research and development expenses will continue to increase from historical levels, particularly as we prepare for anticipated regulatory submissions and data read-outs from clinical trials, initiate and undertake additional clinical trials and related development work and potentially acquire rights to additional product candidates. A discussion of the risks and uncertainties with respect to our research and development activities, including completing the development of and regulatory submissions for our product candidates, and the consequences to our business, financial position and growth prospects can be found in “Risk Factors” in Part II, Item 1A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Intangible asset amortization increased by $6.6 million and $10.5 million in the three and six months ended June 30, 2019, respectively, compared to the same periods in 2018, primarily due to the reduction in the estimated remaining useful life of the Erwinaze intangible asset resulting from the contract termination notice we received from PBL in February 2019, partially offset by the cessation of amortization of the Prialt intangible asset following our entry into an Asset Purchase Agreement, or APA, with TerSera in 2018. Intangible asset amortization is expected to increase in 2019 compared to 2018 as a result of the reduction in the estimated remaining useful life of the Erwinaze intangible asset.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17"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In June 2018, we entered into an APA with TerSera, pursuant to which TerSera purchased substantially all of the assets held by us related to Prialt. In connection with the entry into the APA, we reclassified the Prialt assets to be transferred to TerSera as assets held for sale and recorded these assets at fair value, less estimated sales costs, resulting in the recognition of an impairment charge of $42.9 million in the three and six months ended June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Acquired IPR&amp;D expense in the six months ended June 30, 2019 primarily related to an upfront payment of $56.0 million to Codiak in connection with our strategic collaboration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Interest expense, net decreased by $1.4 million and $4.1 million in the three and six months ended June 30, 2019, respectively, compared to the same periods in 2018, primarily due to higher interest income. We expect interest expense, net will be lower in 2019 compared to 2018, primarily due to higher interest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The foreign exchange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and Modification of Debt</w:t>
      </w:r>
    </w:p>
    <w:p>
      <w:pPr>
        <w:spacing w:after="0" w:line="11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In the three and six months ended June 30, 2018, we recorded a loss of $1.4 million in connection with the amendment of our 2015 credit agreement in June 2018, related to unamortized debt issuance costs and original issue discount associated with extinguished debt and new third party fees associated with modified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income tax benefit was $78.7 million and $49.5 million in the three and six months ended June 30, 2019, respectively, compared to an income tax provision of $36.5 million and $55.7 million for the same periods in 2018. The effective tax rates were (42.7)% and (16.5)% in the three and six months ended June 30, 2019, respectively, compared to 28.2%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28.6% for the same periods in 2018. The income tax benefit for the three and six months ended June 30, 2019 includes a discrete tax benefit of $112.3 million resulting from an intra-entity intellectual property asset transfer. The tax benefit, which represents a deferred future benefit, was recorded as a deferred tax asset. The decrease in the effective tax rates for the three and six months ended June 30, 2019 compared to the same periods in 2018 was primarily due to the impact of the intra-entity intellectual property asset transfer Excluding this effect, the decrease in the effective tax rate for the three months ended June 30, 2019 compared to the same period in 2018 was primarily due to the impairment charge recognized on the Prialt assets held for sale in 2018 and the decrease in the effective tax rate for the six months ended June 30, 2019 compared to the same period in 2018 was primarily due to the impairment charge recognized on the Prialt assets held for sale and the impact of the loss contingency expense in 2018. The effective tax rates for the three and six months ended June 30, 2019 were lower than the Irish statutory rate of 12.5%, primarily due to the impact of the intra-entity intellectual property asset transfer.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Investees</w:t>
      </w:r>
    </w:p>
    <w:p>
      <w:pPr>
        <w:spacing w:after="0" w:line="11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Equity in loss of investees relates to our share in the loss of companies in which we have made investments accounted for under the equity method of accounting.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June 30, 2019, we had cash, cash equivalents and investments of $0.9 billion, borrowing availability under our revolving credit facility of $1.6 billion and long-term debt principal balance of $1.8 billion. Our long-term debt included $634.3 million aggregate principal amount term loan, $575.0 million principal amount of our 1.875% exchangeable senior notes due 2021 and $575.0 million principal amount of our 1.50% exchangeable senior notes due 2024. We generated cash flows from operations of $351.1 million during the six months ended June 30, 2019, and we expect to continue to generate positive cash flows from operations during 2019.</w:t>
      </w:r>
    </w:p>
    <w:p>
      <w:pPr>
        <w:spacing w:after="0" w:line="8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II, Item 1A of this Quarterly Report on Form 10-Q under the headings “Risks Related to Xyrem and Our Other Marketed Products” and </w:t>
      </w:r>
      <w:r>
        <w:rPr>
          <w:rFonts w:ascii="Arial" w:cs="Arial" w:eastAsia="Arial" w:hAnsi="Arial"/>
          <w:sz w:val="17"/>
          <w:szCs w:val="17"/>
          <w:i w:val="1"/>
          <w:iCs w:val="1"/>
          <w:color w:val="auto"/>
        </w:rPr>
        <w:t>“To continue to grow our business, we will need to commit substantial resources, which could result in future losses or otherwise limit our opportunities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 affect our ability to operate our business.” </w:t>
      </w:r>
      <w:r>
        <w:rPr>
          <w:rFonts w:ascii="Arial" w:cs="Arial" w:eastAsia="Arial" w:hAnsi="Arial"/>
          <w:sz w:val="17"/>
          <w:szCs w:val="17"/>
          <w:color w:val="auto"/>
        </w:rPr>
        <w:t>Our assumptions may prove to be wrong or other factors may adversely affect our business, and as a result we</w:t>
      </w:r>
      <w:r>
        <w:rPr>
          <w:rFonts w:ascii="Arial" w:cs="Arial" w:eastAsia="Arial" w:hAnsi="Arial"/>
          <w:sz w:val="17"/>
          <w:szCs w:val="17"/>
          <w:i w:val="1"/>
          <w:iCs w:val="1"/>
          <w:color w:val="auto"/>
        </w:rPr>
        <w:t xml:space="preserve"> </w:t>
      </w:r>
      <w:r>
        <w:rPr>
          <w:rFonts w:ascii="Arial" w:cs="Arial" w:eastAsia="Arial" w:hAnsi="Arial"/>
          <w:sz w:val="17"/>
          <w:szCs w:val="17"/>
          <w:color w:val="auto"/>
        </w:rPr>
        <w:t>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7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Any equity financing would be dilutive to our shareholders, and the consent of the lenders under the amended credit agreement could be required for certain financings.</w:t>
      </w:r>
    </w:p>
    <w:p>
      <w:pPr>
        <w:spacing w:after="0" w:line="74"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November 2016, our board of directors authorized a new share repurchase program pursuant to which we were authorized to repurchase a number of ordinary shares having an aggregate purchase price of up to $300 million, exclusive of any brokerage commissions. In November and December 2018, our board of directors increased the existing share repurchase program authorization by $320.0 million and $400.0 million, respectively, thereby increasing the total amount authorized to $1.02 billion.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our amended credit agreement, corporate and regulatory requirements and market conditions. The repurchase program may be modified, suspended or discontinued at any time without prior notice. In the six months ended June 30, 2019, we spent a total of $171.1 million to purchase 1.3 million of our ordinary shares under the share repurchase program at an average total purchase price, including commissions, of $131.17 per share. All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repurchased were canceled. As of June 30, 2019, the remaining amount authorized under the share repurchase program was $208.0 million.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6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351,100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359,333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163,414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(242,733)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1,148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328,117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Net cash provided by operating activities of $351.1 million for the six months ended June 30, 2019 related to net income of $347.1 million, adjusted for acquired IPR&amp;D expense of $58.2 million and non-cash items of $52.3 million primarily related to intangible asset amortization, share-based compensation expense and deferred income taxes, offset by a net cash outflow of $106.5 million related to changes in operating assets and liabilities. Net cash provided by operating activities of $359.3 million for the six months ended June 30, 2018 related to net income of $138.3 million, adjusted for non-cash items of $213.4 million primarily related to intangible asset amortization, share-based compensation expense, impairment charges and a net cash inflow of $7.6 million related to changes in operating assets and liabilities.</w:t>
      </w:r>
    </w:p>
    <w:p>
      <w:pPr>
        <w:spacing w:after="0" w:line="8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Net cash provided by investing activities for the six months ended June 30, 2019 primarily related to the net proceeds on maturity of investments of $269.0 million, partially offset by upfront payments for acquired IPR&amp;D of $58.2 million primarily related to our strategic collaboration agreement with Codiak, milestone payments of $25.5 million triggered by FDA approval of Sunosi in March 2019 and subsequent U.S. DEA scheduling in June 2019 and purchases of property and equipment of $21.9 million. Net cash used in investing activities for the six months ended June 30, 2018 primarily related to the net acquisition of investments of $120.4 million, acquisition of intangible assets of $111.1 million related to the purchase of a Priority Review Voucher and purchases of property and equipment of $11.3 million.</w:t>
      </w:r>
    </w:p>
    <w:p>
      <w:pPr>
        <w:spacing w:after="0" w:line="85"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Net cash used in financing activities for the six months ended June 30, 2019 primarily related to repurchase of ordinary shares under our share repurchase program of $171.1 million, repayment of our term loan principal of $16.7 million and payment of employee withholding taxes of $14.8 million related to share-based awards, partially offset by proceeds from employee equity incentive and purchase plans of $16.1 million. Net cash used in financing activities for the six months ended June 30, 2018 primarily related to repurchase of ordinary shares under our share repurchase program of $55.6 million, payment of employee withholding taxes of $16.0 million related to share-based awards, repayment of our term loan principal of $9.0 million and payment of debt modification costs of $6.4 million, partially offset by proceeds from employee equity incentive and purchase plans of $67.1 million and proceeds from tenant improvement allowance on a build-to-suit lease of $1.3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summary of our outstanding indebtedness under our financing arrangements is included in Note 9, Debt, of the Notes to Condensed Consolidated Financial Statements included in Part I, Item 1 of this Quarterly Report on Form 10-Q. As of June 30, 2019, no amounts were outstanding under our revolving credit facility. During the six months ended June 30, 2019, there were no material changes to our credit agreement and the Exchangeable Senior Notes, as set forth in Note 11, Debt, of the Notes to Consolidated Financial Statements included in our Annual Report on Form 10-K for the year ended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During the three and six months ended June 30, 2019, there were no material changes to our contractual obligations as set forth in Part II, Item 7 “Management’s Discussion and Analysis of Financial Condition and Results of Operations” in our Annual Report on Form 10-K for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estimates and assumptions are required in determining the amounts to be deducted from gross revenues, in particular estimates of government rebates, which include Medicaid and TRICARE rebates, and estimated product returns. Significant estimates and assumptions are also required to determine whether to capitalize intangible assets, the amortization periods for identifiable intangible assets, the potential impairment of goodwill and other intangible assets, income taxes and share-based compensation.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Annual Report on Form 10-K for the year ended December 31, 2018. Except for the operating leases and financing obligations policy that was updated as a result of adopting Accounting Standards Update No. 2016-02, “Leases”, our critical accounting policies and significant estimates have not changed substantially from those previously disclosed in our Annual Report on Form 10-K for the year ended December 31,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27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During the three and six months ended June 30, 2019, there were no material changes to our market risk disclosures as set forth in Part II, Item 7A “Quantitative and Qualitative Disclosures About Market Risk” in our Annual Report on Form 10-K for the year ended December 31, 2018.</w:t>
      </w:r>
    </w:p>
    <w:p>
      <w:pPr>
        <w:spacing w:after="0" w:line="22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We have carried out an evaluation under the supervision and with the participation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principal executive officer and principal financial officer, of our disclosure controls and procedures (as defined in Rule 13a-15(e) of the Securities Exchange Act of 1934, as amended) as of the end of the period covered by this Quarterly Report on Form 10-Q. Based on their evaluation, our principal executive officer and principal financial officer concluded that our disclosure controls and procedures were effective as of June 30, 2019.</w:t>
      </w:r>
    </w:p>
    <w:p>
      <w:pPr>
        <w:spacing w:after="0" w:line="4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our disclosure controls and procedures were effective to provide reasonable assurance that the objectives of our disclosure control system were met.</w:t>
      </w:r>
    </w:p>
    <w:p>
      <w:pPr>
        <w:spacing w:after="0" w:line="12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June 30, 2019, there have been no changes to our internal control over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reporting that have materially affected, or are reasonably likely to materially affect, our internal control over financial reporting.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920" w:firstLine="405"/>
        <w:spacing w:after="0" w:line="342" w:lineRule="auto"/>
        <w:rPr>
          <w:sz w:val="20"/>
          <w:szCs w:val="20"/>
          <w:color w:val="auto"/>
        </w:rPr>
      </w:pPr>
      <w:r>
        <w:rPr>
          <w:rFonts w:ascii="Arial" w:cs="Arial" w:eastAsia="Arial" w:hAnsi="Arial"/>
          <w:sz w:val="16"/>
          <w:szCs w:val="16"/>
          <w:color w:val="auto"/>
        </w:rPr>
        <w:t>The information required to be set forth under this Item 1 is incorporated by reference to Note 11, Commitments and Contingencies—Other Contingencies of the Notes to Condensed Consolidated Financial Statements included in Part I, Item 1 of this Quarterly Report on Form 10-Q.</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60" w:firstLine="432"/>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Xyrem and Our Other Marketed Products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Xyrem is our largest selling product, and our inability to maintain or increase sales of Xyrem would have a material adverse effect on our business, financial condition, results of operations and growth prospects.</w:t>
      </w:r>
    </w:p>
    <w:p>
      <w:pPr>
        <w:spacing w:after="0" w:line="62" w:lineRule="exact"/>
        <w:rPr>
          <w:sz w:val="20"/>
          <w:szCs w:val="20"/>
          <w:color w:val="auto"/>
        </w:rPr>
      </w:pPr>
    </w:p>
    <w:p>
      <w:pPr>
        <w:ind w:right="60" w:firstLine="432"/>
        <w:spacing w:after="0" w:line="254" w:lineRule="auto"/>
        <w:rPr>
          <w:sz w:val="20"/>
          <w:szCs w:val="20"/>
          <w:color w:val="auto"/>
        </w:rPr>
      </w:pPr>
      <w:r>
        <w:rPr>
          <w:rFonts w:ascii="Arial" w:cs="Arial" w:eastAsia="Arial" w:hAnsi="Arial"/>
          <w:sz w:val="17"/>
          <w:szCs w:val="17"/>
          <w:color w:val="auto"/>
        </w:rPr>
        <w:t>Xyrem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(sodium oxybate) oral solution is the only product approved by the U.S. Food and Drug Administration, or FDA, and marketed in the U.S. for the treatment of both cataplexy and excessive daytime sleepiness, or EDS, in both adult and pediatric patients with narcolepsy. Xyrem is our largest selling product, and our financial results are significantly influenced by sales of Xyrem, which accounted for 79% and 76% of our net product sales for the three and six months ended June 30, 2019, respectively, and 75% of our net product sales for the year ended December 31, 2018. Our future plans assume that sales of Xyrem will increase, but there is no guarantee that we can maintain sales of Xyrem at or near current levels, or that Xyrem sales will continue to grow. We have periodically increased the price of Xyrem, most recently in July 2019, and there is no guarantee that price adjustments we have taken or may take in the future will not negatively affect Xyrem sales volumes and revenues from Xyrem.</w:t>
      </w:r>
    </w:p>
    <w:p>
      <w:pPr>
        <w:spacing w:after="0" w:line="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ability to maintain or increase Xyrem product sales is subject to a number of risks and uncertainties. The most important of these risks and uncertainties, any of which could have a material adverse effect on our sales of and revenue from Xyrem, are discussed in more detail in this Part II, Item 1A and include those related to:</w:t>
      </w:r>
    </w:p>
    <w:p>
      <w:pPr>
        <w:spacing w:after="0" w:line="73" w:lineRule="exact"/>
        <w:rPr>
          <w:sz w:val="20"/>
          <w:szCs w:val="20"/>
          <w:color w:val="auto"/>
        </w:rPr>
      </w:pPr>
    </w:p>
    <w:p>
      <w:pPr>
        <w:ind w:left="720" w:right="360" w:hanging="320"/>
        <w:spacing w:after="0" w:line="21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Xyrem in the treatment of cataplexy and/or EDS in narcolepsy, including our recently-launched product, Sunosi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(solriamfetol);</w:t>
      </w:r>
    </w:p>
    <w:p>
      <w:pPr>
        <w:spacing w:after="0" w:line="1" w:lineRule="exact"/>
        <w:rPr>
          <w:rFonts w:ascii="Arial" w:cs="Arial" w:eastAsia="Arial" w:hAnsi="Arial"/>
          <w:sz w:val="18"/>
          <w:szCs w:val="18"/>
          <w:color w:val="auto"/>
        </w:rPr>
      </w:pPr>
    </w:p>
    <w:p>
      <w:pPr>
        <w:ind w:left="720" w:right="100" w:hanging="320"/>
        <w:spacing w:after="0" w:line="264"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introduction of a generic version of Xyrem in the U.S. market before the entry dates specified in our settlements with the abbreviated new drug application, or ANDA, filers or on terms that are different from those contemplated by the settlement agreements;</w:t>
      </w:r>
    </w:p>
    <w:p>
      <w:pPr>
        <w:ind w:left="720" w:right="20" w:hanging="320"/>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pricing pressure from, changes in policies by, or restrictions on reimbursement imposed by, third party payors, including pressure to agree to discounts, rebates or other restrictive pricing terms for Xyrem;</w:t>
      </w:r>
    </w:p>
    <w:p>
      <w:pPr>
        <w:ind w:left="720" w:hanging="320"/>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healthcare laws and policy, including changes in requirements for patient assistance programs, rebates, reimbursement and coverage by federal healthcare programs, and changes resulting from increased scrutiny on pharmaceutical pricing and risk evaluation and mitigation strategy, or REMS, programs by government entities;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to or uncertainties around our Xyrem REMS, or any failure to comply with our REMS obligations to the satisfaction of the FDA;</w:t>
      </w:r>
    </w:p>
    <w:p>
      <w:pPr>
        <w:spacing w:after="0" w:line="20" w:lineRule="exact"/>
        <w:rPr>
          <w:rFonts w:ascii="Arial" w:cs="Arial" w:eastAsia="Arial" w:hAnsi="Arial"/>
          <w:sz w:val="17"/>
          <w:szCs w:val="17"/>
          <w:color w:val="auto"/>
        </w:rPr>
      </w:pPr>
    </w:p>
    <w:p>
      <w:pPr>
        <w:ind w:left="720" w:right="80" w:hanging="320"/>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to our intellectual property around Xyrem, including the possibility of new ANDA or new drug application, or NDA, filers or new post-grant patent review proceedings;</w:t>
      </w:r>
    </w:p>
    <w:p>
      <w:pPr>
        <w:ind w:left="720" w:hanging="320"/>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operational disruptions at the Xyrem central pharmacy;</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supply or manufacturing problems, including any problems with our sole source Xyrem active pharmaceutical ingredient, or API, provider;</w:t>
      </w:r>
    </w:p>
    <w:p>
      <w:pPr>
        <w:spacing w:after="0" w:line="20" w:lineRule="exact"/>
        <w:rPr>
          <w:rFonts w:ascii="Arial" w:cs="Arial" w:eastAsia="Arial" w:hAnsi="Arial"/>
          <w:sz w:val="17"/>
          <w:szCs w:val="17"/>
          <w:color w:val="auto"/>
        </w:rPr>
      </w:pPr>
    </w:p>
    <w:p>
      <w:pPr>
        <w:ind w:left="720" w:hanging="320"/>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continued acceptance of Xyrem by physicians and patients, including as a result of negative publicity that surfaces from time to time; and</w:t>
      </w:r>
    </w:p>
    <w:p>
      <w:pPr>
        <w:spacing w:after="0" w:line="20" w:lineRule="exact"/>
        <w:rPr>
          <w:rFonts w:ascii="Arial" w:cs="Arial" w:eastAsia="Arial" w:hAnsi="Arial"/>
          <w:sz w:val="17"/>
          <w:szCs w:val="17"/>
          <w:color w:val="auto"/>
        </w:rPr>
      </w:pPr>
    </w:p>
    <w:p>
      <w:pPr>
        <w:ind w:left="720" w:hanging="320"/>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to our label, including new safety warnings or changes to our boxed warning, that further restrict how we market and sell Xyrem.</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If sales of Xyrem were to decline significantly, we might need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introduction of a new product in the U.S. market that competes with, or otherwise disrupts the market for, Xyrem would adversely affect sales of Xyrem.</w:t>
      </w:r>
    </w:p>
    <w:p>
      <w:pPr>
        <w:spacing w:after="0" w:line="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While Xyrem is currently the only product approved by the FDA and marketed in the U.S. for the treatment of both cataplexy and EDS in patients with narcolepsy, we and others have launched and may in the future launch products as treatment options in cataplexy and/or EDS in narcolepsy, including other branded sodium oxybate products and other new and existing branded market entrants. In addition, Xyrem will face competition from generics and authorized generics. We expect that the approval and launch of any other sodium oxybate or alternative product that treats narcolepsy, or the launch of an authorized generic product, or AG Product, or other generic version of Xyrem, could have a material adverse effect on our sales of and revenues from Xyrem and on our business, financial condition, results of operations and growth prospects.</w:t>
      </w:r>
    </w:p>
    <w:p>
      <w:pPr>
        <w:spacing w:after="0" w:line="8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With respect to generic and authorized generic competition, nine companies sent us notices that they filed ANDAs with the FDA seeking approval to market a generic version of Xyrem, and we filed patent lawsuits against each of them, asserting that such generic products would violate our patents covering Xyrem. As of October 2018, we have settled patent litigation with all nine companies. In our settlement with the first filer, West-Ward Pharmaceuticals Corp. (a wholly owned subsidiary of Hikma Pharmaceuticals PLC), or West-Ward, we granted West-Ward the right to sell an AG Product in the U.S. beginning on January 1, 2023, or earlier under certain circumstances. These include circumstances related to the licensing or market entry of another generic sodium oxybate product, a final decision that all unexpired claims of the Xyrem patents are invalid and/or unenforceable, or a substantial reduction in Xyrem net sales over specified periods of time. West-Ward has a right to elect to continue to sell the West-Ward AG Product for a total of up to five years. We also granted West-Ward a license to launch its own generic sodium oxybate product as early as six months after it has the right to sell the West-Ward AG Product, but if it elects to begin selling its own generic product, it cannot continue to sell the West-Ward AG Product. In our settlements with Amneal Pharmaceuticals LLC, or Amneal, Lupin Inc., or Lupin, and Par Pharmaceutical, Inc., or Par, we granted each party the right to sell a limited volume of an AG Product in the U.S. beginning on July 1, 2023, or earlier under certain circumstances, including events related to the acceleration of West-Ward’s AG Product launch date, the earlier launch of another party’s AG Product, the launch of another generic sodium oxybate product or a final decision that all unexpired claims of the Xyrem patents are invalid and/or unenforceable. We also granted each of Amneal, Lupin and Par a license to launch its own generic sodium oxybate product under its ANDA on or after December 31, 2025, or earlier under certain circumstances, including events related to the launch of another generic sodium oxybate product or a final decision that all unexpired claims of the Xyrem patents are not infringed, or are invalid and/or unenforceable. If an acceleration event occurs, then each of Amneal, Par and Lupin will have the option to elect to market its AG Product until December 31, 2025, but will not be entitled to market its AG Product and its own generic sodium oxybate product simultaneously. Under the terms of our settlement agreements, we are entitled to receive royalty and other revenue based on sales of AG Products. In our settlements with each of the other five ANDA filers, we granted each a license to launch its own generic sodium oxybate product under its ANDA on or after December 31, 2025, or earlier under certain circumstances, including the launch of another generic sodium oxybate product.</w:t>
      </w:r>
    </w:p>
    <w:p>
      <w:pPr>
        <w:spacing w:after="0" w:line="279"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order to launch a generic sodium oxybate product, an ANDA filer must obtain and maintain FDA approval of its ANDA. In January 2017, the FDA approved West-Ward’s ANDA and tentatively approved two additional ANDAs for generic sodium oxybate products, and we believe that it is likely that the FDA will approve or tentatively approve the additional ANDAs that have been filed.</w:t>
      </w:r>
    </w:p>
    <w:p>
      <w:pPr>
        <w:spacing w:after="0" w:line="73"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Any ANDA holder launching an AG Product or another generic sodium oxybate product will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may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royalty and other revenue based on sales of an AG Product in accordance with the terms of our settlement agreements. For more information on the impact of generic competition, see the risk factors under the heading “</w:t>
      </w:r>
      <w:r>
        <w:rPr>
          <w:rFonts w:ascii="Arial" w:cs="Arial" w:eastAsia="Arial" w:hAnsi="Arial"/>
          <w:sz w:val="17"/>
          <w:szCs w:val="17"/>
          <w:i w:val="1"/>
          <w:iCs w:val="1"/>
          <w:color w:val="auto"/>
        </w:rPr>
        <w:t>Adequate coverage and reimbursement from third party</w:t>
      </w:r>
      <w:r>
        <w:rPr>
          <w:rFonts w:ascii="Arial" w:cs="Arial" w:eastAsia="Arial" w:hAnsi="Arial"/>
          <w:sz w:val="17"/>
          <w:szCs w:val="17"/>
          <w:color w:val="auto"/>
        </w:rPr>
        <w:t xml:space="preserve"> </w:t>
      </w:r>
      <w:r>
        <w:rPr>
          <w:rFonts w:ascii="Arial" w:cs="Arial" w:eastAsia="Arial" w:hAnsi="Arial"/>
          <w:sz w:val="17"/>
          <w:szCs w:val="17"/>
          <w:i w:val="1"/>
          <w:iCs w:val="1"/>
          <w:color w:val="auto"/>
        </w:rPr>
        <w:t>payors may not be available for our products, which could diminish our sales or affect our ability to sell our products profitably</w:t>
      </w:r>
      <w:r>
        <w:rPr>
          <w:rFonts w:ascii="Arial" w:cs="Arial" w:eastAsia="Arial" w:hAnsi="Arial"/>
          <w:sz w:val="17"/>
          <w:szCs w:val="17"/>
          <w:color w:val="auto"/>
        </w:rPr>
        <w:t>” and “</w:t>
      </w:r>
      <w:r>
        <w:rPr>
          <w:rFonts w:ascii="Arial" w:cs="Arial" w:eastAsia="Arial" w:hAnsi="Arial"/>
          <w:sz w:val="17"/>
          <w:szCs w:val="17"/>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Arial" w:cs="Arial" w:eastAsia="Arial" w:hAnsi="Arial"/>
          <w:sz w:val="17"/>
          <w:szCs w:val="17"/>
          <w:color w:val="auto"/>
        </w:rPr>
        <w:t>in this Part II, Item 1A.</w:t>
      </w:r>
    </w:p>
    <w:p>
      <w:pPr>
        <w:spacing w:after="0" w:line="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For example, the launch dates in our settlement agreements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would be accelerated if a new ANDA filer were to obtain a final decision prior to January 1, 2023 that all unexpired claims of the Xyrem patents are invalid and/or unenforceable.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if, for example, we are unable to obtain an injunction or because that party launches “at risk” of being held liable for damages for patent infringement. It is also possible that we could enter into a settlement agreement with a future ANDA filer that would permit such filer to enter the market on or prior to the launch date(s) in our settlement agreements. If a company launches a generic or authorized generic sodium oxybate product in any of these scenarios, except in limited circumstances related to an “at risk” launch, the launch date for West-Ward’s AG Product would be accelerated to a date on or prior to the date of such entry, which could lead to acceleration of the other settling ANDA filers’ AG Product and generic sodium oxybate product launch dates as described above. For further discussion of Xyrem-related patent matters, see the risk factors under the heading “Risks Related to Our Intellectual Property” in this Part II, Item 1A.</w:t>
      </w:r>
    </w:p>
    <w:p>
      <w:pPr>
        <w:spacing w:after="0" w:line="7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Another circumstance that could trigger acceleration of West-Ward’s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if we introduce, or a third party introduces, a product to treat EDS or cataplexy in narcolepsy that leads to a substantial decline in Xyrem net sales prior to January 1, 2023. For example, we are developing JZP-258, an oxybate product candidate that contains 92% less sodium than Xyrem, for the treatment of cataplexy and EDS in adult patients with narcolepsy. In March 2019, we announced positive top-line results from a Phase 3 study of JZP-258, and we expect to submit an NDA for this product by as early as the end of 2019. Given the well-accepted relationship between dietary sodium and blood pressure as well as published hypertension guidelines underscoring that excessive consumption of sodium is independently associated with an increased risk of stroke, cardiovascular disease and other adverse outcomes, we believe that significantly lowering sodium intake would be beneficial for patients. Other companies may similarly develop a sodium oxybate product for treatment of narcolepsy, using an alternative formulation or a different delivery technology, and seek approval in the U.S. using an NDA approval pathway under Section 505(b)(2) and referencing the safety and efficacy data for Xyrem, which could lead to additional patent litigation or challenges. We are aware that a company called Avadel Pharmaceuticals plc, or Avadel, is conducting a Phase 3 clinical trial of a once-nightly formula of sodium oxybate which uses its proprietary technology for the treatment of EDS and cataplexy in patients with narcolepsy, and has indicated that it intends to seek approval using the Section 505(b)(2) approval pathway. Approval and successful commercialization of JZP-258, or Avadel’s sodium oxybate formulation, or any other new non-generic sodium oxybate or other product for treatment of narcolepsy patients could negatively impact our ability to maintain and grow sales of Xyrem.</w:t>
      </w:r>
    </w:p>
    <w:p>
      <w:pPr>
        <w:spacing w:after="0" w:line="73" w:lineRule="exact"/>
        <w:rPr>
          <w:sz w:val="20"/>
          <w:szCs w:val="20"/>
          <w:color w:val="auto"/>
        </w:rPr>
      </w:pPr>
    </w:p>
    <w:p>
      <w:pPr>
        <w:ind w:right="40" w:firstLine="432"/>
        <w:spacing w:after="0" w:line="275" w:lineRule="auto"/>
        <w:rPr>
          <w:sz w:val="20"/>
          <w:szCs w:val="20"/>
          <w:color w:val="auto"/>
        </w:rPr>
      </w:pPr>
      <w:r>
        <w:rPr>
          <w:rFonts w:ascii="Arial" w:cs="Arial" w:eastAsia="Arial" w:hAnsi="Arial"/>
          <w:sz w:val="16"/>
          <w:szCs w:val="16"/>
          <w:color w:val="auto"/>
        </w:rPr>
        <w:t>Although, as noted above, Xyrem is currently the only product approved by the FDA and marketed in the U.S. for the treatment of cataplexy associated with narcolepsy, we are aware that prescribers often prescribe branded or generic medications for cataplexy before prescribing or instead of prescribing Xyrem, and that payors often require patients to try such medications before they will cover Xyrem, even if they are not labeled for this use. For example, prescribers often treat mild cataplexy with drugs that have not been approved by the FDA for this indication, including tricyclic antidepressants and selective serotonin reuptake inhibitors or selective norepinephrine reuptake inhibitors. We are also aware that branded or generic stimulants may be prescribed off label for treatment of EDS in narcolepsy. Wake-promoting agents Provigil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(modafinil) and Nuvigil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(armodafinil), and their generic equivalents are labeled for treatment of EDS in narcolepsy and other conditions, and may be used in conjunction with or instead of Xyrem. Prescribers often prescribe these medications before prescribing or instead of prescribing Xyrem, and payors often require patients to try such medications before they will cover Xyrem.</w:t>
      </w:r>
    </w:p>
    <w:p>
      <w:pPr>
        <w:spacing w:after="0" w:line="71"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It is possible that additional branded or generic products may be introduced to treat symptoms of narcolepsy that will also be prescribed before or instead of Xyrem, or that payors will require patients to try before they will cover Xyrem, or that payors will exclude Xyrem from formulary coverage in favor of a newly-launched product. For more information, see the risk factor under the heading “</w:t>
      </w:r>
      <w:r>
        <w:rPr>
          <w:rFonts w:ascii="Arial" w:cs="Arial" w:eastAsia="Arial" w:hAnsi="Arial"/>
          <w:sz w:val="17"/>
          <w:szCs w:val="17"/>
          <w:i w:val="1"/>
          <w:iCs w:val="1"/>
          <w:color w:val="auto"/>
        </w:rPr>
        <w:t>Adequate coverage and reimbursement from third party</w:t>
      </w:r>
      <w:r>
        <w:rPr>
          <w:rFonts w:ascii="Arial" w:cs="Arial" w:eastAsia="Arial" w:hAnsi="Arial"/>
          <w:sz w:val="17"/>
          <w:szCs w:val="17"/>
          <w:color w:val="auto"/>
        </w:rPr>
        <w:t xml:space="preserve"> </w:t>
      </w:r>
      <w:r>
        <w:rPr>
          <w:rFonts w:ascii="Arial" w:cs="Arial" w:eastAsia="Arial" w:hAnsi="Arial"/>
          <w:sz w:val="17"/>
          <w:szCs w:val="17"/>
          <w:i w:val="1"/>
          <w:iCs w:val="1"/>
          <w:color w:val="auto"/>
        </w:rPr>
        <w:t>payors may not be available for our products, which could diminish our sales or affect our ability to sell our products profitably</w:t>
      </w:r>
      <w:r>
        <w:rPr>
          <w:rFonts w:ascii="Arial" w:cs="Arial" w:eastAsia="Arial" w:hAnsi="Arial"/>
          <w:sz w:val="17"/>
          <w:szCs w:val="17"/>
          <w:color w:val="auto"/>
        </w:rPr>
        <w:t>” in this Part II, Item 1A.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Sunosi, is an example of a new market entrant recently approved by the FDA to improve wakefulness in adult patients with EDS associated with narcolepsy or obstructive sleep apnea, or OSA. Another example is pitolisant, a drug that has already been approved in Europe to treat adult patients with narcolepsy with or without cataplexy. Published data and prescribing patterns in the European Union, or EU, suggest that pitolisant would likely be appropriately used in patients with less severe cataplexy than those treated with Xyrem. While pitolisant is not currently approved in the U.S., Harmony Biosciences LLC, which has exclusive U.S. rights to seek approval of and commercialize pitolisant, has established an expanded access program for pitolisant, received Breakthrough Therapy and Fast Track designations from the FDA and, in February 2019, announced that the FDA had accepted its pitolisant NDA for filing with priority review.</w:t>
      </w:r>
    </w:p>
    <w:p>
      <w:pPr>
        <w:spacing w:after="0" w:line="7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Non-oxybate products intended for the treatment of EDS or cataplexy in narcolepsy, even if not directly competitive with Xyrem, could have the effect of changing treatment regimens and payor coverage of Xyrem, which could materially and adversely affect sales of Xyrem.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The distribution and sale of Xyrem are subject to significant regulatory restrictions, including the requirements of a REMS, and these regulatory requirements subject us to risks and uncertainties, any of which could negatively impact sales of Xyrem.</w:t>
      </w:r>
    </w:p>
    <w:p>
      <w:pPr>
        <w:spacing w:after="0" w:line="38"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The active ingredient of Xyrem, sodium oxybate, is the sodium salt of gamma-hydroxybutyric acid, or GHB, a central nervous system depressant known to be associated with facilitated sexual assault as well as with respiratory depression and other serious side effects. As a result, the FDA requires that we maintain a REMS with elements to assure safe use, or ETASU, for Xyrem to help ensure that the benefits of the drug in the treatment of cataplexy and EDS in narcolepsy outweigh the serious risks of the drug. The REMS imposes extensive controls and restrictions on the sales and marketing of Xyrem that we are responsible for implementing. For example, under the Xyrem REMS, all of the Xyrem sold in the U.S. must be dispensed and shipped directly to patients or caregivers through a central pharmacy, and may not be stocked in retail pharmacies. Physicians and patients must complete an enrollment process prior to fulfillment of Xyrem prescriptions, and each physician and patient must receive materials concerning the serious risks associated with Xyrem before the physician can prescribe, or a patient can receive, the product. The central certified pharmacy must monitor and report instances of patient or prescriber behavior giving rise to a reasonable suspicion of abuse, misuse or diversion of Xyrem, and maintains enrollment and prescription monitoring information in a central database. Any failure to comply with our REMS obligations, or a determination by the FDA that the Xyrem REMS is not meeting its goals, could result in enforcement action by the FDA, lead to changes in our Xyrem REMS obligations, negatively affect sales of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8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While we believe that the Xyrem REMS has met its goal of mitigating the risks of serious adverse outcomes resulting from inappropriate prescribing, misuse, abuse and diversion of Xyrem, we cannot guarantee that the FDA will agree or that the Xyrem REMS will continue to do so in the future. We are required to prepare and submit regular assessments of the Xyrem REMS, and the FDA has stated that it will evaluate the REMS on an ongoing basis and will require modifications as may be appropriate. We cannot predict whether the FDA will request, seek to require or ultimately require modifications to, or impose additional requirements on, the Xyrem REMS, including in connection with the submission of applications for new oxybate products, new oxybate indications, or the introduction of authorized generics, or whether the FDA will approve modifications to the Xyrem REMS that we consider warranted in connection with the submission of applications for new oxybate products. Any modifications approved, required or rejected by the FDA could change the safety profile of Xyrem, and have a significant negative impact in terms of product liability, public acceptance of Xyrem as a treatment for cataplexy and EDS in narcolepsy, and prescribers’ willingness to prescribe, and patients’ willingness to take, Xyrem, any of which could have a material adverse effect on our Xyrem business. Modifications approved, required or rejected by the FDA could also make it more difficult or expensive for us to distribute Xyrem, make distribution easier for sodium oxybate competitors, disrupt continuity of care for Xyrem patients and/or negatively affect sales of Xyrem.</w:t>
      </w:r>
    </w:p>
    <w:p>
      <w:pPr>
        <w:spacing w:after="0" w:line="6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October 2018, the FDA approved a modification to the Xyrem REMS in connection with our submission of our pediatric supplemental NDA to include information for pediatric patients and their caregivers and, in March 2019, we completed the implementation of the approved REMS modification. We have also submitted and expect to continue to submit ongoing assessments as required by the FDA. However, we cannot guarantee that the ongoing assessments will be completed on our expected timing or be satisfactory to the FDA, or that the operation of the Xyrem REMS will satisfy the FDA’s expectations in its evaluation of the Xyrem REMS on an ongoing basis.</w:t>
      </w:r>
    </w:p>
    <w:p>
      <w:pPr>
        <w:spacing w:after="0" w:line="8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depend on outside vendors, including the central certified pharmacy, to implement the requirements of the Xyrem REMS. We have an exclusive agreement with Express Scripts Specialty Distribution Services, Inc., the central pharmacy for Xyrem, which expires on July 1, 2020. The agreement may be terminated by either party at any time without cause on 180 days’ prior written notice to the other party. If the central pharmacy fails to meet the requirements of the Xyrem REMS applicable to the central pharmacy or otherwise does not fulfill its contractual obligations to us, provides timely notice that it wants to terminate our agreement, refuses or fails to adequately serve patients, or fails to promptly and adequately address operational challenges or challenges in implementing REMS modifications, the fulfillment of Xyrem prescriptions and our sales would be adversely affected. If we change to a new central pharmacy, new contracts might be required with government payors and other insurers who pay for Xyrem, and the terms of any new contracts could be less favorable to us than current agreements. In addition, any new central pharmacy would need to be registered with the U.S. Drug Enforcement Administration, or DEA, and certified and would also need to implement the particular processes, procedures and activities necessary to distribute Xyrem under the Xyrem REMS. Transitioning to a new pharmacy could result in product shortages, which would negatively affect sales of Xyrem, result in additional costs and expenses for us and/or take a significant amount of time, any of which could materially and adversely affect our business, financial condition, results of operations and growth prospects.</w:t>
      </w:r>
    </w:p>
    <w:p>
      <w:pPr>
        <w:spacing w:after="0" w:line="72"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A generic version of a drug subject to a REMS with ETASU is required to have the same REMS as the brand drug, and generics and brands are mandated to use a single shared system REMS. However, the FDA may waive this requirement for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single shared system and approve an ANDA with a separate REMS with differing but comparable aspects of ETASU under certain circumstances. In its approval of West-Ward’s ANDA, the FDA waived the shared REMS requirement, approving West-Ward’s ANDA with a generic sodium oxybate REMS, on the condition that the generic sodium oxybate REMS be open to all future sponsors of ANDAs or NDAs for sodium oxybate products. In connection with the waiver, FDA issued a statement that it considers the generic sodium oxybate REMS to have the same ETASU as the Xyrem REMS and operationalizes those elements in a comparable manner to achieve the same level of safety as the Xyrem REMS. However, the generic sodium oxybate REMS, unlike the Xyrem REMS, permits multiple certified pharmacies and multiple databases that are connected via an electronic “switch” system. The generic sodium oxybate REMS also requires the certified pharmacies in its system to contact the Xyrem REMS program to verify that the patient has no other active prescriptions for Xyrem that overlap with the generic prescription to be filled and to identify any patient and prescriber disenrollments from the Xyrem system for suspected abuse, misuse and diversion.</w:t>
      </w:r>
    </w:p>
    <w:p>
      <w:pPr>
        <w:spacing w:after="0" w:line="74"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were not involved in development of the generic sodium oxybate REMS and were not consulted regarding any features of this REMS. A sodium oxybate distribution system that is less restrictive than the Xyrem REMS, such as the generic sodium oxybate REMS, which provides that generic sodium oxybate products and potentially sodium oxybate products approved under a Section 505(b)(2) NDA approval pathway could be distributed through multiple pharmacies, could increase the risks associated with sodium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Xyrem as a treatment for cataplexy and EDS in narcolepsy, and prescribers’ willingness to prescribe, and patients’ willingness to take, Xyrem, any of which could have a material adverse effect on our Xyrem business.</w:t>
      </w:r>
    </w:p>
    <w:p>
      <w:pPr>
        <w:spacing w:after="0" w:line="71"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We may face pressure to further modify the Xyrem REMS or to license or share intellectual property pertinent to the Xyrem REMS, including proprietary data required for the safe distribution of sodium oxybate, in connection with the FDA’s approval of the generic sodium oxybate REMS or otherwise. Our settlement agreements with ANDA filers do not directly impact the FDA’s waiver of the single shared system REMS requirement, any other ANDA filer’s ability to develop and implement the generic sodium oxybate REMS for its generic sodium oxybate product or our ability to take any action with respect to the generic sodium oxybate REMS. We cannot predict the outcome or impact on our business of any future action that we may take with respect to the FDA’s waiver of the single shared system REMS requirement, its approval and tentative approval of generic versions of Xyrem or the consequences of distribution of sodium oxybate through the generic sodium oxybate REMS approved by the FDA or another separate REMS.</w:t>
      </w:r>
    </w:p>
    <w:p>
      <w:pPr>
        <w:spacing w:after="0" w:line="59" w:lineRule="exact"/>
        <w:rPr>
          <w:sz w:val="20"/>
          <w:szCs w:val="20"/>
          <w:color w:val="auto"/>
        </w:rPr>
      </w:pPr>
    </w:p>
    <w:p>
      <w:pPr>
        <w:ind w:firstLine="432"/>
        <w:spacing w:after="0" w:line="259"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the FDA, with allegations that such programs are used as a means of improperly blocking or delaying competition. The U.S. Congress, for example, has introduced proposed legislation aimed at preventing companies from using REMS and other restricted distribution programs as a means to deny potential competitors access to product samples needed for bioequivalence testing. The FDA has stated that it will seek to coordinate with the FTC in identifying and publicizing practices the FTC finds to be anticompetitive and has further stated that the FDA has concerns related to the role of REMS programs in delaying approval of generic products. For example, in May 2018, FDA published a list of companies that it said had potentially been blocking access to the samples of their branded products, including one of our subsidiaries that sells FazaClo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(clozapine, USP) through a REMS program. It is possible that the FTC, the FDA, other governmental authorities or other third parties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the FDA expressed concern that we were aware that the Xyrem REMS could have the effect of blocking or delaying generic competition. We cannot predict whether we would face a government investigation or a complaint by a third party premised on a claim that the Xyrem REMS is blocking competition, or the outcome or impact of any such claim.</w:t>
      </w:r>
    </w:p>
    <w:p>
      <w:pPr>
        <w:spacing w:after="0" w:line="8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Pharmaceutical companies, including their agents and employees, are required to monitor adverse events occurring during the use of their products and report them to the FDA. The patient counseling and monitoring requirements of the Xyrem REMS provide more extensive information about adverse events, including deaths, than is generally available for other products that are not subject to similar REMS requirements. As required by the FDA and other regulatory agencies, the adverse event information that we collect for Xyrem is regularly reported to the FDA and could result in the FDA requiring changes to Xyrem labeling, including additional warnings or additional boxed warnings, or requiring us to take other actions that could have an adverse effect on patient and prescriber acceptance of Xyrem. As required by the FDA, Xyrem’s current labeling includes a boxed warning regarding the risk of central nervous system depression and misuse and abuse.</w:t>
      </w:r>
    </w:p>
    <w:p>
      <w:pPr>
        <w:spacing w:after="0" w:line="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Any failure to demonstrate our substantial compliance with the REMS or any other applicable regulatory requirements to the satisfaction of the FDA or another regulatory authority could result in such regulatory authorities taking actions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which could have a material adverse effect on Xyrem sales and therefore on our business, financial condition, results of operations and growth prospects. For more information, see the risk factor under the heading “</w:t>
      </w:r>
      <w:r>
        <w:rPr>
          <w:rFonts w:ascii="Arial" w:cs="Arial" w:eastAsia="Arial" w:hAnsi="Arial"/>
          <w:sz w:val="18"/>
          <w:szCs w:val="18"/>
          <w:i w:val="1"/>
          <w:iCs w:val="1"/>
          <w:color w:val="auto"/>
        </w:rPr>
        <w:t>In addition to those specifically described in other risk factors, we are subject to significant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obligations and oversight, which may result in significant additional expense and limit our ability to commercialize our products</w:t>
      </w:r>
      <w:r>
        <w:rPr>
          <w:rFonts w:ascii="Arial" w:cs="Arial" w:eastAsia="Arial" w:hAnsi="Arial"/>
          <w:sz w:val="18"/>
          <w:szCs w:val="18"/>
          <w:color w:val="auto"/>
        </w:rPr>
        <w:t>” in this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Item 1A.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While Xyrem remains our largest product, our success also depends on our ability to effectively commercialize our other products.</w:t>
      </w:r>
    </w:p>
    <w:p>
      <w:pPr>
        <w:spacing w:after="0" w:line="11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addition to Xyrem, we are commercializing a portfolio of products, including our other lead marketed products, Erwinaze, Defitelio and Vyxeos. We also are in the early stages of launching and commercializing Sunosi, which received FDA approval in March 2019 and was launched in the U.S. in July 2019. We are making significant investments in maximizing the value and therapeutic reach of Defitelio, Vyxeos and Sunosi by conducting additional research and development activities, which include generating additional supportive clinical data and seeking regulatory approval for new indications, as appropriate. Our inability to effectively commercialize Defitelio, Vyxeos and Sunosi and to maximize their potential where possible through successful research and development activities, and our inability to retain rights to Erwinaze after the current contract terminates, could have a material adverse effect on our business, financial condition, results of operations and growth prospects.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Erwinaze</w:t>
      </w:r>
    </w:p>
    <w:p>
      <w:pPr>
        <w:spacing w:after="0" w:line="117" w:lineRule="exact"/>
        <w:rPr>
          <w:sz w:val="20"/>
          <w:szCs w:val="20"/>
          <w:color w:val="auto"/>
        </w:rPr>
      </w:pPr>
    </w:p>
    <w:p>
      <w:pPr>
        <w:ind w:firstLine="432"/>
        <w:spacing w:after="0" w:line="249" w:lineRule="auto"/>
        <w:rPr>
          <w:sz w:val="20"/>
          <w:szCs w:val="20"/>
          <w:color w:val="auto"/>
        </w:rPr>
      </w:pPr>
      <w:r>
        <w:rPr>
          <w:rFonts w:ascii="Arial" w:cs="Arial" w:eastAsia="Arial" w:hAnsi="Arial"/>
          <w:sz w:val="17"/>
          <w:szCs w:val="17"/>
          <w:color w:val="auto"/>
        </w:rPr>
        <w:t>Erwinaze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(asparaginase </w:t>
      </w:r>
      <w:r>
        <w:rPr>
          <w:rFonts w:ascii="Arial" w:cs="Arial" w:eastAsia="Arial" w:hAnsi="Arial"/>
          <w:sz w:val="17"/>
          <w:szCs w:val="17"/>
          <w:i w:val="1"/>
          <w:iCs w:val="1"/>
          <w:color w:val="auto"/>
        </w:rPr>
        <w:t>Erwinia chrysanthemi</w:t>
      </w:r>
      <w:r>
        <w:rPr>
          <w:rFonts w:ascii="Arial" w:cs="Arial" w:eastAsia="Arial" w:hAnsi="Arial"/>
          <w:sz w:val="17"/>
          <w:szCs w:val="17"/>
          <w:color w:val="auto"/>
        </w:rPr>
        <w:t>) is a treatment approved in the U.S. and in certain markets in Europe (where it is marketed as Erwinase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patients with acute lymphoblastic leukemia, or ALL,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Erwinaze is licensed from, and manufactured by, a single source, Porton Biopharma Limited, or PBL, a company that is wholly owned by the UK Department of Health and Social Care. In February 2019, we received a contract termination notice from PBL. As a result of our receipt of the contract termination notice, our license and supply agreement with PBL, which includes our license for Erwinaze, will expire on December 31, 2020. We and PBL had been engaged in discussions related to entry into a replacement agreement to extend the term of our commercial relationship past 2020, but we did not reach agreement. Unless we and PBL enter into a new agreement, we will lose our rights to Erwinaze effective December 31, 2020, other than our right to sell certain Erwinaze inventory for a post-termination sales period of 12 months. In such event, we may not be able to replace the product sales we would lose from Erwinaze, which in 2018 totaled $174.7 million, and our business, financial condition, results of operations and growth prospects would be materially adversely affected. In addition, we cannot predict whether and to what extent uncertainty related to our rights to, and availability of, Erwinaze after 2020 will negatively impact sales of and revenues from this product.</w:t>
      </w:r>
    </w:p>
    <w:p>
      <w:pPr>
        <w:spacing w:after="0" w:line="8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 continuing and significant challenge to our ability to maintain sales of Erwinaze and a barrier to increasing sales is PBL’s inability to consistently supply product adequate to meet market demand. PBL’s product quality and manufacturing issues have resulted, and continue to result, in supply disruptions, and our need for PBL to minimize or avoid additional supply disruptions due to capacity constraints, production delays, quality or regulatory challenges and other manufacturing difficulties. In addition, we have incurred and continue to incur significant internal and external costs and expenses as a result of these issues, including due to managing the increased need for regulatory and customer interaction. See the discussion regarding Erwinaze supply issues in the risk factor under the heading “</w:t>
      </w:r>
      <w:r>
        <w:rPr>
          <w:rFonts w:ascii="Arial" w:cs="Arial" w:eastAsia="Arial" w:hAnsi="Arial"/>
          <w:sz w:val="17"/>
          <w:szCs w:val="17"/>
          <w:i w:val="1"/>
          <w:iCs w:val="1"/>
          <w:color w:val="auto"/>
        </w:rPr>
        <w:t>Delays or problems in the supply of our products for sale or our for use in clinical trials, loss of our single source suppliers or</w:t>
      </w:r>
      <w:r>
        <w:rPr>
          <w:rFonts w:ascii="Arial" w:cs="Arial" w:eastAsia="Arial" w:hAnsi="Arial"/>
          <w:sz w:val="17"/>
          <w:szCs w:val="17"/>
          <w:color w:val="auto"/>
        </w:rPr>
        <w:t xml:space="preserve"> </w:t>
      </w:r>
      <w:r>
        <w:rPr>
          <w:rFonts w:ascii="Arial" w:cs="Arial" w:eastAsia="Arial" w:hAnsi="Arial"/>
          <w:sz w:val="17"/>
          <w:szCs w:val="17"/>
          <w:i w:val="1"/>
          <w:iCs w:val="1"/>
          <w:color w:val="auto"/>
        </w:rPr>
        <w:t>failure to comply with manufacturing regulations could materially and adversely affect our business, financial condition, results of operations and growth prospects</w:t>
      </w:r>
      <w:r>
        <w:rPr>
          <w:rFonts w:ascii="Arial" w:cs="Arial" w:eastAsia="Arial" w:hAnsi="Arial"/>
          <w:sz w:val="17"/>
          <w:szCs w:val="17"/>
          <w:color w:val="auto"/>
        </w:rPr>
        <w:t>” in this Part II, Item 1A.</w:t>
      </w:r>
    </w:p>
    <w:p>
      <w:pPr>
        <w:spacing w:after="0" w:line="7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Our ability to maintain sales of Erwinaze is also subject to a number of additional challenges, including the following as well as other risks and uncertainties described elsewhere in this Part II, Item 1A:</w:t>
      </w:r>
    </w:p>
    <w:p>
      <w:pPr>
        <w:spacing w:after="0" w:line="62"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limited population of patients with ALL, and the incidence of hypersensitivity reactions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within that population;</w:t>
      </w:r>
    </w:p>
    <w:p>
      <w:pPr>
        <w:spacing w:after="0" w:line="46" w:lineRule="exact"/>
        <w:rPr>
          <w:rFonts w:ascii="Arial" w:cs="Arial" w:eastAsia="Arial" w:hAnsi="Arial"/>
          <w:sz w:val="16"/>
          <w:szCs w:val="16"/>
          <w:color w:val="auto"/>
        </w:rPr>
      </w:pPr>
    </w:p>
    <w:p>
      <w:pPr>
        <w:ind w:left="740" w:right="400" w:hanging="327"/>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and/or approval of new asparaginase treatments or treatment protocols for ALL that may not include asparaginase-containing regimens and prescribers’ use of alternate methods to address hypersensitivity reactions;</w:t>
      </w:r>
    </w:p>
    <w:p>
      <w:pPr>
        <w:ind w:left="740" w:hanging="327"/>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to obtain regulatory approval from the FDA or UK Medicines and Healthcare Products Regulatory Agency, or MHRA, to release batches of Erwinaze requiring batch-specific approval due to quality and manufacturing issues;</w:t>
      </w: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with obtaining and maintaining favorable pricing and reimbursement arrangements;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competition from future biosimilar products;</w:t>
      </w:r>
    </w:p>
    <w:p>
      <w:pPr>
        <w:spacing w:after="0" w:line="9" w:lineRule="exact"/>
        <w:rPr>
          <w:rFonts w:ascii="Arial" w:cs="Arial" w:eastAsia="Arial" w:hAnsi="Arial"/>
          <w:sz w:val="18"/>
          <w:szCs w:val="18"/>
          <w:color w:val="auto"/>
        </w:rPr>
      </w:pPr>
    </w:p>
    <w:p>
      <w:pPr>
        <w:ind w:left="740" w:right="80" w:hanging="327"/>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PBL’s ability to meet the manufacturing post-marketing commitments imposed by the FDA in connection with its approval of our biologics license application, or BLA;</w:t>
      </w: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comply with obligations under our agreement with PBL resulting in PBL claiming an uncured material breach; and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40" w:right="460" w:hanging="32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need to apply for and receive marketing authorizations, through the EU’s, mutual recognition procedure or otherwise, in certain additional countries if we decide to launch promotional efforts in those countries.</w:t>
      </w:r>
    </w:p>
    <w:p>
      <w:pPr>
        <w:spacing w:after="0" w:line="6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If we fail to maintain revenue from sales of Erwinaze, our business, financial condition, results of operations and growth prospects could be materially adversely affected.</w:t>
      </w:r>
    </w:p>
    <w:p>
      <w:pPr>
        <w:spacing w:after="0" w:line="62" w:lineRule="exact"/>
        <w:rPr>
          <w:sz w:val="20"/>
          <w:szCs w:val="20"/>
          <w:color w:val="auto"/>
        </w:rPr>
      </w:pPr>
    </w:p>
    <w:p>
      <w:pPr>
        <w:ind w:right="260" w:firstLine="432"/>
        <w:spacing w:after="0" w:line="256" w:lineRule="auto"/>
        <w:rPr>
          <w:sz w:val="20"/>
          <w:szCs w:val="20"/>
          <w:color w:val="auto"/>
        </w:rPr>
      </w:pPr>
      <w:r>
        <w:rPr>
          <w:rFonts w:ascii="Arial" w:cs="Arial" w:eastAsia="Arial" w:hAnsi="Arial"/>
          <w:sz w:val="17"/>
          <w:szCs w:val="17"/>
          <w:color w:val="auto"/>
        </w:rPr>
        <w:t>To expand our asparaginase franchise beyond Erwinaze, we are pursuing activities related to the development of improved asparaginase products for patients with ALL or other hematological malignancies. Several of our external research and development collaborations are focused on these efforts, including our agreement with Pfenex, Inc., or Pfenex, which includes worldwide rights to develop and commercialize multiple early-stage hematology product candidates and an option to negotiate a license for a recombinant pegaspargase product candidate, and our agreement with XL-protein GmbH, or XLp, for rights to use XLp’s PASylation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technology to extend the plasma half-life of selected asparaginase product candidates. Among the product candidates in collaboration with Pfenex is JZP-458, a recombinant crisantaspase product candidate, for the potential treatment of ALL and lymphoblastic lymphoma for which we plan to commence a single-arm, pivotal Phase 2/3 clinical trial by the end of 2019. If these activities are unsuccessful, our growth prospects could be materially adversely affected.</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Defitelio</w:t>
      </w:r>
    </w:p>
    <w:p>
      <w:pPr>
        <w:spacing w:after="0" w:line="117" w:lineRule="exact"/>
        <w:rPr>
          <w:sz w:val="20"/>
          <w:szCs w:val="20"/>
          <w:color w:val="auto"/>
        </w:rPr>
      </w:pPr>
    </w:p>
    <w:p>
      <w:pPr>
        <w:ind w:right="140" w:firstLine="432"/>
        <w:spacing w:after="0" w:line="213" w:lineRule="auto"/>
        <w:rPr>
          <w:sz w:val="20"/>
          <w:szCs w:val="20"/>
          <w:color w:val="auto"/>
        </w:rPr>
      </w:pPr>
      <w:r>
        <w:rPr>
          <w:rFonts w:ascii="Arial" w:cs="Arial" w:eastAsia="Arial" w:hAnsi="Arial"/>
          <w:sz w:val="18"/>
          <w:szCs w:val="18"/>
          <w:color w:val="auto"/>
        </w:rPr>
        <w:t>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sodium) is a product approved in the U.S. in 2016 for the treatment of adult and pediatric patients with hepatic veno-occlusive disease, or VOD, also known as sinusoidal obstruction syndrome, with renal or pulmonary dysfunction following hematopoietic stem cell transplantation, or HSCT, and in Europe in 2013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ability to maintain and successfully and sustainably grow sales of Defitelio is subject to a number of risks and uncertainties, including the following as well as other risks and uncertainties described elsewhere in this Part II, Item 1A:</w:t>
      </w:r>
    </w:p>
    <w:p>
      <w:pPr>
        <w:spacing w:after="0" w:line="62" w:lineRule="exact"/>
        <w:rPr>
          <w:sz w:val="20"/>
          <w:szCs w:val="20"/>
          <w:color w:val="auto"/>
        </w:rPr>
      </w:pPr>
    </w:p>
    <w:p>
      <w:pPr>
        <w:ind w:left="720" w:right="160" w:hanging="320"/>
        <w:spacing w:after="0" w:line="274"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continued acceptance of Defitelio in the U.S., the EU and other countries by hospital pharmacy and therapeutics committees and the continued availability of favorable pricing and adequate coverage and reimbursement by government programs and third party payors;</w:t>
      </w: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limited experience of, and need to educate, physicians in recognizing, diagnosing and treating VOD, particularly in adults;</w:t>
      </w:r>
    </w:p>
    <w:p>
      <w:pPr>
        <w:spacing w:after="0" w:line="9" w:lineRule="exact"/>
        <w:rPr>
          <w:rFonts w:ascii="Arial" w:cs="Arial" w:eastAsia="Arial" w:hAnsi="Arial"/>
          <w:sz w:val="18"/>
          <w:szCs w:val="18"/>
          <w:color w:val="auto"/>
        </w:rPr>
      </w:pPr>
    </w:p>
    <w:p>
      <w:pPr>
        <w:ind w:left="720" w:right="18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physicians recognizing VOD symptoms may not initiate or may delay initiation of treatment while waiting for those symptoms to improve, or may terminate treatment before the end of the recommended dosing schedule;</w:t>
      </w:r>
    </w:p>
    <w:p>
      <w:pPr>
        <w:ind w:left="720" w:right="40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maintain or grow sales of Defitelio in Europe and other non-U.S. countries, including our ability to obtain marketing approval in new countries;</w:t>
      </w: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w:t>
      </w:r>
    </w:p>
    <w:p>
      <w:pPr>
        <w:spacing w:after="0" w:line="9" w:lineRule="exact"/>
        <w:rPr>
          <w:rFonts w:ascii="Arial" w:cs="Arial" w:eastAsia="Arial" w:hAnsi="Arial"/>
          <w:sz w:val="18"/>
          <w:szCs w:val="18"/>
          <w:color w:val="auto"/>
        </w:rPr>
      </w:pPr>
    </w:p>
    <w:p>
      <w:pPr>
        <w:ind w:left="720" w:right="60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limited size of the population of VOD patients who are indicated for treatment with Defitelio (particularly if changes in HSCT treatment protocols reduce the incidence of VOD diagnosis);</w:t>
      </w:r>
    </w:p>
    <w:p>
      <w:pPr>
        <w:ind w:left="720" w:right="120" w:hanging="320"/>
        <w:spacing w:after="0" w:line="26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meet the post-marketing commitments and requirements imposed by the FDA in connection with its approval of our NDA and by the European Commission, or EC, in connection with its marketing authorization granted “under exceptional circumstances”; and</w:t>
      </w:r>
    </w:p>
    <w:p>
      <w:pPr>
        <w:ind w:left="720" w:hanging="320"/>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maintain favorable pricing and reimbursement approvals across Europe, particularly in countries that represent significant markets.</w:t>
      </w:r>
    </w:p>
    <w:p>
      <w:pPr>
        <w:spacing w:after="0" w:line="126"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To expand the potential of Defitelio, our clinical development strategy generally focuses on the prevention and treatment of serious diseases associated with endothelial cell damage, including an ongoing Phase 3 clinical trial in prevention of VOD in high-risk patients following HSCT, ongoing Phase 2 trials in prevention of acute Graft versus Host Disease following allogeneic HSCT, and planned Phase 2 trials in the treatment of transplant-associated thrombotic microangiopathy and the prevention of chimeric antigen receptor T-cell therapy-, or CAR-T-, associated neurotoxicity. In addition to clinical trials we are sponsoring, there are more than 20 investigator-sponsored trials ongoing in the U.S. and EU to evaluate defibrotide in multiple conditions. If these development activities are unsuccessful, our growth prospects could be materially adversely affected.</w:t>
      </w:r>
    </w:p>
    <w:p>
      <w:pPr>
        <w:spacing w:after="0" w:line="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Because VOD is an ultra-rare disease, we have experienced inter-quarter variability in our Defitelio sales, which makes Defitelio sales difficult to predict from period to period. As a result, Defitelio sales results or trends in any period may not necessarily be indicative of future performance. If sales of Defitelio do not reach the levels we expect, our anticipated revenue from the product would be negatively affected, which could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Vyxeos</w:t>
      </w:r>
    </w:p>
    <w:p>
      <w:pPr>
        <w:spacing w:after="0" w:line="117" w:lineRule="exact"/>
        <w:rPr>
          <w:sz w:val="20"/>
          <w:szCs w:val="20"/>
          <w:color w:val="auto"/>
        </w:rPr>
      </w:pPr>
    </w:p>
    <w:p>
      <w:pPr>
        <w:ind w:right="60" w:firstLine="432"/>
        <w:spacing w:after="0" w:line="250" w:lineRule="auto"/>
        <w:rPr>
          <w:sz w:val="20"/>
          <w:szCs w:val="20"/>
          <w:color w:val="auto"/>
        </w:rPr>
      </w:pPr>
      <w:r>
        <w:rPr>
          <w:rFonts w:ascii="Arial" w:cs="Arial" w:eastAsia="Arial" w:hAnsi="Arial"/>
          <w:sz w:val="17"/>
          <w:szCs w:val="17"/>
          <w:color w:val="auto"/>
        </w:rPr>
        <w:t>Vyxeos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(daunorubicin and cytarabine) liposome for injection is a product approved in the U.S. in 2017 and in Europe in August 2018 (where it is marketed as Vyxeos® 44 mg/100 mg powder for concentrate for solution for infusion) for the treatment of adults with newly-diagnosed therapy-related acute myeloid leukemia, or t-AML, or acute myeloid leukemia, or AML, with myelodysplasia-related changes, or AML-MRC. Our ability to realize the anticipated benefits from our investment in Vyxeos by successfully and sustainably growing sales is subject to a number of risks and uncertainties, including the following as well as other risks and uncertainties described elsewhere in this Part II, Item 1A:</w:t>
      </w:r>
    </w:p>
    <w:p>
      <w:pPr>
        <w:spacing w:after="0" w:line="32" w:lineRule="exact"/>
        <w:rPr>
          <w:sz w:val="20"/>
          <w:szCs w:val="20"/>
          <w:color w:val="auto"/>
        </w:rPr>
      </w:pPr>
    </w:p>
    <w:p>
      <w:pPr>
        <w:ind w:left="720" w:right="760" w:hanging="320"/>
        <w:spacing w:after="0" w:line="258"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differentiate Vyxeos from other liposomal chemotherapies and generically available chemotherapy combinations with which physicians and treatment centers are more familiar;</w:t>
      </w:r>
    </w:p>
    <w:p>
      <w:pPr>
        <w:spacing w:after="0" w:line="1" w:lineRule="exact"/>
        <w:rPr>
          <w:rFonts w:ascii="Arial" w:cs="Arial" w:eastAsia="Arial" w:hAnsi="Arial"/>
          <w:sz w:val="18"/>
          <w:szCs w:val="18"/>
          <w:color w:val="auto"/>
        </w:rPr>
      </w:pPr>
    </w:p>
    <w:p>
      <w:pPr>
        <w:ind w:left="720" w:hanging="320"/>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acceptance of Vyxeos in the U.S., the EU and other countries by hospital pharmacy and therapeutics committees and the availability of favorable pricing and adequate coverage and reimbursement by government programs and third party payors;</w:t>
      </w:r>
    </w:p>
    <w:p>
      <w:pPr>
        <w:ind w:left="720" w:right="80" w:hanging="320"/>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 including the ability of the third parties upon which we rely to manufacture Vyxeos and its APIs to manufacture sufficient quantities in accordance with applicable specifications;</w:t>
      </w:r>
    </w:p>
    <w:p>
      <w:pPr>
        <w:ind w:left="720" w:right="180" w:hanging="320"/>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increasing complexity of the AML landscape requiring changes in patient identification and treatment selection, including diagnostic tests and monitoring that clinicians may find challenging to incorporate;</w:t>
      </w:r>
    </w:p>
    <w:p>
      <w:pPr>
        <w:ind w:left="720" w:right="220" w:hanging="320"/>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new and novel compounds in AML that are either used off-label or are only approved for use in combination with other agents and that have not been tested in combination with Vyxeos;</w:t>
      </w:r>
    </w:p>
    <w:p>
      <w:pPr>
        <w:ind w:left="720" w:right="380" w:hanging="320"/>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limited size of the population of high-risk AML patients who may potentially be indicated for treatment with Vyxeos, particularly given the ongoing clinical trials by other companies with the same patient population; and</w:t>
      </w:r>
    </w:p>
    <w:p>
      <w:pPr>
        <w:ind w:left="720" w:right="120" w:hanging="320"/>
        <w:spacing w:after="0" w:line="261"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the post-marketing commitments and requirements imposed by the FDA in connection with its approval of our NDA and by the EC in connection with its marketing authorization.</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lack of prescriber usage data from U.S. commercialization of Vyxeos makes Vyxeos sales difficult to predict from period to period, and sales results or trends in any period may not necessarily be indicative of future performance. Following receipt of marketing authorization from the EC in late 2018, as part of our rolling launch of Vyxeos in the EU, we are continuing to make pricing and reimbursement submissions. If we experience delays or unforeseen difficulties in obtaining favorable pricing and reimbursement, planned launches in the affected EU member states would be delayed, which could negatively impact anticipated revenue.</w:t>
      </w:r>
    </w:p>
    <w:p>
      <w:pPr>
        <w:spacing w:after="0" w:line="8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To expand the potential of Vyxeos, our clinical development strategy is designed to target potential new patient segments across the AML landscape, to pursue indications related to myelodysplastic syndrome and to generate clinical data on Vyxeos when used in combination with other therapeutic agents. We are pursuing this strategy by sponsoring clinical trials, working with cooperative groups who are conducting clinical trials and partnering with The University of Texas MD Anderson Cancer Center to evaluate potential treatment options for hematologic malignancies, with a near-term focus on Vyxeos. In addition, there are multiple investigator-sponsored trials ongoing. Because combination regimens and the continual generation of new data have become particularly important in AML, if we are unable to initiate multiple combination studies, safely combine Vyxeos with novel agents, or if efficacy results do not meet clinicians’ expectations, our growth prospects could be materially adversely affected.</w:t>
      </w:r>
    </w:p>
    <w:p>
      <w:pPr>
        <w:spacing w:after="0" w:line="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If sales of Vyxeos do not reach the levels we expect, our anticipated revenue from the product will be negatively affected, which could have a material adverse effect on our business, financial condition, results of operations and growth prospects.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Sunosi</w:t>
      </w:r>
    </w:p>
    <w:p>
      <w:pPr>
        <w:spacing w:after="0" w:line="117" w:lineRule="exact"/>
        <w:rPr>
          <w:sz w:val="20"/>
          <w:szCs w:val="20"/>
          <w:color w:val="auto"/>
        </w:rPr>
      </w:pPr>
    </w:p>
    <w:p>
      <w:pPr>
        <w:ind w:right="80" w:firstLine="405"/>
        <w:spacing w:after="0" w:line="250" w:lineRule="auto"/>
        <w:rPr>
          <w:sz w:val="20"/>
          <w:szCs w:val="20"/>
          <w:color w:val="auto"/>
        </w:rPr>
      </w:pPr>
      <w:r>
        <w:rPr>
          <w:rFonts w:ascii="Arial" w:cs="Arial" w:eastAsia="Arial" w:hAnsi="Arial"/>
          <w:sz w:val="17"/>
          <w:szCs w:val="17"/>
          <w:color w:val="auto"/>
        </w:rPr>
        <w:t>Sunosi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(solriamfetol) is a product approved in the U.S. to improve wakefulness in adult patients with EDS associated with narcolepsy or OSA. Sunosi was launched in the U.S. in July 2019, and our launch of this product is at an early stage. Sunosi faces competition from existing branded and generic products that treat EDS or improve wakefulness in adult patients with narcolepsy or OSA in a competitive retail pharmacy market. For further discussion of the competition that Sunosi faces, see the risk factor under the heading “</w:t>
      </w:r>
      <w:r>
        <w:rPr>
          <w:rFonts w:ascii="Arial" w:cs="Arial" w:eastAsia="Arial" w:hAnsi="Arial"/>
          <w:sz w:val="17"/>
          <w:szCs w:val="17"/>
          <w:i w:val="1"/>
          <w:iCs w:val="1"/>
          <w:color w:val="auto"/>
        </w:rPr>
        <w:t>We face substantial competition from other companies, including companies with</w:t>
      </w:r>
      <w:r>
        <w:rPr>
          <w:rFonts w:ascii="Arial" w:cs="Arial" w:eastAsia="Arial" w:hAnsi="Arial"/>
          <w:sz w:val="17"/>
          <w:szCs w:val="17"/>
          <w:color w:val="auto"/>
        </w:rPr>
        <w:t xml:space="preserve"> </w:t>
      </w:r>
      <w:r>
        <w:rPr>
          <w:rFonts w:ascii="Arial" w:cs="Arial" w:eastAsia="Arial" w:hAnsi="Arial"/>
          <w:sz w:val="17"/>
          <w:szCs w:val="17"/>
          <w:i w:val="1"/>
          <w:iCs w:val="1"/>
          <w:color w:val="auto"/>
        </w:rPr>
        <w:t>larger sales organizations and more experience working with large and diverse product portfolios</w:t>
      </w:r>
      <w:r>
        <w:rPr>
          <w:rFonts w:ascii="Arial" w:cs="Arial" w:eastAsia="Arial" w:hAnsi="Arial"/>
          <w:sz w:val="17"/>
          <w:szCs w:val="17"/>
          <w:color w:val="auto"/>
        </w:rPr>
        <w:t>” in this Part II, Item 1A.</w:t>
      </w:r>
    </w:p>
    <w:p>
      <w:pPr>
        <w:spacing w:after="0" w:line="87" w:lineRule="exact"/>
        <w:rPr>
          <w:sz w:val="20"/>
          <w:szCs w:val="20"/>
          <w:color w:val="auto"/>
        </w:rPr>
      </w:pPr>
    </w:p>
    <w:p>
      <w:pPr>
        <w:ind w:right="300" w:firstLine="392"/>
        <w:spacing w:after="0" w:line="279" w:lineRule="auto"/>
        <w:rPr>
          <w:sz w:val="20"/>
          <w:szCs w:val="20"/>
          <w:color w:val="auto"/>
        </w:rPr>
      </w:pPr>
      <w:r>
        <w:rPr>
          <w:rFonts w:ascii="Arial" w:cs="Arial" w:eastAsia="Arial" w:hAnsi="Arial"/>
          <w:sz w:val="17"/>
          <w:szCs w:val="17"/>
          <w:color w:val="auto"/>
        </w:rPr>
        <w:t>We submitted a marketing authorization application, or MAA, for solriamfetol for the potential treatment of EDS in adult patients with narcolepsy or OSA to the European Medicines Agency, or EMA, in the fourth quarter of 2018. We cannot predict whether our solriamfetol MAA will be approved in a timely manner, or at all. If we fail to obtain approval for solriamfetol in the EU, or if the EC requires product labeling that negatively impacts patient, physician or payor acceptance of the product, our growth prospects could be materially adversely affected.</w:t>
      </w:r>
    </w:p>
    <w:p>
      <w:pPr>
        <w:spacing w:after="0" w:line="6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In addition to challenges and uncertainties related to Sunosi competition and obtaining regulatory approval of solriamfetol in the EU, our ability to realize the anticipated benefits from our investment in Sunosi is subject to a number of</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risks and uncertainties, including the following as well as other risks and uncertainties described elsewhere in this Part II, Item 1A:</w:t>
      </w:r>
    </w:p>
    <w:p>
      <w:pPr>
        <w:spacing w:after="0" w:line="117"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launch and grow sales of Sunosi in the U.S. and, if approved, in the EU;</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marketing approval, successfully launch and grow sales of Sunosi in other non-U.S. countries;</w:t>
      </w:r>
    </w:p>
    <w:p>
      <w:pPr>
        <w:spacing w:after="0" w:line="9" w:lineRule="exact"/>
        <w:rPr>
          <w:rFonts w:ascii="Arial" w:cs="Arial" w:eastAsia="Arial" w:hAnsi="Arial"/>
          <w:sz w:val="18"/>
          <w:szCs w:val="18"/>
          <w:color w:val="auto"/>
        </w:rPr>
      </w:pPr>
    </w:p>
    <w:p>
      <w:pPr>
        <w:ind w:left="740" w:right="80" w:hanging="327"/>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adequate formulary positions and pricing and adequate coverage and reimbursement by third party payors, including government programs, including the impact of any delays in coverage decisions by payors;</w:t>
      </w:r>
    </w:p>
    <w:p>
      <w:pPr>
        <w:ind w:left="740" w:right="80" w:hanging="327"/>
        <w:spacing w:after="0" w:line="265"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restrictions on permitted promotional activities based on any additional limitations on the labeling for the product that may be required by the FDA in the future and any such limitations that may be required by the EC or other regulatory authority on any approved labeling;</w:t>
      </w: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Sunosi;</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Sunosi; and</w:t>
      </w:r>
    </w:p>
    <w:p>
      <w:pPr>
        <w:spacing w:after="0" w:line="9" w:lineRule="exact"/>
        <w:rPr>
          <w:rFonts w:ascii="Arial" w:cs="Arial" w:eastAsia="Arial" w:hAnsi="Arial"/>
          <w:sz w:val="18"/>
          <w:szCs w:val="18"/>
          <w:color w:val="auto"/>
        </w:rPr>
      </w:pPr>
    </w:p>
    <w:p>
      <w:pPr>
        <w:ind w:left="740" w:right="140" w:hanging="327"/>
        <w:spacing w:after="0" w:line="261"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satisfy the FDA’s post-marketing requirements and other post-marketing requirements or commitments, if any, imposed by the EC in connection with its potential marketing authorization.</w:t>
      </w:r>
    </w:p>
    <w:p>
      <w:pPr>
        <w:spacing w:after="0" w:line="18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To expand the potential of Sunosi, our clinical development strategy is designed to target potential new indications for solriamfetol for the potential treatment of EDS in other sleep or central nervous system disorders, including pursuing development activities for solriamfetol for the potential treatment of EDS in patients with major depressive disorder, or MDD. If these development activities are unsuccessful, our growth prospects could be materially adversely affected.</w:t>
      </w:r>
    </w:p>
    <w:p>
      <w:pPr>
        <w:spacing w:after="0" w:line="7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If we are unable to successfully launch and commercialize Sunosi in the U.S., if we are unable to obtain approval of our solriamfetol MAA in a timely manner, or at all, if the EC requires product labeling that negatively impacts patient, physician or payor acceptance of the product, or if sales of Sunosi in the U.S. and EU (if approved) do not reach the levels we expect, our anticipated revenue from Sunosi will be negatively affected, which could have a material adverse effect on our business, financial condition, results of operations and growth prospects.</w:t>
      </w:r>
    </w:p>
    <w:p>
      <w:pPr>
        <w:spacing w:after="0" w:line="6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For a discussion of the risks inherent in implementing our research and clinical development strategy with respect to Defitelio, Vyxeos, and Sunosi, see the discussion in the risk factor under the heading “</w:t>
      </w:r>
      <w:r>
        <w:rPr>
          <w:rFonts w:ascii="Arial" w:cs="Arial" w:eastAsia="Arial" w:hAnsi="Arial"/>
          <w:sz w:val="16"/>
          <w:szCs w:val="16"/>
          <w:i w:val="1"/>
          <w:iCs w:val="1"/>
          <w:color w:val="auto"/>
        </w:rPr>
        <w:t>Conducting clinical trials is costly and time-consuming, and the outcomes are uncertain. A failure to prove</w:t>
      </w:r>
      <w:r>
        <w:rPr>
          <w:rFonts w:ascii="Arial" w:cs="Arial" w:eastAsia="Arial" w:hAnsi="Arial"/>
          <w:sz w:val="16"/>
          <w:szCs w:val="16"/>
          <w:color w:val="auto"/>
        </w:rPr>
        <w:t xml:space="preserve"> </w:t>
      </w:r>
      <w:r>
        <w:rPr>
          <w:rFonts w:ascii="Arial" w:cs="Arial" w:eastAsia="Arial" w:hAnsi="Arial"/>
          <w:sz w:val="16"/>
          <w:szCs w:val="16"/>
          <w:i w:val="1"/>
          <w:iCs w:val="1"/>
          <w:color w:val="auto"/>
        </w:rPr>
        <w:t>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r>
        <w:rPr>
          <w:rFonts w:ascii="Arial" w:cs="Arial" w:eastAsia="Arial" w:hAnsi="Arial"/>
          <w:sz w:val="16"/>
          <w:szCs w:val="16"/>
          <w:color w:val="auto"/>
        </w:rPr>
        <w:t>” in this Part II, Item 1A.</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product candidates currently under development by others and/or future product candidates, including new chemical entities that may be safer or more effective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46"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net revenue for branded products.</w:t>
      </w:r>
    </w:p>
    <w:p>
      <w:pPr>
        <w:spacing w:after="0" w:line="57"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The commercial potential of our current products and any future products may be reduced or eliminated if our competitors develop or acquire and commercialize generic or branded products that are safer or more effective, are more convenient or are less expensive than our products.</w:t>
      </w:r>
    </w:p>
    <w:p>
      <w:pPr>
        <w:spacing w:after="0" w:line="1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For a discussion of specific risks relating to the launch of new products that treat cataplexy and/or EDS in narcolepsy, including generic versions of Xyrem or other sodium oxybate products, see the risk factor under the heading “</w:t>
      </w:r>
      <w:r>
        <w:rPr>
          <w:rFonts w:ascii="Arial" w:cs="Arial" w:eastAsia="Arial" w:hAnsi="Arial"/>
          <w:sz w:val="16"/>
          <w:szCs w:val="16"/>
          <w:i w:val="1"/>
          <w:iCs w:val="1"/>
          <w:color w:val="auto"/>
        </w:rPr>
        <w:t>The introduction of a new product in the U.S. market that competes with, or</w:t>
      </w:r>
      <w:r>
        <w:rPr>
          <w:rFonts w:ascii="Arial" w:cs="Arial" w:eastAsia="Arial" w:hAnsi="Arial"/>
          <w:sz w:val="16"/>
          <w:szCs w:val="16"/>
          <w:color w:val="auto"/>
        </w:rPr>
        <w:t xml:space="preserve"> </w:t>
      </w:r>
      <w:r>
        <w:rPr>
          <w:rFonts w:ascii="Arial" w:cs="Arial" w:eastAsia="Arial" w:hAnsi="Arial"/>
          <w:sz w:val="16"/>
          <w:szCs w:val="16"/>
          <w:i w:val="1"/>
          <w:iCs w:val="1"/>
          <w:color w:val="auto"/>
        </w:rPr>
        <w:t>otherwise disrupts the market for, Xyrem would adversely affect sales of Xyrem</w:t>
      </w:r>
      <w:r>
        <w:rPr>
          <w:rFonts w:ascii="Arial" w:cs="Arial" w:eastAsia="Arial" w:hAnsi="Arial"/>
          <w:sz w:val="16"/>
          <w:szCs w:val="16"/>
          <w:color w:val="auto"/>
        </w:rPr>
        <w:t>” in this Part II, Item 1A. We expect that the approval and launch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sodium oxybate or alternative product that treats narcolepsy, or the launch of an AG Product or other generic version of Xyrem, could have a material adverse effect on our sales of and revenues from Xyrem and on our business, financial condition, results of operations and growth prospects.</w:t>
      </w:r>
    </w:p>
    <w:p>
      <w:pPr>
        <w:spacing w:after="0" w:line="5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 xml:space="preserve">While there is currently no direct competition to Erwinaze to treat ALL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other companies have developed or are developing new treatments for ALL.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 We have experienced frequent intermittent shortages of the product that have impacted prescribing habits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Erwinaze, including prescribers’ use of alternate methods to address hypersensitivity reactions. The development of these new treatments could negatively impact our ability to maintain, and potentially in the future grow, sales of Erwinaze in patient populations where the benefit of an asparaginase-containing regimen is not well established. As a biologic product, Erwinaze also faces potential competition from biosimilar products.</w:t>
      </w:r>
    </w:p>
    <w:p>
      <w:pPr>
        <w:spacing w:after="0" w:line="5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While there is currently no direct competition to Defitelio to treat severe VOD, changes in the types of conditioning regimens used as part of HSCT may affect the incidence rate of VOD and demand for Defitelio.</w:t>
      </w:r>
    </w:p>
    <w:p>
      <w:pPr>
        <w:spacing w:after="0" w:line="62" w:lineRule="exact"/>
        <w:rPr>
          <w:sz w:val="20"/>
          <w:szCs w:val="20"/>
          <w:color w:val="auto"/>
        </w:rPr>
      </w:pPr>
    </w:p>
    <w:p>
      <w:pPr>
        <w:ind w:firstLine="432"/>
        <w:spacing w:after="0" w:line="217" w:lineRule="exact"/>
        <w:rPr>
          <w:sz w:val="20"/>
          <w:szCs w:val="20"/>
          <w:color w:val="auto"/>
        </w:rPr>
      </w:pPr>
      <w:r>
        <w:rPr>
          <w:rFonts w:ascii="Arial" w:cs="Arial" w:eastAsia="Arial" w:hAnsi="Arial"/>
          <w:sz w:val="16"/>
          <w:szCs w:val="16"/>
          <w:color w:val="auto"/>
        </w:rPr>
        <w:t>With respect to Vyxeos, there are a number of alternative established therapies in AML. A key consideration in the treatment of AML patients is the patient’s suitability for chemotherapy. The AML patient population studied in the Vyxeos Phase 3 clinical trial supporting our NDA included fit patients, or those deemed able to tolerate intensive induction chemotherapy. The existing options for the treatment of newly-diagnosed t-AML and AML-MRC in fit patients include cytarabine in combination with an anthracycline (i.e., daunorubicin), known as 7+3. In addition, we are aware of several other products that have been recently approved by the FDA or are in development as treatment options for newly diagnosed AML patients eligible for intensive chemotherapy, such as targeted agents (e.g. midostaurin, enasidenib and ivosidenib), immunotherapies (e.g., gemtuzumab ozogamicin and CAR-T</w:t>
      </w:r>
      <w:r>
        <w:rPr>
          <w:rFonts w:ascii="MS PGothic" w:cs="MS PGothic" w:eastAsia="MS PGothic" w:hAnsi="MS PGothic"/>
          <w:sz w:val="16"/>
          <w:szCs w:val="16"/>
          <w:color w:val="auto"/>
        </w:rPr>
        <w:t>‑</w:t>
      </w:r>
      <w:r>
        <w:rPr>
          <w:rFonts w:ascii="Arial" w:cs="Arial" w:eastAsia="Arial" w:hAnsi="Arial"/>
          <w:sz w:val="16"/>
          <w:szCs w:val="16"/>
          <w:color w:val="auto"/>
        </w:rPr>
        <w:t>cell therapy), and agents disrupting leukemia cell survival (e.g., glasdegib). We are also aware of the increasing use of venetoclax, an AML treatment recently approved by the FDA. Some of the patient populations being studied for, or treated by, these products overlap with the patient population studied in the Vyxeos Phase 3 clinical trial supporting our NDA. The existence of established treatment options and the development of competing products for the treatment of newly-diagnosed t-AML or AML-MRC could negatively impact our ability to successfully commercialize Vyxeos and achieve the level of sales we expect.</w:t>
      </w:r>
    </w:p>
    <w:p>
      <w:pPr>
        <w:spacing w:after="0" w:line="99"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Sunosi faces competition from existing branded and generic products that treat EDS or improve wakefulness in adult patients with narcolepsy or OSA in a competitive retail pharmacy market. To successfully launch and commercialize Sunosi, we need to differentiate Sunosi from other branded and generic products that treat EDS in patients with narcolepsy with which physicians are more familiar, including stimulants, wake-promoting agents, such as Provigil and Nuvigil, and generic versions of stimulants and wake-promoting agents. We are also aware that stimulants are prescribed for patients to treat excessive sleepiness in OSA. Sunosi will likely face competition from this genericized market. In addition, we are aware of several other products in development as potential treatments for EDS in patients with narcolepsy or OSA, including, for example, pitolisant, mazindol, modafinil combinations and Avadel’s once-nightly sodium oxybate formulation.</w:t>
      </w:r>
    </w:p>
    <w:p>
      <w:pPr>
        <w:spacing w:after="0" w:line="8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Many of our competitors, particularly large pharmaceutical and life sciences companies, have substantially greater financial, operational and human resources than we do. They can spend more on, and have more expertise in, research and development, regulatory, manufacturing, distribution and sales and marketing activities. As a result, our competitors may obtain FDA or other regulatory approvals for their product candidates more rapidly than we can and may market their products more effectively than we do. Smaller or earlier stage companies may also prove to be significant competitors, particularly through focused development programs and collaborative arrangements with large, established companies.</w:t>
      </w:r>
    </w:p>
    <w:p>
      <w:pPr>
        <w:spacing w:after="0" w:line="6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have a relatively small number of sales representatives compared with most other pharmaceutical companies with marketed products. Each of our sales representatives is responsible for a territory of significant size. Many of our competitors deploy more personnel to market and sell their products than we do. In particular, we compete with companies with extensive sales, marketing and promotional experience in hematology/oncology markets, and our failure to compete effectively in this area could negatively affect sales of our hematology/oncology products. If our sales force and sales support organization are not appropriately resourced and sized to adequately promote our products, the commercial potential of our current and any future products may be diminished.</w:t>
      </w:r>
    </w:p>
    <w:p>
      <w:pPr>
        <w:spacing w:after="0" w:line="50"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growth of our current products and the launch of any future products may require expansion of our sales force and sales support organization, and we may need to commit significant additional funds, management and other resources to such growth. We may not be able to expand in a timely or cost-effective manner, or we may not have the financial resources to achieve the necessary growth. We also compete with other companies to recruit, hire, train and retain pharmaceutical sales and marketing personnel, and excessive turnover in such personnel could negatively affect sales of our products.</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which could diminish our sales or affect our ability to sell our products profitably.</w:t>
      </w:r>
    </w:p>
    <w:p>
      <w:pPr>
        <w:spacing w:after="0" w:line="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both U.S. and non-U.S. markets, our ability to successfully commercialize and achieve market acceptance of our products depends in significant part on adequate financial coverage and reimbursement from third party payors. Third party payors include governmental payors (such as the Medicare and Medicaid programs in the U.S.), managed care organizations and private health insurers. Without third party payor support, patients may not be able to obtain prescribed medications due to barriers to access, including the inability to afford the medication.</w:t>
      </w:r>
    </w:p>
    <w:p>
      <w:pPr>
        <w:spacing w:after="0" w:line="7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Third party payors’ reimbursement practices are complex, vary widely from payor to payor and can impose time-consuming burdens for patients and prescribing physicians. As part of the overall trend toward cost containment, third party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For example, we are experiencing increasingly restrictive conditions for reimbursement required by some third party payors for Xyrem, which have extended the time required to fill some prescriptions and could continue to do so in the future and which may have a material effect on the overall level of reimbursement coverage for Xyrem. Moreover, other companies with products that compete with ours may seek to disadvantage our products’ reimbursement coverage or formulary position with third party payors, leading to reduced access for our patients.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5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Reimbursement guidelines and incentives provided to prescribing physicians by third party payors may have a significant impact on the prescribing physicians’ willingness to prescribe our products. For example, the U.S. federal government follows a Medicare severity diagnosis-related group, or MS-DRG, payment system for certain inpatient hospital services provided under Medicare, which some states also use for Medicaid. The MS-DRG system entitles a hospital to a fixed reimbursement based on discharge diagnoses rather than actual costs incurred in providing inpatient treatment, thereby increasing the incentive for the facility to limit or control expenditures for many healthcare products. For our hematology/oncology products, all of which are used primarily or exclusively in the inpatient hospital setting, there may not be sufficient reimbursement under the relevant MS-DRG to fully cover the cost of our products. This risk is in part mitigated by a New Technology Add-on Payment, or NTAP, which is in addition to the MS-DRG-based reimbursement that hospitals receive. In 2017, Centers for Medicare and Medicaid Services, or CMS, approved an NTAP for Defitelio, which was renewed by CMS for 2018 and 2019. NTAP designations are reviewed by CMS on a yearly basis and may only be renewed for two years. Because Defitelio has already been renewed twice, the product will not be eligible for renewal after 2019. For 2019, CMS approved an NTAP for Vyxeos, but we cannot guarantee that CMS will renew our NTAP for Vyxeos for 2020.</w:t>
      </w:r>
    </w:p>
    <w:p>
      <w:pPr>
        <w:spacing w:after="0" w:line="7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addition, a significant portion of our revenue from our hematology/oncology products, particularly Erwinaze and Vyxeos, is obtained through government payors, including Medicare, Medicaid and similar types of payors in other countries, and any failure to qualify for or receive adequate reimbursement under those programs, including as a result of legislative changes to these programs, would have a material adverse effect on revenues from such products. Significant attention has been paid to legislation proposing federal rebates on Medicare Part D and Medicare Advantage utilization for drugs issued to certain groups of lower income beneficiaries and the desire to change the provisions that treat these dual-eligible patients differently from traditional Medicare patients. Any such changes could have a negative impact on revenues from sales of our affected products. Any failure to cover our products appropriately, in addition to legislative and regulatory changes and others that may occur in the future, could impact our ability to maximize revenues in the federal marketplace.</w:t>
      </w:r>
    </w:p>
    <w:p>
      <w:pPr>
        <w:spacing w:after="0" w:line="84"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Medicaid and other governmental programs are described under the heading “Business—Pharmaceutical Pricing, Reimbursement by Government and Private Payors and Patient Access” in Part I, Item 1 of our Annual Report on Form 10-K for the year ended December 31, 2018. For a discussion of specific risks relating to our reporting and payment obligations to government payors, see the risk factor under the heading “</w:t>
      </w:r>
      <w:r>
        <w:rPr>
          <w:rFonts w:ascii="Arial" w:cs="Arial" w:eastAsia="Arial" w:hAnsi="Arial"/>
          <w:sz w:val="16"/>
          <w:szCs w:val="16"/>
          <w:i w:val="1"/>
          <w:iCs w:val="1"/>
          <w:color w:val="auto"/>
        </w:rPr>
        <w:t>If we fail to comply with our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Arial" w:cs="Arial" w:eastAsia="Arial" w:hAnsi="Arial"/>
          <w:sz w:val="16"/>
          <w:szCs w:val="16"/>
          <w:color w:val="auto"/>
        </w:rPr>
        <w:t>” in this Part II, Item 1A. Third party payors outside the federal government are also increasingly considering new metrics as</w:t>
      </w:r>
      <w:r>
        <w:rPr>
          <w:rFonts w:ascii="Arial" w:cs="Arial" w:eastAsia="Arial" w:hAnsi="Arial"/>
          <w:sz w:val="16"/>
          <w:szCs w:val="16"/>
          <w:i w:val="1"/>
          <w:iCs w:val="1"/>
          <w:color w:val="auto"/>
        </w:rPr>
        <w:t xml:space="preserve"> </w:t>
      </w:r>
      <w:r>
        <w:rPr>
          <w:rFonts w:ascii="Arial" w:cs="Arial" w:eastAsia="Arial" w:hAnsi="Arial"/>
          <w:sz w:val="16"/>
          <w:szCs w:val="16"/>
          <w:color w:val="auto"/>
        </w:rPr>
        <w:t>the basis for reimbursement rates, including those used by federal government payors such as average net sales price, average manufacturer price and actual acquisition cost. It is not possible to predict the impact of these evolving reimbursement mechanics on the willingness of payors to cover our products.</w:t>
      </w:r>
    </w:p>
    <w:p>
      <w:pPr>
        <w:spacing w:after="0" w:line="58"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Third party payors increasingly examine the cost effectiveness of pharmaceutical products, in addition to their safety and efficacy, when making coverage and reimbursement decisions. We may need to conduct expensive pharmacoeconomic and/or clinical studies in order to demonstrate the cost-effectiveness of our products. Even with such studies, our products may be considered less safe, less effective or less cost-effective than other products, and third party payors may not provide and maintain coverage and reimbursement for our products. If our competitors offer their products at prices that provide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benefits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 small number of third party payors and PBMs have market power and negotiating leverage to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or pay 100% of the cost of a drug. In many instances, third party payors and PBMs may also exert negotiating leverage by requiring incremental rebates from manufacturers in order to maintain their formulary position. While we have not entered into such arrangements with third party payors for any of our products in the past, due to our changing portfolio and the potential for increased competition in the sleep market, we may enter into those arrangements, which could have a negative impact on our net revenue</w:t>
      </w:r>
    </w:p>
    <w:p>
      <w:pPr>
        <w:spacing w:after="0" w:line="8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Specifically, we are experiencing increasing pressure from third party payors to agree to discounts, rebates or other restrictive pricing terms for Xyrem. As our business becomes more complex, we may enter into rebate agreements in order to ensure that patients continue to have access to Xyrem, and to support the long-term success of our sleep franchise, which might result in lower net revenues for Xyrem.</w:t>
      </w:r>
    </w:p>
    <w:p>
      <w:pPr>
        <w:spacing w:after="0" w:line="73"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Sunosi, which was approved by the FDA in March 2019 to improve wakefulness in adults with EDS associated with narcolepsy or OSA and was launched in the U.S. in July 2019, is being commercialized in a competitive retail pharmacy market of branded and generic products. Any delays or unforeseen difficulties in obtaining access or reimbursement approvals could adversely impact our commercial launch and the growth prospects for Sunosi. Third party payors could impose step edits that require patients to try alternative, including generic, treatments before authorizing payment for Sunosi, exclude Sunosi from formulary coverage lists, limit the types of diagnoses for which coverage will be provided or demand rebates, discounts, exclusivity or other concessions for Sunosi and potentially our other products. Additionally, at launch, many payors impose a moratorium on coverage for products while the payor makes a coverage decision. These potential utilization management strategies could limit patient access to Sunosi and depress therapy adherence rates. We expect to enter into rebate agreements with third party payors in an effort to obtain adequate formulary positions for Sunosi. We cannot predict market acceptance of, and our ability to obtain or maintain adequate formulary positions, access to and reimbursement coverage for Sunosi. An inability to obtain or maintain adequate formulary positions could increase patient cost-sharing for Sunosi and cause some patients to determine not to use Sunosi. If we are unsuccessful in obtaining broad coverage for Sunosi, our anticipated revenue from and growth prospects for Sunosi could be negatively affected. For more information on Sunosi, see the risk factor under the heading “</w:t>
      </w:r>
      <w:r>
        <w:rPr>
          <w:rFonts w:ascii="Arial" w:cs="Arial" w:eastAsia="Arial" w:hAnsi="Arial"/>
          <w:sz w:val="17"/>
          <w:szCs w:val="17"/>
          <w:i w:val="1"/>
          <w:iCs w:val="1"/>
          <w:color w:val="auto"/>
        </w:rPr>
        <w:t>While Xyrem remains our largest product, our success also depends on our ability to</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effectively commercialize our other products.</w:t>
      </w:r>
      <w:r>
        <w:rPr>
          <w:rFonts w:ascii="Arial" w:cs="Arial" w:eastAsia="Arial" w:hAnsi="Arial"/>
          <w:sz w:val="17"/>
          <w:szCs w:val="17"/>
          <w:color w:val="auto"/>
        </w:rPr>
        <w:t>” in this Part II, Item 1A.</w:t>
      </w:r>
    </w:p>
    <w:p>
      <w:pPr>
        <w:spacing w:after="0" w:line="8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In addition, new products indicated for the treatment of symptoms of narcolepsy, like pitolisant (if approved by the FDA) and Sunosi, could impact access to Xyrem, particularly for newly diagnosed narcolepsy patients, if, for example, payors impose a step edit requiring a narcolepsy patient to try another medicine before authorizing payment for Xyrem, or exclude Xyrem from formulary coverage in favor of a newly-launched product.</w:t>
      </w:r>
    </w:p>
    <w:p>
      <w:pPr>
        <w:spacing w:after="0" w:line="5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demand for, and the profitability of, our products could be materially harmed if the Medicaid program, Medicare program or other third party payors in the U.S. or elsewhere deny reimbursement for our products, limit the indications for which our products will be reimbursed, or provide reimbursement only on unfavorable terms. We are unable to predict what additional legislation, regulations or policies, if any, relating to third party coverage and reimbursement may be enacted in the future or what effect such legislation, regulations or policies would have on our business.</w:t>
      </w:r>
    </w:p>
    <w:p>
      <w:pPr>
        <w:spacing w:after="0" w:line="6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w:t>
      </w:r>
    </w:p>
    <w:p>
      <w:pPr>
        <w:spacing w:after="0" w:line="7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Policies to address healthcare costs and drug pricing have been identified as high priorities by both major political parties. We anticipate that the U.S. Congress, state legislatures, regulators and the private sector will continue to consider and may adopt healthcare policies and reforms intended to curb healthcare costs. These cost containment measures may include federal and state controls on government-funded reimbursement for drugs (including Medicare and Medicaid), new or increased requirements to pay prescription drug rebates and penalties to government health care programs, and additional pharmaceutical cost transparency bills that aim to require drug companies to justify their prices through required disclosures.</w:t>
      </w:r>
    </w:p>
    <w:p>
      <w:pPr>
        <w:spacing w:after="0" w:line="5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There is increasing bipartisan support and activity within the U.S. Congress, and continuing support by the Trump Administration, for drug pricing reform-related policies. Specific reforms that may be enacted or implemented remain uncertain, both as to their final substance and timing, and may affect a broad range of public policy considerations, the Medicare and Medicaid programs and the FDA regulatory regime, including the potential authorization of prescription drug</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125"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importation from other countries, the approval of generic drugs and changes to REMS provisions related to generic products, legislative proposals to limit the terms of patent litigation settlements with generic sponsors, redefine certain conduct around patenting and new product development as unfair competition, create a private right of action related to access to samples of innovator products and ease the approval of REMS for generic applicants. In addition, heightened scrutiny of drug pricing-related issues by the U.S. Congress, the Trump Administration, the media and other stakeholders is expected to continue. All such considerations may adversely affect our business in ways that we cannot accurately predict.</w:t>
      </w:r>
    </w:p>
    <w:p>
      <w:pPr>
        <w:spacing w:after="0" w:line="6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There is also ongoing activity related to the Patient Protection and Affordable Care Act, as amended by the Healthcare and Education Reconciliation Act of 2010, together, the Healthcare Reform Act. The Healthcare Reform Act has substantially changed the way healthcare is financed by both governmental and private insurers. These changes have impacted previously existing government healthcare programs and have resulted in the development of new programs, including Medicare payment-for-performance initiatives. Some of the provisions of the Healthcare Reform Act have yet to be fully implemented, and certain provisions have been subject to judicial and Congressional challenges, including pending litigation in which several states and the Trump Administration have taken the position that the Healthcare Reform Act in its entirety is invalid. In addition, there have been efforts by the Trump Administration to repeal or replace certain aspects of the Healthcare Reform Act and to alter the implementation of the Healthcare Reform Act and related laws. Additional legislative and regulatory changes and judicial challenges related to the Healthcare Reform Act remain possible. For example, while “repeal and replace” efforts by the Trump Administration and the U.S. Congress have failed, aspects of the Healthcare Reform Act have been changed legislatively, such as the repeal of the requirement that certain individuals who fail to maintain qualifying health coverage for all or part of a year make a tax-based shared responsibility payment commonly referred to as the “individual mandate.” In addition, there have been delays in the implementation of key provisions of the Healthcare Reform Act, including the excise tax on generous employer-based health plans. We expect that the Healthcare Reform Act and its implementation, efforts to repeal or replace, or invalidate, the Healthcare Reform Act or portions thereof and other healthcare reform measures that may be adopted in the future could have a material adverse effect on our industry generally and on our ability to maintain or increase sales of our products.</w:t>
      </w:r>
    </w:p>
    <w:p>
      <w:pPr>
        <w:spacing w:after="0" w:line="6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If healthcare policies or reforms intended to curb healthcare costs are adopted or if we experience negative publicity with respect to pricing of our products or the pricing of pharmaceutical drugs generally, the prices that we charge for our products, including Xyrem, may be affected, our commercial opportunity may be limited and/or our revenues from sales of our products may be negatively impacted. We have periodically increased the price of Xyrem, most recently in July 2019, and may do so again in the future. We also have made and may in the future make similar price increases on our other products. There is no guarantee that such price adjustments will not negatively affect our reputation and our ability to secure and maintain reimbursement coverage for our products, which could limit the prices that we charge for our products, including Xyrem, limit the commercial opportunities for our products and/or negatively impact revenues from sales of our products.</w:t>
      </w:r>
    </w:p>
    <w:p>
      <w:pPr>
        <w:spacing w:after="0" w:line="8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we become the subject of any future government investigation or U.S. Congressional hearing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more information, see the risk factor under the heading “</w:t>
      </w:r>
      <w:r>
        <w:rPr>
          <w:rFonts w:ascii="Arial" w:cs="Arial" w:eastAsia="Arial" w:hAnsi="Arial"/>
          <w:sz w:val="16"/>
          <w:szCs w:val="16"/>
          <w:i w:val="1"/>
          <w:iCs w:val="1"/>
          <w:color w:val="auto"/>
        </w:rPr>
        <w:t>In addition to those specifically described in other risk factors, we are subject to significant ongoing regulatory obligations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oversight, which may result in significant additional expense and limit our ability to commercialize our products</w:t>
      </w:r>
      <w:r>
        <w:rPr>
          <w:rFonts w:ascii="Arial" w:cs="Arial" w:eastAsia="Arial" w:hAnsi="Arial"/>
          <w:sz w:val="16"/>
          <w:szCs w:val="16"/>
          <w:color w:val="auto"/>
        </w:rPr>
        <w:t>” in this Part II, Item 1A.</w:t>
      </w:r>
    </w:p>
    <w:p>
      <w:pPr>
        <w:spacing w:after="0" w:line="5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approval. The process of maintaining pricing and reimbursement approvals is complex and varies from country to country. Many European countries periodically review their reimbursement of medicinal products, which could have an adverse impact on reimbursement status. We cannot predict the outcome of any periodic reviews required to maintain pricing and reimbursement approvals across Europe. In addition, orphan products that have a significant impact on patient survival, such as Defitelio, may be budgeted on a local rather than national level. The balance of all of these factors will determine our ability to maintain favorable pricing and reimbursement approvals across Europe. Furthermore, after initial pricing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external reference pricing, which consists of arbitrage between low-priced and high-priced countries. Changes in the pricing of our medicinal products in one of the EU member states could, therefore, affect the price of our medicinal products in other EU member states. If we are unable to maintain favorable pricing and reimbursement approvals in EU member states that represent significant markets, especially where an EU member state’s reimbursed price influences other EU member states, our anticipated revenue from and growth prospects for our products in the EU could be negatively affected.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In August 2018, the EC granted marketing authorization for Vyxeos, and, as part of our rolling launch of Vyxeos in the EU, we are continuing to make pricing and reimbursement submissions in EU member states. If we experience delays or unforeseen difficulties in obtaining favorable pricing and reimbursement approvals, planned launches in the affected EU member states would be delayed, which could negatively impact anticipated revenue from Vyxeos. If we are unable to obtain favorable pricing and reimbursement approvals in the EU member states that represent significant potential markets, our anticipated revenue from and growth prospects for Vyxeos in the EU could be negatively affected.</w:t>
      </w:r>
    </w:p>
    <w:p>
      <w:pPr>
        <w:spacing w:after="0" w:line="6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various EU member states we expect to be subject to continuous cost-cutting measures, such as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including those representing the larger markets. The HTA process, which is currently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a recently proposed EU regulation governing HTA procedures may lead to harmonization.</w:t>
      </w:r>
    </w:p>
    <w:p>
      <w:pPr>
        <w:spacing w:after="0" w:line="7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the EU, our products are marketed through various channels and within different legal frameworks. In certain EU member states, reimbursement for unauthorized products may be provided through national named patient programs. Such reimbursement may no longer be available if authorization for named patient programs expire or are terminated or when marketing authorization is granted. In other EU member states, authorization and reimbursement policies may also delay commercialization of our products, or may adversely affect our ability to sell our products on a profitable basis.</w:t>
      </w:r>
    </w:p>
    <w:p>
      <w:pPr>
        <w:spacing w:after="0" w:line="4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expect that legislators, policymakers and healthcare insurance funds in the EU member states will continue to propose and implement cost-containing measures to keep healthcare costs down. Such measures could include limitations on the prices we will be able to charge for our products or the amounts of reimbursement available for these products from governmental authorities or third party payors, may increase the tax obligations on pharmaceutical companies, or may facilitate the introduction of generic competition with respect to our products. Further, an increasing number of EU member states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 Moreover, in order to obtain reimbursement for our products in some European countries, including some EU member states, we may be required to conduct clinical trials that compare the cost-effectiveness of our products to other available therapies. There can be no assurance that our products will obtain favorable reimbursement status in any country in Europe. Any cost containment measures, including those listed above, or other healthcare system reforms that are adopted, could negatively affect our growth prospects in Europe.</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62" w:lineRule="exact"/>
        <w:rPr>
          <w:sz w:val="20"/>
          <w:szCs w:val="20"/>
          <w:color w:val="auto"/>
        </w:rPr>
      </w:pPr>
    </w:p>
    <w:p>
      <w:pPr>
        <w:ind w:left="720" w:right="460" w:hanging="320"/>
        <w:spacing w:after="0" w:line="25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and any restrictions placed upon the product in connection with its approval, such as a REMS, patient registry requirements or labeling restrictions;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severity of side effects;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 particularly with respect to Erwinaze;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 particularly with respect to Erwinaze;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720" w:right="20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Xyrem, physician and patient assessment of the burdens associated with obtaining or maintaining the certifications required under the Xyrem REMS;</w:t>
      </w: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03"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Because of our dependence upon market acceptance of our products, any adverse publicity associated with harm to patients or other adverse events resulting from the use or misuse of our products or any similar products distributed by other companies, including generic versions of our products, could materially and adversely affect our business, financial condition,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results of operations and growth prospects. For example, from time to time, there is negative publicity about illicit GHB and its effects, including with respect to illegal use, overdoses, serious injury and death. Because sodium oxybate, the API in Xyrem, is a derivative of GHB, Xyrem sometimes also receives negative mention in publicity relating to GHB. Patients, physicians and regulators may therefore view Xyrem as the same as or similar to illicit GHB. In addition, there are regulators and some law enforcement agencies that oppose the prescription and use of Xyrem generally because of its connection to GHB. Xyrem’s label includes information about adverse events from GHB.</w:t>
      </w:r>
    </w:p>
    <w:p>
      <w:pPr>
        <w:spacing w:after="0" w:line="80"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For additional discussion about payor acceptance, see the risk factor under the heading “</w:t>
      </w:r>
      <w:r>
        <w:rPr>
          <w:rFonts w:ascii="Arial" w:cs="Arial" w:eastAsia="Arial" w:hAnsi="Arial"/>
          <w:sz w:val="17"/>
          <w:szCs w:val="17"/>
          <w:i w:val="1"/>
          <w:iCs w:val="1"/>
          <w:color w:val="auto"/>
        </w:rPr>
        <w:t>Adequate coverage and reimbursement from third party payors</w:t>
      </w:r>
      <w:r>
        <w:rPr>
          <w:rFonts w:ascii="Arial" w:cs="Arial" w:eastAsia="Arial" w:hAnsi="Arial"/>
          <w:sz w:val="17"/>
          <w:szCs w:val="17"/>
          <w:color w:val="auto"/>
        </w:rPr>
        <w:t xml:space="preserve"> </w:t>
      </w:r>
      <w:r>
        <w:rPr>
          <w:rFonts w:ascii="Arial" w:cs="Arial" w:eastAsia="Arial" w:hAnsi="Arial"/>
          <w:sz w:val="17"/>
          <w:szCs w:val="17"/>
          <w:i w:val="1"/>
          <w:iCs w:val="1"/>
          <w:color w:val="auto"/>
        </w:rPr>
        <w:t>may not be available for our products, which could diminish our sales or affect our ability to sell our products profitably</w:t>
      </w:r>
      <w:r>
        <w:rPr>
          <w:rFonts w:ascii="Arial" w:cs="Arial" w:eastAsia="Arial" w:hAnsi="Arial"/>
          <w:sz w:val="17"/>
          <w:szCs w:val="17"/>
          <w:color w:val="auto"/>
        </w:rPr>
        <w:t>” in this Part II, Item 1A.</w:t>
      </w:r>
    </w:p>
    <w:p>
      <w:pPr>
        <w:spacing w:after="0" w:line="38"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the FDA’s current Good Manufacturing Practices, or cGMP, requirements, DEA regulations and equivalent rules and regulations prescribed by non-U.S. regulatory authorities. We have cGMP responsibilities for the products we manufacture in our facilities and also have oversight responsibilities for the manufacturing conducted by our third party suppliers operating under contract. If we or any of our suppliers encounter manufacturing, quality or compliance difficulties with respect to any of our products, we may be unable to obtain or maintain regulatory approval or meet commercial demand for such products, which could adversely affect our business, financial condition, results of operations and growth prospects. In addition, the failure of any of our suppliers to comply with cGMP or other rules and regulations while manufacturing products on our behalf could result in regulatory action directed at the adequacy of our oversight of our contract suppliers, which could result in enforcement actions against us by the FDA and other regulatory entities.</w:t>
      </w:r>
    </w:p>
    <w:p>
      <w:pPr>
        <w:spacing w:after="0" w:line="72"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have a manufacturing and development facility in Ireland where we manufacture Xyrem and development-stage oxybate products, including JZP-258, and a manufacturing plant in Italy where we produce the defibrotide drug substance.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 For details of our arrangements with our suppliers, see “Business—Manufacturing” in Part I, Item 1 of our Annual Report on Form 10-K for the year ended December 31, 2018.</w:t>
      </w:r>
    </w:p>
    <w:p>
      <w:pPr>
        <w:spacing w:after="0" w:line="7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part due to the limited market size for our products and product candidates, we have a single source of supply for most of our marketed products, product candidates and their APIs. We are the sole supplier of the defibrotide compound. We have single source suppliers for sodium oxybate, the API for Xyrem, for Erwinaze, for the finished vial form of Defitelio and for Vyxeos. Single sourcing puts us at risk of interruption in supply in the event of manufacturing, quality or compliance difficulties. There is no guarantee that our suppliers can or will continue to supply on a timely basis, or at all, the quantities of API or finished product that we need. If one of our suppliers fails or refuses to supply us for any reason, it would take a significant amount of time and expense to implement and execute the necessary technology transfer to, and to qualify, a new supplier. The FDA and similar international regulatory bodies must approve manufacturers of the active and inactive pharmaceutical ingredients and certain packaging materials used in our products. The loss of one of our suppliers could require us to obtain regulatory clearance in the form of a “prior approval supplement” and to incur validation and other costs associated with the transfer of the API or product manufacturing process. We believe that it could take up to two years, or longer in certain cases, to qualify a new supplier, and we may not be able to obtain APIs or finished products from new suppliers on acceptable terms and at reasonable prices, or at all.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7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Erwinaze is licensed from, and manufactured for us by, a single source, PBL. The Erwinaze BLA includes a number of post-marketing commitments related to the manufacture of Erwinaze by PBL.</w:t>
      </w:r>
    </w:p>
    <w:p>
      <w:pPr>
        <w:spacing w:after="0" w:line="6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January 2017, the FDA issued a warning letter to PBL indicating that it was not satisfied with PBL’s response to the FDA Form 483 issued to PBL in March 2016 and citing significant violations of cGMP for finished pharmaceuticals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deviations from cGMP for APIs. In March 2017, PBL filed a response to the warning letter with the FDA. In August 2018, the FDA conducted an inspection of the PBL manufacturing facility and issued an FDA Form 483 to PBL citing observations related to items referenced in the warning letter as well as other manufacturing practices, including data and records management. PBL continues to address the issues identified by the FDA in the warning letter and has submitted its response to the August 2018 Form 483.</w:t>
      </w:r>
    </w:p>
    <w:p>
      <w:pPr>
        <w:spacing w:after="0" w:line="79" w:lineRule="exact"/>
        <w:rPr>
          <w:sz w:val="20"/>
          <w:szCs w:val="20"/>
          <w:color w:val="auto"/>
        </w:rPr>
      </w:pPr>
    </w:p>
    <w:p>
      <w:pPr>
        <w:ind w:right="520" w:firstLine="432"/>
        <w:spacing w:after="0" w:line="286" w:lineRule="auto"/>
        <w:rPr>
          <w:sz w:val="20"/>
          <w:szCs w:val="20"/>
          <w:color w:val="auto"/>
        </w:rPr>
      </w:pPr>
      <w:r>
        <w:rPr>
          <w:rFonts w:ascii="Arial" w:cs="Arial" w:eastAsia="Arial" w:hAnsi="Arial"/>
          <w:sz w:val="17"/>
          <w:szCs w:val="17"/>
          <w:color w:val="auto"/>
        </w:rPr>
        <w:t>In the United Kingdom, or UK, where PBL’s manufacturing facilities are located, PBL is subject to similar inspections conducted by the MHRA. Following a site inspection of PBL by MHRA in December 2017, MHRA issued an inspection report listing several major findings, including major deficiencies and failures by PBL to comply with cGMP. In January 2018, PBL filed a response to the report with the MHRA.</w:t>
      </w:r>
    </w:p>
    <w:p>
      <w:pPr>
        <w:spacing w:after="0" w:line="5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Inability to comply with regulatory requirements of the FDA, the MHRA or other competent authorities in the EU member states in which Erwinaze is subject to marketing authorization, including any failure by PBL to correct the violations and deviations referenced above to the satisfaction of the FDA and MHRA, could further adversely affect Erwinaze supply, particularly in light of the ongoing limited supply of Erwinaze, and could result in enforcement actions by the FDA, MHRA or other EU member states’ competent authorities (including the issuance of the local equivalents of FDA Form 483s or warning letters), the approval of the FDA or other competent authorities being suspended, varied, or revoked, product release being delayed or suspended, including potentially the FDA refusing admission of Erwinaze in the U.S., or product being seized or recalled. Any of these actions could have a material adverse effect on our sales of, and revenues from, Erwinaze and further limit our future maintenance and potential growth of the market for this product. We have incurred and continue to incur significant internal and external costs and expenses as a result of these issues, including due to managing the increased need for regulatory and customer interaction. In addition, if the FDA or any non-U.S. regulatory authority mandates any changes to the specifications for Erwinaze, we may face challenges having product produced to meet such specifications, and PBL may increase its price to supply Erwinaze meeting such specifications, which may result in additional costs to us or a delay in supply and may decrease any profit we would otherwise achieve with Erwinaze.</w:t>
      </w:r>
    </w:p>
    <w:p>
      <w:pPr>
        <w:spacing w:after="0" w:line="65"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All Erwinaze that PBL has been able to supply is currently completely absorbed by demand for the product. As a consequence, there is no product inventory that can be used to absorb supply disruptions resulting from quality, manufacturing, regulatory or other issues. PBL has experienced and continues to experience product quality and manufacturing issues that have resulted, and continue to result, in disruptions in our ability to supply markets from time to time and have caused, and may in the future cause, us to implement batch-specific, modified product use instructions. We have been experiencing, and continue to experience, supply disruptions globally and expect further supply disruptions in 2019 and 2020. We cannot predict whether the required remediation activities by PBL in connection with its January 2017 FDA warning letter, the December 2017 MHRA report or the August 2018 FDA Form 483 will further strain PBL’s manufacturing capacity or otherwise further adversely affect Erwinaze supply. As capacity constraints and supply disruptions continue, whether as a result of continued quality or manufacturing challenges at PBL, regulatory issues or otherwise, we will be unable to build product inventory, our ability to supply the market will continue to be compromised and physicians’ decisions to use Erwinaze will continue to be negatively impacted.</w:t>
      </w:r>
    </w:p>
    <w:p>
      <w:pPr>
        <w:spacing w:after="0" w:line="8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If PBL’s quality, manufacturing or regulatory issues persist and supply disruptions continue, our agreement with PBL, which will expire on December 31, 2020, only gives us the right to engage a backup supplier for Erwinaze in very limited circumstances, such as following termination of the agreement by us due to uncured material breach or the cessation of manufacturing by our supplier. If we are required to engage a backup or alternative supplier, the transfer of technical expertise and manufacturing process to the backup or alternative supplier would be difficult, costly and time-consuming, might not be successful and would increase the likelihood of a delay or disruption in manufacturing or exacerbate the supply shortage. In addition, if our contract is not extended, there would not be sufficient time for us to engage a backup or alternative supplier before the contract expires at the end of 2020. If we continue to fail to obtain a sufficient supply of Erwinaze from PBL, our sales of and revenues from Erwinaze, our future maintenance and potential growth of the market for this product, our reputation and our business, financial condition, results of operations and growth prospects would continue to be materially adversely affected.</w:t>
      </w:r>
    </w:p>
    <w:p>
      <w:pPr>
        <w:spacing w:after="0" w:line="5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API in Defitelio is derived from porcine DNA. If our porcine DNA supplier experiences safety or other issues that impact its ability to supply porcine materials to us as needed, we may not be able to find alternative suppliers in a timely fashion, which could negatively impact our supply of Defitelio.</w:t>
      </w:r>
    </w:p>
    <w:p>
      <w:pPr>
        <w:spacing w:after="0" w:line="1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Vyxeos is manufactured by Baxter Oncology GmbH, or Baxter, which is a sole source supplier from a single site location. Given that our Vyxeos launch is still at a relatively early stage, there is limited experience with the complex manufacturing process relating to Vyxeos. Baxter manufactured batches that were used in the Phase 3 clinical trial for Vyxeos; there have since been batch failures due to mechanical, component and other issues, and batches have been produced that have otherwise not been in compliance with applicable specifications. We are continuing to work with Baxter to address manufacturing complexities. Moreover, the proprietary technology that supports the manufacture of Vyxeos is not easily transferable. Consequently, engaging an alternate manufacturer may be difficult, costly and time-consuming. If we fail to obtain a sufficient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supply of Vyxeos in accordance with applicable specifications on a timely basis for any reason or due to manufacturing or regulatory challenges, our sales of and revenues from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5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while the APIs in Vyxeos, daunorubicin and cytarabine are available from a number of suppliers, certain suppliers have received warning letters from the FDA. As a result, we have qualified other suppliers for each API, and we provided the qualification data to the FDA. If the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8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To conduct our ongoing and any future clinical trials of, complete marketing authorization submissions for, and potentially launch our other product candidates, we need to have sufficient quantities of product manufactured. For example, Siegfried USA, LLC, or Siegfried, is our sole supplier of both the API and finished product for Sunosi for both commercial sale as well as development activities. If Siegfried does not or is not able to supply us with Sunosi for any reason, it may take time and resources to implement and execute the necessary technology transfer to another provider, and such delay could negatively impact our anticipated revenues from Sunosi.</w:t>
      </w:r>
    </w:p>
    <w:p>
      <w:pPr>
        <w:spacing w:after="0" w:line="8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or our suppliers may not be able to produce sufficient supplies of our product candidates in a timely manner or in accordance with applicable specifications. If any of our suppliers fail or refuse to comply with their obligations to us under our supply and manufacturing arrangements, we may not have adequate remedies for any breach. In addition, to obtain FDA approval of any product candidate, we or our supplier or suppliers for that product must obtain approval by the FDA to manufacture and supply product, in some cases based on qualification data provided to the FDA as part of our NDA submission. Any delay in generating, or failure to generate, data required in connection with submission of the chemistry, manufacturing and controls, or CMC, portions of any NDA could negatively impact our ability to meet our anticipated submission dates, and therefore our anticipated timing for obtaining FDA approval, or our ability to obtain FDA approval at all. In addition, any failure of us or a supplier to obtain approval by the FDA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5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manufacturing facilities and manufacturing facilities of our suppliers have been and are subject to periodic unannounced inspection by the FDA, the EMA, the DEA, the Italian Health Authority and other regulatory authorities, including state authorities and similar authorities in other jurisdictions, to confirm compliance with cGMP and other requirements. We and our third party suppliers must continually expend time, money and effort in production, recordkeeping and quality assurance and control to ensure that our products and product candidates meet applicable specifications and other requirements for product safety, efficacy and quality. Failure to comply with applicable legal and regulatory requirements subjects us and our suppliers to possible legal or regulatory action, including restrictions on supply or shutdown, which may adversely affect our or a supplier’s ability to supply the ingredients or finished products we need. Moreover, our or our third party suppliers’ facilities could be damaged by fire, flood, earthquake, power loss, telecommunication and information system failure, terrorism or similar events. Any of these events could cause a delay or interruption in manufacturing and potentially a supply shortage of our products, which could negatively impact our anticipated revenues.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 in the U.S. and Europe for our late-stage product candidates and, if approved, to successfully launch and commercialize those product candidates.</w:t>
      </w:r>
    </w:p>
    <w:p>
      <w:pPr>
        <w:spacing w:after="0" w:line="62"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In furtherance of our growth strategy, we have made and are making significant investments in a number of product candidates, including solriamfetol and JZP-258. Our inability to obtain and maintain regulatory approval for our product candidates in the U.S. and Europe, and, if approved, to successfully commercialize new products would have a material adverse effect on our business, financial condition, results of operations and growth prospects.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Solriamfetol</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submitted an MAA for solriamfetol to the EMA in the fourth quarter of 2018. In addition, we are targeting potential new indications for solriamfetol for the potential treatment of EDS in other sleep or central nervous system disorders, including pursuing development activities for solriamfetol for the potential treatment of EDS in patients with MDD. For more information, see the risk factor under the heading “</w:t>
      </w:r>
      <w:r>
        <w:rPr>
          <w:rFonts w:ascii="Arial" w:cs="Arial" w:eastAsia="Arial" w:hAnsi="Arial"/>
          <w:sz w:val="18"/>
          <w:szCs w:val="18"/>
          <w:i w:val="1"/>
          <w:iCs w:val="1"/>
          <w:color w:val="auto"/>
        </w:rPr>
        <w:t>While Xyrem remains our largest product, our</w:t>
      </w:r>
      <w:r>
        <w:rPr>
          <w:rFonts w:ascii="Arial" w:cs="Arial" w:eastAsia="Arial" w:hAnsi="Arial"/>
          <w:sz w:val="18"/>
          <w:szCs w:val="18"/>
          <w:color w:val="auto"/>
        </w:rPr>
        <w:t xml:space="preserve"> </w:t>
      </w:r>
      <w:r>
        <w:rPr>
          <w:rFonts w:ascii="Arial" w:cs="Arial" w:eastAsia="Arial" w:hAnsi="Arial"/>
          <w:sz w:val="18"/>
          <w:szCs w:val="18"/>
          <w:i w:val="1"/>
          <w:iCs w:val="1"/>
          <w:color w:val="auto"/>
        </w:rPr>
        <w:t>success also depends on our ability to effectively commercialize our other products</w:t>
      </w:r>
      <w:r>
        <w:rPr>
          <w:rFonts w:ascii="Arial" w:cs="Arial" w:eastAsia="Arial" w:hAnsi="Arial"/>
          <w:sz w:val="18"/>
          <w:szCs w:val="18"/>
          <w:color w:val="auto"/>
        </w:rPr>
        <w:t>” in this Part II, Item 1A.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JZP-258</w:t>
      </w:r>
    </w:p>
    <w:p>
      <w:pPr>
        <w:spacing w:after="0" w:line="117"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JZP-258 is an oxybate product candidate that contains 92% less sodium than Xyrem. Given the well-accepted relationship between dietary sodium and blood pressure as well as published hypertension guidelines, we believe that significantly lowering sodium intake would be beneficial for patients. On March 26, 2019, we announced positive top-line results from our Phase 3 study evaluating the efficacy and safety of JZP-258 for the treatment of cataplexy and EDS in adult patients with narcolepsy, and we expect to submit an NDA for this product by as early as the end of 2019. Although we received positive results from that Phase 3 study, we cannot guarantee the timing or acceptance of our planned NDA by the FDA. We are also conducting a Phase 3 clinical trial for use of JZP 258 for the treatment of idiopathic hypersomnia, a chronic neurological disorder that is primarily characterized by EDS. Any failure or delay in successfully completing necessary clinical trials and conducting other activities, including CMC activities, that are required to complete our planned NDA submission and obtain regulatory approval could materially and adversely affect our growth prospects. If we submit an NDA to the FDA for approval and the FDA determines that our safety or efficacy data do not warrant marketing approval, we may be required to conduct additional clinical trials, which could be costly and time-consuming, or we may not be able to commercialize JZP-258, in which event we would not receive any return on our investment.</w:t>
      </w:r>
    </w:p>
    <w:p>
      <w:pPr>
        <w:spacing w:after="0" w:line="6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Avadel has announced that it has obtained an orphan drug designation from the FDA for its once-nightly sodium oxybate formulation for the treatment of EDS and cataplexy in patients with narcolepsy. To obtain orphan drug exclusivity upon approval, Avadel will have to show clinical superiority to Xyrem, or, if applicable, clinical superiority to JZP-258. However, if the FDA approves Avadel’s product and grants it orphan drug exclusivity before we obtain approval for JZP-258, there is a risk that JZP-258 will not be approvable for seven years unless it can establish clinical superiority to Avadel’s product. We cannot predict the timing of the two submissions or how FDA will evaluate any clinical superiority arguments that either company may make, but a delay in our ability to obtain approval for JZP-258, if at all, could be detrimental to our business.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a discussion of the risks inherent in product development and regulatory approval, see the discussions in the risk factors under the headings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Conducting clinical trials is costly and time-consuming, and the outcomes are uncertain. A failure to prove that our product candidates are safe and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clinical trials, or to generate data in clinical trials to support expansion of the therapeutic uses for our existing products, could materially and adversely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affect our business, financial condition, results of operations and growth prospects</w:t>
      </w:r>
      <w:r>
        <w:rPr>
          <w:rFonts w:ascii="Arial" w:cs="Arial" w:eastAsia="Arial" w:hAnsi="Arial"/>
          <w:sz w:val="16"/>
          <w:szCs w:val="16"/>
          <w:color w:val="auto"/>
        </w:rPr>
        <w:t>” and “</w:t>
      </w:r>
      <w:r>
        <w:rPr>
          <w:rFonts w:ascii="Arial" w:cs="Arial" w:eastAsia="Arial" w:hAnsi="Arial"/>
          <w:sz w:val="16"/>
          <w:szCs w:val="16"/>
          <w:i w:val="1"/>
          <w:iCs w:val="1"/>
          <w:color w:val="auto"/>
        </w:rPr>
        <w:t>The regulatory approval process is expensive, time-consuming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and may prevent us or our partners from obtaining and maintaining approvals for the commercialization of some or all of our product candidates”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this Part II, Item 1A. If we are not successful in the clinical development of our product candidates, if we are unable to obtain regulatory approval for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in a timely manner, or at all, or if sales of an approved product do not reach the levels we expect, our anticipated revenue from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would be negatively affected, which could have a material adverse effect on our business, financial condition, results of operations and growth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prospects.</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acquisitions.</w:t>
      </w:r>
    </w:p>
    <w:p>
      <w:pPr>
        <w:spacing w:after="0" w:line="6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Future growth through acquisition or in-licensing will depend upon the availability of suitable products and product candidates for acquisition or in-licensing on acceptable prices, terms and conditions.</w:t>
      </w:r>
    </w:p>
    <w:p>
      <w:pPr>
        <w:spacing w:after="0" w:line="7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Even if appropriate opportunities are available, we may not be able to successfully identify them, or we may not have the financial resources necessary to pursue them. Other companies, many of which may have substantially greater financial, sales and marketing resources, compete with us for these opportunities. In order to compete successfully to acquire attractive products or product candidates in the current business climate, we may have to pay higher prices for assets than may have been paid historically, which may make it more difficult for us to realize an adequate return on any acquisition.</w:t>
      </w:r>
    </w:p>
    <w:p>
      <w:pPr>
        <w:spacing w:after="0" w:line="46" w:lineRule="exact"/>
        <w:rPr>
          <w:sz w:val="20"/>
          <w:szCs w:val="20"/>
          <w:color w:val="auto"/>
        </w:rPr>
      </w:pPr>
    </w:p>
    <w:p>
      <w:pPr>
        <w:ind w:right="500" w:firstLine="432"/>
        <w:spacing w:after="0" w:line="259" w:lineRule="auto"/>
        <w:rPr>
          <w:sz w:val="20"/>
          <w:szCs w:val="20"/>
          <w:color w:val="auto"/>
        </w:rPr>
      </w:pPr>
      <w:r>
        <w:rPr>
          <w:rFonts w:ascii="Arial" w:cs="Arial" w:eastAsia="Arial" w:hAnsi="Arial"/>
          <w:sz w:val="18"/>
          <w:szCs w:val="18"/>
          <w:color w:val="auto"/>
        </w:rPr>
        <w:t>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We may not be able to realize the anticipated benefits for a variety of reasons, including if:</w:t>
      </w:r>
    </w:p>
    <w:p>
      <w:pPr>
        <w:spacing w:after="0" w:line="79" w:lineRule="exact"/>
        <w:rPr>
          <w:sz w:val="20"/>
          <w:szCs w:val="20"/>
          <w:color w:val="auto"/>
        </w:rPr>
      </w:pPr>
    </w:p>
    <w:p>
      <w:pPr>
        <w:ind w:left="720" w:right="280" w:hanging="320"/>
        <w:spacing w:after="0" w:line="25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 collaboration partner are unable to obtain and maintain adequate funding to complete the development of, obtain regulatory approval for and commercialize an acquired product candidate;</w:t>
      </w:r>
    </w:p>
    <w:p>
      <w:pPr>
        <w:spacing w:after="0" w:line="1" w:lineRule="exact"/>
        <w:rPr>
          <w:rFonts w:ascii="Arial" w:cs="Arial" w:eastAsia="Arial" w:hAnsi="Arial"/>
          <w:sz w:val="18"/>
          <w:szCs w:val="18"/>
          <w:color w:val="auto"/>
        </w:rPr>
      </w:pPr>
    </w:p>
    <w:p>
      <w:pPr>
        <w:ind w:left="720" w:right="200" w:hanging="320"/>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and our collaboration partners are unable to agree on our respective contractual rights or other disputes arise between us and our collaboration partners;</w:t>
      </w: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collaborations with third parties are terminated or allowed to expire;</w:t>
      </w:r>
    </w:p>
    <w:p>
      <w:pPr>
        <w:spacing w:after="0" w:line="9" w:lineRule="exact"/>
        <w:rPr>
          <w:rFonts w:ascii="Arial" w:cs="Arial" w:eastAsia="Arial" w:hAnsi="Arial"/>
          <w:sz w:val="18"/>
          <w:szCs w:val="18"/>
          <w:color w:val="auto"/>
        </w:rPr>
      </w:pPr>
    </w:p>
    <w:p>
      <w:pPr>
        <w:ind w:left="720" w:right="340" w:hanging="320"/>
        <w:spacing w:after="0" w:line="26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product candidate proves not to be safe or effective in later clinical trials or its development is otherwise discontinued by us or a collaboration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fails to reach its forecasted commercial potential as a result of pricing pressures or for any other reason;</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experience negative publicity regarding actual or potential future price increases for that product or otherwise; or</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integration of a product or product candidate gives rise to unforeseen difficulties and expenditures.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failure to identify and manage these risks and uncertainties effectively could have a material adverse effect on our business.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product and product candidate acquisitions create other uncertainties and risks, particularly when the acquisition takes the form of a merger or other business consolidation. Our business acquisitions have required, and any similar future transactions will also require, significant efforts and expenditures, including with respect to transition activities and integrating the acquired business with our historical business. We may encounter unexpected difficulties, or incur unexpected costs, in connection with potential acquisitions and similar transactions, which include:</w:t>
      </w:r>
    </w:p>
    <w:p>
      <w:pPr>
        <w:spacing w:after="0" w:line="63" w:lineRule="exact"/>
        <w:rPr>
          <w:sz w:val="20"/>
          <w:szCs w:val="20"/>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any acquisition;</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0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If any of these or other factors impair our ability to integrate or otherwise manage an acquired business efficiently and successfully, we may be required to spend time or money on integration activities that otherwise would be spent on the development and expansion of our business. Resulting operating inefficiencies could increase costs and expenses more than we planned, could negatively impact the market price of our ordinary shares and could otherwise distract us from the execution of our strategy. Failure to maintain effective financial controls and reporting systems and procedures during and after integration of an acquired business could also impact our ability to produce timely and accurate financial statements.</w:t>
      </w:r>
    </w:p>
    <w:p>
      <w:pPr>
        <w:spacing w:after="0" w:line="6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Results of limited preclinical studies, including studies in animal models, may not predict the results of human clinical trials. Similarly, results from early clinical trials may not be predictive of results obtained in later and larger clinical trials, and later clinical trials may fail to show the desired safety and efficacy of our product candidates despite successful initial clinical testing. Even if we believe we have successfully completed testing, the FDA or any equivalent non-U.S. regulatory agency may determine our data is not sufficiently compelling to warrant marketing approval and may require us to engage in additional clinical trials or provide further analysis which may be costly and time-consuming. A number of companies in the pharmaceutical industry, including us, have suffered significant setbacks in clinical trials, even in advanced clinical trials after showing positive results in preclinical studies or earlier clinical trials. If a product candidate fails at any stage of development or the data is otherwise not sufficient for regulatory approval, we will not be able to commercialize it and receive any return on our investment in that product candidate.</w:t>
      </w:r>
    </w:p>
    <w:p>
      <w:pPr>
        <w:spacing w:after="0" w:line="6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If the FDA determines that the safety or efficacy data we submit in our planned NDA for JZP-258 do not warrant marketing approval, we may be required to conduct additional clinical trials, which could be costly and time-consuming, or we may not be able to commercialize JZP-258, in which event we would not receive any return on our investment in this product candidate. The FDA may also require product labeling that negatively impacts patient, physician or payor acceptance of the product. For more information, see the risk factor under the heading “</w:t>
      </w:r>
      <w:r>
        <w:rPr>
          <w:rFonts w:ascii="Arial" w:cs="Arial" w:eastAsia="Arial" w:hAnsi="Arial"/>
          <w:sz w:val="18"/>
          <w:szCs w:val="18"/>
          <w:i w:val="1"/>
          <w:iCs w:val="1"/>
          <w:color w:val="auto"/>
        </w:rPr>
        <w:t>Our future success depends on our ability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successfully develop and obtain and maintain regulatory approval in the U.S. and Europe for our late-stage product candidates and, if approved, to successfully launch and commercialize those product candidates” </w:t>
      </w:r>
      <w:r>
        <w:rPr>
          <w:rFonts w:ascii="Arial" w:cs="Arial" w:eastAsia="Arial" w:hAnsi="Arial"/>
          <w:sz w:val="18"/>
          <w:szCs w:val="18"/>
          <w:color w:val="auto"/>
        </w:rPr>
        <w:t>in this Part II, Item 1A.</w:t>
      </w:r>
    </w:p>
    <w:p>
      <w:pPr>
        <w:spacing w:after="0" w:line="8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Any adverse events or other data generated during the course of clinical trials of our product candidates and/or clinical trials related to additional indications for our commercialized products could result in action by the FDA or a non-U.S.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29" w:lineRule="exact"/>
        <w:rPr>
          <w:sz w:val="20"/>
          <w:szCs w:val="20"/>
          <w:color w:val="auto"/>
        </w:rPr>
      </w:pPr>
    </w:p>
    <w:p>
      <w:pPr>
        <w:ind w:left="720" w:right="500" w:hanging="320"/>
        <w:spacing w:after="0" w:line="25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identifying or enrolling eligible patients, often based on the number of clinical trials, particularly in hematology and oncology, with enrollment criteria targeting the same patient population;</w:t>
      </w:r>
    </w:p>
    <w:p>
      <w:pPr>
        <w:spacing w:after="0" w:line="1" w:lineRule="exact"/>
        <w:rPr>
          <w:rFonts w:ascii="Arial" w:cs="Arial" w:eastAsia="Arial" w:hAnsi="Arial"/>
          <w:sz w:val="18"/>
          <w:szCs w:val="18"/>
          <w:color w:val="auto"/>
        </w:rPr>
      </w:pPr>
    </w:p>
    <w:p>
      <w:pPr>
        <w:ind w:left="720" w:right="12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ind w:left="720" w:right="68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720" w:right="8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recruiting patients to participate in a clinical trial;</w:t>
      </w:r>
    </w:p>
    <w:p>
      <w:pPr>
        <w:spacing w:after="0" w:line="9" w:lineRule="exact"/>
        <w:rPr>
          <w:rFonts w:ascii="Arial" w:cs="Arial" w:eastAsia="Arial" w:hAnsi="Arial"/>
          <w:sz w:val="18"/>
          <w:szCs w:val="18"/>
          <w:color w:val="auto"/>
        </w:rPr>
      </w:pPr>
    </w:p>
    <w:p>
      <w:pPr>
        <w:ind w:left="720" w:right="34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to be in compliance with the FDA and other regulatory agencies’ requirements, commonly referred to as good clinical practices;</w:t>
      </w: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monitoring multiple study sites;</w:t>
      </w:r>
    </w:p>
    <w:p>
      <w:pPr>
        <w:spacing w:after="0" w:line="9" w:lineRule="exact"/>
        <w:rPr>
          <w:rFonts w:ascii="Arial" w:cs="Arial" w:eastAsia="Arial" w:hAnsi="Arial"/>
          <w:sz w:val="18"/>
          <w:szCs w:val="18"/>
          <w:color w:val="auto"/>
        </w:rPr>
      </w:pPr>
    </w:p>
    <w:p>
      <w:pPr>
        <w:ind w:left="720" w:right="68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third party clinical trial managers to satisfactorily perform their contractual duties, comply with regulations or meet expected deadlines; or</w:t>
      </w: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0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rely on contract research organizations and other third parties, such as cooperative groups, to assist us in designing, coordinating, managing, monitoring and otherwise conducting clinical trials with our product candidates. If we, contract research organizations assisting us with clinical trials, other third parties conducting clinical trials with our product candidates, or our trial sites fail to comply with applicable good clinical practices, the clinical data generated in these clinical trials may be deemed unreliable, and the FDA and/or other global regulatory agencies may require us to perform additional clinical trials before approving our marketing applications. In addition, clinical trials must be conducted with product candidates produced under the FDA’s cGMP regulations and similar regulations outside of the U.S. Our failure, or the failure of our product suppliers, to comply with these regulations may require us to repeat or redesign clinical trials, which would delay the completion of clinical trials and the regulatory approval process.</w:t>
      </w:r>
    </w:p>
    <w:p>
      <w:pPr>
        <w:spacing w:after="0" w:line="70" w:lineRule="exact"/>
        <w:rPr>
          <w:sz w:val="20"/>
          <w:szCs w:val="20"/>
          <w:color w:val="auto"/>
        </w:rPr>
      </w:pPr>
    </w:p>
    <w:p>
      <w:pPr>
        <w:jc w:val="both"/>
        <w:ind w:right="100" w:firstLine="432"/>
        <w:spacing w:after="0" w:line="297" w:lineRule="auto"/>
        <w:rPr>
          <w:sz w:val="20"/>
          <w:szCs w:val="20"/>
          <w:color w:val="auto"/>
        </w:rPr>
      </w:pPr>
      <w:r>
        <w:rPr>
          <w:rFonts w:ascii="Arial" w:cs="Arial" w:eastAsia="Arial" w:hAnsi="Arial"/>
          <w:sz w:val="16"/>
          <w:szCs w:val="16"/>
          <w:color w:val="auto"/>
        </w:rPr>
        <w:t>If third parties do not successfully carry out their contractual duties under their agreements with us, if the quality or accuracy of the data they obtain is compromised due to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generate additional clinical data in support of these products.</w:t>
      </w:r>
    </w:p>
    <w:p>
      <w:pPr>
        <w:spacing w:after="0" w:line="5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time-consuming and uncertain and may prevent us or our partners from obtaining and maintaining approvals for the commercialization of some or all of our product candidates.</w:t>
      </w:r>
    </w:p>
    <w:p>
      <w:pPr>
        <w:spacing w:after="0" w:line="6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not permitted to market a pharmaceutical product in the U.S. or in the EU member states until we receive approval from the FDA or a marketing authorization from the EC or the competent authorities of the EU member states, as applicable. Submission of an application for marketing authorization does not assure approval for marketing in any jurisdiction, and we may encounter significant difficulties or costs in our efforts to obtain approval to market products.</w:t>
      </w:r>
    </w:p>
    <w:p>
      <w:pPr>
        <w:spacing w:after="0" w:line="79"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Although the Prescription Drug User Fee Act, or PDUFA, provides a ten-month deadline for the FDA to review an NDA, or a six-month deadline for priority review, there is no guarantee that the FDA will meet that deadline, and the FDA can extend a PDUFA action date under certain circumstances. If the FDA fails to meet PDUFA targeted action dates established for any of our product candidates, the commercialization of the affected product candidate could be delayed or impaired.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submitted an MAA to the EMA in November 2018 for solriamfetol as a treatment to improve wakefulness and reduce EDS in adult patients with narcolepsy (with or without cataplexy) or OSA. We cannot predict whether we will be able to obtain marketing authorization in the EU in a timely manner and on what terms, or at all.</w:t>
      </w:r>
    </w:p>
    <w:p>
      <w:pPr>
        <w:spacing w:after="0" w:line="73"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Moreover, the redemption of a rare pediatric disease priority review voucher may not result in faster review or approval compared to products considered for approval under conventional FDA procedures and, in any event, does not assure ultimate approval by FDA. Any delay or failure in obtaining approval of a product candidate, or receipt of approval for narrower indications than sought, can have a negative impact on our ability to recoup or research and development costs and to successfully commercialize that product and on our financial performance.</w:t>
      </w:r>
    </w:p>
    <w:p>
      <w:pPr>
        <w:spacing w:after="0" w:line="63"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If the FDA, the EC or the competent authorities of the EU member states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w:t>
      </w:r>
    </w:p>
    <w:p>
      <w:pPr>
        <w:spacing w:after="0" w:line="7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Even if we receive approval, an approved product may be subject to significant labeling restrictions, including limitations on the dosing of the product, indicated uses for which we may market the product, the imposition of a boxed warning or other warnings and precautions, and/or the requirement for a REMS to ensure that the benefits of the drug outweigh the risks. A boxed warning is the strongest type of warning that the FDA can require for a drug product and warns prescribers that the drug carries a significant risk of serious or even life-threatening adverse effects. The FDA requires a REMS and a boxed warning for Xyrem, and similar restrictions could be imposed on other products in the future. For example, we expect that the FDA would require a REMS for an approved JZP-258 product.</w:t>
      </w:r>
    </w:p>
    <w:p>
      <w:pPr>
        <w:spacing w:after="0" w:line="8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Regulatory authorities may also impose post-marketing obligations as part of their approval. Post-marketing obligations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Erwinaze, Defitelio, Vyxeos and Sunosi. For example, for Defitelio, in the U.S. the FDA imposed several post-marketing commitments and requirements in connection with its approval, including the requirement that we conduct a clinical trial to analyze the safety of defibrotide versus best supportive care in the prevention of VOD in adult and pediatric patients, and in the EU marketing authorization was granted under exceptional circumstances and requires us to comply with a number of post-marketing obligations, including the conduct of a Phase 3, randomized adaptive study of Defitelio as compared to the best supportive care in the prevention of VOD in adult and pediatric patients undergoing HSCT. Similarly, the FDA imposed post-marketing requirements in connection with its approval of our NDA for Vyxeos, including the requirement that we conduct a safety study to characterize infusion-related reactions in patients treated with Vyxeos and a clinical trial to determine dosing to minimize toxicity in patients with moderate and severe renal impairment, and the marketing authorization in the EU also requires us to comply with certain manufacturing-related post-approval commitments. The FDA also required us to conduct additional post-marketing safety studies related to pregnancy and lactation for Sunosi. In the event that we are unable to comply with our post-marketing obligations imposed as part of the marketing approvals in the U.S. or EU, our approval may be varied, suspended or revoked, product supply may be delayed and our sales of and revenues from our products could be materially adversely affected.</w:t>
      </w:r>
    </w:p>
    <w:p>
      <w:pPr>
        <w:spacing w:after="0" w:line="7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 significant proportion of the regulatory framework in the UK is derived from EU laws. For that reason, the results of the formal procedure of withdrawal from the EU, initiated by the UK in March 2017, could materially change the regulatory regime applicable to our operations, including with respect to the approval of our product candidates, as there is significant uncertainty concerning the future relationship between the UK and the EU. For a further discussion, see the risks under the heading “</w:t>
      </w:r>
      <w:r>
        <w:rPr>
          <w:rFonts w:ascii="Arial" w:cs="Arial" w:eastAsia="Arial" w:hAnsi="Arial"/>
          <w:sz w:val="17"/>
          <w:szCs w:val="17"/>
          <w:i w:val="1"/>
          <w:iCs w:val="1"/>
          <w:color w:val="auto"/>
        </w:rPr>
        <w:t>The UK’s planned withdrawal from the EU, commonly referred to as Brexit, may have a negative effect on</w:t>
      </w:r>
      <w:r>
        <w:rPr>
          <w:rFonts w:ascii="Arial" w:cs="Arial" w:eastAsia="Arial" w:hAnsi="Arial"/>
          <w:sz w:val="17"/>
          <w:szCs w:val="17"/>
          <w:color w:val="auto"/>
        </w:rPr>
        <w:t xml:space="preserve"> </w:t>
      </w:r>
      <w:r>
        <w:rPr>
          <w:rFonts w:ascii="Arial" w:cs="Arial" w:eastAsia="Arial" w:hAnsi="Arial"/>
          <w:sz w:val="17"/>
          <w:szCs w:val="17"/>
          <w:i w:val="1"/>
          <w:iCs w:val="1"/>
          <w:color w:val="auto"/>
        </w:rPr>
        <w:t>global economic conditions, financial markets and our business</w:t>
      </w:r>
      <w:r>
        <w:rPr>
          <w:rFonts w:ascii="Arial" w:cs="Arial" w:eastAsia="Arial" w:hAnsi="Arial"/>
          <w:sz w:val="17"/>
          <w:szCs w:val="17"/>
          <w:color w:val="auto"/>
        </w:rPr>
        <w:t>” in this Part II, Item 1A.</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500" w:firstLine="432"/>
        <w:spacing w:after="0" w:line="256" w:lineRule="auto"/>
        <w:rPr>
          <w:sz w:val="20"/>
          <w:szCs w:val="20"/>
          <w:color w:val="auto"/>
        </w:rPr>
      </w:pPr>
      <w:r>
        <w:rPr>
          <w:rFonts w:ascii="Arial" w:cs="Arial" w:eastAsia="Arial" w:hAnsi="Arial"/>
          <w:sz w:val="18"/>
          <w:szCs w:val="18"/>
          <w:color w:val="auto"/>
        </w:rPr>
        <w:t>The patent position of pharmaceutical companies can be highly uncertain and involve complex and often changing legal, regulatory and factual questions. The degree of protection to be afforded by our proprietary rights is uncertain because legal means afford only limited protection and may not adequately protect our rights or permit us to gain or keep our competitive advantage. For example:</w:t>
      </w:r>
    </w:p>
    <w:p>
      <w:pPr>
        <w:ind w:left="740" w:hanging="327"/>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9" w:lineRule="exact"/>
        <w:rPr>
          <w:rFonts w:ascii="Arial" w:cs="Arial" w:eastAsia="Arial" w:hAnsi="Arial"/>
          <w:sz w:val="18"/>
          <w:szCs w:val="18"/>
          <w:color w:val="auto"/>
        </w:rPr>
      </w:pPr>
    </w:p>
    <w:p>
      <w:pPr>
        <w:ind w:left="740" w:right="260" w:hanging="327"/>
        <w:spacing w:after="0" w:line="281" w:lineRule="auto"/>
        <w:tabs>
          <w:tab w:leader="none" w:pos="7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 w:lineRule="exact"/>
        <w:rPr>
          <w:rFonts w:ascii="Arial" w:cs="Arial" w:eastAsia="Arial" w:hAnsi="Arial"/>
          <w:sz w:val="16"/>
          <w:szCs w:val="16"/>
          <w:color w:val="auto"/>
        </w:rPr>
      </w:pPr>
    </w:p>
    <w:p>
      <w:pPr>
        <w:ind w:left="740" w:right="120" w:hanging="327"/>
        <w:spacing w:after="0" w:line="250" w:lineRule="auto"/>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720" w:right="580" w:hanging="320"/>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720" w:right="680" w:hanging="320"/>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be issued patents that prevent the sale of our products or require licensing and the payment of significant fees or royalties.</w:t>
      </w:r>
    </w:p>
    <w:p>
      <w:pPr>
        <w:spacing w:after="0" w:line="10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patents covering many of our products in Europe and other parts of the world where patent laws operate differently and provide a different scope of protection than in the U.S. For example, in the EU, approval of a generic pharmaceutical product can occur independently of whether the reference brand product is covered by patents, and enforcement of such patents generally must await approval and an indication that the generic product is being offered for sale. Patent enforcement generally must be sought on a country-by-country basis, and issues of patent validity and infringement may be judged differently in different countries.</w:t>
      </w:r>
    </w:p>
    <w:p>
      <w:pPr>
        <w:spacing w:after="0" w:line="8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own a portfolio of U.S. and non-U.S. patents and patent applications and have licensed rights to a number of issued patents and patent applications that cover or relate to our products and product candidates, including Xyrem, Defitelio, Vyxeos and Sunosi. Changes in either the patent laws or in interpretations of patent laws in the U.S. and other countries may diminish the value of our intellectual property.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7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Xyrem is covered by patents covering its manufacture, formulation, distribution system and method of use, and we have U.S. patents that extend to 2033. We have settled patent litigation with nine companies seeking to introduce generic versions of Xyrem in the U.S. by granting those companies licenses to launch their generic products in advance of the expiration of the last of our patents. Notwithstanding our patents and settlement agreements, additional third parties may also attempt to introduce generic versions of Xyrem or other sodium oxybate products for treatment of cataplexy and/or EDS in narcolepsy that design around our patents or assert that our patents are invalid or otherwise unenforceable. If these efforts are successful, then that third party could launch a generic or 505(b)(2) product referencing Xyrem before the dates provided in our patents or settlement agreements.</w:t>
      </w:r>
    </w:p>
    <w:p>
      <w:pPr>
        <w:spacing w:after="0" w:line="70"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For example, we have several method of use patents listed in the FDA’s publication “Approved Drug Products with Therapeutic Equivalence Evaluations,” or the Orange Book, that expire in 2033 that cover treatment methods included in the Xyrem label related to a drug-drug interaction, or DDI, with divalproex sodium. Although the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the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61"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For a discussion regarding the risks associated with our ANDA litigation settlement agreements, the potential launch of AG Products or other generic versions of Xyrem, or the approval and launch of other sodium oxybate or other products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compete with Xyrem, as well as other risks and challenges we face with respect to Xyrem, see the risk factors under the headings “Risks Related to Xyrem and the Our Other Marketed Products” and “</w:t>
      </w:r>
      <w:r>
        <w:rPr>
          <w:rFonts w:ascii="Arial" w:cs="Arial" w:eastAsia="Arial" w:hAnsi="Arial"/>
          <w:sz w:val="18"/>
          <w:szCs w:val="18"/>
          <w:i w:val="1"/>
          <w:iCs w:val="1"/>
          <w:color w:val="auto"/>
        </w:rPr>
        <w:t>We have incurred and may in the future incur substantial costs as a result of litigation or other proceedings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relating to patents, other intellectual property rights and related matters, and we may be unable to protect our rights to, or commercialize, our products”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II, Item 1A.</w:t>
      </w:r>
    </w:p>
    <w:p>
      <w:pPr>
        <w:spacing w:after="0" w:line="7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also rely on trade secrets and other unpatented proprietary information to protect our products and their commercial position, particularly with respect to our products with limited or no patent protection, such as Erwinaze, which has no patent protection.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Enforcing a claim that a third party illegally obtained or is using any of our inventions or trade secrets would be expensive and time-consuming, and the outcome is unpredictable. In addition, courts outside of the U.S. are sometimes less willing to protect trade secrets. Moreover, our competitors may independently develop equivalent knowledge, methods and know-how.</w:t>
      </w:r>
    </w:p>
    <w:p>
      <w:pPr>
        <w:spacing w:after="0" w:line="5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In some instances, we also rely on regulatory exclusivity to protect our commercial position. In addition to relying on trade secret protection, Erwinaze was granted orphan drug exclusivity by the FDA for the treatment of ALL in the U.S. for a seven-year period from its FDA approval, which had precluded approval of another product with the same principal molecular structure for the same indication until November 2018. As a biologic product approved under a BLA, Erwinaze is also subject to the U.S. Biologics Price Competition and Innovation Act, or BPCIA. We believe that Erwinaze is protected by exclusivity that prevents approval of a biosimilar in the U.S. through late 2023 under the BPCIA. However, interpretation of regulatory exclusivity under the BPCIA may evolve over time based on FDA issuance of guidance documents, proposed regulations or decisions made by the FDA in the course of considering specific applications. In addition, the BPCIA exclusivity period does not prevent another company from independently developing a product that is highly similar to Erwinaze, generating all the data necessary for a full BLA and seeking approval. BPCIA exclusivity only assures that another company cannot rely on the FDA’s prior approvals of Erwinaze to support the biosimilar product’s approval. As a result, it is possible that a potential competing drug product might obtain FDA approval before the expected BPCIA exclusivity period has expired, which would adversely affect sales of Erwinaze. In the EU, the regulatory data protection that provides an exclusivity period for Erwinase has lapsed. Any new marketing authorizations for Erwinase in other EU member states will not receive any regulatory data protection. If a biosimilar product to Erwinaze is approved as interchangeable to Erwinaze in the U.S. or in other countries where Erwinaze is sold, a significant percentage of the prescriptions that would have been written for Erwinaze may be filled with the biosimilar version, resulting in a loss in sales of Erwinaze, and there may be a decrease in the price at which Erwinaze can be sold. Competition from a biosimilar product to Erwinaze could have a material adverse effect on our business, financial condition, results of operations and growth prospects.</w:t>
      </w:r>
    </w:p>
    <w:p>
      <w:pPr>
        <w:spacing w:after="0" w:line="6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research and development collaborators may have rights to publish data and other information to which we have rights. In addition, we sometimes engage individuals or entities to conduct research that may be relevant to our business. While the ability of these individuals or entities to publish or otherwise publicly disclose data and other information generated during the course of their research is subject to contractual limitations, these contractual provisions may be insufficient or inadequate to protect our trade secrets and may impair our patent rights. If we do not apply for patent protection prior to such publication, or if we cannot otherwise maintain the confidentiality of our innovations and other confidential information, then our ability to obtain patent protection or protect our proprietary information may be jeopardized. Moreover, a dispute may arise with our employees, consultants, advisors or partners over the ownership of rights to inventions, including jointly developed intellectual property. Such disputes, if not successfully resolved, could lead to a loss of rights and possibly prevent us from pursuing certain new products or product candidates.</w:t>
      </w:r>
    </w:p>
    <w:p>
      <w:pPr>
        <w:spacing w:after="0" w:line="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62"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or IPR, process under the Leahy-Smith America Invents Act permits any person, whether they are accused of infringing the patent at issue or not, to challenge the validity of certain patents. As a result, many types of entities, including ANDA filers, have challenged valuable pharmaceutical patents through the IPR process, and six of our Orange Book-listed patents for Xyrem were invalidated through this process.</w:t>
      </w:r>
    </w:p>
    <w:p>
      <w:pPr>
        <w:spacing w:after="0" w:line="8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There is a risk that a court or the Patent Trial and Appeal Board, or PTAB, of the U.S. Patent and Trademark Office could decide that our patents or certain claims in our patents are not valid or infringed, and that we do not have the right to stop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third party from using the inventions covered by those claims, as happened with the decision of the PTAB that certain of our patent claims covering the Xyrem REMS are invalid.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 For more information, see the risk factors under the headings “Risks Related to Xyrem and Our Other Marketed Products” and “</w:t>
      </w:r>
      <w:r>
        <w:rPr>
          <w:rFonts w:ascii="Arial" w:cs="Arial" w:eastAsia="Arial" w:hAnsi="Arial"/>
          <w:sz w:val="17"/>
          <w:szCs w:val="17"/>
          <w:i w:val="1"/>
          <w:iCs w:val="1"/>
          <w:color w:val="auto"/>
        </w:rPr>
        <w:t>It is difficult and costly to protect our proprietary rights, and we may not be able to ensure their protection”</w:t>
      </w:r>
      <w:r>
        <w:rPr>
          <w:rFonts w:ascii="Arial" w:cs="Arial" w:eastAsia="Arial" w:hAnsi="Arial"/>
          <w:sz w:val="17"/>
          <w:szCs w:val="17"/>
          <w:color w:val="auto"/>
        </w:rPr>
        <w:t xml:space="preserve"> in this Part II, Item 1A. Lawsuits or proceedings we may file in the future, or our defense against any lawsuits or other proceedings that may be brought against us, may not costly and time-consuming and may not be successful in stopping the infringement of our patents.</w:t>
      </w:r>
    </w:p>
    <w:p>
      <w:pPr>
        <w:spacing w:after="0" w:line="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and to call on legislators to pass stronger laws prohibiting such settlements. The U.S. Congress and state legislatures have also identified pharmaceutical patent settlements as potential impediments to generic competition and have suggested that they may introduce legislation to regulate them. Because there is currently no precise legal standard with respect to the lawfulness of such settlements, there could be extensive litigation over whether any settlement that we have entered into or might enter into in the future constitutes a reasonable and lawful patent settlement. Parties to such settlement agreements in the U.S. are required by law to file the agreements with the FTC and the U.S Department of Justice, or DOJ, for review. Accordingly, we have submitted our ANDA litigation settlement agreements to the FTC and the DOJ for review. We may receive formal or informal requests from the FTC regarding our ANDA litigation settlements, and there is a risk that the FTC may commence a formal investigation or action against us, or a third party may initiate civil litigation regarding such settlements,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6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w:t>
      </w:r>
    </w:p>
    <w:p>
      <w:pPr>
        <w:spacing w:after="0" w:line="8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pharmaceutical and life sciences industry, like other industries, it is not always clear to industry participants, including us, which patents cover various types of products or methods. The coverage of patents is subject to interpretation by the courts, and the interpretation is not always uniform.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Because some patent applications in the U.S. may be maintained in secrecy until the patents are issued, because patent applications in the U.S. and many non-U.S. jurisdictions are typically not published until 18 months after their priority date, and because publications in the scientific literature often lag behind actual discoveries, we cannot be certain that others have not filed patent applications for inventions covered by our or our licensors’ issued patents or pending applications, or that we or our licensors were the first inventors.</w:t>
      </w:r>
    </w:p>
    <w:p>
      <w:pPr>
        <w:spacing w:after="0" w:line="79"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Some of our competitors may be able to sustain the costs of complex patent and other intellectual property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For further discussion of our Xyrem-related patent matters, see the risk factors under the headings “Risks Related to Xyrem and Our Other Marketed Products” and “Risks Related to Our Intellectual Property.”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are headquartered in Dublin, Ireland and have multiple offices in the U.S., Canada, the UK, Italy and other countries in Europe. Our headcount has grown to approximately 1,500 as of August 2019. This includes employees in 18 countries in North America and Europe, a European commercial presence, a complex distribution network for products in Europe and additional territories, and manufacturing facilities in Italy and Ireland. We may further expand our international operations into other countries in the future, either organically or by acquisition. While we have management and other personnel with substantial international experience, conducting our business in multiple countries subjects us to a variety of risks and complexities that may materially and adversely affect our business, results of operations, financial condition and growth prospects. These risks and complexities include:</w:t>
      </w:r>
    </w:p>
    <w:p>
      <w:pPr>
        <w:spacing w:after="0" w:line="57" w:lineRule="exact"/>
        <w:rPr>
          <w:sz w:val="20"/>
          <w:szCs w:val="20"/>
          <w:color w:val="auto"/>
        </w:rPr>
      </w:pPr>
    </w:p>
    <w:p>
      <w:pPr>
        <w:jc w:val="both"/>
        <w:ind w:left="720" w:right="60" w:hanging="320"/>
        <w:spacing w:after="0" w:line="25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including those related to data security and the use of, or access to, commercial and personal information, taxation, trade laws, including tariffs, export quotas, custom duties or other trade restrictions, and any changes to those requirements;</w:t>
      </w:r>
    </w:p>
    <w:p>
      <w:pPr>
        <w:ind w:left="720" w:right="160" w:hanging="320"/>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rates.</w:t>
      </w:r>
    </w:p>
    <w:p>
      <w:pPr>
        <w:spacing w:after="0" w:line="10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as a result of our international expansion, our business and corporate structure has become substantially more complex. Significant management time and effort is required to effectively manage the increased complexity of our company, and there can be no guarantee that we will effectively manage the increased complexity without experiencing operating inefficiencies or control deficiencies. Our failure to do so could have a material adverse effect on our business, financial condition, results of operations and growth prospects.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UK’s planned withdrawal from the EU, commonly referred to as Brexit, may have a negative effect on global economic conditions, financial markets and our business.</w:t>
      </w:r>
    </w:p>
    <w:p>
      <w:pPr>
        <w:spacing w:after="0" w:line="62"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Brexit has created significant uncertainty concerning the future relationship between the UK and the EU, particularly if the UK withdraws from the EU without a ratified withdrawal agreement in place. From a regulatory perspective, there is uncertainty about which laws and regulations will apply. A significant portion of the regulatory framework in the UK is derived from EU laws. However, it is unclear which EU laws the UK will decide to replace or replicate in connection with its withdrawal from the EU. In particular, the regulatory regime applicable to our operations, including with respect to the approval of our product candidates, may change, potentially significantly, and the impact on the process for obtaining or maintaining marketing authorization for pharmaceutical products manufactured or sold in the UK is otherwise unknown.</w:t>
      </w:r>
    </w:p>
    <w:p>
      <w:pPr>
        <w:spacing w:after="0" w:line="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 basic requirement related to the grant of a marketing authorization for a medicinal product in the EU is the requirement that the applicant be established in the EU. Following withdrawal of the UK from the EU, marketing authorizations previously granted to applicants established in the UK through the centralized, mutual recognition or decentralized procedures may no longer be valid. Moreover, depending upon the exact terms of the UK's withdrawal, there is a risk that the scope of a marketing authorization for a medicinal product granted by the EC pursuant to the centralized procedure, or by the competent authorities of other EU member states through the decentralized or mutual recognition procedures, would not encompass the UK. In these circumstances, a separate authorization granted by the UK competent authorities would be required to place medicinal products on the UK market.</w:t>
      </w:r>
    </w:p>
    <w:p>
      <w:pPr>
        <w:spacing w:after="0" w:line="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addition, the laws and regulations that will apply after the UK withdraws from the EU may have implications for manufacturing sites that hold certifications issued by the UK competent authorities. Our capability to rely on these manufacturing sites for products intended for the EU market will depend on the terms of the UK's withdrawal and, potentially, on the ability to obtain relevant exemptions under EU law to supply the EU market with products manufactured at UK-certified sites. There is also the risk that if batch release and quality control testing sites for our products are located only in the UK, manufacturers will need to use sites in other EU member states. All of these changes, if they occur, could increase our costs and otherwise adversely affect our business.</w:t>
      </w:r>
    </w:p>
    <w:p>
      <w:pPr>
        <w:spacing w:after="0" w:line="8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Brexit has also given rise to calls for the governments of other EU member states to consider withdrawal from the EU. These developments, or the perception that they could occur, have had and may continue to have a material adverse effect on global economic conditions and the stability of global financial markets, including by significantly reducing global market liquidity or restricting the ability of key market participants to operate in certain financial markets. In addition, currency exchange rates for the British Pound and the euro with respect to each other and to the U.S. dollar have already been negatively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affected by Brexit. Should this foreign exchange volatility continue or be exacerbated by UK’s withdrawal from the EU, it could cause volatility in our quarterly financial results.</w:t>
      </w:r>
    </w:p>
    <w:p>
      <w:pPr>
        <w:spacing w:after="0" w:line="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have an office in Oxford, England which is focused on commercialization of our products outside of the U.S. We do not know to what extent, or when, the UK’s withdrawal from the EU or any other future changes to membership in the EU will impact our business, particularly our ability to conduct international business from a base of operations in the UK. The UK could lose the benefits of global trade agreements negotiated by the EU on behalf of its members, possibly resulting in increased trade barriers, which could make doing business in Europe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financial results.</w:t>
      </w:r>
    </w:p>
    <w:p>
      <w:pPr>
        <w:spacing w:after="0" w:line="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success and our ability to grow depend in part on our continued ability to attract, retain and motivate highly qualified personnel. We are highly dependent upon our executive management team and other critical personnel, all of whom work on many complex matters that are essential to our success. We do not carry “key person” insurance. The loss of services of one or more members of our executive management team or other key personnel could delay or prevent the successful completion of some of our vital activities. Any employee may terminate his or her employment at any time without notice or with only short notice and without cause or good reason. The resulting loss of institutional knowledge may negatively impact our operations and future growth.</w:t>
      </w:r>
    </w:p>
    <w:p>
      <w:pPr>
        <w:spacing w:after="0" w:line="50"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In addition, to grow our company we will need additional personnel. Competition for qualified personnel in the pharmaceutical industry is intense. If we are unable to attract, retain and motivate quality individuals, including in our research and development operations, which are continuing to expand, our business, financial condition, results of operations and growth prospects could be adversely affected.</w:t>
      </w:r>
    </w:p>
    <w:p>
      <w:pPr>
        <w:spacing w:after="0" w:line="73"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color w:val="auto"/>
        </w:rPr>
        <w:t>We also depend on the unique abilities, industry experience and institutional knowledge of the members of our board of directors to efficiently set company strategy and effectively guide our executive management team. We cannot be certain that future board turnover will not negatively affect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increasingly dependent on information technology systems and infrastructure to operate our business. In the ordinary course of our business, we collect, store, process and transmit large amounts of confidential information, including intellectual property, proprietary business information and personal information. It is critical that we do so in a secure manner to maintain the confidentiality, integrity and availability of such information.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8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information technology systems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have been the target of events of this nature and expect them to continue.</w:t>
      </w:r>
    </w:p>
    <w:p>
      <w:pPr>
        <w:spacing w:after="0" w:line="5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In addition to those specifically described in other risk factors, 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These requirements apply both to us and to third parties we contract with to perform services and supply us with products. The failure by us or any of our third party partners, including our corporate development and collaboration partners, clinical trial sites, suppliers, distributors and our central pharmacy for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7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or conduct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The FDA and the competent authorities of the EU member states on behalf of the EMA also periodically inspect our records related to safety reporting. Following such inspections, the FDA may issue notices on FDA Form 483 and warning letters that could cause us to modify certain activities.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 The failure to adequately address and promptly correct any matters identified by the FDA or other foreign regulatory authorities could have a material adverse effect on our business, financial condition, results of operations and growth prospects.</w:t>
      </w:r>
    </w:p>
    <w:p>
      <w:pPr>
        <w:spacing w:after="0" w:line="8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Erwinaze, defibrotide and Vyxeos are available on a named patient basis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Moreover, any failure to maintain revenues from sales of Erwinaze, defibrotide and/or Vyxeos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8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FDA, the competent authorities of the EU member states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If we are found to have promoted an approved product for off-label uses, we may be subject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companies. Failure to maintain a comprehensive and effective compliance program, and to integrate the operations of acquired businesses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79"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the EU, the advertising and promotion of our products are also subject to EU member states’ laws and industry codes of practice governing promotion of medicinal products, including limitations on our promotional activities with health care professionals, prohibition of the advertising and promotion of our products to the general public, misleading and comparative advertising and unfair commercial practices. Violations of the rules governing the promotion of medicinal products in the EU could be penalized by administrative measures, limitations on promotional activities, fines and imprisonment. These laws may also impose limitations on our promotional activities with health care professionals.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are also subject to regulation by other regional, national, state and local agencies, including the DEA, the DOJ, the FTC, the United States Department of Commerce, the Office of Inspector General, or OIG, of the HHS and other regulatory bodies, as well as similar governmental authorities in those non-U.S. countries in which we commercialize our products.</w:t>
      </w:r>
    </w:p>
    <w:p>
      <w:pPr>
        <w:spacing w:after="0" w:line="7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subject to numerous anti-fraud and abuse laws and regulations globally and our sales, marketing, patient support and medical activities may be subject to scrutiny under these laws and regulations. For example, the U.S. federal anti-kickback statute is broad and activities that involve providing anything of value to those who prescribe, purchase, or recommend pharmaceutical products may be subject to scrutiny. Although there are a number of statutory exemptions and regulatory safe harbors protecting certain common manufacturer business arrangements and activities, the exemptions and safe harbors are drawn narrowly, and practices or arrangements that involve remuneration may be subject to scrutiny if they do not clearly qualify for an exemption or safe harbor. While we maintain a comprehensive compliance program to try to ensure that our practices and the activities of our third-party contractors and employees fall within the scope of such exceptions and safe harbors, regulators and enforcement agencies may disagree with our assessment or find fault with the conduct of our employees or contractors. In addition, existing regulations are subject to regulatory revision or changes in interpretation by the DOJ or OIG. Violations of the federal anti-kickback statute may be punished by civil and criminal fines, imprisonment, and/or exclusion from participation in federal healthcare programs.</w:t>
      </w:r>
    </w:p>
    <w:p>
      <w:pPr>
        <w:spacing w:after="0" w:line="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 xml:space="preserve">The U.S. federal False Claims Act, or False Claims Act, prohibits, among other things, making a fraudulent claim for payment of federal funds, causing such a fraudulent claim to be made, or making a false statement to get a false claim paid. The government may assert that a claim resulting from a violation of the federal anti-kickback statute constitutes a false or fraudulent claim under the False Claims Act. 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Pharmaceutical and other healthcare companies also are subject to other federal false claim laws, including federal criminal healthcare fraud and false statement statutes that extend to non-government health benefit programs. If we become the subject of a government False Claims Act or other investigation or whistleblower suit, we could incur substantial legal costs (including settlement costs) and business disruption responding to such investigation or suit, regardless of the outcome. Violations of the False Claims Act may result in significant financial penalties (on a per claim or statement basis), treble damages and exclusion from participation in federal health care programs.</w:t>
      </w:r>
    </w:p>
    <w:p>
      <w:pPr>
        <w:spacing w:after="0" w:line="6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majority of individual states also have statutes or regulations similar to the federal anti-kickback law and the False Claims Act, which apply to items and services reimbursed under Medicaid and other state programs, or, in several states, apply regardless of the payor. Certain states and cities require identification or licensing of our sales representatives. Other states restrict our ability to offer co-pay support to patients for certain prescription drugs. We must comply with these state laws to avoid being subject to civil or criminal penalties.</w:t>
      </w:r>
    </w:p>
    <w:p>
      <w:pPr>
        <w:spacing w:after="0" w:line="7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Physician Payment Sunshine Act, or Sunshine provisions, requires us to track and report to the federal government payments and transfers of value that we make to physicians and teaching hospitals (and to certain additional covered recipients beginning in 2022) and ownership interests held by physicians and their families, and provides for public disclosures of these data. Public reporting under the Sunshine provisions has resulted in increased scrutiny of the financial relationships between industry, teaching hospitals and physicians. Such scrutiny may negatively impact our ability to engage with physicians on matters of importance to us. In addition, government agencies and private entities may inquire about our marketing practices or pursue other enforcement activities based on the disclosures in those public reports. Moreover, certain states require pharmaceutical companies to report expenses relating to the marketing and promotion of pharmaceutical products and gifts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payments to individual physicians, and/or restrict when and to what extent pharmaceutical companies may provide meals to prescribers or engage in other marketing related activities.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criminal and administrative penalties, damages or fines.</w:t>
      </w:r>
    </w:p>
    <w:p>
      <w:pPr>
        <w:spacing w:after="0" w:line="7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and by industry codes of practice. Violation of these laws could result in substantial fines and imprisonment. The national laws of certain EU member states and industry codes of practice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Xyrem and Sunosi are controlled substances under the Controlled Substances Act. Our suppliers, distributors, clinical sites and prescribers, as well as retail pharmacies for Sunosi and the central pharmacy for Xyrem, are subject to DEA and state regulations relating to manufacturing, storage, distribution and physician prescription procedures, including limitations on prescription refills, and are required to maintain DEA registration and state licenses, when handling these drugs and their APIs. The DEA periodically inspects facilities for compliance with its rules and regulations. Failure to comply with current and future regulations of the DEA, relevant state authorities or any comparable international requirements could lead to a variety of sanctions, including revocation or denial of renewal of DEA registrations, fines, injunctions, or civil or criminal penalties, could result in, among other things, additional operating costs to us or delays in shipments outside or into the U.S. and could have an adverse effect on our business and financial condition. DEA quotas are required for any U.S. supplier to manufacture sodium oxybate or Xyrem. New oxybate market entrants, including generic products, may impact the amount of quota available in the U.S., and if, our suppliers cannot obtain the quotas that are needed on a timely basis, or at all, our business, financial condition, results of operations and growth prospects could be materially and adversely affected.</w:t>
      </w:r>
    </w:p>
    <w:p>
      <w:pPr>
        <w:spacing w:after="0" w:line="7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have various programs to help patients access our products, including patient assistance programs, which include co-pay coupons for certain of our products, services that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In the past, payors brought class action lawsuits challenging the legality of manufacturer co-pay programs under a variety of federal and state laws and insurers have taken actions through their network pharmacies and PBMs to restrict manufacturer co-pay programs.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7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established guidelines that suggest that it is lawful for pharmaceutical manufacturers to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w:t>
      </w:r>
    </w:p>
    <w:p>
      <w:pPr>
        <w:spacing w:after="0" w:line="5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2016 and 2017, we received subpoenas from the U.S. Attorney’s Office for the District of Massachusetts requesting documents related to our support of charitable organizations that provide financial assistance to Medicare patients. On April 4, 2019, we finalized our civil settlement agreement with the DOJ and OIG in the amount of $57.0 million plus interest. In connection with the settlement agreement, we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In the event of a breach of the corporate integrity agreement, we could become liable for payment of certain stipulated penalties or could be excluded from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participation in federal health care programs, which would have a material adverse effect on our sales, business and financial condition.</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may also become subject to similar investigations by other state or federal governmental agencies or offices. Any additional investigations of our patient assistance programs or other business practices may result in damages, fines, penalties or other criminal, civil or administrative sanctions or enforcement actions. Such investigations may also result in negative publicity or other negative actions that could harm our reputation, impact our business practices, reduce demand for, or patient access to, our products and/or reduce coverage of our products, including by federal and state health care programs. If any or all of these events occur, our business, financial condition, results of operations and stock price could be materially and adversely affected.</w:t>
      </w:r>
    </w:p>
    <w:p>
      <w:pPr>
        <w:spacing w:after="0" w:line="5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Our heavily regulated business involves significant interaction with public officials, including officials of non-U.S. governments. Additionally, in certain countries, the health care providers who prescribe pharmaceuticals are employed by their government and the purchasers of pharmaceuticals are government entities; therefore, our dealings with these prescribers and purchasers may be subject to regulation under the FCPA and the UK Bribery Act. Recently the U.S. Securities and Exchange Commission, or SEC, and the DOJ have increased their FCPA enforcement activities with respect to pharmaceutical companies. In addition, under the Dodd-Frank Wall Street Reform and Consumer Protection Act, private individuals who report original information to the SEC that leads to successful enforcement actions may be eligible for a monetary award. There is no certainty that all employees and third party business partners (including our distributors, wholesalers, agents, contractors, and other partners) will comply with anti-bribery laws. In particular, we do not control the actions of suppliers and other third party agents, although we may be liable for their actions. Violation of these laws may result in civil or criminal sanctions, which could include monetary fines, criminal penalties, and disgorgement of past profits, which could have a material adverse impact on our business and financial condition.</w:t>
      </w:r>
    </w:p>
    <w:p>
      <w:pPr>
        <w:spacing w:after="0" w:line="65" w:lineRule="exact"/>
        <w:rPr>
          <w:sz w:val="20"/>
          <w:szCs w:val="20"/>
          <w:color w:val="auto"/>
        </w:rPr>
      </w:pPr>
    </w:p>
    <w:p>
      <w:pPr>
        <w:ind w:right="140" w:firstLine="432"/>
        <w:spacing w:after="0" w:line="268" w:lineRule="auto"/>
        <w:rPr>
          <w:sz w:val="20"/>
          <w:szCs w:val="20"/>
          <w:color w:val="auto"/>
        </w:rPr>
      </w:pPr>
      <w:r>
        <w:rPr>
          <w:rFonts w:ascii="Arial" w:cs="Arial" w:eastAsia="Arial" w:hAnsi="Arial"/>
          <w:sz w:val="17"/>
          <w:szCs w:val="17"/>
          <w:color w:val="auto"/>
        </w:rPr>
        <w:t>We are also subject to data protection and privacy laws and regulations governing the processing of personal data. The legislative and regulatory landscape for privacy and data security continues to evolve, and there has been an increasing focus on privacy and data security issues which may affect our business. Failure to comply with current and future laws and regulations, such as the EU General Data Protection Regulation that became effective in May 2018 and the California Consumer Privacy Act of 2018 that will become effective beginning January 2020, could result in government enforcement actions (including the imposition of significant penalties), criminal and civil liability for us and our officers and directors, private litigation and/or adverse publicity that negatively affects our business. If we or our vendors fail to comply with applicable data privacy laws, or if the legal mechanisms we or our vendors rely upon for the transfer of personal data are ever deemed inadequate, we could be subject to government enforcement actions and significant penalties against us, and our business could be adversely impacted if our ability to transfer personal data outside of the European Economic Area or Switzerland is restricted, which could adversely impact our operating results. In addition, although we are not directly subject to privacy and security requirements under the Health Insurance Portability and Accountability Act of 1996, as amended by the Health Information Technology for Economic and Clinical Health Act, or HIPAA, other than with respect to providing certain employee benefits, we potentially could be subject to criminal penalties if we, our affiliates or our agents knowingly obtain or disclose individually identifiable health information maintained by a HIPAA-covered entity in a manner that is not authorized or permitted by HIPAA.</w:t>
      </w:r>
    </w:p>
    <w:p>
      <w:pPr>
        <w:spacing w:after="0" w:line="8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Under the Medicare Prescription Drug, Improvement, and Modernization Act of 2003, agreements between branded pharmaceutical companies and potential generic competitors settling patent litigation must be submitted to the FTC and the DOJ for review. The FTC has publicly stated that, in its view, certain brand-generic settlement agreements violate the antitrust laws and has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and to call on legislators to pass stronger laws prohibiting such settlements. Because there is currently no precise legal standard with respect to the lawfulness of such settlements, there could be extensive litigation over whether any settlement that we have entered into or might enter into in the future constitutes a reasonable and lawful patent settlement. We may receive formal or informal requests from the FTC regarding our Xyrem patent settlements, and there is a risk that the FTC may commence a formal investigation or action against us, or a third party may initiate civil litigation regarding such settlements, which could divert the attention of management and cause us to incur significant costs, regardless of the outcome. We cannot predict the outcome of any potential government investigation of any antitrust claims, including those described above, or the impact of any such claims.</w:t>
      </w:r>
    </w:p>
    <w:p>
      <w:pPr>
        <w:spacing w:after="0" w:line="7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addition to those described in this and other risk factors, numerous federal, state and non-U.S. statutes and regulations govern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healthcare programs. Such laws and regulations are subject to change as activities relating to prescription pharmaceutical products have become the subject of active legislative activity.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5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reporting and payment obligations under the Medicaid Drug Rebate program and other governmental programs are described under the heading “Business—Pharmaceutical Pricing, Reimbursement by Government and Private Payors and Patient Access” in Part I, Item 1 of our Annual Report on Form 10-K for the year ended December 31, 2018. Our failure to comply with these obligations could negatively impact our financial results.</w:t>
      </w:r>
    </w:p>
    <w:p>
      <w:pPr>
        <w:spacing w:after="0" w:line="57"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color w:val="auto"/>
        </w:rPr>
        <w:t>CMS issued a final regulation, which became effective on April 1, 2016, to implement the changes to the Medicaid Drug Rebate program under the Healthcare Reform Act.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also participate in the 340B program, which is described in more detail under the heading “Business—Pharmaceutical Pricing, Reimbursement by Government and Private Payors and Patient Access” in Part I, Item 1A of our Annual Report on Form 10-K for the year ended December 31, 2018. 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Implementation of this regulation could affect our obligations and potential liability under the 340B program in ways we cannot anticipate. Any charge by HRSA that we have violated the requirements of the program or the regulation could negatively impact our financial results. HRSA also began to implement a ceiling price reporting requirement related to the 340B program during the first quarter of 2019, under which we are required to report the 340B ceiling prices for our covered outpatient drugs to HRSA, which then publishes them to 340B covered entities. There is no guarantee that our submissions will not be found by HRSA to be incomplete or incorrect. Further, any additional future changes to the definition of average manufacturer price and the Medicaid rebate amount under the Healthcare Reform Act or otherwise could affect our 340B ceiling price calculations and negatively impact our results of operations.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8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Civil monetary penalties can be applied if we are found to have knowingly submitted any false price or product information to the government, if we are found to have made a misrepresentation in the reporting of our average sales price, or if we fail to submit the required price data on a timely basis, or if we are found to have charged 340B covered entities more than the statutorily mandated ceiling price. Such conduct also could be grounds for CMS to terminate our Medicaid drug rebate agreement, in which case federal payments may not be available under Medicaid or Medicare Part B for our covered outpatient drugs. There is no guarantee that our submissions will not be found by CMS to be incomplete or incorrect.</w:t>
      </w:r>
    </w:p>
    <w:p>
      <w:pPr>
        <w:spacing w:after="0" w:line="6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participate in the U.S. Department of Veterans Affairs, Federal Supply Schedule, or FSS, pricing program and the Tricare Retail Pharmacy program, as described in more detail under the heading “Business—Pharmaceutical Pricing, Reimbursement by Government and Private Payors and Patient Access” in Part I, Item 1A of our Annual Report on Form 10-K for the year ended December 31, 2018. Pursuant to applicable law, knowing provision of false information in connection with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price reporting under these programs can subject a manufacturer to civil monetary penalties. These program obligations also contain extensive disclosure and certification requirements.</w:t>
      </w:r>
    </w:p>
    <w:p>
      <w:pPr>
        <w:spacing w:after="0" w:line="6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which could cause us to incur significant expense, hinder execution of our business strategy and impact our stock price.</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If we become the subject of certain forms of shareholder activism, such as proxy contests,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8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In addition, we may not continue to be able to obtain insurance on satisfactory terms or in adequate amounts.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 In addition, defending a product liability lawsuit is expensive and can divert the attention of key employees from operating our business.</w:t>
      </w:r>
    </w:p>
    <w:p>
      <w:pPr>
        <w:spacing w:after="0" w:line="8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the FDA, the EMA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the FDA, the EC or the competent authorities of the EU member states could lead to product liability lawsuits as well.</w:t>
      </w:r>
    </w:p>
    <w:p>
      <w:pPr>
        <w:spacing w:after="0" w:line="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and Ireland where we have manufacturing facilities. Environmental and health and safety authorities in Italy and Ireland administer laws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Our manufacturing facilities are involved in the controlled storage, use and disposal of chemicals and solvents. Even if our safety procedures for handling and disposing of these hazardous materials comply with the standards prescribed by EU laws, we cannot completely eliminate the risk of contamination or injury from hazardous materials. If an accident occurs, an injured party could seek to hold us liable for any damages that result and any liability could exceed the limits or fall outside the coverage of our insurance. We may not be able to maintain insurance on acceptable terms, or at all. In certain cases, laws may impose strict liability for pollution of the environment and contamination resulting from spills, disposals or other releases of hazardous substances or waste or any migration of such hazardous substances or waste.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incur significant costs to comply with current or future EU environmental laws.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of June 30, 2019, we had total indebtedness of approximately $1.8 billion, which included $634.3 million in outstanding term loan indebtedness under a secured credit agreement that we entered into in June 2015 and subsequently amended in July 2016 and in June 2018, which we refer to as the amended credit agreement, $575.0 million of outstanding indebtedness under our 1.875% exchangeable senior notes due 2021, or the 2021 Notes, which were issued in August 2014, and $575.0 million of outstanding indebtedness under our 1.50% exchangeable senior notes due 2024, or the 2024 Notes, which were issued in August 2017 and which we refer to, together with the 2021 Notes, as the Exchangeable Senior Notes.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debt may:</w:t>
      </w:r>
    </w:p>
    <w:p>
      <w:pPr>
        <w:spacing w:after="0" w:line="117" w:lineRule="exact"/>
        <w:rPr>
          <w:sz w:val="20"/>
          <w:szCs w:val="20"/>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23" w:lineRule="exact"/>
        <w:rPr>
          <w:rFonts w:ascii="Arial" w:cs="Arial" w:eastAsia="Arial" w:hAnsi="Arial"/>
          <w:sz w:val="18"/>
          <w:szCs w:val="18"/>
          <w:color w:val="auto"/>
        </w:rPr>
      </w:pPr>
    </w:p>
    <w:p>
      <w:pPr>
        <w:ind w:left="720" w:right="120" w:hanging="320"/>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or other general business purposes;</w:t>
      </w: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the Exchangeable Senior Notes are settled in our ordinary shares;</w:t>
      </w:r>
    </w:p>
    <w:p>
      <w:pPr>
        <w:spacing w:after="0" w:line="20" w:lineRule="exact"/>
        <w:rPr>
          <w:rFonts w:ascii="Arial" w:cs="Arial" w:eastAsia="Arial" w:hAnsi="Arial"/>
          <w:sz w:val="17"/>
          <w:szCs w:val="17"/>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assure you that we would be able to do in a timely manner, or at all.</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Covenants in our amended credit agreement restrict our business and operations in many ways and if we do not effectively manage our covenants, our financial conditions and results of operations could be adversely affected.</w:t>
      </w:r>
    </w:p>
    <w:p>
      <w:pPr>
        <w:spacing w:after="0" w:line="62"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amended credit agreement provides for a $667.7 million principal amount term loan due in June 2023 and a $1.6 billion revolving credit facility, with any loans under such revolving credit facility due in June 2023, subject to early mandatory repayments under certain circumstances. The amended credit agreement contains various covenants that, among other things, limit our ability and/or our restricted subsidiaries’ ability to:</w:t>
      </w:r>
    </w:p>
    <w:p>
      <w:pPr>
        <w:spacing w:after="0" w:line="57" w:lineRule="exact"/>
        <w:rPr>
          <w:sz w:val="20"/>
          <w:szCs w:val="20"/>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redeemable preferred stock;</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amended credit agreement also includes financial covenants that require us to maintain a maximum secured leverage ratio and a minimum interest coverage ratio. Our ability to comply with these financial covenants may be affected by events beyond our control. In addition, the covenants under the amended credit agreement could restrict our operations, particularly our ability to respond to changes in our business or to take specified actions to take advantage of certain business opportunities that may be presented to us. Our failure to comply with any of the covenants could result in a default under the amended credit agreement, which could permit the lenders to declare all or part of any outstanding borrowings to be immediately due and payable, or to refuse to permit additional borrowings under the revolving credit facility. A default under the amended credit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agreement could also lead to a default under other debt agreements or obligations, including the indentures governing the Exchangeable Senior Notes.</w:t>
      </w:r>
    </w:p>
    <w:p>
      <w:pPr>
        <w:spacing w:after="0" w:line="12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addition, the holders of the Exchangeable Senior Notes have the ability to require us to repurchase their notes for cash if we undergo certain fundamental changes, such as specified change of control transactions, our liquidation or dissolution, or the delisting of our ordinary shares from The Nasdaq Global Select Market. Moreover, upon exchange of the Exchangeable Senior Notes, unless we elect to deliver only our ordinary shares to settle such exchange, we will be required to make cash payments in respect of the Exchangeable Senior Notes. It is our intent and policy to settle the principal amount of the Exchangeable Senior Notes in cash upon exchange. However, we may not have enough available cash or be able to obtain financing at the time we are required to make any required repurchases of surrendered Exchangeable Senior Notes or to pay cash upon exchanges of the Exchangeable Senior Notes. Our failure to repurchase the Exchangeable Senior Notes at a time when the repurchase is required by the indentures governing the Exchangeable Senior Notes or to pay any cash payable on future exchanges of the Exchangeable Senior Notes as required by the indentures governing the Exchangeable Senior Notes would constitute a default under that indenture. A default under those indentures could also lead to a default under other debt agreements or obligations, including the amended credit agreement. If the repayment of the related indebtedness were to be accelerated, we may not have sufficient funds to repay the related indebtedness, which could have a material adverse effect on our financial condition and our business. In this regard, if we are unable to repay amounts under the amended credit agreement, the lenders under the amended credit agreement could proceed against the collateral granted to them to secure that debt, which would seriously harm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ability to make payments on and to refinance our debt will depend on our future financial and operating performance, which is subject to prevailing economic and competitive conditions and to certain financial, business and other factors beyond our control. We may be unable to maintain a level of positive cash flows from operating activities sufficient to permit us to pay the principal and interest on our debt.</w:t>
      </w:r>
    </w:p>
    <w:p>
      <w:pPr>
        <w:spacing w:after="0" w:line="7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scheduled debt service obligations. In the absence of such cash flows and resources, we could face substantial liquidity problems and might be required to dispose of material assets or operations to meet our debt service and other obligations. The amended credit agreement restricts our ability to dispose of assets, use the proceeds from any disposition of assets and refinance our indebtedness. We may not be able to consummate or obtain proceeds from such dispositions, and any such proceeds may not be adequate to meet any debt service obligations then due.</w:t>
      </w:r>
    </w:p>
    <w:p>
      <w:pPr>
        <w:spacing w:after="0" w:line="7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addition, our borrowings under the amended credit agreement are, and are expected to continue to be, at variable rates of interest and expose us to interest rate risk. If interest rates increase, our debt service obligations on the variable rate indebtedness would increase even if the amount borrowed remained the same, and our net income would decrease.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our business.</w:t>
      </w:r>
    </w:p>
    <w:p>
      <w:pPr>
        <w:spacing w:after="0" w:line="6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scope of our business and operations has grown substantially since 2012 through a series of transactions, including the business combination between Jazz Pharmaceuticals, Inc. and Azur Pharma Public Limited Company, which we refer to as the Azur Merger, and our acquisitions of EUSA Pharma Inc., Gentium S.r.l. and Celator Pharmaceuticals, Inc. To continue to grow our business over the longer term, we will need to commit substantial additional resources to our business and execution of our strategy. Our ongoing capital requirements will depend on many factors, including:</w:t>
      </w:r>
    </w:p>
    <w:p>
      <w:pPr>
        <w:spacing w:after="0" w:line="46" w:lineRule="exact"/>
        <w:rPr>
          <w:sz w:val="20"/>
          <w:szCs w:val="20"/>
          <w:color w:val="auto"/>
        </w:rPr>
      </w:pPr>
    </w:p>
    <w:p>
      <w:pPr>
        <w:ind w:left="720" w:right="300" w:hanging="320"/>
        <w:spacing w:after="0" w:line="25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revenues from our commercial products, which may be affected by many factors, including the extent of competition for Xyrem or our other products;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acquiring and/or in-licensing any new products and product candidates;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our commercial operations, including the costs related to the launch and commercialization of new products;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rate of progress, results and costs of our development and clinical activities;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approvals and of compliance with laws and regulations;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preparing, filing, prosecuting, defending and enforcing patent claims and other intellectual property rights;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investigations, litigation and/or settlements related to regulatory oversight and third party claims;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integration activities related to any future strategic transactions we may engage in;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arising from changes in laws and regulations, including, for example, healthcare reform legislation.</w:t>
      </w:r>
    </w:p>
    <w:p>
      <w:pPr>
        <w:spacing w:after="0" w:line="10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strategy includes the expansion of our business through acquiring or in-licensing, and developing, additional products and product candidates that we believe are highly differentiated and have significant commercial potential. See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risk factor under the heading “</w:t>
      </w:r>
      <w:r>
        <w:rPr>
          <w:rFonts w:ascii="Arial" w:cs="Arial" w:eastAsia="Arial" w:hAnsi="Arial"/>
          <w:sz w:val="18"/>
          <w:szCs w:val="18"/>
          <w:i w:val="1"/>
          <w:iCs w:val="1"/>
          <w:color w:val="auto"/>
        </w:rPr>
        <w:t>We may not be able to successfully identify and acquire or in-license additional products or product candidates to grow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even if we are able to do so, we may otherwise fail to realize the anticipated benefits of these acquisitions</w:t>
      </w:r>
      <w:r>
        <w:rPr>
          <w:rFonts w:ascii="Arial" w:cs="Arial" w:eastAsia="Arial" w:hAnsi="Arial"/>
          <w:sz w:val="18"/>
          <w:szCs w:val="18"/>
          <w:color w:val="auto"/>
        </w:rPr>
        <w:t>” in this Part II, Item 1A.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unable to expand our business if we do not have sufficient capital or cannot borrow or raise additional capital on attractive terms. Our substantial indebtedness may limit our ability to borrow additional funds for acquisitions or to use our cash flow or obtain additional financing for future acquisitions. In addition, if we use a substantial amount of our funds to acquire or in-license products or product candidates, we may not have sufficient additional funds to conduct all of our operations in the manner we would otherwise choose.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and credit markets on terms that are favorable to us, or at all.</w:t>
      </w:r>
    </w:p>
    <w:p>
      <w:pPr>
        <w:spacing w:after="0" w:line="117"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During the past several years, domestic and international financial markets have experienced extreme disruption from time to time, including, among other things, high volatility and significant variability in stock prices, which has caused uncertainty with regard to credit availability for many borrowers. We expect to opportunistically seek access to the capital and credit markets to supplement our existing cash balances, cash we expect to generate from operations and funds available under our revolving credit facility to satisfy our needs for working capital, capital expenditures and debt service requirements or to continue to grow our business over the longer term through product acquisition and in-licensing, product development and clinical trials of product candidates, and expansion of our commercial operations. In the event of adverse capital and credit market conditions, including as a result of the UK’s withdrawal from the EU or as a result of tariffs and other trade restrictions potentially contributing to instability in the global financial markets, we may not be able to obtain capital market financing or credit on favorable terms, or at all, which could have a material adverse effect on our business and growth prospects. Changes in our credit ratings issued by nationally recognized credit rating agencies could also adversely affect our cost of financing and have an adverse effect on the market price of our securities.</w:t>
      </w:r>
    </w:p>
    <w:p>
      <w:pPr>
        <w:spacing w:after="0" w:line="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35" w:lineRule="exact"/>
        <w:rPr>
          <w:sz w:val="20"/>
          <w:szCs w:val="20"/>
          <w:color w:val="auto"/>
        </w:rPr>
      </w:pPr>
    </w:p>
    <w:p>
      <w:pPr>
        <w:ind w:right="160" w:firstLine="432"/>
        <w:spacing w:after="0" w:line="237" w:lineRule="auto"/>
        <w:rPr>
          <w:sz w:val="20"/>
          <w:szCs w:val="20"/>
          <w:color w:val="auto"/>
        </w:rPr>
      </w:pPr>
      <w:r>
        <w:rPr>
          <w:rFonts w:ascii="Arial" w:cs="Arial" w:eastAsia="Arial" w:hAnsi="Arial"/>
          <w:sz w:val="18"/>
          <w:szCs w:val="18"/>
          <w:color w:val="auto"/>
        </w:rPr>
        <w:t>Our intangible assets and goodwill are significant. As of June 30, 2019, we had recorded $3.6 billion of intangible assets and goodwill related to our past acquisitions. Intangible assets and goodwill are subject to an impairment analysis whenever events or changes in circumstances indicate the carrying amount of the asset may not be recoverable. For example, in connection with entry into an asset purchase agreement in June 2018 to sell substantially all of the assets held by us related to 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 we recognized an impairment charge of $42.9 million in our consolidated statements of income in 2018, primarily related to the carrying balances of intangible assets. Additionally, goodwill and indefinite-lived assets are subject to an impairment test at least annually.</w:t>
      </w:r>
    </w:p>
    <w:p>
      <w:pPr>
        <w:spacing w:after="0" w:line="7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Events giving rise to impairment are an inherent risk in the pharmaceutical industry and cannot be predicted. Our results of operations and financial position in future periods could be negatively impacted should future impairments of intangible assets or goodwill occur.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90" w:lineRule="exact"/>
        <w:rPr>
          <w:sz w:val="20"/>
          <w:szCs w:val="20"/>
          <w:color w:val="auto"/>
        </w:rPr>
      </w:pPr>
    </w:p>
    <w:p>
      <w:pPr>
        <w:ind w:right="120" w:firstLine="432"/>
        <w:spacing w:after="0" w:line="268" w:lineRule="auto"/>
        <w:rPr>
          <w:sz w:val="20"/>
          <w:szCs w:val="20"/>
          <w:color w:val="auto"/>
        </w:rPr>
      </w:pPr>
      <w:r>
        <w:rPr>
          <w:rFonts w:ascii="Arial" w:cs="Arial" w:eastAsia="Arial" w:hAnsi="Arial"/>
          <w:sz w:val="17"/>
          <w:szCs w:val="17"/>
          <w:color w:val="auto"/>
        </w:rPr>
        <w:t>We have significant operations in Europe as well as in the U.S., but we report revenues, costs and earnings in U.S. dollars. Our primary currency translation exposure relates to our subsidiaries that have functional currencies denominated in the euro. Exchange rates between the U.S. dollar and the euro have fluctuated and are likely to continue to fluctuate from period to period. 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Defitelio, Erwinase and Vyxeos product sales outside of the U.S. are primarily denominated in the euro, our sales of those products have been and may continue to be adversely affected by fluctuations in foreign currency exchange rates. In this regard, when the U.S. dollar strengthens against a foreign currency, the relative value of sales made in the foreign currency decreases. Conversely, when the U.S. dollar weakens against a foreign currency, the relative value of such sales increases. Accordingly, increases in the value of the U.S. dollar relative to foreign currencies, primarily the euro, could adversely affect our foreign revenues, perhaps significantly. In addition, as we continue to expand our international operations, we will conduct more transactions in currencies other than the U.S. dollar, which could increase our foreign currency exchange risk. Given the volatility of exchange rates, as well as our expanding operations, there is no guarantee that we will be able to effectively manage currency transaction and/or translation risks. We use foreign exchange forward contracts to manage currency risk primarily related to certain intercompany balances denominated in non-functional currencies. These foreign exchange forward contracts are not designated as hedges. Gains and losses on these derivative instruments are designed to offset gains and losses on the underlying balance sheet exposures. Fluctuations in foreign currency exchange rates could have a material adverse effect on our results of operations and financial condition.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maintain our tax rates, which could adversely affect our business and financial condition, results of operations and growth prospects.</w:t>
      </w:r>
    </w:p>
    <w:p>
      <w:pPr>
        <w:spacing w:after="0" w:line="6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incorporated in Ireland and maintain subsidiaries in North America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differences in interpretation of tax laws. In addition, the tax laws of any jurisdiction in which we operate may change in the future, which could impact our effective tax rate. 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December 2015, we received proposed tax assessment notices, and, in October 2018, we received revised tax assessment notices from the French tax authorities for 2012 and 2013 and in December 2018, we received a proposed tax assessment notice for 2015, relating to certain transfer pricing adjustments. The notices propose additional French tax of approximately $43 million for 2012 and 2013 and approximately $4 million for 2015, including interest and penalties through the respective dates of the proposed assessments, translated at the foreign exchange rate at June 30, 2019.</w:t>
      </w:r>
    </w:p>
    <w:p>
      <w:pPr>
        <w:spacing w:after="0" w:line="63"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On December 22, 2017, the U.S. Tax Cuts and Jobs Act, or U.S. Tax Act, was signed into law. The U.S. Tax Act made broad and complex changes to the U.S. tax code. The U.S. Department of Treasury has issued limited regulations and other interpretive guidance under the U.S. Tax Act, and is expected to issue additional guidance, the impact of which is uncertain but could change the financial impacts that were previously recorded or are expected to be recorded in future periods. Furthermore, the impact of this tax reform on certain holders of our ordinary shares could be adverse. Among other things, changes to the rules for determining a foreign corporation’s status as a controlled foreign corporation could have an adverse effect on U.S. persons who are treated as owning (directly or indirectly) at least 10% of the value or voting power of our ordinary shares. Investors should consult their own advisers regarding the potential application of these rules to their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in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prospective or retroactive application to us, our shareholders, Jazz Pharmaceuticals, Inc. and/or the Azur Merger.</w:t>
      </w:r>
    </w:p>
    <w:p>
      <w:pPr>
        <w:spacing w:after="0" w:line="6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b w:val="1"/>
          <w:bCs w:val="1"/>
          <w:i w:val="1"/>
          <w:iCs w:val="1"/>
          <w:color w:val="auto"/>
        </w:rPr>
        <w:t>Our U.S. affiliates’ ability to use their net operating losses to offset potential taxable income and related income taxes that would otherwise be due is limited under Section 7874 of the Code and could be subject to further limitations if we do not generate taxable income in a timely manner or if the “ownership change” provisions of Sections 382 and 383 of the Code result in further annual limitations.</w:t>
      </w:r>
    </w:p>
    <w:p>
      <w:pPr>
        <w:spacing w:after="0" w:line="39"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Based on the limited guidance available, this limitation applies to us.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prior to their expiration, as a result of this limitation, it may take our U.S. affiliates longer to use their NOLs.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ability to use these NOLs to offset potential future taxable income and related income taxes that would otherwise be due is also dependent upon our generation of future taxable income before the expiration dates of the NOLs, and we cannot predict with certainty when, or whether, our U.S. affiliates will generate sufficient taxable income to use all of the NOLs. In addition, the use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Future changes to the tax laws under which we expect to be treated as a foreign corporation for U.S. federal tax purposes or to other tax laws relating to multinational corporations could adversely affect us.</w:t>
      </w:r>
    </w:p>
    <w:p>
      <w:pPr>
        <w:spacing w:after="0" w:line="6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where payments are made between affiliates from a jurisdiction with high tax rates to a jurisdiction with lower tax rates. Some countries are beginning to implement legislation and other guidance to align their international tax rules with the OECD’s recommendation.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165" w:lineRule="exact"/>
        <w:rPr>
          <w:sz w:val="20"/>
          <w:szCs w:val="20"/>
          <w:color w:val="auto"/>
        </w:rPr>
      </w:pPr>
    </w:p>
    <w:p>
      <w:pPr>
        <w:ind w:right="18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July 2017, the Financial Conduct Authority, the authority that regulates the London Inter-bank Offered Rate, or LIBOR, announced that it intended to stop compelling banks to submit rates for the calculation of LIBOR after 2021. The Alternative Reference Rates Committee, or ARRC, in the U.S. has proposed that the Secured Overnight Financing Rate, or SOFR, is the rate that represents best practice as the alternative to the U.S. dollar, or USD, LIBOR for use in derivatives and other financial contracts that are currently indexed to USD LIBOR. ARRC has proposed a paced market transition plan to SOFR from USD LIBOR and organizations are currently working on industry-wide and company-specific transition plans as relating to derivatives and cash markets exposed to USD LIBOR. We have certain financial contracts, including the amended credit agreement and our interest rate swaps,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We are monitoring this activity and evaluating the related risks, and any such effects of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may continue to be volatile in the future, and the value of your investment could decline significantly.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market price for our ordinary shares has fluctuated significantly from time to time, for example, varying between a high of $181.46 on August 7,</w:t>
      </w:r>
    </w:p>
    <w:p>
      <w:pPr>
        <w:spacing w:after="0" w:line="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2018 and a low of $113.52 on December 24, 2018 during the period from June 30, 2018 through June 30, 2019. The market price of our ordinary shares is likely to continue to be volatile and subject to significant price and volume fluctuations in response to market, industry and other factors, including the risk factors described above. The stock market in general, including the market for life sciences companies, has experienced extreme price and trading volume fluctuations that have often been unrelated or disproportionate to the operating performance of those companies. In particular, negative publicity regarding pricing and price increases by pharmaceutical companies has negatively impacted, and may continue to negatively impact, the market for life sciences companies. These broad market and industry factors have harmed, and in the future may seriously harm, the market price of our ordinary shares, regardless of our operating performance.</w:t>
      </w:r>
    </w:p>
    <w:p>
      <w:pPr>
        <w:spacing w:after="0" w:line="85" w:lineRule="exact"/>
        <w:rPr>
          <w:sz w:val="20"/>
          <w:szCs w:val="20"/>
          <w:color w:val="auto"/>
        </w:rPr>
      </w:pPr>
    </w:p>
    <w:p>
      <w:pPr>
        <w:jc w:val="both"/>
        <w:ind w:right="140" w:firstLine="432"/>
        <w:spacing w:after="0" w:line="302" w:lineRule="auto"/>
        <w:rPr>
          <w:sz w:val="20"/>
          <w:szCs w:val="20"/>
          <w:color w:val="auto"/>
        </w:rPr>
      </w:pPr>
      <w:r>
        <w:rPr>
          <w:rFonts w:ascii="Arial" w:cs="Arial" w:eastAsia="Arial" w:hAnsi="Arial"/>
          <w:sz w:val="16"/>
          <w:szCs w:val="16"/>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 The risks and uncertainties associated with our ability to maintain or increase sales of our products include those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discussed elsewhere in these risk factors. In the past, following periods of volatility in the market or significant price decline,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3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transactions, including the Celator Acquisition and/or potential future acquisitions, on our financial or operating results are not consistent with the expectations of financial analysts or investors. The market price of our ordinary shares could also be affected by possible sales of our ordinary shares by holders of the Exchangeable Senior Notes who may view the Exchangeable Senior Notes as a more attractive means of equity participation in our company and by hedging or arbitrage trading activity involving our ordinary shares by the holders of the Exchangeable Senior Notes.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and the indentures governing the Exchangeable Senior Notes contain provisions that could delay or prevent a takeover of us by a third party.</w:t>
      </w:r>
    </w:p>
    <w:p>
      <w:pPr>
        <w:spacing w:after="0" w:line="6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articles of association could delay, defer or prevent a third party from acquiring us, despite the possible benefit to our shareholders, or otherwise adversely affect the price of our ordinary shares. For example, our articles of association:</w:t>
      </w:r>
    </w:p>
    <w:p>
      <w:pPr>
        <w:spacing w:after="0" w:line="62" w:lineRule="exact"/>
        <w:rPr>
          <w:sz w:val="20"/>
          <w:szCs w:val="20"/>
          <w:color w:val="auto"/>
        </w:rPr>
      </w:pPr>
    </w:p>
    <w:p>
      <w:pPr>
        <w:ind w:left="720" w:hanging="320"/>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impose advance notice requirements for shareholder proposals and nominations of directors to be considered at shareholder meetings;</w:t>
      </w:r>
    </w:p>
    <w:p>
      <w:pPr>
        <w:spacing w:after="0" w:line="34" w:lineRule="exact"/>
        <w:rPr>
          <w:rFonts w:ascii="Arial" w:cs="Arial" w:eastAsia="Arial" w:hAnsi="Arial"/>
          <w:sz w:val="17"/>
          <w:szCs w:val="17"/>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stagger the terms of our board of directors into three classes;</w:t>
      </w:r>
    </w:p>
    <w:p>
      <w:pPr>
        <w:spacing w:after="0" w:line="9" w:lineRule="exact"/>
        <w:rPr>
          <w:rFonts w:ascii="Arial" w:cs="Arial" w:eastAsia="Arial" w:hAnsi="Arial"/>
          <w:sz w:val="18"/>
          <w:szCs w:val="18"/>
          <w:color w:val="auto"/>
        </w:rPr>
      </w:pPr>
    </w:p>
    <w:p>
      <w:pPr>
        <w:ind w:left="720" w:right="60" w:hanging="320"/>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the approval of a supermajority of the voting power of the shares of our share capital entitled to vote generally at a meeting of shareholders to amend our articles of association; and</w:t>
      </w:r>
    </w:p>
    <w:p>
      <w:pPr>
        <w:ind w:left="720" w:right="380" w:hanging="320"/>
        <w:spacing w:after="0" w:line="261"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 our board of directors to issue one or more series of preferred shares with rights and preferences, as our shareholders may determine by ordinary resolution.</w:t>
      </w:r>
    </w:p>
    <w:p>
      <w:pPr>
        <w:spacing w:after="0" w:line="7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In addition to our articles of association, several mandatory provisions of Irish law could prevent or delay an acquisition of us. For example, Irish law does not permit shareholders of an Irish public limited company to take action by written consent with less than unanimous consent, and the shareholder approval requirements for certain types of transactions differ from those in the U.S., and in some cases are greater, under Irish law.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the indentures governing the Exchangeable Senior Notes require us to repurchase the Exchangeable Senior Notes for cash if we undergo certain fundamental changes and, in certain circumstances, to increase the exchange rate for a holder of 2021 Notes or 2024 Notes. A takeover of us may trigger the requirement that we purchase the Exchangeable Senior Notes and/or increase the exchange rate, which could make it more costly for a potential acquiror to engage in a business combination transaction with us.</w:t>
      </w:r>
    </w:p>
    <w:p>
      <w:pPr>
        <w:spacing w:after="0" w:line="7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Other than funds we have allocated for the purposes of supporting our share repurchase program, we anticipate that we will retain all earnings, if any, to support our operations and our proprietary drug development programs, acquire or in-license additional products and product candidates, and pursue other opportunities. If we propose to pay dividends in the future, we must do so in accordance with Irish law, which provides that distributions including dividend payments, share repurchases and redemptions be funded from “distributable reserves.” In addition, our ability to pay cash dividends on or repurchase our ordinary shares is restricted under the terms of the amended credit agreement.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our ordinary shares may be subject to Irish stamp duty.</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our ordinary shares are traded on a recognized stock exchange in the U.S., an exemption from this stamp duty is available in respect of transfers by shareholders who hold our ordinary shares beneficially through brokers which in turn hold those shares through the Depository Trust Company, or DTC, to holders who also hold through DTC. However, a transfer by or to a record holder who holds our ordinary shares directly in his, her or its own name could be subject to this stamp duty. We, in our absolute discretion and insofar as the Irish Companies Act 2014 or any other applicable law permits, may, or may provide that a subsidiary of ours will, pay Irish stamp duty arising on a transfer of our ordinary shares on behalf of the transferee of such ordinary shares. If stamp duty resulting from the transfer of our ordinary shares which would otherwise be payable by the transferee is paid by us or any of our subsidiaries on behalf of the transferee, then in those circumstances, we will, on our behalf or on behalf of our subsidiary (as the case may be), be entitled to (i) seek reimbursement of the stamp duty from the transferee, (ii) set-off the stamp duty against any dividends payable to the transferee of those ordinary shares and (iii) claim a first and permanent lien on the ordinary shares on which stamp duty has been paid by us or our subsidiary for the amount of stamp duty paid. Our lien shall extend to all dividends paid on those ordinary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during each fiscal month during the three-month period ended June 30, 2019:</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 (2)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or Programs (4)</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261,560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135.49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261,560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232,471,113</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May 1 - May 31,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137,503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132.47</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137,503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214,258,570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 June 30,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130.81</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208,045,973</w:t>
            </w:r>
          </w:p>
        </w:tc>
        <w:tc>
          <w:tcPr>
            <w:tcW w:w="0" w:type="dxa"/>
            <w:vAlign w:val="bottom"/>
          </w:tcPr>
          <w:p>
            <w:pPr>
              <w:spacing w:after="0"/>
              <w:rPr>
                <w:sz w:val="1"/>
                <w:szCs w:val="1"/>
                <w:color w:val="auto"/>
              </w:rPr>
            </w:pP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446,563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134.07</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446,563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_________________________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80" w:hanging="316"/>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column includes ordinary shares that we reacquired in satisfaction of the exercise price of employee stock options upon exercise, but does not include ordinary shares that we withheld in order to satisfy minimum tax withholding requirements in connection with the vesting of restricted stock units.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Average price paid per ordinary share includes brokerage commissions.</w:t>
      </w:r>
    </w:p>
    <w:p>
      <w:pPr>
        <w:spacing w:after="0" w:line="9" w:lineRule="exact"/>
        <w:rPr>
          <w:rFonts w:ascii="Arial" w:cs="Arial" w:eastAsia="Arial" w:hAnsi="Arial"/>
          <w:sz w:val="18"/>
          <w:szCs w:val="18"/>
          <w:color w:val="auto"/>
        </w:rPr>
      </w:pPr>
    </w:p>
    <w:p>
      <w:pPr>
        <w:ind w:left="540" w:right="40" w:hanging="316"/>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ordinary shares reported in this column above were purchased pursuant to our publicly announced share repurchase program. In November 2016, we announced that our board of directors authorized the use of up to $300 million to repurchase our ordinary shares. In November and December 2018, our board of directors increased the existing share repurchase program authorization by $320.0 million and $400.0 million, respectively, thereby increasing the total amount authorized for repurchase to $1.02 billion. This authorization has no expiration date.</w:t>
      </w:r>
    </w:p>
    <w:p>
      <w:pPr>
        <w:spacing w:after="0" w:line="2" w:lineRule="exact"/>
        <w:rPr>
          <w:rFonts w:ascii="Arial" w:cs="Arial" w:eastAsia="Arial" w:hAnsi="Arial"/>
          <w:sz w:val="16"/>
          <w:szCs w:val="16"/>
          <w:color w:val="auto"/>
        </w:rPr>
      </w:pPr>
    </w:p>
    <w:p>
      <w:pPr>
        <w:ind w:left="540" w:right="40" w:hanging="316"/>
        <w:spacing w:after="0" w:line="253"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dollar amount shown represents, as of the end of each fiscal month,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5" w:lineRule="exact"/>
        <w:rPr>
          <w:sz w:val="20"/>
          <w:szCs w:val="20"/>
          <w:color w:val="auto"/>
        </w:rPr>
      </w:pPr>
    </w:p>
    <w:p>
      <w:pPr>
        <w:ind w:right="400" w:firstLine="413"/>
        <w:spacing w:after="0" w:line="277" w:lineRule="auto"/>
        <w:tabs>
          <w:tab w:leader="none" w:pos="7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August 1, 2019, Karen J. Wilson notified us of her decision to resign from her position as our Principal Accounting Officer, effective as of August 7, 2019. Ms. Wilson will continue in her current role as Senior Vice President, Finance.</w:t>
      </w:r>
    </w:p>
    <w:p>
      <w:pPr>
        <w:spacing w:after="0" w:line="129" w:lineRule="exact"/>
        <w:rPr>
          <w:rFonts w:ascii="Arial" w:cs="Arial" w:eastAsia="Arial" w:hAnsi="Arial"/>
          <w:sz w:val="18"/>
          <w:szCs w:val="18"/>
          <w:color w:val="auto"/>
        </w:rPr>
      </w:pPr>
    </w:p>
    <w:p>
      <w:pPr>
        <w:ind w:right="120" w:firstLine="413"/>
        <w:spacing w:after="0" w:line="255" w:lineRule="auto"/>
        <w:tabs>
          <w:tab w:leader="none" w:pos="7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August 1, 2019, Patricia Carr, currently our Vice President, Finance, was appointed as our Principal Accounting Officer effective as of August 7, 2019. Ms. Carr, age 48, has served as our Vice President, Finance since July 2012. Prior to that, from September 2011 to July 2012, she served as Vice President, Finance of Alkermes plc, a global biopharmaceutical company. From June 2002 to September 2011, she served in a number of roles at Elan Corporation, plc, a neuroscience-based biotechnology company, culminating in her role as Vice President, Finance. Ms. Carr is a Fellow of the Institute of Chartered Accountants (Ireland) and received a Bachelor of Commerce from the National University of Ireland, Galway. There are no family relationships among Ms. Carr and any of our other executive officers or directors.</w:t>
      </w:r>
    </w:p>
    <w:p>
      <w:pPr>
        <w:spacing w:after="0" w:line="15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connection with her appointment as our Principal Accounting Officer, Ms. Carr received an increase in her annual base salary to 275,000 Euros and an increase in her annual cash bonus target percentage under the Company’s cash bonus plan to 40% of her annual base salary, which bonus plan is described under the heading “Executive Compensation” in our definitive proxy statement on Schedule 14A, filed with the Securities and Exchange Commission on June 14, 2019, or our 2019 proxy statement. In connection with her appointment, Ms. Carr received an RSU award covering 1,200 of our ordinary shares under our 2011 Equity Incentive Plan, or 2011 EIP, which 2011 EIP is described under the heading “Executive Compensation” in our 2019 proxy statement, and the standard form of award agreement thereunder. The RSU award granted to Ms. Carr will vest in four equal annual installments from the vesting commencement date of August 5, 2019. On February 28, 2019, similar to our other employees, she received her 2019 annual equity awards under our 2011 EIP and the standard forms of award agreement thereunder. Her 2019 equity awards consisted of a stock option award to purchase 4,250 of our ordinary shares and an RSU award covering 1,700 of our ordinary shares, in each case under the 2011 EIP and the standard forms of award agreements thereunder. The stock option award carries an exercise price of $140.03, equal to the fair market value of our ordinary shares on the grant date, with the ordinary shares subject to the option vesting over four years, with 25% vesting one year after the grant date and the remainder vesting in equal monthly installments thereafter. The RSU award granted to Ms. Carr will vest in four equal annual installments from the vesting commencement date of March 5, 2019. Similar to certain other officers who are not employed by our U.S. affiliates, Ms. Carr receives change in control and severance benefits comparable to those of our U.S. executive officers under our Amended and Restated Executive Change in Control and Severance Benefit Plan as described under the heading “Executive Compensation” in our 2019 proxy statement.</w:t>
      </w:r>
    </w:p>
    <w:p>
      <w:pPr>
        <w:spacing w:after="0" w:line="14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connection with her appointment, we expect that Ms. Carr will enter into our standard indemnification agreement which requires us, under the circumstances and to the extent provided for therein, to indemnify Ms. Carr to the fullest extent permitted by applicable law against certain expenses and other amounts incurred by Ms. Carr as a result of Ms. Carr being made a party to certain actions, suits, proceedings and other actions by reason of the fact that Ms. Carr is or was a director, officer, employee, consultant, agent or fiduciary of Jazz Pharmaceuticals plc or any of its subsidiaries or other affiliated enterprises.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Matters Presented at the 2019 Annual General Meeting of Shareholders</w:t>
      </w:r>
    </w:p>
    <w:p>
      <w:pPr>
        <w:spacing w:after="0" w:line="17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On August 1, 2019, we held our 2019 annual general meeting of shareholders, or the annual meeting, at our corporate headquarters in Dublin, Ireland. At the annual meeting, our shareholders voted on three proposals, each of which is described in more detail in our definitive proxy statement on Schedule 14A as filed with the SEC on June 14, 2019, or the Proxy Statement. The results of the matters presented at the annual meeting, based on the presence in person or by proxy of holders of 48,502,372 of the 56,635,552 ordinary shares entitled to vote, are described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Proposal 1 was to elect by separate resolutions each of the four nominees for director named below to hold office until our 2022 annual general meeting of shareholders. Each of the four nominees for director was elected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3860" w:type="dxa"/>
            <w:vAlign w:val="bottom"/>
            <w:gridSpan w:val="2"/>
          </w:tcPr>
          <w:p>
            <w:pPr>
              <w:ind w:left="1280"/>
              <w:spacing w:after="0"/>
              <w:rPr>
                <w:sz w:val="20"/>
                <w:szCs w:val="20"/>
                <w:color w:val="auto"/>
              </w:rPr>
            </w:pPr>
            <w:r>
              <w:rPr>
                <w:rFonts w:ascii="Arial" w:cs="Arial" w:eastAsia="Arial" w:hAnsi="Arial"/>
                <w:sz w:val="14"/>
                <w:szCs w:val="14"/>
                <w:b w:val="1"/>
                <w:bCs w:val="1"/>
                <w:color w:val="auto"/>
              </w:rPr>
              <w:t>Director Nominees</w:t>
            </w:r>
          </w:p>
        </w:tc>
        <w:tc>
          <w:tcPr>
            <w:tcW w:w="1220" w:type="dxa"/>
            <w:vAlign w:val="bottom"/>
          </w:tcPr>
          <w:p>
            <w:pPr>
              <w:jc w:val="center"/>
              <w:ind w:left="234"/>
              <w:spacing w:after="0"/>
              <w:rPr>
                <w:sz w:val="20"/>
                <w:szCs w:val="20"/>
                <w:color w:val="auto"/>
              </w:rPr>
            </w:pPr>
            <w:r>
              <w:rPr>
                <w:rFonts w:ascii="Arial" w:cs="Arial" w:eastAsia="Arial" w:hAnsi="Arial"/>
                <w:sz w:val="14"/>
                <w:szCs w:val="14"/>
                <w:b w:val="1"/>
                <w:bCs w:val="1"/>
                <w:color w:val="auto"/>
                <w:w w:val="97"/>
              </w:rPr>
              <w:t>For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Against</w:t>
            </w:r>
          </w:p>
        </w:tc>
        <w:tc>
          <w:tcPr>
            <w:tcW w:w="1680" w:type="dxa"/>
            <w:vAlign w:val="bottom"/>
            <w:gridSpan w:val="2"/>
          </w:tcPr>
          <w:p>
            <w:pPr>
              <w:ind w:left="540"/>
              <w:spacing w:after="0"/>
              <w:rPr>
                <w:sz w:val="20"/>
                <w:szCs w:val="20"/>
                <w:color w:val="auto"/>
              </w:rPr>
            </w:pPr>
            <w:r>
              <w:rPr>
                <w:rFonts w:ascii="Arial" w:cs="Arial" w:eastAsia="Arial" w:hAnsi="Arial"/>
                <w:sz w:val="14"/>
                <w:szCs w:val="14"/>
                <w:b w:val="1"/>
                <w:bCs w:val="1"/>
                <w:color w:val="auto"/>
              </w:rPr>
              <w:t>Abstain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44"/>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Paul L. Berns</w:t>
            </w:r>
          </w:p>
        </w:tc>
        <w:tc>
          <w:tcPr>
            <w:tcW w:w="1220" w:type="dxa"/>
            <w:vAlign w:val="bottom"/>
            <w:tcBorders>
              <w:bottom w:val="single" w:sz="8" w:color="CCEEFF"/>
            </w:tcBorders>
            <w:shd w:val="clear" w:color="auto" w:fill="CCEEFF"/>
          </w:tcPr>
          <w:p>
            <w:pPr>
              <w:jc w:val="center"/>
              <w:ind w:left="234"/>
              <w:spacing w:after="0"/>
              <w:rPr>
                <w:sz w:val="20"/>
                <w:szCs w:val="20"/>
                <w:color w:val="auto"/>
              </w:rPr>
            </w:pPr>
            <w:r>
              <w:rPr>
                <w:rFonts w:ascii="Arial" w:cs="Arial" w:eastAsia="Arial" w:hAnsi="Arial"/>
                <w:sz w:val="18"/>
                <w:szCs w:val="18"/>
                <w:color w:val="auto"/>
                <w:w w:val="90"/>
              </w:rPr>
              <w:t>43,681,364</w:t>
            </w:r>
          </w:p>
        </w:tc>
        <w:tc>
          <w:tcPr>
            <w:tcW w:w="2020" w:type="dxa"/>
            <w:vAlign w:val="bottom"/>
            <w:tcBorders>
              <w:bottom w:val="single" w:sz="8" w:color="CCEEFF"/>
            </w:tcBorders>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89"/>
              </w:rPr>
              <w:t>1,778,547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10,352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3,032,109</w:t>
            </w: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Patrick G. Enright</w:t>
            </w:r>
          </w:p>
        </w:tc>
        <w:tc>
          <w:tcPr>
            <w:tcW w:w="1220" w:type="dxa"/>
            <w:vAlign w:val="bottom"/>
          </w:tcPr>
          <w:p>
            <w:pPr>
              <w:jc w:val="center"/>
              <w:ind w:left="234"/>
              <w:spacing w:after="0"/>
              <w:rPr>
                <w:sz w:val="20"/>
                <w:szCs w:val="20"/>
                <w:color w:val="auto"/>
              </w:rPr>
            </w:pPr>
            <w:r>
              <w:rPr>
                <w:rFonts w:ascii="Arial" w:cs="Arial" w:eastAsia="Arial" w:hAnsi="Arial"/>
                <w:sz w:val="18"/>
                <w:szCs w:val="18"/>
                <w:color w:val="auto"/>
                <w:w w:val="90"/>
              </w:rPr>
              <w:t>43,407,466</w:t>
            </w:r>
          </w:p>
        </w:tc>
        <w:tc>
          <w:tcPr>
            <w:tcW w:w="20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2,052,285</w:t>
            </w:r>
          </w:p>
        </w:tc>
        <w:tc>
          <w:tcPr>
            <w:tcW w:w="100" w:type="dxa"/>
            <w:vAlign w:val="bottom"/>
          </w:tcPr>
          <w:p>
            <w:pPr>
              <w:spacing w:after="0"/>
              <w:rPr>
                <w:sz w:val="21"/>
                <w:szCs w:val="21"/>
                <w:color w:val="auto"/>
              </w:rPr>
            </w:pPr>
          </w:p>
        </w:tc>
        <w:tc>
          <w:tcPr>
            <w:tcW w:w="1580" w:type="dxa"/>
            <w:vAlign w:val="bottom"/>
          </w:tcPr>
          <w:p>
            <w:pPr>
              <w:ind w:left="54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3,032,109</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Seamus Mulligan</w:t>
            </w:r>
          </w:p>
        </w:tc>
        <w:tc>
          <w:tcPr>
            <w:tcW w:w="1220" w:type="dxa"/>
            <w:vAlign w:val="bottom"/>
            <w:tcBorders>
              <w:bottom w:val="single" w:sz="8" w:color="CCEEFF"/>
            </w:tcBorders>
            <w:shd w:val="clear" w:color="auto" w:fill="CCEEFF"/>
          </w:tcPr>
          <w:p>
            <w:pPr>
              <w:jc w:val="center"/>
              <w:ind w:left="234"/>
              <w:spacing w:after="0"/>
              <w:rPr>
                <w:sz w:val="20"/>
                <w:szCs w:val="20"/>
                <w:color w:val="auto"/>
              </w:rPr>
            </w:pPr>
            <w:r>
              <w:rPr>
                <w:rFonts w:ascii="Arial" w:cs="Arial" w:eastAsia="Arial" w:hAnsi="Arial"/>
                <w:sz w:val="18"/>
                <w:szCs w:val="18"/>
                <w:color w:val="auto"/>
                <w:w w:val="90"/>
              </w:rPr>
              <w:t>43,662,917</w:t>
            </w:r>
          </w:p>
        </w:tc>
        <w:tc>
          <w:tcPr>
            <w:tcW w:w="2020" w:type="dxa"/>
            <w:vAlign w:val="bottom"/>
            <w:tcBorders>
              <w:bottom w:val="single" w:sz="8" w:color="CCEEFF"/>
            </w:tcBorders>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89"/>
              </w:rPr>
              <w:t>1,772,520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34,826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3,032,109</w:t>
            </w: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Norbert G. Riedel</w:t>
            </w:r>
          </w:p>
        </w:tc>
        <w:tc>
          <w:tcPr>
            <w:tcW w:w="1220" w:type="dxa"/>
            <w:vAlign w:val="bottom"/>
          </w:tcPr>
          <w:p>
            <w:pPr>
              <w:jc w:val="center"/>
              <w:ind w:left="234"/>
              <w:spacing w:after="0"/>
              <w:rPr>
                <w:sz w:val="20"/>
                <w:szCs w:val="20"/>
                <w:color w:val="auto"/>
              </w:rPr>
            </w:pPr>
            <w:r>
              <w:rPr>
                <w:rFonts w:ascii="Arial" w:cs="Arial" w:eastAsia="Arial" w:hAnsi="Arial"/>
                <w:sz w:val="18"/>
                <w:szCs w:val="18"/>
                <w:color w:val="auto"/>
                <w:w w:val="90"/>
              </w:rPr>
              <w:t>35,176,745</w:t>
            </w:r>
          </w:p>
        </w:tc>
        <w:tc>
          <w:tcPr>
            <w:tcW w:w="20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10,283,093</w:t>
            </w:r>
          </w:p>
        </w:tc>
        <w:tc>
          <w:tcPr>
            <w:tcW w:w="100" w:type="dxa"/>
            <w:vAlign w:val="bottom"/>
          </w:tcPr>
          <w:p>
            <w:pPr>
              <w:spacing w:after="0"/>
              <w:rPr>
                <w:sz w:val="21"/>
                <w:szCs w:val="21"/>
                <w:color w:val="auto"/>
              </w:rPr>
            </w:pPr>
          </w:p>
        </w:tc>
        <w:tc>
          <w:tcPr>
            <w:tcW w:w="1580" w:type="dxa"/>
            <w:vAlign w:val="bottom"/>
          </w:tcPr>
          <w:p>
            <w:pPr>
              <w:ind w:left="540"/>
              <w:spacing w:after="0"/>
              <w:rPr>
                <w:sz w:val="20"/>
                <w:szCs w:val="20"/>
                <w:color w:val="auto"/>
              </w:rPr>
            </w:pPr>
            <w:r>
              <w:rPr>
                <w:rFonts w:ascii="Arial" w:cs="Arial" w:eastAsia="Arial" w:hAnsi="Arial"/>
                <w:sz w:val="18"/>
                <w:szCs w:val="18"/>
                <w:color w:val="auto"/>
              </w:rPr>
              <w:t>10,425</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3,032,109</w:t>
            </w:r>
          </w:p>
        </w:tc>
      </w:tr>
      <w:tr>
        <w:trPr>
          <w:trHeight w:val="486"/>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Proposal 2 was to ratify, on a non-binding advisory basis, the appointment of KPMG, Dublin as the independent auditors of the company for the fiscal year ending December 31, 2019 and to authorize, in a binding vote, the board of directors, acting through the audit committee, to determine the auditors’ remuneration. This proposal was approved as follows:</w:t>
      </w:r>
    </w:p>
    <w:p>
      <w:pPr>
        <w:spacing w:after="0" w:line="146"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00" w:type="dxa"/>
            <w:vAlign w:val="bottom"/>
            <w:gridSpan w:val="2"/>
          </w:tcPr>
          <w:p>
            <w:pPr>
              <w:ind w:left="1000"/>
              <w:spacing w:after="0"/>
              <w:rPr>
                <w:sz w:val="20"/>
                <w:szCs w:val="20"/>
                <w:color w:val="auto"/>
              </w:rPr>
            </w:pPr>
            <w:r>
              <w:rPr>
                <w:rFonts w:ascii="Arial" w:cs="Arial" w:eastAsia="Arial" w:hAnsi="Arial"/>
                <w:sz w:val="14"/>
                <w:szCs w:val="14"/>
                <w:b w:val="1"/>
                <w:bCs w:val="1"/>
                <w:color w:val="auto"/>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47,922,470</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567,853</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12,049</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Proposal 3 was to approve, on an advisory basis, the compensation of our named executive officers as disclosed in the Proxy Statement. 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2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600" w:type="dxa"/>
            <w:vAlign w:val="bottom"/>
            <w:gridSpan w:val="2"/>
          </w:tcPr>
          <w:p>
            <w:pPr>
              <w:ind w:left="1000"/>
              <w:spacing w:after="0"/>
              <w:rPr>
                <w:sz w:val="20"/>
                <w:szCs w:val="20"/>
                <w:color w:val="auto"/>
              </w:rPr>
            </w:pPr>
            <w:r>
              <w:rPr>
                <w:rFonts w:ascii="Arial" w:cs="Arial" w:eastAsia="Arial" w:hAnsi="Arial"/>
                <w:sz w:val="14"/>
                <w:szCs w:val="14"/>
                <w:b w:val="1"/>
                <w:bCs w:val="1"/>
                <w:color w:val="auto"/>
              </w:rPr>
              <w:t>Abstain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53"/>
        </w:trPr>
        <w:tc>
          <w:tcPr>
            <w:tcW w:w="2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37"/>
        </w:trPr>
        <w:tc>
          <w:tcPr>
            <w:tcW w:w="26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41,000,402</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4,403,926</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65,935</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3,032,109</w:t>
            </w:r>
          </w:p>
        </w:tc>
      </w:tr>
      <w:tr>
        <w:trPr>
          <w:trHeight w:val="27"/>
        </w:trPr>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60"/>
          </w:cols>
          <w:pgMar w:left="240" w:top="125" w:right="3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24"/>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1020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3"/>
                <w:szCs w:val="13"/>
                <w:color w:val="auto"/>
              </w:rPr>
            </w:pPr>
          </w:p>
        </w:tc>
        <w:tc>
          <w:tcPr>
            <w:tcW w:w="1020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196" w:lineRule="exact"/>
              <w:rPr>
                <w:rFonts w:ascii="Arial" w:cs="Arial" w:eastAsia="Arial" w:hAnsi="Arial"/>
                <w:sz w:val="18"/>
                <w:szCs w:val="18"/>
                <w:color w:val="0000FF"/>
                <w:w w:val="96"/>
              </w:rPr>
            </w:pPr>
            <w:hyperlink r:id="rId13">
              <w:r>
                <w:rPr>
                  <w:rFonts w:ascii="Arial" w:cs="Arial" w:eastAsia="Arial" w:hAnsi="Arial"/>
                  <w:sz w:val="18"/>
                  <w:szCs w:val="18"/>
                  <w:color w:val="0000FF"/>
                  <w:w w:val="96"/>
                </w:rPr>
                <w:t>Agreement and Plan of Merger and Reorganization, dated as of September 19, 2011, by and among Azur Pharma Limited (now Jazz</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Pharmaceuticals plc), Jaguar Merger Sub Inc., Jazz Pharmaceuticals, Inc. and Seamus Mulligan, solely in his capacity as the Indemnitors’</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Representative (incorporated herein by reference to Exhibit 2.1 in Jazz Pharmaceuticals, Inc.’s Current Report on Form 8-K (File No. 001-</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shd w:val="clear" w:color="auto" w:fill="CCEEFF"/>
          </w:tcPr>
          <w:p>
            <w:pPr>
              <w:spacing w:after="0"/>
              <w:rPr>
                <w:sz w:val="21"/>
                <w:szCs w:val="21"/>
                <w:color w:val="auto"/>
              </w:rPr>
            </w:pPr>
          </w:p>
        </w:tc>
        <w:tc>
          <w:tcPr>
            <w:tcW w:w="370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33500) filed with the SEC on September 19, 2011).</w:t>
              </w:r>
            </w:hyperlink>
          </w:p>
        </w:tc>
        <w:tc>
          <w:tcPr>
            <w:tcW w:w="6500" w:type="dxa"/>
            <w:vAlign w:val="bottom"/>
            <w:tcBorders>
              <w:bottom w:val="single" w:sz="8" w:color="CCEEFF"/>
            </w:tcBorders>
            <w:gridSpan w:val="20"/>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FF"/>
            </w:tcBorders>
            <w:gridSpan w:val="22"/>
          </w:tcPr>
          <w:p>
            <w:pPr>
              <w:spacing w:after="0" w:line="202" w:lineRule="exact"/>
              <w:rPr>
                <w:rFonts w:ascii="Arial" w:cs="Arial" w:eastAsia="Arial" w:hAnsi="Arial"/>
                <w:sz w:val="18"/>
                <w:szCs w:val="18"/>
                <w:color w:val="0000FF"/>
                <w:w w:val="88"/>
              </w:rPr>
            </w:pPr>
            <w:hyperlink r:id="rId14">
              <w:r>
                <w:rPr>
                  <w:rFonts w:ascii="Arial" w:cs="Arial" w:eastAsia="Arial" w:hAnsi="Arial"/>
                  <w:sz w:val="18"/>
                  <w:szCs w:val="18"/>
                  <w:color w:val="0000FF"/>
                  <w:w w:val="88"/>
                </w:rPr>
                <w:t>Letter Agreement, dated as of January 17, 2012, by and among Jazz Pharmaceuticals plc, Jaguar Merger Sub Inc., Jazz Pharmaceuticals, Inc.</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and Seamus Mulligan, solely in his capacity as the Indemnitors’ Representative (incorporated by reference to Exhibit 2.2 in Jazz</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40" w:type="dxa"/>
            <w:vAlign w:val="bottom"/>
            <w:tcBorders>
              <w:top w:val="single" w:sz="8" w:color="0000FF"/>
            </w:tcBorders>
            <w:gridSpan w:val="15"/>
          </w:tcPr>
          <w:p>
            <w:pPr>
              <w:spacing w:after="0" w:line="196" w:lineRule="exact"/>
              <w:rPr>
                <w:rFonts w:ascii="Arial" w:cs="Arial" w:eastAsia="Arial" w:hAnsi="Arial"/>
                <w:sz w:val="18"/>
                <w:szCs w:val="18"/>
                <w:color w:val="0000FF"/>
                <w:w w:val="99"/>
              </w:rPr>
            </w:pPr>
            <w:hyperlink r:id="rId14">
              <w:r>
                <w:rPr>
                  <w:rFonts w:ascii="Arial" w:cs="Arial" w:eastAsia="Arial" w:hAnsi="Arial"/>
                  <w:sz w:val="18"/>
                  <w:szCs w:val="18"/>
                  <w:color w:val="0000FF"/>
                  <w:w w:val="99"/>
                </w:rPr>
                <w:t>Pharmaceuticals plc’s Current Report on Form 8-K (File No. 001-33500), as filed with the SEC on January 18, 2012).</w:t>
              </w:r>
            </w:hyperlink>
          </w:p>
        </w:tc>
        <w:tc>
          <w:tcPr>
            <w:tcW w:w="9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Agreement and Plan of Merger, dated as of April 26, 2012, by and among Jazz Pharmaceuticals plc, Jewel Merger Sub Inc., EUSA Pharma</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196"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Inc., and Essex Woodlands Health Ventures, Inc., Mayflower L.P., and Bryan Morton, in their capacity as the representatives of the equity</w:t>
              </w:r>
            </w:hyperlink>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140" w:type="dxa"/>
            <w:vAlign w:val="bottom"/>
            <w:tcBorders>
              <w:top w:val="single" w:sz="8" w:color="0000FF"/>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holders of EUSA Pharma Inc. (incorporated herein by reference to Exhibit 2.1 in Jazz Pharmaceuticals plc’s Current Report on Form 8-K</w:t>
              </w:r>
            </w:hyperlink>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(File No. 001-33500), as filed with the SEC on April 27, 2012).</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94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tcBorders>
              <w:bottom w:val="single" w:sz="8" w:color="0000FF"/>
            </w:tcBorders>
            <w:gridSpan w:val="19"/>
          </w:tcPr>
          <w:p>
            <w:pPr>
              <w:spacing w:after="0" w:line="202"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reference to Exhibit 2.1B in Jazz Pharmaceuticals plc’s Current Report on Form 8-K (File No. 001-33500), as filed with the SEC on June 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3"/>
          </w:tcPr>
          <w:p>
            <w:pPr>
              <w:ind w:left="420"/>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2012).</w:t>
              </w:r>
            </w:hyperlink>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Tender Offer Agreement, dated December 19, 2013, by and among Jazz Pharmaceuticals Public Limited Company, Jazz Pharmaceuticals</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Italy S.r.l. and Gentium S.p.A. (incorporated herein by reference to Exhibit 2.1 in Jazz Pharmaceuticals plc’s Current Report on Form 8-K/A</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(File No. 001-33500), as filed with the SEC on December 20, 2013).</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94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2.6†</w:t>
            </w:r>
          </w:p>
        </w:tc>
        <w:tc>
          <w:tcPr>
            <w:tcW w:w="420" w:type="dxa"/>
            <w:vAlign w:val="bottom"/>
          </w:tcPr>
          <w:p>
            <w:pPr>
              <w:spacing w:after="0"/>
              <w:rPr>
                <w:sz w:val="17"/>
                <w:szCs w:val="17"/>
                <w:color w:val="auto"/>
              </w:rPr>
            </w:pPr>
          </w:p>
        </w:tc>
        <w:tc>
          <w:tcPr>
            <w:tcW w:w="10140" w:type="dxa"/>
            <w:vAlign w:val="bottom"/>
            <w:tcBorders>
              <w:bottom w:val="single" w:sz="8" w:color="0000FF"/>
            </w:tcBorders>
            <w:gridSpan w:val="22"/>
          </w:tcPr>
          <w:p>
            <w:pPr>
              <w:spacing w:after="0" w:line="202"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and Jazz Pharmaceuticals plc (incorporated herein by reference to Exhibit 2.1 in Jazz Pharmaceuticals plc’s Current Report on Form 8-K</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(File No. 001-33500), as filed with the SEC on January 13, 2014).</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2.7†</w:t>
            </w: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Assignment Agreement, dated July 1, 2014, by and among Jazz Pharmaceuticals International II Limited, Sigma-Tau Pharmaceuticals, Inc.,</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Jazz Pharmaceuticals plc and Gentium S.p.A. (incorporated herein by reference to Exhibit 2.1 in Jazz Pharmaceuticals plc’s Current Report</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shd w:val="clear" w:color="auto" w:fill="CCEEFF"/>
          </w:tcPr>
          <w:p>
            <w:pPr>
              <w:spacing w:after="0"/>
              <w:rPr>
                <w:sz w:val="21"/>
                <w:szCs w:val="21"/>
                <w:color w:val="auto"/>
              </w:rPr>
            </w:pPr>
          </w:p>
        </w:tc>
        <w:tc>
          <w:tcPr>
            <w:tcW w:w="562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on Form 8-K (File No. 001-33500), as filed with the SEC on August 5, 2014).</w:t>
              </w:r>
            </w:hyperlink>
          </w:p>
        </w:tc>
        <w:tc>
          <w:tcPr>
            <w:tcW w:w="4580" w:type="dxa"/>
            <w:vAlign w:val="bottom"/>
            <w:tcBorders>
              <w:bottom w:val="single" w:sz="8" w:color="CCEEFF"/>
            </w:tcBorders>
            <w:gridSpan w:val="1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23"/>
          </w:tcPr>
          <w:p>
            <w:pPr>
              <w:spacing w:after="0" w:line="202"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Amended and Restated Agreement for the Acquisition of the Topaz Portfolio Business of Jazz Pharmaceuticals plc, dated March 20, 2015,</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FF"/>
            </w:tcBorders>
            <w:gridSpan w:val="22"/>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between Jazz Pharmaceuticals plc and Essex Bidco Limited (incorporated herein by reference to Exhibit 2.1 in Jazz Pharmaceuticals plc’s</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Current Report on Form 8-K (File No. 001-33500), as filed with the SEC on March 23, 2015).</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Agreement and Plan of Merger, dated as of May 27, 2016, by and among Jazz Pharmaceuticals plc, Plex Merger Sub, Inc., and Celator</w:t>
              </w:r>
            </w:hyperlink>
          </w:p>
        </w:tc>
        <w:tc>
          <w:tcPr>
            <w:tcW w:w="50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Pharmaceuticals, Inc. (incorporated herein by reference to Exhibit 2.1 in Jazz Pharmaceuticals plc’s Current Report on Form 8-K (File No.</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shd w:val="clear" w:color="auto" w:fill="CCEEFF"/>
          </w:tcPr>
          <w:p>
            <w:pPr>
              <w:spacing w:after="0"/>
              <w:rPr>
                <w:sz w:val="21"/>
                <w:szCs w:val="21"/>
                <w:color w:val="auto"/>
              </w:rPr>
            </w:pPr>
          </w:p>
        </w:tc>
        <w:tc>
          <w:tcPr>
            <w:tcW w:w="384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001-33500), as filed with the SEC on May 31, 2016).</w:t>
              </w:r>
            </w:hyperlink>
          </w:p>
        </w:tc>
        <w:tc>
          <w:tcPr>
            <w:tcW w:w="6360" w:type="dxa"/>
            <w:vAlign w:val="bottom"/>
            <w:tcBorders>
              <w:bottom w:val="single" w:sz="8" w:color="CCEEFF"/>
            </w:tcBorders>
            <w:gridSpan w:val="19"/>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23"/>
          </w:tcPr>
          <w:p>
            <w:pPr>
              <w:spacing w:after="0" w:line="202"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Amended and Restated Memorandum and Articles of Association of Jazz Pharmaceuticals plc, as amended on August 4, 2016 (incorporated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herein by reference to Exhibit 3.1 in Jazz Pharmaceuticals plc’s Quarterly Report on Form 10-Q (File No. 001-33500) for the period ended</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June 30, 2016, as filed with the SEC on August 9, 2016).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202" w:lineRule="exact"/>
              <w:rPr>
                <w:rFonts w:ascii="Arial" w:cs="Arial" w:eastAsia="Arial" w:hAnsi="Arial"/>
                <w:sz w:val="18"/>
                <w:szCs w:val="18"/>
                <w:color w:val="0000FF"/>
              </w:rPr>
            </w:pPr>
            <w:hyperlink r:id="rId22">
              <w:r>
                <w:rPr>
                  <w:rFonts w:ascii="Arial" w:cs="Arial" w:eastAsia="Arial" w:hAnsi="Arial"/>
                  <w:sz w:val="18"/>
                  <w:szCs w:val="18"/>
                  <w:color w:val="0000FF"/>
                </w:rPr>
                <w:t>Reference is made to Exhibit 3.1.</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94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4.2A</w:t>
            </w:r>
          </w:p>
        </w:tc>
        <w:tc>
          <w:tcPr>
            <w:tcW w:w="420" w:type="dxa"/>
            <w:vAlign w:val="bottom"/>
          </w:tcPr>
          <w:p>
            <w:pPr>
              <w:spacing w:after="0"/>
              <w:rPr>
                <w:sz w:val="17"/>
                <w:szCs w:val="17"/>
                <w:color w:val="auto"/>
              </w:rPr>
            </w:pPr>
          </w:p>
        </w:tc>
        <w:tc>
          <w:tcPr>
            <w:tcW w:w="10200" w:type="dxa"/>
            <w:vAlign w:val="bottom"/>
            <w:gridSpan w:val="23"/>
          </w:tcPr>
          <w:p>
            <w:pPr>
              <w:spacing w:after="0" w:line="202" w:lineRule="exact"/>
              <w:rPr>
                <w:rFonts w:ascii="Arial" w:cs="Arial" w:eastAsia="Arial" w:hAnsi="Arial"/>
                <w:sz w:val="18"/>
                <w:szCs w:val="18"/>
                <w:color w:val="0000FF"/>
                <w:w w:val="96"/>
              </w:rPr>
            </w:pPr>
            <w:hyperlink r:id="rId23">
              <w:r>
                <w:rPr>
                  <w:rFonts w:ascii="Arial" w:cs="Arial" w:eastAsia="Arial" w:hAnsi="Arial"/>
                  <w:sz w:val="18"/>
                  <w:szCs w:val="18"/>
                  <w:color w:val="0000FF"/>
                  <w:w w:val="96"/>
                </w:rPr>
                <w:t>Indenture, dated as of August 13, 2014, by and among Jazz Pharmaceuticals plc, Jazz Investments I Limited and U.S. Bank National</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6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Association (incorporated herein by reference to Exhibit 4.1 in Jazz Pharmaceuticals plc’s Current Report on Form 8-K (File No. 001-</w:t>
              </w:r>
            </w:hyperlink>
          </w:p>
        </w:tc>
        <w:tc>
          <w:tcPr>
            <w:tcW w:w="5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August 13, 2014).</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4.2B</w:t>
            </w: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Form of 1.875% Exchangeable Senior Note due 2021 (incorporated herein by reference to Exhibit 4.1 in Jazz Pharmaceuticals plc’s Current</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Report on Form 8-K (File No. 001-33500), as filed with the SEC on August 13, 2014).</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94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4.3A</w:t>
            </w:r>
          </w:p>
        </w:tc>
        <w:tc>
          <w:tcPr>
            <w:tcW w:w="420" w:type="dxa"/>
            <w:vAlign w:val="bottom"/>
          </w:tcPr>
          <w:p>
            <w:pPr>
              <w:spacing w:after="0"/>
              <w:rPr>
                <w:sz w:val="17"/>
                <w:szCs w:val="17"/>
                <w:color w:val="auto"/>
              </w:rPr>
            </w:pPr>
          </w:p>
        </w:tc>
        <w:tc>
          <w:tcPr>
            <w:tcW w:w="10140" w:type="dxa"/>
            <w:vAlign w:val="bottom"/>
            <w:tcBorders>
              <w:bottom w:val="single" w:sz="8" w:color="0000FF"/>
            </w:tcBorders>
            <w:gridSpan w:val="22"/>
          </w:tcPr>
          <w:p>
            <w:pPr>
              <w:spacing w:after="0" w:line="202"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Indenture, dated as of August 23, 2017, among Jazz Pharmaceuticals Public Limited Company, Jazz Investments I Limited and U.S. Bank</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National Association (incorporated herein by reference to Exhibit 4.1 in Jazz Pharmaceuticals plc’s Current Report on Form 8-K (File No.</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001-033500), as filed with the SEC on August 23, 2017).</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4.3B</w:t>
            </w: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202"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Form of 1.50% Exchangeable Senior Note due 2024 (incorporated herein by reference to Exhibit 4.2 in Jazz Pharmaceuticals plc’s Current</w:t>
              </w:r>
            </w:hyperlink>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right w:val="single" w:sz="8" w:color="CCEEFF"/>
            </w:tcBorders>
            <w:shd w:val="clear" w:color="auto" w:fill="CCEEFF"/>
          </w:tcPr>
          <w:p>
            <w:pPr>
              <w:spacing w:after="0"/>
              <w:rPr>
                <w:sz w:val="21"/>
                <w:szCs w:val="21"/>
                <w:color w:val="auto"/>
              </w:rPr>
            </w:pPr>
          </w:p>
        </w:tc>
        <w:tc>
          <w:tcPr>
            <w:tcW w:w="101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Report on Form 8-K (File No. 001-033500), as filed with the SEC on August 23, 2017)</w:t>
              </w:r>
              <w:r>
                <w:rPr>
                  <w:rFonts w:ascii="Arial" w:cs="Arial" w:eastAsia="Arial" w:hAnsi="Arial"/>
                  <w:sz w:val="18"/>
                  <w:szCs w:val="18"/>
                  <w:color w:val="000000"/>
                </w:rPr>
                <w:t>.</w:t>
              </w:r>
            </w:hyperlink>
          </w:p>
        </w:tc>
        <w:tc>
          <w:tcPr>
            <w:tcW w:w="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760" w:type="dxa"/>
            <w:vAlign w:val="bottom"/>
            <w:tcBorders>
              <w:top w:val="single" w:sz="8" w:color="0000FF"/>
            </w:tcBorders>
            <w:gridSpan w:val="8"/>
          </w:tcPr>
          <w:p>
            <w:pPr>
              <w:ind w:left="4420"/>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8"/>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Corporate Integrity Agreement, dated as of April 3, 2019, by and between Jazz Pharmaceuticals plc and the Office of Inspector General of</w:t>
              </w:r>
            </w:hyperlink>
          </w:p>
        </w:tc>
        <w:tc>
          <w:tcPr>
            <w:tcW w:w="24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1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the United States Department of Health and Human Services (incorporated herein by reference to Exhibit 10.6 in Jazz Pharmaceuticals plc’s</w:t>
              </w:r>
            </w:hyperlink>
          </w:p>
        </w:tc>
        <w:tc>
          <w:tcPr>
            <w:tcW w:w="10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FF"/>
                <w:w w:val="98"/>
              </w:rPr>
            </w:pPr>
            <w:hyperlink r:id="rId25">
              <w:r>
                <w:rPr>
                  <w:rFonts w:ascii="Arial" w:cs="Arial" w:eastAsia="Arial" w:hAnsi="Arial"/>
                  <w:sz w:val="18"/>
                  <w:szCs w:val="18"/>
                  <w:color w:val="0000FF"/>
                  <w:w w:val="98"/>
                </w:rPr>
                <w:t>Quarterly Report on Form 10-Q (File No. 001-33500) for the period ended March 31, 2019, as filed with the SEC on May 7, 2019).</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394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10.2</w:t>
            </w:r>
          </w:p>
        </w:tc>
        <w:tc>
          <w:tcPr>
            <w:tcW w:w="10200" w:type="dxa"/>
            <w:vAlign w:val="bottom"/>
            <w:gridSpan w:val="14"/>
            <w:shd w:val="clear" w:color="auto" w:fill="CCEEFF"/>
          </w:tcPr>
          <w:p>
            <w:pPr>
              <w:spacing w:after="0" w:line="202"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Settlement Agreement, dated as of April 4, 2019, by and among United States of America, acting through the United States Department of</w:t>
              </w:r>
            </w:hyperlink>
          </w:p>
        </w:tc>
      </w:tr>
      <w:tr>
        <w:trPr>
          <w:trHeight w:val="196"/>
        </w:trPr>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990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Justice and on behalf of the Office of Inspector General of the Department of Health and Human Services, Jazz Pharmaceuticals plc, Jazz</w:t>
              </w:r>
            </w:hyperlink>
          </w:p>
        </w:tc>
        <w:tc>
          <w:tcPr>
            <w:tcW w:w="6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6"/>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Pharmaceuticals, Inc., and Jazz Pharmaceuticals Ireland Ltd. (incorporated herein by reference to Exhibit 10.7 in Jazz Pharmaceuticals plc’s</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948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Quarterly Report on Form 10-Q (File No. 001-33500) for the period ended March 31, 2019, as filed with the SEC on May 7, 2019).</w:t>
              </w:r>
            </w:hyperlink>
          </w:p>
        </w:tc>
        <w:tc>
          <w:tcPr>
            <w:tcW w:w="60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10.3</w:t>
            </w:r>
          </w:p>
        </w:tc>
        <w:tc>
          <w:tcPr>
            <w:tcW w:w="10200" w:type="dxa"/>
            <w:vAlign w:val="bottom"/>
            <w:gridSpan w:val="14"/>
          </w:tcPr>
          <w:p>
            <w:pPr>
              <w:spacing w:after="0" w:line="202"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Amendment No. 1 to Pharmacy Master Services Agreement, effective as of June 30, 2019, by and between Jazz Pharmaceuticals, Inc. and</w:t>
              </w:r>
            </w:hyperlink>
          </w:p>
        </w:tc>
      </w:tr>
      <w:tr>
        <w:trPr>
          <w:trHeight w:val="196"/>
        </w:trPr>
        <w:tc>
          <w:tcPr>
            <w:tcW w:w="118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Express Scripts Specialty Distribution Services, Inc. (incorporated herein by reference to Exhibit 10.8 in Jazz Pharmaceuticals plc’s</w:t>
              </w:r>
            </w:hyperlink>
          </w:p>
        </w:tc>
        <w:tc>
          <w:tcPr>
            <w:tcW w:w="460" w:type="dxa"/>
            <w:vAlign w:val="bottom"/>
            <w:tcBorders>
              <w:top w:val="single" w:sz="8" w:color="0000FF"/>
            </w:tcBorders>
            <w:gridSpan w:val="2"/>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FF"/>
                <w:w w:val="98"/>
              </w:rPr>
            </w:pPr>
            <w:hyperlink r:id="rId27">
              <w:r>
                <w:rPr>
                  <w:rFonts w:ascii="Arial" w:cs="Arial" w:eastAsia="Arial" w:hAnsi="Arial"/>
                  <w:sz w:val="18"/>
                  <w:szCs w:val="18"/>
                  <w:color w:val="0000FF"/>
                  <w:w w:val="98"/>
                </w:rPr>
                <w:t>Quarterly Report on Form 10-Q (File No. 001-33500) for the period ended March 31, 2019, as filed with the SEC on May 7, 2019).</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394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10.4+</w:t>
            </w:r>
          </w:p>
        </w:tc>
        <w:tc>
          <w:tcPr>
            <w:tcW w:w="10200" w:type="dxa"/>
            <w:vAlign w:val="bottom"/>
            <w:gridSpan w:val="14"/>
            <w:shd w:val="clear" w:color="auto" w:fill="CCEEFF"/>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Offer Letter from Jazz Pharmaceuticals, Inc. to Robert Iannone dated as of April 11, 2019.</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3940" w:type="dxa"/>
            <w:vAlign w:val="bottom"/>
            <w:tcBorders>
              <w:top w:val="single" w:sz="8" w:color="0000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10.5+</w:t>
            </w:r>
          </w:p>
        </w:tc>
        <w:tc>
          <w:tcPr>
            <w:tcW w:w="10200" w:type="dxa"/>
            <w:vAlign w:val="bottom"/>
            <w:gridSpan w:val="14"/>
          </w:tcPr>
          <w:p>
            <w:pPr>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Letter Agreement, dated as of June 10, 2019, by and between Jazz Pharmaceuticals, Inc. and Suzanne Sawochka Hooper.</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394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31.1</w:t>
            </w:r>
          </w:p>
        </w:tc>
        <w:tc>
          <w:tcPr>
            <w:tcW w:w="1012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1"/>
              </w:rPr>
            </w:pPr>
            <w:hyperlink w:anchor="page92">
              <w:r>
                <w:rPr>
                  <w:rFonts w:ascii="Arial" w:cs="Arial" w:eastAsia="Arial" w:hAnsi="Arial"/>
                  <w:sz w:val="18"/>
                  <w:szCs w:val="18"/>
                  <w:color w:val="0000FF"/>
                  <w:w w:val="91"/>
                </w:rPr>
                <w:t>Certification of Chief Executive Officer pursuant to Rules 13a-14(a) and 15d-14(a) promulgated under the Securities Exchange Act of 1934,</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00" w:type="dxa"/>
            <w:vAlign w:val="bottom"/>
            <w:gridSpan w:val="14"/>
            <w:shd w:val="clear" w:color="auto" w:fill="CCEEFF"/>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as amended.</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94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31.2</w:t>
            </w:r>
          </w:p>
        </w:tc>
        <w:tc>
          <w:tcPr>
            <w:tcW w:w="10200" w:type="dxa"/>
            <w:vAlign w:val="bottom"/>
            <w:gridSpan w:val="14"/>
          </w:tcPr>
          <w:p>
            <w:pPr>
              <w:spacing w:after="0" w:line="202" w:lineRule="exact"/>
              <w:rPr>
                <w:rFonts w:ascii="Arial" w:cs="Arial" w:eastAsia="Arial" w:hAnsi="Arial"/>
                <w:sz w:val="18"/>
                <w:szCs w:val="18"/>
                <w:color w:val="0000FF"/>
                <w:w w:val="92"/>
              </w:rPr>
            </w:pPr>
            <w:hyperlink w:anchor="page93">
              <w:r>
                <w:rPr>
                  <w:rFonts w:ascii="Arial" w:cs="Arial" w:eastAsia="Arial" w:hAnsi="Arial"/>
                  <w:sz w:val="18"/>
                  <w:szCs w:val="18"/>
                  <w:color w:val="0000FF"/>
                  <w:w w:val="92"/>
                </w:rPr>
                <w:t>Certification of Chief Financial Officer pursuant to Rules 13a-14(a) and 15d-14(a) promulgated under the Securities Exchange Act of 1934,</w:t>
              </w:r>
            </w:hyperlink>
          </w:p>
        </w:tc>
      </w:tr>
      <w:tr>
        <w:trPr>
          <w:trHeight w:val="196"/>
        </w:trPr>
        <w:tc>
          <w:tcPr>
            <w:tcW w:w="1180" w:type="dxa"/>
            <w:vAlign w:val="bottom"/>
          </w:tcPr>
          <w:p>
            <w:pPr>
              <w:spacing w:after="0"/>
              <w:rPr>
                <w:sz w:val="17"/>
                <w:szCs w:val="17"/>
                <w:color w:val="auto"/>
              </w:rPr>
            </w:pPr>
          </w:p>
        </w:tc>
        <w:tc>
          <w:tcPr>
            <w:tcW w:w="100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as amended.</w:t>
              </w:r>
            </w:hyperlink>
          </w:p>
        </w:tc>
        <w:tc>
          <w:tcPr>
            <w:tcW w:w="140" w:type="dxa"/>
            <w:vAlign w:val="bottom"/>
            <w:gridSpan w:val="5"/>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6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32.1*</w:t>
            </w:r>
          </w:p>
        </w:tc>
        <w:tc>
          <w:tcPr>
            <w:tcW w:w="10200" w:type="dxa"/>
            <w:vAlign w:val="bottom"/>
            <w:gridSpan w:val="14"/>
            <w:shd w:val="clear" w:color="auto" w:fill="CCEEFF"/>
          </w:tcPr>
          <w:p>
            <w:pPr>
              <w:spacing w:after="0" w:line="202" w:lineRule="exact"/>
              <w:rPr>
                <w:rFonts w:ascii="Arial" w:cs="Arial" w:eastAsia="Arial" w:hAnsi="Arial"/>
                <w:sz w:val="18"/>
                <w:szCs w:val="18"/>
                <w:color w:val="0000FF"/>
                <w:w w:val="91"/>
              </w:rPr>
            </w:pPr>
            <w:hyperlink w:anchor="page94">
              <w:r>
                <w:rPr>
                  <w:rFonts w:ascii="Arial" w:cs="Arial" w:eastAsia="Arial" w:hAnsi="Arial"/>
                  <w:sz w:val="18"/>
                  <w:szCs w:val="18"/>
                  <w:color w:val="0000FF"/>
                  <w:w w:val="91"/>
                </w:rPr>
                <w:t>Certifications of Chief Executive Officer and Chief Financial Officer pursuant to 18 U.S.C. Section 1350, as adopted pursuant to Section 906</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90"/>
              </w:rPr>
            </w:pPr>
            <w:hyperlink w:anchor="page94">
              <w:r>
                <w:rPr>
                  <w:rFonts w:ascii="Arial" w:cs="Arial" w:eastAsia="Arial" w:hAnsi="Arial"/>
                  <w:sz w:val="18"/>
                  <w:szCs w:val="18"/>
                  <w:color w:val="0000FF"/>
                  <w:w w:val="90"/>
                </w:rPr>
                <w:t>of the Sarbanes-Oxley Act of 2002.</w:t>
              </w:r>
            </w:hyperlink>
          </w:p>
        </w:tc>
        <w:tc>
          <w:tcPr>
            <w:tcW w:w="760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10200" w:type="dxa"/>
            <w:vAlign w:val="bottom"/>
            <w:gridSpan w:val="14"/>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 within</w:t>
            </w:r>
          </w:p>
        </w:tc>
      </w:tr>
      <w:tr>
        <w:trPr>
          <w:trHeight w:val="230"/>
        </w:trPr>
        <w:tc>
          <w:tcPr>
            <w:tcW w:w="1180" w:type="dxa"/>
            <w:vAlign w:val="bottom"/>
          </w:tcPr>
          <w:p>
            <w:pPr>
              <w:spacing w:after="0"/>
              <w:rPr>
                <w:sz w:val="20"/>
                <w:szCs w:val="20"/>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the Inline XBRL document</w:t>
            </w:r>
          </w:p>
        </w:tc>
      </w:tr>
      <w:tr>
        <w:trPr>
          <w:trHeight w:val="27"/>
        </w:trPr>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20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101.CAL</w:t>
            </w:r>
          </w:p>
        </w:tc>
        <w:tc>
          <w:tcPr>
            <w:tcW w:w="1020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20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1020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7"/>
        </w:trPr>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2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
        </w:trPr>
        <w:tc>
          <w:tcPr>
            <w:tcW w:w="1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w:t>
      </w:r>
    </w:p>
    <w:p>
      <w:pPr>
        <w:spacing w:after="0" w:line="21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9" w:lineRule="exact"/>
        <w:rPr>
          <w:sz w:val="20"/>
          <w:szCs w:val="20"/>
          <w:color w:val="auto"/>
        </w:rPr>
      </w:pPr>
    </w:p>
    <w:p>
      <w:pPr>
        <w:ind w:left="500" w:right="60" w:hanging="492"/>
        <w:spacing w:after="0" w:line="255"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35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JAZZ PHARMACEUTICALS PUBLIC LIMITED COMPANY</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Bruce C. Cozadd</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Matthew P. Young</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Karen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Karen J. Wilson</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Senior Vice President, Finance</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720"/>
          </w:cols>
          <w:pgMar w:left="240" w:top="125" w:right="93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10.4</w:t>
      </w:r>
    </w:p>
    <w:p>
      <w:pPr>
        <w:spacing w:after="0" w:line="348"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[Jazz Pharmaceuticals Letterhead]</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11 April 2019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Robert Iannone</w:t>
      </w:r>
    </w:p>
    <w:p>
      <w:pPr>
        <w:spacing w:after="0" w:line="200" w:lineRule="exact"/>
        <w:rPr>
          <w:sz w:val="20"/>
          <w:szCs w:val="20"/>
          <w:color w:val="auto"/>
        </w:rPr>
      </w:pP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Offer of employment with Jazz Pharmaceuticals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Dear Robert,</w:t>
      </w:r>
    </w:p>
    <w:p>
      <w:pPr>
        <w:spacing w:after="0" w:line="229" w:lineRule="exact"/>
        <w:rPr>
          <w:sz w:val="20"/>
          <w:szCs w:val="20"/>
          <w:color w:val="auto"/>
        </w:rPr>
      </w:pPr>
    </w:p>
    <w:p>
      <w:pPr>
        <w:ind w:right="860" w:firstLine="567"/>
        <w:spacing w:after="0" w:line="261" w:lineRule="auto"/>
        <w:rPr>
          <w:sz w:val="20"/>
          <w:szCs w:val="20"/>
          <w:color w:val="auto"/>
        </w:rPr>
      </w:pPr>
      <w:r>
        <w:rPr>
          <w:rFonts w:ascii="Arial" w:cs="Arial" w:eastAsia="Arial" w:hAnsi="Arial"/>
          <w:sz w:val="20"/>
          <w:szCs w:val="20"/>
          <w:color w:val="auto"/>
        </w:rPr>
        <w:t>I am very pleased to invite you to join Jazz Pharmaceuticals. This letter sets out the basic terms of your employment with Jazz Pharmaceuticals.</w:t>
      </w:r>
    </w:p>
    <w:p>
      <w:pPr>
        <w:spacing w:after="0" w:line="178" w:lineRule="exact"/>
        <w:rPr>
          <w:sz w:val="20"/>
          <w:szCs w:val="20"/>
          <w:color w:val="auto"/>
        </w:rPr>
      </w:pPr>
    </w:p>
    <w:p>
      <w:pPr>
        <w:ind w:left="480" w:right="140" w:hanging="480"/>
        <w:spacing w:after="0" w:line="260" w:lineRule="auto"/>
        <w:tabs>
          <w:tab w:leader="none" w:pos="48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Duties and Responsibilities</w:t>
      </w:r>
      <w:r>
        <w:rPr>
          <w:rFonts w:ascii="Arial" w:cs="Arial" w:eastAsia="Arial" w:hAnsi="Arial"/>
          <w:sz w:val="20"/>
          <w:szCs w:val="20"/>
          <w:color w:val="auto"/>
        </w:rPr>
        <w:t>. Your initial assignment will be as Head of R&amp;D, reporting to me. This offer is for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full time position, located at Jazz Pharmaceuticals’ offices in Philadelphia, PA. The position may require you to travel from time to time to other locations as may be necessary to fulfill your responsibilities. As part of your employment relationship, you agree to comply with Jazz Pharmaceuticals’ policies and procedures in effect from time to time during your employment. As an exempt employee, you are expected to work the number of hours required to do your job well.</w:t>
      </w:r>
    </w:p>
    <w:p>
      <w:pPr>
        <w:spacing w:after="0" w:line="179" w:lineRule="exact"/>
        <w:rPr>
          <w:rFonts w:ascii="Arial" w:cs="Arial" w:eastAsia="Arial" w:hAnsi="Arial"/>
          <w:sz w:val="20"/>
          <w:szCs w:val="20"/>
          <w:b w:val="1"/>
          <w:bCs w:val="1"/>
          <w:color w:val="auto"/>
        </w:rPr>
      </w:pPr>
    </w:p>
    <w:p>
      <w:pPr>
        <w:ind w:left="480" w:right="20" w:hanging="480"/>
        <w:spacing w:after="0" w:line="255" w:lineRule="auto"/>
        <w:tabs>
          <w:tab w:leader="none" w:pos="48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Salary; Annual Bonus; Signing Bonus</w:t>
      </w:r>
      <w:r>
        <w:rPr>
          <w:rFonts w:ascii="Arial" w:cs="Arial" w:eastAsia="Arial" w:hAnsi="Arial"/>
          <w:sz w:val="20"/>
          <w:szCs w:val="20"/>
          <w:color w:val="auto"/>
        </w:rPr>
        <w:t>. Your initial annual base salary will be $550,000 payable in accordance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Jazz Pharmaceuticals’ customary payroll practices, for all hours worked. Salary is subject to periodic review and adjustment by Jazz Pharmaceuticals, in accordance with its normal practices; we have a company-wide performance review process that takes place early in each calendar year. The Company has a cash bonus plan under which annual bonuses may be given based on the Company meeting its annual objectives, and each employee’s meeting of his or her objectives, subject to the terms and conditions of the cash bonus plan. Bonuses are not guaranteed, and whether there will be a bonus in any year, and the size of any bonus if there is one, is within the discretion of the Board of Directors. In this role, you will be eligible for an annual incentive bonus with a target currently set at 55% of your annual base salary, prorated for 2019 in accordance with your start date. In addition, Jazz Pharmaceuticals will pay you a signing bonus of $205,000, less all required withholdings, paid to you in two equal installments. The first payment of $102,500 is payable on the first regular pay date occurring 90 days after your employment start date, and the second payment of $102,500 on the first regular pay date occurring 180 days after your employment start date, subject to your continued employment in good standing with Jazz Pharmaceuticals through each date. Should you voluntarily resign within one year of your employment start date, you will be expected to repay to Jazz Pharmaceuticals $205,000 of the sign on bonus. If your resignation or termination date is between 12 and 24 months of your start date, you will be expected to repay $125,000 of the sign on bonus paid to you. Such payment would be due within 30 days of the later of your resignation or termination date.</w:t>
      </w:r>
    </w:p>
    <w:p>
      <w:pPr>
        <w:sectPr>
          <w:pgSz w:w="11900" w:h="16838" w:orient="portrait"/>
          <w:cols w:equalWidth="0" w:num="1">
            <w:col w:w="10440"/>
          </w:cols>
          <w:pgMar w:left="1220" w:top="531" w:right="239" w:bottom="1440" w:gutter="0" w:footer="0" w:header="0"/>
        </w:sectPr>
      </w:pPr>
    </w:p>
    <w:bookmarkStart w:id="86" w:name="page87"/>
    <w:bookmarkEnd w:id="86"/>
    <w:p>
      <w:pPr>
        <w:ind w:left="480" w:right="500" w:hanging="480"/>
        <w:spacing w:after="0" w:line="261" w:lineRule="auto"/>
        <w:tabs>
          <w:tab w:leader="none" w:pos="48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Benefits</w:t>
      </w:r>
      <w:r>
        <w:rPr>
          <w:rFonts w:ascii="Arial" w:cs="Arial" w:eastAsia="Arial" w:hAnsi="Arial"/>
          <w:sz w:val="20"/>
          <w:szCs w:val="20"/>
          <w:color w:val="auto"/>
        </w:rPr>
        <w:t>. You generally will be eligible to receive all benefits which are extended to other similarly-situated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at Jazz Pharmaceuticals, including medical and dental benefits, life insurance and other benefits offered to regular employees. You will be eligible for paid time off and holidays in accordance with Jazz Pharmaceuticals’ policies, and you will be a participant in the Company’s Amended and Restated Executive Change in Control and Severance Benefit Plan.</w:t>
      </w:r>
    </w:p>
    <w:p>
      <w:pPr>
        <w:spacing w:after="0" w:line="181" w:lineRule="exact"/>
        <w:rPr>
          <w:rFonts w:ascii="Arial" w:cs="Arial" w:eastAsia="Arial" w:hAnsi="Arial"/>
          <w:sz w:val="20"/>
          <w:szCs w:val="20"/>
          <w:b w:val="1"/>
          <w:bCs w:val="1"/>
          <w:color w:val="auto"/>
        </w:rPr>
      </w:pPr>
    </w:p>
    <w:p>
      <w:pPr>
        <w:ind w:left="480" w:hanging="480"/>
        <w:spacing w:after="0" w:line="258" w:lineRule="auto"/>
        <w:tabs>
          <w:tab w:leader="none" w:pos="48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Equity</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Your offer includes a grant of options to purchase 30,500 Jazz Pharmaceuticals plc ordinary shares and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 of 12,200 restricted stock units (RSUs) giving you a right to receive Jazz Pharmaceuticals plc ordinary shares at a future date, subject to approval by the Compensation Committee, the terms and conditions of the Jazz Pharmaceuticals plc 2011 Equity Incentive Plan, and the terms and conditions of the applicable award agreements, which will be provided to you as soon as practicable after the grant date. Subject to your continued employment on each vesting date, the options will vest 1/4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on the first annual anniversary of your start date and 1/48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total granted per month thereafter, and the RSUs will vest 1/4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annually over four years. The options will have an exercise price that equals the fair market value of Jazz Pharmaceuticals plc ordinary shares on the date of grant. The RSUs will have no exercise price. The options and RSUs will be granted on the second trading day following the filing date of the Company’s next quarterly or annual report filed with the Securities and Exchange Commission following your start date in accordance with the Company’s Equity Incentive Grant Policy.</w:t>
      </w:r>
    </w:p>
    <w:p>
      <w:pPr>
        <w:spacing w:after="0" w:line="182" w:lineRule="exact"/>
        <w:rPr>
          <w:rFonts w:ascii="Arial" w:cs="Arial" w:eastAsia="Arial" w:hAnsi="Arial"/>
          <w:sz w:val="19"/>
          <w:szCs w:val="19"/>
          <w:b w:val="1"/>
          <w:bCs w:val="1"/>
          <w:color w:val="auto"/>
        </w:rPr>
      </w:pPr>
    </w:p>
    <w:p>
      <w:pPr>
        <w:ind w:left="480" w:right="60" w:hanging="480"/>
        <w:spacing w:after="0" w:line="257" w:lineRule="auto"/>
        <w:tabs>
          <w:tab w:leader="none" w:pos="48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Confidential Information; Employee Confidential Information and Inventions Agreement</w:t>
      </w:r>
      <w:r>
        <w:rPr>
          <w:rFonts w:ascii="Arial" w:cs="Arial" w:eastAsia="Arial" w:hAnsi="Arial"/>
          <w:sz w:val="20"/>
          <w:szCs w:val="20"/>
          <w:color w:val="auto"/>
        </w:rPr>
        <w:t>. To enable Jazz</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Pharmaceuticals to safeguard its proprietary and confidential information, it is a condition of employment that you sign Jazz Pharmaceuticals’ standard form of “Employee Confidential Information and Inventions Agreement.” We understand that you are likely to have signed similar agreements with prior employers, and wish to impress upon you that Jazz Pharmaceuticals does not want to receive the confidential or proprietary information of others, and will support you in respecting your lawful obligations to prior employers. By accepting this offer, you are representing to Jazz Pharmaceuticals that your performance of your duties will not violate any agreements you may have with, or trade secrets of, any third parties. You agree that, during your employment with Jazz Pharmaceuticals, you will not engage in any business activity that competes with Jazz Pharmaceuticals, and you will notify your supervisor if you are considering accepting outside work.</w:t>
      </w:r>
    </w:p>
    <w:p>
      <w:pPr>
        <w:spacing w:after="0" w:line="184" w:lineRule="exact"/>
        <w:rPr>
          <w:rFonts w:ascii="Arial" w:cs="Arial" w:eastAsia="Arial" w:hAnsi="Arial"/>
          <w:sz w:val="20"/>
          <w:szCs w:val="20"/>
          <w:b w:val="1"/>
          <w:bCs w:val="1"/>
          <w:color w:val="auto"/>
        </w:rPr>
      </w:pPr>
    </w:p>
    <w:p>
      <w:pPr>
        <w:ind w:left="480" w:right="140" w:hanging="480"/>
        <w:spacing w:after="0" w:line="259" w:lineRule="auto"/>
        <w:tabs>
          <w:tab w:leader="none" w:pos="480" w:val="left"/>
        </w:tabs>
        <w:numPr>
          <w:ilvl w:val="0"/>
          <w:numId w:val="3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Code of Conduct</w:t>
      </w:r>
      <w:r>
        <w:rPr>
          <w:rFonts w:ascii="Arial" w:cs="Arial" w:eastAsia="Arial" w:hAnsi="Arial"/>
          <w:sz w:val="20"/>
          <w:szCs w:val="20"/>
          <w:color w:val="auto"/>
        </w:rPr>
        <w:t>. Jazz Pharmaceuticals is committed to integrity and the pursuit of excellence in all we do. We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fulfill these commitments while upholding a high level of ethical conduct. The Code of Conduct is one element of Jazz Pharmaceuticals’ efforts to ensure lawful and ethical conduct by the company and its subsidiaries and their employees, officers and directors. It is a condition of employment that you read, agree to and sign Jazz Pharmaceuticals’ Code of Conduct in the first week of employment. If you have questions about the Code of Conduct, please let Human Resources know and we will ensure that you receive answers to your inquiries as quickly as possible.</w:t>
      </w:r>
    </w:p>
    <w:p>
      <w:pPr>
        <w:spacing w:after="0" w:line="180" w:lineRule="exact"/>
        <w:rPr>
          <w:rFonts w:ascii="Arial" w:cs="Arial" w:eastAsia="Arial" w:hAnsi="Arial"/>
          <w:sz w:val="20"/>
          <w:szCs w:val="20"/>
          <w:b w:val="1"/>
          <w:bCs w:val="1"/>
          <w:i w:val="1"/>
          <w:iCs w:val="1"/>
          <w:color w:val="auto"/>
        </w:rPr>
      </w:pPr>
    </w:p>
    <w:p>
      <w:pPr>
        <w:ind w:left="480" w:right="1100" w:hanging="480"/>
        <w:spacing w:after="0" w:line="286" w:lineRule="auto"/>
        <w:tabs>
          <w:tab w:leader="none" w:pos="48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At-Will Employment</w:t>
      </w:r>
      <w:r>
        <w:rPr>
          <w:rFonts w:ascii="Arial" w:cs="Arial" w:eastAsia="Arial" w:hAnsi="Arial"/>
          <w:sz w:val="20"/>
          <w:szCs w:val="20"/>
          <w:color w:val="auto"/>
        </w:rPr>
        <w:t>. Should you decide to accept our offer, you will be an “at-will” employee of Jazz</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Pharmaceuticals. This means that either you or Jazz Pharmaceuticals may terminate</w:t>
      </w:r>
    </w:p>
    <w:p>
      <w:pPr>
        <w:sectPr>
          <w:pgSz w:w="11900" w:h="16838" w:orient="portrait"/>
          <w:cols w:equalWidth="0" w:num="1">
            <w:col w:w="10420"/>
          </w:cols>
          <w:pgMar w:left="1220" w:top="544" w:right="259" w:bottom="1440" w:gutter="0" w:footer="0" w:header="0"/>
        </w:sectPr>
      </w:pPr>
    </w:p>
    <w:bookmarkStart w:id="87" w:name="page88"/>
    <w:bookmarkEnd w:id="87"/>
    <w:p>
      <w:pPr>
        <w:ind w:left="480" w:right="520"/>
        <w:spacing w:after="0" w:line="289" w:lineRule="auto"/>
        <w:rPr>
          <w:sz w:val="20"/>
          <w:szCs w:val="20"/>
          <w:color w:val="auto"/>
        </w:rPr>
      </w:pPr>
      <w:r>
        <w:rPr>
          <w:rFonts w:ascii="Arial" w:cs="Arial" w:eastAsia="Arial" w:hAnsi="Arial"/>
          <w:sz w:val="20"/>
          <w:szCs w:val="20"/>
          <w:color w:val="auto"/>
        </w:rPr>
        <w:t>the employment relationship with or without cause at any time. Participation in any benefit, compensation or bonus program does not change the nature of the employment relationship, which remains “at-will”.</w:t>
      </w:r>
    </w:p>
    <w:p>
      <w:pPr>
        <w:spacing w:after="0" w:line="178" w:lineRule="exact"/>
        <w:rPr>
          <w:sz w:val="20"/>
          <w:szCs w:val="20"/>
          <w:color w:val="auto"/>
        </w:rPr>
      </w:pPr>
    </w:p>
    <w:p>
      <w:pPr>
        <w:ind w:left="480" w:right="60" w:hanging="480"/>
        <w:spacing w:after="0" w:line="282" w:lineRule="auto"/>
        <w:tabs>
          <w:tab w:leader="none" w:pos="480" w:val="left"/>
        </w:tabs>
        <w:numPr>
          <w:ilvl w:val="0"/>
          <w:numId w:val="33"/>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Authorization to Work</w:t>
      </w:r>
      <w:r>
        <w:rPr>
          <w:rFonts w:ascii="Arial" w:cs="Arial" w:eastAsia="Arial" w:hAnsi="Arial"/>
          <w:sz w:val="20"/>
          <w:szCs w:val="20"/>
          <w:color w:val="auto"/>
        </w:rPr>
        <w:t>. Federal government regulations require that all prospective employees present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documentation verifying their identity and demonstrating that they are authorized to work in the United States. If you have any questions about this requirement, which applies to U.S. citizens and non-U.S. citizens alike, please contact Heidi Manna, our Senior Vice President and Chief Human Resources Officer. Your employment is contingent on your ability to prove your identity and authorization to work in the United States, and your complying with the government’s employment verification requirements.</w:t>
      </w:r>
    </w:p>
    <w:p>
      <w:pPr>
        <w:spacing w:after="0" w:line="174" w:lineRule="exact"/>
        <w:rPr>
          <w:rFonts w:ascii="Arial" w:cs="Arial" w:eastAsia="Arial" w:hAnsi="Arial"/>
          <w:sz w:val="22"/>
          <w:szCs w:val="22"/>
          <w:b w:val="1"/>
          <w:bCs w:val="1"/>
          <w:color w:val="auto"/>
        </w:rPr>
      </w:pPr>
    </w:p>
    <w:p>
      <w:pPr>
        <w:ind w:left="480" w:right="120" w:hanging="480"/>
        <w:spacing w:after="0" w:line="259" w:lineRule="auto"/>
        <w:tabs>
          <w:tab w:leader="none" w:pos="48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Complete Offer and Agreement</w:t>
      </w:r>
      <w:r>
        <w:rPr>
          <w:rFonts w:ascii="Arial" w:cs="Arial" w:eastAsia="Arial" w:hAnsi="Arial"/>
          <w:sz w:val="20"/>
          <w:szCs w:val="20"/>
          <w:color w:val="auto"/>
        </w:rPr>
        <w:t>. This letter contains our complete understanding and agreement regarding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terms of your employment by Jazz Pharmaceuticals. There are no other, different or prior agreements or understandings on this or related subjects. Changes to the terms of your employment can be made only in a writing signed by you and President of Jazz Pharmaceuticals, although it is understood that as part of the policy of employment at will, Jazz Pharmaceuticals may, from time to time, in its sole discretion, adjust your salary, incentive compensation and benefits, as well as your job title, location, duties, responsibilities, assignments and reporting relationships.</w:t>
      </w:r>
    </w:p>
    <w:p>
      <w:pPr>
        <w:spacing w:after="0" w:line="180" w:lineRule="exact"/>
        <w:rPr>
          <w:rFonts w:ascii="Arial" w:cs="Arial" w:eastAsia="Arial" w:hAnsi="Arial"/>
          <w:sz w:val="20"/>
          <w:szCs w:val="20"/>
          <w:b w:val="1"/>
          <w:bCs w:val="1"/>
          <w:color w:val="auto"/>
        </w:rPr>
      </w:pPr>
    </w:p>
    <w:p>
      <w:pPr>
        <w:ind w:left="480" w:hanging="480"/>
        <w:spacing w:after="0" w:line="264" w:lineRule="auto"/>
        <w:tabs>
          <w:tab w:leader="none" w:pos="48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Start Date; Acceptance of Offer</w:t>
      </w:r>
      <w:r>
        <w:rPr>
          <w:rFonts w:ascii="Arial" w:cs="Arial" w:eastAsia="Arial" w:hAnsi="Arial"/>
          <w:sz w:val="20"/>
          <w:szCs w:val="20"/>
          <w:color w:val="auto"/>
        </w:rPr>
        <w:t>. We hope that you will accept this offer promptly, and begin your full-time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employment at Jazz Pharmaceuticals no later than Monday, 29 July but as soon as Monday, 27 May 2019. If our offer is acceptable to you, please sign the enclosed copy of this letter in the space indicated and return it to me by 15 April 2019.</w:t>
      </w:r>
    </w:p>
    <w:p>
      <w:pPr>
        <w:spacing w:after="0" w:line="176" w:lineRule="exact"/>
        <w:rPr>
          <w:rFonts w:ascii="Arial" w:cs="Arial" w:eastAsia="Arial" w:hAnsi="Arial"/>
          <w:sz w:val="20"/>
          <w:szCs w:val="20"/>
          <w:b w:val="1"/>
          <w:bCs w:val="1"/>
          <w:color w:val="auto"/>
        </w:rPr>
      </w:pPr>
    </w:p>
    <w:p>
      <w:pPr>
        <w:jc w:val="both"/>
        <w:ind w:left="480" w:right="660" w:hanging="480"/>
        <w:spacing w:after="0" w:line="269" w:lineRule="auto"/>
        <w:tabs>
          <w:tab w:leader="none" w:pos="48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Severability. </w:t>
      </w:r>
      <w:r>
        <w:rPr>
          <w:rFonts w:ascii="Arial" w:cs="Arial" w:eastAsia="Arial" w:hAnsi="Arial"/>
          <w:sz w:val="20"/>
          <w:szCs w:val="20"/>
          <w:color w:val="auto"/>
        </w:rPr>
        <w:t>If any provision of this offer is held to be invalid, void or unenforceable, the remainder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set forth herein will remain unaffected, and you and Jazz Pharmaceuticals will work together to achieve the intent of the affected provisions.</w:t>
      </w:r>
    </w:p>
    <w:p>
      <w:pPr>
        <w:spacing w:after="0" w:line="196"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Robert, we are impressed by your accomplishments and potential, and we are enthusiastic at the prospect of you joining us. I look forward to your early acceptance of this offer, and to your contributions to the growth and success of Jazz Pharmaceuticals.</w:t>
      </w:r>
    </w:p>
    <w:p>
      <w:pPr>
        <w:sectPr>
          <w:pgSz w:w="11900" w:h="16838" w:orient="portrait"/>
          <w:cols w:equalWidth="0" w:num="1">
            <w:col w:w="10420"/>
          </w:cols>
          <w:pgMar w:left="1220" w:top="582" w:right="259" w:bottom="1440" w:gutter="0" w:footer="0" w:header="0"/>
        </w:sectPr>
      </w:pPr>
    </w:p>
    <w:bookmarkStart w:id="88" w:name="page89"/>
    <w:bookmarkEnd w:id="88"/>
    <w:p>
      <w:pPr>
        <w:ind w:left="1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Dan Swisher</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Dan Swisher</w:t>
      </w:r>
    </w:p>
    <w:p>
      <w:pPr>
        <w:ind w:left="100"/>
        <w:spacing w:after="0"/>
        <w:rPr>
          <w:sz w:val="20"/>
          <w:szCs w:val="20"/>
          <w:color w:val="auto"/>
        </w:rPr>
      </w:pPr>
      <w:r>
        <w:rPr>
          <w:rFonts w:ascii="Arial" w:cs="Arial" w:eastAsia="Arial" w:hAnsi="Arial"/>
          <w:sz w:val="20"/>
          <w:szCs w:val="20"/>
          <w:color w:val="auto"/>
        </w:rPr>
        <w:t>President &amp; Chief Operating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ACCEPTANCE OF EMPLOYMENT OFFER:</w:t>
      </w:r>
    </w:p>
    <w:p>
      <w:pPr>
        <w:spacing w:after="0" w:line="253" w:lineRule="exact"/>
        <w:rPr>
          <w:sz w:val="20"/>
          <w:szCs w:val="20"/>
          <w:color w:val="auto"/>
        </w:rPr>
      </w:pPr>
    </w:p>
    <w:p>
      <w:pPr>
        <w:ind w:left="60" w:right="1259"/>
        <w:spacing w:after="0" w:line="236" w:lineRule="auto"/>
        <w:rPr>
          <w:sz w:val="20"/>
          <w:szCs w:val="20"/>
          <w:color w:val="auto"/>
        </w:rPr>
      </w:pPr>
      <w:r>
        <w:rPr>
          <w:rFonts w:ascii="Arial" w:cs="Arial" w:eastAsia="Arial" w:hAnsi="Arial"/>
          <w:sz w:val="20"/>
          <w:szCs w:val="20"/>
          <w:color w:val="auto"/>
        </w:rPr>
        <w:t>I accept the offer of employment by Jazz Pharmaceuticals on the terms described in this letter.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2360" w:type="dxa"/>
            <w:vAlign w:val="bottom"/>
          </w:tcPr>
          <w:p>
            <w:pPr>
              <w:spacing w:after="0"/>
              <w:rPr>
                <w:sz w:val="20"/>
                <w:szCs w:val="20"/>
                <w:color w:val="auto"/>
              </w:rPr>
            </w:pPr>
            <w:r>
              <w:rPr>
                <w:rFonts w:ascii="Arial" w:cs="Arial" w:eastAsia="Arial" w:hAnsi="Arial"/>
                <w:sz w:val="20"/>
                <w:szCs w:val="20"/>
                <w:color w:val="auto"/>
              </w:rPr>
              <w:t>Signature:</w:t>
            </w:r>
          </w:p>
        </w:tc>
        <w:tc>
          <w:tcPr>
            <w:tcW w:w="5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Robert Iannone</w:t>
            </w:r>
          </w:p>
        </w:tc>
      </w:tr>
      <w:tr>
        <w:trPr>
          <w:trHeight w:val="264"/>
        </w:trPr>
        <w:tc>
          <w:tcPr>
            <w:tcW w:w="2360" w:type="dxa"/>
            <w:vAlign w:val="bottom"/>
          </w:tcPr>
          <w:p>
            <w:pPr>
              <w:spacing w:after="0"/>
              <w:rPr>
                <w:sz w:val="20"/>
                <w:szCs w:val="20"/>
                <w:color w:val="auto"/>
              </w:rPr>
            </w:pPr>
            <w:r>
              <w:rPr>
                <w:rFonts w:ascii="Arial" w:cs="Arial" w:eastAsia="Arial" w:hAnsi="Arial"/>
                <w:sz w:val="20"/>
                <w:szCs w:val="20"/>
                <w:color w:val="auto"/>
              </w:rPr>
              <w:t>Date:</w:t>
            </w:r>
          </w:p>
        </w:tc>
        <w:tc>
          <w:tcPr>
            <w:tcW w:w="5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12 April 2019</w:t>
            </w:r>
          </w:p>
        </w:tc>
      </w:tr>
      <w:tr>
        <w:trPr>
          <w:trHeight w:val="596"/>
        </w:trPr>
        <w:tc>
          <w:tcPr>
            <w:tcW w:w="2360" w:type="dxa"/>
            <w:vAlign w:val="bottom"/>
          </w:tcPr>
          <w:p>
            <w:pPr>
              <w:spacing w:after="0"/>
              <w:rPr>
                <w:sz w:val="20"/>
                <w:szCs w:val="20"/>
                <w:color w:val="auto"/>
              </w:rPr>
            </w:pPr>
            <w:r>
              <w:rPr>
                <w:rFonts w:ascii="Arial" w:cs="Arial" w:eastAsia="Arial" w:hAnsi="Arial"/>
                <w:sz w:val="20"/>
                <w:szCs w:val="20"/>
                <w:color w:val="auto"/>
              </w:rPr>
              <w:t>My start date will be</w:t>
            </w:r>
          </w:p>
        </w:tc>
        <w:tc>
          <w:tcPr>
            <w:tcW w:w="5860" w:type="dxa"/>
            <w:vAlign w:val="bottom"/>
          </w:tcPr>
          <w:p>
            <w:pPr>
              <w:ind w:left="40"/>
              <w:spacing w:after="0"/>
              <w:rPr>
                <w:sz w:val="20"/>
                <w:szCs w:val="20"/>
                <w:color w:val="auto"/>
              </w:rPr>
            </w:pPr>
            <w:r>
              <w:rPr>
                <w:rFonts w:ascii="Arial" w:cs="Arial" w:eastAsia="Arial" w:hAnsi="Arial"/>
                <w:sz w:val="20"/>
                <w:szCs w:val="20"/>
                <w:color w:val="auto"/>
              </w:rPr>
              <w:t>On or before July 29, 2019</w:t>
            </w:r>
          </w:p>
        </w:tc>
      </w:tr>
    </w:tbl>
    <w:p>
      <w:pPr>
        <w:sectPr>
          <w:pgSz w:w="11900" w:h="16838" w:orient="portrait"/>
          <w:cols w:equalWidth="0" w:num="1">
            <w:col w:w="9019"/>
          </w:cols>
          <w:pgMar w:left="1440" w:top="554"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[JAZZ PHARMACEUTICALS LETTERHEAD]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June 10, 2019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Dear Suzanne:</w:t>
      </w:r>
    </w:p>
    <w:p>
      <w:pPr>
        <w:spacing w:after="0" w:line="210" w:lineRule="exact"/>
        <w:rPr>
          <w:sz w:val="20"/>
          <w:szCs w:val="20"/>
          <w:color w:val="auto"/>
        </w:rPr>
      </w:pPr>
    </w:p>
    <w:p>
      <w:pPr>
        <w:jc w:val="both"/>
        <w:ind w:right="20"/>
        <w:spacing w:after="0" w:line="323" w:lineRule="auto"/>
        <w:rPr>
          <w:sz w:val="20"/>
          <w:szCs w:val="20"/>
          <w:color w:val="auto"/>
        </w:rPr>
      </w:pPr>
      <w:r>
        <w:rPr>
          <w:rFonts w:ascii="Arial" w:cs="Arial" w:eastAsia="Arial" w:hAnsi="Arial"/>
          <w:sz w:val="20"/>
          <w:szCs w:val="20"/>
          <w:color w:val="auto"/>
        </w:rPr>
        <w:t>As discussed, this letter confirms the changes to your employment terms with Jazz Pharmaceuticals, Inc. (the “</w:t>
      </w:r>
      <w:r>
        <w:rPr>
          <w:rFonts w:ascii="Arial" w:cs="Arial" w:eastAsia="Arial" w:hAnsi="Arial"/>
          <w:sz w:val="20"/>
          <w:szCs w:val="20"/>
          <w:b w:val="1"/>
          <w:bCs w:val="1"/>
          <w:color w:val="auto"/>
        </w:rPr>
        <w:t>Company</w:t>
      </w:r>
      <w:r>
        <w:rPr>
          <w:rFonts w:ascii="Arial" w:cs="Arial" w:eastAsia="Arial" w:hAnsi="Arial"/>
          <w:sz w:val="20"/>
          <w:szCs w:val="20"/>
          <w:color w:val="auto"/>
        </w:rPr>
        <w:t>”), effective as of June 3, 2019 (the “</w:t>
      </w:r>
      <w:r>
        <w:rPr>
          <w:rFonts w:ascii="Arial" w:cs="Arial" w:eastAsia="Arial" w:hAnsi="Arial"/>
          <w:sz w:val="20"/>
          <w:szCs w:val="20"/>
          <w:b w:val="1"/>
          <w:bCs w:val="1"/>
          <w:color w:val="auto"/>
        </w:rPr>
        <w:t>Effective Date</w:t>
      </w:r>
      <w:r>
        <w:rPr>
          <w:rFonts w:ascii="Arial" w:cs="Arial" w:eastAsia="Arial" w:hAnsi="Arial"/>
          <w:sz w:val="20"/>
          <w:szCs w:val="20"/>
          <w:color w:val="auto"/>
        </w:rPr>
        <w:t>”) and ending on September 30, 2019 unless extended by further agreement.</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As you know, you previously moved from a full-time work schedule to a half-time work schedule, although you remained a salaried exempt employee. Effective as of the Effective Date, your status was converted from an exempt salaried employee to a non-exempt hourly part-time employee. Your work hours will be variable and on an as-needed basis, as determined between you and Jana Gold, although you are expected to work materially less than half-time. Your work will continue to be performed off-site.</w:t>
      </w:r>
    </w:p>
    <w:p>
      <w:pPr>
        <w:spacing w:after="0" w:line="189"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As a non-exempt employee, your regular hourly rate will be $450, and you will be paid based on the amount of time actually worked. We do not anticipate that you will be working overtime, but as a non-exempt employee you will be eligible for overtime pay if you work more than eight hours in a day or over forty hours in a week; any overtime must be approved in advance by Jana. Additionally, as a non-exempt employee, you must timely report your time worked on our timekeeping system for non-exempt employees.</w:t>
      </w:r>
    </w:p>
    <w:p>
      <w:pPr>
        <w:spacing w:after="0" w:line="174"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Because your regular work schedule will be less than 20 hours per week, you will no longer be eligible for continued health insurance or other insurance benefits (unless required by law, including worker’s compensation coverage). Under the terms of the health insurance plans, your health insurance coverage will continue through the end of June 2019; thereafter, you will be able to elect continued coverage at your own expense (if you wish) under COBRA laws. You will separately receive more information about COBRA continuation coverage within the timing required by law. As of the Effective Date, you also ceased to accrue vacation time, and you will not be eligible for Company holidays.</w:t>
      </w:r>
    </w:p>
    <w:p>
      <w:pPr>
        <w:spacing w:after="0" w:line="164"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We anticipate that your employment relationship with the Company will be reevaluated around the end of September 2019, in order to determine whether to continue your employment or if your employment will end due to your resignation (which was originally planned to be effective as of the day before the Effective Date). Except as otherwise specifically provided below, your other terms and conditions of employment will remain in effect, including your at-will employment status and your continued compliance with any agreements that you have signed with the Company (such as your Employee Confidential Information and Inventions Agreement) and applicable policies.</w:t>
      </w:r>
    </w:p>
    <w:p>
      <w:pPr>
        <w:sectPr>
          <w:pgSz w:w="11900" w:h="16838" w:orient="portrait"/>
          <w:cols w:equalWidth="0" w:num="1">
            <w:col w:w="11420"/>
          </w:cols>
          <w:pgMar w:left="240" w:top="715" w:right="23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Page 2</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Suzanne Sawochka Hooper</w:t>
      </w:r>
    </w:p>
    <w:p>
      <w:pPr>
        <w:spacing w:after="0"/>
        <w:rPr>
          <w:sz w:val="20"/>
          <w:szCs w:val="20"/>
          <w:color w:val="auto"/>
        </w:rPr>
      </w:pPr>
      <w:r>
        <w:rPr>
          <w:rFonts w:ascii="Arial" w:cs="Arial" w:eastAsia="Arial" w:hAnsi="Arial"/>
          <w:sz w:val="20"/>
          <w:szCs w:val="20"/>
          <w:color w:val="auto"/>
        </w:rPr>
        <w:t>June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 xml:space="preserve">This letter amends and supersedes in its entirety any and all prior agreements (whether oral or written) between you and the Company concerning your continuing employment arrangements on and after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for clarity, your Employee Confidential Information and Inventions Agreement and applicable policies will remain in full force and effect.</w:t>
      </w:r>
    </w:p>
    <w:p>
      <w:pPr>
        <w:spacing w:after="0" w:line="168"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Please let me know if you have any questions. If this arrangement is agreeable to you, then please sign and date this letter in the space provided below and return it at your earliest convenience.</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JAZZ PHARMACEUTICALS,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Eric Fink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Eric Fink</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Vice President, Human Resources</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Reviewed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20"/>
          <w:szCs w:val="20"/>
          <w:color w:val="auto"/>
        </w:rPr>
        <w:t>/s/ Suzanne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78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Suzanne Sawochka Hooper</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0"/>
          <w:szCs w:val="20"/>
          <w:color w:val="auto"/>
        </w:rPr>
        <w:t>June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788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420"/>
          </w:cols>
          <w:pgMar w:left="240" w:top="352"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9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720" w:val="left"/>
          <w:tab w:leader="none" w:pos="8040" w:val="left"/>
          <w:tab w:leader="none" w:pos="840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Bruce C. Cozadd</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Matthew P. Young, certify that:</w:t>
      </w:r>
    </w:p>
    <w:p>
      <w:pPr>
        <w:spacing w:after="0" w:line="29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720" w:val="left"/>
          <w:tab w:leader="none" w:pos="8000" w:val="left"/>
          <w:tab w:leader="none" w:pos="834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Matthew P. Young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Matthew P. Young, Executive Vice President and Chief Financial Officer of the Company, each hereby certifies that, to the best of his knowledge:</w:t>
      </w:r>
    </w:p>
    <w:p>
      <w:pPr>
        <w:spacing w:after="0" w:line="254" w:lineRule="exact"/>
        <w:rPr>
          <w:sz w:val="20"/>
          <w:szCs w:val="20"/>
          <w:color w:val="auto"/>
        </w:rPr>
      </w:pPr>
    </w:p>
    <w:p>
      <w:pPr>
        <w:ind w:left="740" w:right="400" w:hanging="327"/>
        <w:spacing w:after="0" w:line="308"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2019, to which this Certification is attached as Exhibit 32.1 (the “Periodic Report”), fully complies with the requirements of Section 13(a) or Section 15(d) of the Exchange Act; and</w:t>
      </w:r>
    </w:p>
    <w:p>
      <w:pPr>
        <w:spacing w:after="0" w:line="106" w:lineRule="exact"/>
        <w:rPr>
          <w:rFonts w:ascii="Arial" w:cs="Arial" w:eastAsia="Arial" w:hAnsi="Arial"/>
          <w:sz w:val="17"/>
          <w:szCs w:val="17"/>
          <w:color w:val="auto"/>
        </w:rPr>
      </w:pPr>
    </w:p>
    <w:p>
      <w:pPr>
        <w:ind w:left="740" w:right="380" w:hanging="327"/>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360"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89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8"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47" w:lineRule="exact"/>
        <w:rPr>
          <w:sz w:val="20"/>
          <w:szCs w:val="20"/>
          <w:color w:val="auto"/>
        </w:rPr>
      </w:pPr>
    </w:p>
    <w:p>
      <w:pPr>
        <w:jc w:val="center"/>
        <w:ind w:righ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89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8"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Matthew P. Young</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40" w:hanging="331"/>
        <w:spacing w:after="0" w:line="252"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lvl w:ilvl="1">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3"/>
    </w:lvl>
  </w:abstractNum>
  <w:abstractNum w:abstractNumId="32">
    <w:nsid w:val="5577F8E1"/>
    <w:multiLevelType w:val="hybridMultilevel"/>
    <w:lvl w:ilvl="0">
      <w:lvlJc w:val="left"/>
      <w:lvlText w:val="%1."/>
      <w:numFmt w:val="decimal"/>
      <w:start w:val="8"/>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13" Type="http://schemas.openxmlformats.org/officeDocument/2006/relationships/hyperlink" Target="http://www.sec.gov/Archives/edgar/data/1232524/000119312511251468/d233902dex21.htm" TargetMode="External"/><Relationship Id="rId14" Type="http://schemas.openxmlformats.org/officeDocument/2006/relationships/hyperlink" Target="http://www.sec.gov/Archives/edgar/data/1232524/000119312512015521/d282897dex22.htm" TargetMode="External"/><Relationship Id="rId15" Type="http://schemas.openxmlformats.org/officeDocument/2006/relationships/hyperlink" Target="http://www.sec.gov/Archives/edgar/data/1232524/000119312512191724/d341488dex21.htm" TargetMode="External"/><Relationship Id="rId16" Type="http://schemas.openxmlformats.org/officeDocument/2006/relationships/hyperlink" Target="http://www.sec.gov/Archives/edgar/data/1232524/000119312512268244/d365702dex21b.htm" TargetMode="External"/><Relationship Id="rId17" Type="http://schemas.openxmlformats.org/officeDocument/2006/relationships/hyperlink" Target="http://www.sec.gov/Archives/edgar/data/1232524/000119312513481242/d647727dex21.htm" TargetMode="External"/><Relationship Id="rId18" Type="http://schemas.openxmlformats.org/officeDocument/2006/relationships/hyperlink" Target="http://www.sec.gov/Archives/edgar/data/1232524/000119312514008838/d656574dex21.htm" TargetMode="External"/><Relationship Id="rId19" Type="http://schemas.openxmlformats.org/officeDocument/2006/relationships/hyperlink" Target="http://www.sec.gov/Archives/edgar/data/1232524/000119312514295844/d768395dex21.htm" TargetMode="External"/><Relationship Id="rId20" Type="http://schemas.openxmlformats.org/officeDocument/2006/relationships/hyperlink" Target="http://www.sec.gov/Archives/edgar/data/1232524/000123252415000074/form8-kex21.htm" TargetMode="External"/><Relationship Id="rId21" Type="http://schemas.openxmlformats.org/officeDocument/2006/relationships/hyperlink" Target="http://www.sec.gov/Archives/edgar/data/1232524/000119312516607097/d203835dex21.htm" TargetMode="External"/><Relationship Id="rId22" Type="http://schemas.openxmlformats.org/officeDocument/2006/relationships/hyperlink" Target="http://www.sec.gov/Archives/edgar/data/1232524/000123252416000303/jazzq22016ex31.htm" TargetMode="External"/><Relationship Id="rId23" Type="http://schemas.openxmlformats.org/officeDocument/2006/relationships/hyperlink" Target="http://www.sec.gov/Archives/edgar/data/1232524/000119312514308406/d773171dex41.htm" TargetMode="External"/><Relationship Id="rId24" Type="http://schemas.openxmlformats.org/officeDocument/2006/relationships/hyperlink" Target="http://www.sec.gov/Archives/edgar/data/1232524/000119312517265654/d641007dex41.htm" TargetMode="External"/><Relationship Id="rId25" Type="http://schemas.openxmlformats.org/officeDocument/2006/relationships/hyperlink" Target="http://www.sec.gov/Archives/edgar/data/1232524/000123252419000026/jazzq12019ex106.htm" TargetMode="External"/><Relationship Id="rId26" Type="http://schemas.openxmlformats.org/officeDocument/2006/relationships/hyperlink" Target="http://www.sec.gov/Archives/edgar/data/1232524/000123252419000026/jazzq12019ex107.htm" TargetMode="External"/><Relationship Id="rId27" Type="http://schemas.openxmlformats.org/officeDocument/2006/relationships/hyperlink" Target="http://www.sec.gov/Archives/edgar/data/1232524/000123252419000026/jazzq12019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2019-12-28T08:37:29Z</dcterms:created>
  <dcterms:modified xsi:type="dcterms:W3CDTF">2019-12-28T08:37:29Z</dcterms:modified>
</cp:coreProperties>
</file>