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GALA RENEE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5TH FL, WATERLOO EXCHANGE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WATERLOO 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4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Jazz Pharmaceuticals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JAZZ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1"/>
        <w:gridCol w:w="904"/>
        <w:gridCol w:w="774"/>
        <w:gridCol w:w="600"/>
        <w:gridCol w:w="349"/>
        <w:gridCol w:w="846"/>
        <w:gridCol w:w="454"/>
        <w:gridCol w:w="840"/>
        <w:gridCol w:w="1163"/>
        <w:gridCol w:w="998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1,967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246.81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145,394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243.03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143,394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satisfy tax obligations arising out of vesting of a portion of previously granted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made pursuant to a plan adopted by the reporting person on June 4, 2026 in accordance with Rule 10b5-1 of the Securities Exchange Act of 1934, as amended. The transaction occurred automatically and does not represent a discretionary transaction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/s/Paz Dizon, as attorney in fact For: Gala, Renee D.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07737" TargetMode="External"/><Relationship Id="rId5" Type="http://schemas.openxmlformats.org/officeDocument/2006/relationships/hyperlink" Target="http://www.sec.gov/cgi-bin/browse-edgar?action=getcompany&amp;CIK=00012325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649</Words>
  <Characters>3511</Characters>
  <CharactersWithSpaces>4084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