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295910</wp:posOffset>
            </wp:positionV>
            <wp:extent cx="38931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186690</wp:posOffset>
            </wp:positionV>
            <wp:extent cx="3893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2"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001-33500</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56" w:lineRule="exact"/>
        <w:rPr>
          <w:sz w:val="24"/>
          <w:szCs w:val="24"/>
          <w:color w:val="auto"/>
        </w:rPr>
      </w:pPr>
    </w:p>
    <w:tbl>
      <w:tblPr>
        <w:tblLayout w:type="fixed"/>
        <w:tblInd w:w="192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5180" w:type="dxa"/>
            <w:vAlign w:val="bottom"/>
          </w:tcPr>
          <w:p>
            <w:pPr>
              <w:ind w:left="16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404"/>
        </w:trPr>
        <w:tc>
          <w:tcPr>
            <w:tcW w:w="2020" w:type="dxa"/>
            <w:vAlign w:val="bottom"/>
          </w:tcPr>
          <w:p>
            <w:pPr>
              <w:jc w:val="center"/>
              <w:ind w:right="62"/>
              <w:spacing w:after="0"/>
              <w:rPr>
                <w:sz w:val="20"/>
                <w:szCs w:val="20"/>
                <w:color w:val="auto"/>
              </w:rPr>
            </w:pPr>
            <w:r>
              <w:rPr>
                <w:rFonts w:ascii="Arial" w:cs="Arial" w:eastAsia="Arial" w:hAnsi="Arial"/>
                <w:sz w:val="18"/>
                <w:szCs w:val="18"/>
                <w:b w:val="1"/>
                <w:bCs w:val="1"/>
                <w:color w:val="auto"/>
                <w:w w:val="94"/>
              </w:rPr>
              <w:t>Ireland</w:t>
            </w:r>
          </w:p>
        </w:tc>
        <w:tc>
          <w:tcPr>
            <w:tcW w:w="5180" w:type="dxa"/>
            <w:vAlign w:val="bottom"/>
          </w:tcPr>
          <w:p>
            <w:pPr>
              <w:jc w:val="center"/>
              <w:ind w:left="3964"/>
              <w:spacing w:after="0"/>
              <w:rPr>
                <w:sz w:val="20"/>
                <w:szCs w:val="20"/>
                <w:color w:val="auto"/>
              </w:rPr>
            </w:pPr>
            <w:r>
              <w:rPr>
                <w:rFonts w:ascii="Arial" w:cs="Arial" w:eastAsia="Arial" w:hAnsi="Arial"/>
                <w:sz w:val="18"/>
                <w:szCs w:val="18"/>
                <w:b w:val="1"/>
                <w:bCs w:val="1"/>
                <w:color w:val="auto"/>
                <w:w w:val="89"/>
              </w:rPr>
              <w:t>98-1032470</w:t>
            </w:r>
          </w:p>
        </w:tc>
      </w:tr>
      <w:tr>
        <w:trPr>
          <w:trHeight w:val="180"/>
        </w:trPr>
        <w:tc>
          <w:tcPr>
            <w:tcW w:w="202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(State or other jurisdiction of</w:t>
            </w:r>
          </w:p>
        </w:tc>
        <w:tc>
          <w:tcPr>
            <w:tcW w:w="5180" w:type="dxa"/>
            <w:vAlign w:val="bottom"/>
          </w:tcPr>
          <w:p>
            <w:pPr>
              <w:jc w:val="center"/>
              <w:ind w:left="3964"/>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202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incorporation or organization)</w:t>
            </w:r>
          </w:p>
        </w:tc>
        <w:tc>
          <w:tcPr>
            <w:tcW w:w="5180" w:type="dxa"/>
            <w:vAlign w:val="bottom"/>
          </w:tcPr>
          <w:p>
            <w:pPr>
              <w:jc w:val="center"/>
              <w:ind w:left="396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Fifth Floor, Waterloo Exchange,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167640</wp:posOffset>
            </wp:positionV>
            <wp:extent cx="389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6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500"/>
        </w:trPr>
        <w:tc>
          <w:tcPr>
            <w:tcW w:w="20" w:type="dxa"/>
            <w:vAlign w:val="bottom"/>
          </w:tcPr>
          <w:p>
            <w:pPr>
              <w:spacing w:after="0"/>
              <w:rPr>
                <w:sz w:val="24"/>
                <w:szCs w:val="24"/>
                <w:color w:val="auto"/>
              </w:rPr>
            </w:pPr>
          </w:p>
        </w:tc>
        <w:tc>
          <w:tcPr>
            <w:tcW w:w="4460" w:type="dxa"/>
            <w:vAlign w:val="bottom"/>
          </w:tcPr>
          <w:p>
            <w:pPr>
              <w:jc w:val="center"/>
              <w:ind w:left="30"/>
              <w:spacing w:after="0"/>
              <w:rPr>
                <w:sz w:val="20"/>
                <w:szCs w:val="20"/>
                <w:color w:val="auto"/>
              </w:rPr>
            </w:pPr>
            <w:r>
              <w:rPr>
                <w:rFonts w:ascii="Arial" w:cs="Arial" w:eastAsia="Arial" w:hAnsi="Arial"/>
                <w:sz w:val="18"/>
                <w:szCs w:val="18"/>
                <w:color w:val="auto"/>
                <w:w w:val="90"/>
              </w:rPr>
              <w:t>Title of each class</w:t>
            </w:r>
          </w:p>
        </w:tc>
        <w:tc>
          <w:tcPr>
            <w:tcW w:w="2260" w:type="dxa"/>
            <w:vAlign w:val="bottom"/>
          </w:tcPr>
          <w:p>
            <w:pPr>
              <w:jc w:val="center"/>
              <w:ind w:right="130"/>
              <w:spacing w:after="0"/>
              <w:rPr>
                <w:sz w:val="20"/>
                <w:szCs w:val="20"/>
                <w:color w:val="auto"/>
              </w:rPr>
            </w:pPr>
            <w:r>
              <w:rPr>
                <w:rFonts w:ascii="Arial" w:cs="Arial" w:eastAsia="Arial" w:hAnsi="Arial"/>
                <w:sz w:val="18"/>
                <w:szCs w:val="18"/>
                <w:color w:val="auto"/>
                <w:w w:val="92"/>
              </w:rPr>
              <w:t>Trading Symbol(s)</w:t>
            </w:r>
          </w:p>
        </w:tc>
        <w:tc>
          <w:tcPr>
            <w:tcW w:w="4660" w:type="dxa"/>
            <w:vAlign w:val="bottom"/>
          </w:tcPr>
          <w:p>
            <w:pPr>
              <w:jc w:val="center"/>
              <w:ind w:right="230"/>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460" w:type="dxa"/>
            <w:vAlign w:val="bottom"/>
          </w:tcPr>
          <w:p>
            <w:pPr>
              <w:jc w:val="center"/>
              <w:ind w:left="10"/>
              <w:spacing w:after="0"/>
              <w:rPr>
                <w:sz w:val="20"/>
                <w:szCs w:val="20"/>
                <w:color w:val="auto"/>
              </w:rPr>
            </w:pPr>
            <w:r>
              <w:rPr>
                <w:rFonts w:ascii="Arial" w:cs="Arial" w:eastAsia="Arial" w:hAnsi="Arial"/>
                <w:sz w:val="18"/>
                <w:szCs w:val="18"/>
                <w:color w:val="auto"/>
                <w:w w:val="89"/>
              </w:rPr>
              <w:t>Ordinary shares, nominal value $0.0001 per share</w:t>
            </w:r>
          </w:p>
        </w:tc>
        <w:tc>
          <w:tcPr>
            <w:tcW w:w="2260" w:type="dxa"/>
            <w:vAlign w:val="bottom"/>
          </w:tcPr>
          <w:p>
            <w:pPr>
              <w:jc w:val="center"/>
              <w:ind w:right="150"/>
              <w:spacing w:after="0"/>
              <w:rPr>
                <w:sz w:val="20"/>
                <w:szCs w:val="20"/>
                <w:color w:val="auto"/>
              </w:rPr>
            </w:pPr>
            <w:r>
              <w:rPr>
                <w:rFonts w:ascii="Arial" w:cs="Arial" w:eastAsia="Arial" w:hAnsi="Arial"/>
                <w:sz w:val="18"/>
                <w:szCs w:val="18"/>
                <w:color w:val="auto"/>
                <w:w w:val="97"/>
              </w:rPr>
              <w:t>JAZZ</w:t>
            </w:r>
          </w:p>
        </w:tc>
        <w:tc>
          <w:tcPr>
            <w:tcW w:w="4660" w:type="dxa"/>
            <w:vAlign w:val="bottom"/>
          </w:tcPr>
          <w:p>
            <w:pPr>
              <w:jc w:val="center"/>
              <w:ind w:right="230"/>
              <w:spacing w:after="0"/>
              <w:rPr>
                <w:sz w:val="20"/>
                <w:szCs w:val="20"/>
                <w:color w:val="auto"/>
              </w:rPr>
            </w:pPr>
            <w:r>
              <w:rPr>
                <w:rFonts w:ascii="Arial" w:cs="Arial" w:eastAsia="Arial" w:hAnsi="Arial"/>
                <w:sz w:val="18"/>
                <w:szCs w:val="18"/>
                <w:color w:val="auto"/>
                <w:w w:val="91"/>
              </w:rPr>
              <w:t>The Nasdaq Stock Market LLC</w:t>
            </w:r>
          </w:p>
        </w:tc>
      </w:tr>
    </w:tbl>
    <w:p>
      <w:pPr>
        <w:spacing w:after="0" w:line="94" w:lineRule="exact"/>
        <w:rPr>
          <w:sz w:val="24"/>
          <w:szCs w:val="24"/>
          <w:color w:val="auto"/>
        </w:rPr>
      </w:pPr>
    </w:p>
    <w:p>
      <w:pPr>
        <w:ind w:right="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80" w:firstLine="432"/>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3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380"/>
              <w:spacing w:after="0"/>
              <w:rPr>
                <w:sz w:val="20"/>
                <w:szCs w:val="20"/>
                <w:color w:val="auto"/>
              </w:rPr>
            </w:pPr>
            <w:r>
              <w:rPr>
                <w:rFonts w:ascii="Arial" w:cs="Arial" w:eastAsia="Arial" w:hAnsi="Arial"/>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380"/>
              <w:spacing w:after="0"/>
              <w:rPr>
                <w:sz w:val="20"/>
                <w:szCs w:val="20"/>
                <w:color w:val="auto"/>
              </w:rPr>
            </w:pPr>
            <w:r>
              <w:rPr>
                <w:rFonts w:ascii="Arial" w:cs="Arial" w:eastAsia="Arial" w:hAnsi="Arial"/>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0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8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55" w:lineRule="exact"/>
        <w:rPr>
          <w:sz w:val="24"/>
          <w:szCs w:val="24"/>
          <w:color w:val="auto"/>
        </w:rPr>
      </w:pPr>
    </w:p>
    <w:p>
      <w:pPr>
        <w:jc w:val="both"/>
        <w:ind w:right="24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 w:right="579"/>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31, 2019, 56,572,721 ordinary shares of the registrant, nominal value $0.0001 per share, were outstanding.</w:t>
      </w:r>
    </w:p>
    <w:p>
      <w:pPr>
        <w:sectPr>
          <w:pgSz w:w="11900" w:h="16838" w:orient="portrait"/>
          <w:cols w:equalWidth="0" w:num="1">
            <w:col w:w="10219"/>
          </w:cols>
          <w:pgMar w:left="240" w:top="1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SEPTEMBER 30,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3160" w:type="dxa"/>
            <w:vAlign w:val="bottom"/>
            <w:tcBorders>
              <w:bottom w:val="single" w:sz="8" w:color="0000FF"/>
            </w:tcBorders>
            <w:gridSpan w:val="9"/>
          </w:tcPr>
          <w:p>
            <w:pPr>
              <w:spacing w:after="0" w:line="189" w:lineRule="exact"/>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6740" w:type="dxa"/>
            <w:vAlign w:val="bottom"/>
            <w:gridSpan w:val="9"/>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780" w:type="dxa"/>
            <w:vAlign w:val="bottom"/>
            <w:gridSpan w:val="2"/>
          </w:tcPr>
          <w:p>
            <w:pPr>
              <w:jc w:val="center"/>
              <w:ind w:left="611"/>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7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 September 30, 2019 and December 31, 2018</w:t>
              </w:r>
            </w:hyperlink>
          </w:p>
        </w:tc>
        <w:tc>
          <w:tcPr>
            <w:tcW w:w="780" w:type="dxa"/>
            <w:vAlign w:val="bottom"/>
            <w:gridSpan w:val="2"/>
          </w:tcPr>
          <w:p>
            <w:pPr>
              <w:jc w:val="center"/>
              <w:ind w:left="611"/>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7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20" w:type="dxa"/>
            <w:vAlign w:val="bottom"/>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 Three and Nine Months Ended September 30, 2019 and 2018</w:t>
              </w:r>
            </w:hyperlink>
          </w:p>
        </w:tc>
        <w:tc>
          <w:tcPr>
            <w:tcW w:w="740" w:type="dxa"/>
            <w:vAlign w:val="bottom"/>
            <w:gridSpan w:val="3"/>
          </w:tcPr>
          <w:p>
            <w:pPr>
              <w:spacing w:after="0"/>
              <w:rPr>
                <w:sz w:val="21"/>
                <w:szCs w:val="21"/>
                <w:color w:val="auto"/>
              </w:rPr>
            </w:pPr>
          </w:p>
        </w:tc>
        <w:tc>
          <w:tcPr>
            <w:tcW w:w="780" w:type="dxa"/>
            <w:vAlign w:val="bottom"/>
            <w:gridSpan w:val="2"/>
          </w:tcPr>
          <w:p>
            <w:pPr>
              <w:jc w:val="center"/>
              <w:ind w:left="611"/>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7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 Three and Nine Months Ended September 30, 2019</w:t>
              </w:r>
            </w:hyperlink>
          </w:p>
        </w:tc>
        <w:tc>
          <w:tcPr>
            <w:tcW w:w="280" w:type="dxa"/>
            <w:vAlign w:val="bottom"/>
            <w:gridSpan w:val="2"/>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2018</w:t>
              </w:r>
            </w:hyperlink>
          </w:p>
        </w:tc>
        <w:tc>
          <w:tcPr>
            <w:tcW w:w="780" w:type="dxa"/>
            <w:vAlign w:val="bottom"/>
            <w:gridSpan w:val="2"/>
          </w:tcPr>
          <w:p>
            <w:pPr>
              <w:jc w:val="center"/>
              <w:ind w:left="611"/>
              <w:spacing w:after="0" w:line="19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7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760" w:type="dxa"/>
            <w:vAlign w:val="bottom"/>
            <w:gridSpan w:val="16"/>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Shareholders’ Equity - Three and Nine Months Ended September 30, 2019 and</w:t>
              </w:r>
            </w:hyperlink>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center"/>
              <w:ind w:left="611"/>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7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76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 Nine Months Ended September 30, 2019 and 2018</w:t>
              </w:r>
            </w:hyperlink>
          </w:p>
        </w:tc>
        <w:tc>
          <w:tcPr>
            <w:tcW w:w="780" w:type="dxa"/>
            <w:vAlign w:val="bottom"/>
            <w:gridSpan w:val="2"/>
          </w:tcPr>
          <w:p>
            <w:pPr>
              <w:jc w:val="center"/>
              <w:ind w:left="611"/>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7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0" w:type="dxa"/>
            <w:vAlign w:val="bottom"/>
            <w:gridSpan w:val="8"/>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3540" w:type="dxa"/>
            <w:vAlign w:val="bottom"/>
            <w:gridSpan w:val="4"/>
          </w:tcPr>
          <w:p>
            <w:pPr>
              <w:spacing w:after="0"/>
              <w:rPr>
                <w:sz w:val="21"/>
                <w:szCs w:val="21"/>
                <w:color w:val="auto"/>
              </w:rPr>
            </w:pPr>
          </w:p>
        </w:tc>
        <w:tc>
          <w:tcPr>
            <w:tcW w:w="1220" w:type="dxa"/>
            <w:vAlign w:val="bottom"/>
            <w:gridSpan w:val="4"/>
          </w:tcPr>
          <w:p>
            <w:pPr>
              <w:spacing w:after="0"/>
              <w:rPr>
                <w:sz w:val="21"/>
                <w:szCs w:val="21"/>
                <w:color w:val="auto"/>
              </w:rPr>
            </w:pPr>
          </w:p>
        </w:tc>
        <w:tc>
          <w:tcPr>
            <w:tcW w:w="780" w:type="dxa"/>
            <w:vAlign w:val="bottom"/>
            <w:gridSpan w:val="2"/>
          </w:tcPr>
          <w:p>
            <w:pPr>
              <w:jc w:val="center"/>
              <w:ind w:left="611"/>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9</w:t>
              </w:r>
            </w:hyperlink>
          </w:p>
        </w:tc>
        <w:tc>
          <w:tcPr>
            <w:tcW w:w="7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760" w:type="dxa"/>
            <w:vAlign w:val="bottom"/>
            <w:gridSpan w:val="1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780" w:type="dxa"/>
            <w:vAlign w:val="bottom"/>
            <w:gridSpan w:val="2"/>
          </w:tcPr>
          <w:p>
            <w:pPr>
              <w:jc w:val="center"/>
              <w:ind w:left="51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2300" w:type="dxa"/>
            <w:vAlign w:val="bottom"/>
            <w:gridSpan w:val="5"/>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FF"/>
                <w:w w:val="87"/>
              </w:rPr>
            </w:pPr>
            <w:hyperlink w:anchor="page40">
              <w:r>
                <w:rPr>
                  <w:rFonts w:ascii="Arial" w:cs="Arial" w:eastAsia="Arial" w:hAnsi="Arial"/>
                  <w:sz w:val="18"/>
                  <w:szCs w:val="18"/>
                  <w:color w:val="0000FF"/>
                  <w:w w:val="87"/>
                </w:rPr>
                <w:t>Controls and Procedures</w:t>
              </w:r>
            </w:hyperlink>
          </w:p>
        </w:tc>
        <w:tc>
          <w:tcPr>
            <w:tcW w:w="2580" w:type="dxa"/>
            <w:vAlign w:val="bottom"/>
            <w:gridSpan w:val="3"/>
          </w:tcPr>
          <w:p>
            <w:pPr>
              <w:spacing w:after="0"/>
              <w:rPr>
                <w:sz w:val="24"/>
                <w:szCs w:val="24"/>
                <w:color w:val="auto"/>
              </w:rPr>
            </w:pPr>
          </w:p>
        </w:tc>
        <w:tc>
          <w:tcPr>
            <w:tcW w:w="4400" w:type="dxa"/>
            <w:vAlign w:val="bottom"/>
            <w:gridSpan w:val="7"/>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292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PART II – OTHER INFORMATION</w:t>
              </w:r>
            </w:hyperlink>
          </w:p>
        </w:tc>
        <w:tc>
          <w:tcPr>
            <w:tcW w:w="698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760" w:type="dxa"/>
            <w:vAlign w:val="bottom"/>
            <w:gridSpan w:val="1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Risk Factors</w:t>
              </w:r>
            </w:hyperlink>
          </w:p>
        </w:tc>
        <w:tc>
          <w:tcPr>
            <w:tcW w:w="780" w:type="dxa"/>
            <w:vAlign w:val="bottom"/>
            <w:gridSpan w:val="2"/>
          </w:tcPr>
          <w:p>
            <w:pPr>
              <w:jc w:val="center"/>
              <w:ind w:left="511"/>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41</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9"/>
          </w:tcPr>
          <w:p>
            <w:pPr>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Unregistered Sales of Equity Securities and Use of Proceeds</w:t>
              </w:r>
            </w:hyperlink>
          </w:p>
        </w:tc>
        <w:tc>
          <w:tcPr>
            <w:tcW w:w="4400" w:type="dxa"/>
            <w:vAlign w:val="bottom"/>
            <w:gridSpan w:val="7"/>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80</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Other Information</w:t>
              </w:r>
            </w:hyperlink>
          </w:p>
        </w:tc>
        <w:tc>
          <w:tcPr>
            <w:tcW w:w="3040" w:type="dxa"/>
            <w:vAlign w:val="bottom"/>
            <w:gridSpan w:val="5"/>
          </w:tcPr>
          <w:p>
            <w:pPr>
              <w:spacing w:after="0"/>
              <w:rPr>
                <w:sz w:val="24"/>
                <w:szCs w:val="24"/>
                <w:color w:val="auto"/>
              </w:rPr>
            </w:pPr>
          </w:p>
        </w:tc>
        <w:tc>
          <w:tcPr>
            <w:tcW w:w="4400" w:type="dxa"/>
            <w:vAlign w:val="bottom"/>
            <w:gridSpan w:val="7"/>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81</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7440" w:type="dxa"/>
            <w:vAlign w:val="bottom"/>
            <w:gridSpan w:val="12"/>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372"/>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Exhibits</w:t>
              </w:r>
            </w:hyperlink>
          </w:p>
        </w:tc>
        <w:tc>
          <w:tcPr>
            <w:tcW w:w="7440" w:type="dxa"/>
            <w:vAlign w:val="bottom"/>
            <w:gridSpan w:val="12"/>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81</w:t>
              </w:r>
            </w:hyperlink>
          </w:p>
        </w:tc>
        <w:tc>
          <w:tcPr>
            <w:tcW w:w="7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372"/>
        </w:trPr>
        <w:tc>
          <w:tcPr>
            <w:tcW w:w="1100" w:type="dxa"/>
            <w:vAlign w:val="bottom"/>
          </w:tcPr>
          <w:p>
            <w:pPr>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SIGNATURES</w:t>
              </w:r>
            </w:hyperlink>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center"/>
              <w:ind w:left="511"/>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83</w:t>
              </w:r>
            </w:hyperlink>
          </w:p>
        </w:tc>
        <w:tc>
          <w:tcPr>
            <w:tcW w:w="700" w:type="dxa"/>
            <w:vAlign w:val="bottom"/>
          </w:tcPr>
          <w:p>
            <w:pPr>
              <w:spacing w:after="0"/>
              <w:rPr>
                <w:sz w:val="24"/>
                <w:szCs w:val="24"/>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bl>
    <w:p>
      <w:pPr>
        <w:spacing w:after="0" w:line="337" w:lineRule="exact"/>
        <w:rPr>
          <w:sz w:val="20"/>
          <w:szCs w:val="20"/>
          <w:color w:val="auto"/>
        </w:rPr>
      </w:pPr>
    </w:p>
    <w:p>
      <w:pPr>
        <w:ind w:right="40" w:firstLine="432"/>
        <w:spacing w:after="0" w:line="212" w:lineRule="auto"/>
        <w:rPr>
          <w:sz w:val="20"/>
          <w:szCs w:val="20"/>
          <w:color w:val="auto"/>
        </w:rPr>
      </w:pPr>
      <w:r>
        <w:rPr>
          <w:rFonts w:ascii="Arial" w:cs="Arial" w:eastAsia="Arial" w:hAnsi="Arial"/>
          <w:sz w:val="18"/>
          <w:szCs w:val="18"/>
          <w:color w:val="auto"/>
        </w:rPr>
        <w:t>We own or have rights to various copyrights, trademarks, and trade names used in our business in the U.S. and/or other countries, including the following: Jazz Pharmaceuticals</w:t>
      </w:r>
      <w:r>
        <w:rPr>
          <w:rFonts w:ascii="Arial" w:cs="Arial" w:eastAsia="Arial" w:hAnsi="Arial"/>
          <w:sz w:val="25"/>
          <w:szCs w:val="25"/>
          <w:color w:val="auto"/>
          <w:vertAlign w:val="superscript"/>
        </w:rPr>
        <w:t>®</w:t>
      </w:r>
      <w:r>
        <w:rPr>
          <w:rFonts w:ascii="Arial" w:cs="Arial" w:eastAsia="Arial" w:hAnsi="Arial"/>
          <w:sz w:val="18"/>
          <w:szCs w:val="18"/>
          <w:color w:val="auto"/>
        </w:rPr>
        <w:t>, Xyrem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(sodium oxybate) oral solution, Erwinaze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(asparaginase </w:t>
      </w:r>
      <w:r>
        <w:rPr>
          <w:rFonts w:ascii="Arial" w:cs="Arial" w:eastAsia="Arial" w:hAnsi="Arial"/>
          <w:sz w:val="18"/>
          <w:szCs w:val="18"/>
          <w:i w:val="1"/>
          <w:iCs w:val="1"/>
          <w:color w:val="auto"/>
        </w:rPr>
        <w:t>Erwinia chrysanthemi</w:t>
      </w:r>
      <w:r>
        <w:rPr>
          <w:rFonts w:ascii="Arial" w:cs="Arial" w:eastAsia="Arial" w:hAnsi="Arial"/>
          <w:sz w:val="18"/>
          <w:szCs w:val="18"/>
          <w:color w:val="auto"/>
        </w:rPr>
        <w:t>), Erwinase</w:t>
      </w:r>
      <w:r>
        <w:rPr>
          <w:rFonts w:ascii="Arial" w:cs="Arial" w:eastAsia="Arial" w:hAnsi="Arial"/>
          <w:sz w:val="25"/>
          <w:szCs w:val="25"/>
          <w:color w:val="auto"/>
          <w:vertAlign w:val="superscript"/>
        </w:rPr>
        <w:t>®</w:t>
      </w:r>
      <w:r>
        <w:rPr>
          <w:rFonts w:ascii="Arial" w:cs="Arial" w:eastAsia="Arial" w:hAnsi="Arial"/>
          <w:sz w:val="18"/>
          <w:szCs w:val="18"/>
          <w:color w:val="auto"/>
        </w:rPr>
        <w:t>,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sodium),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CombiPlex</w:t>
      </w:r>
      <w:r>
        <w:rPr>
          <w:rFonts w:ascii="Arial" w:cs="Arial" w:eastAsia="Arial" w:hAnsi="Arial"/>
          <w:sz w:val="25"/>
          <w:szCs w:val="25"/>
          <w:color w:val="auto"/>
          <w:vertAlign w:val="superscript"/>
        </w:rPr>
        <w:t>®</w:t>
      </w:r>
      <w:r>
        <w:rPr>
          <w:rFonts w:ascii="Arial" w:cs="Arial" w:eastAsia="Arial" w:hAnsi="Arial"/>
          <w:sz w:val="18"/>
          <w:szCs w:val="18"/>
          <w:color w:val="auto"/>
        </w:rPr>
        <w:t>, Vyxeos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(daunorubicin and cytarabine) liposome for injection, Vyxeos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liposomal 44 mg/100 mg powder for concentrate for solution for infusion, Sunosi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(solriamfetol) and FazaClo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(clozapine, USP). This report also includes trademarks, service marks and trade names of other companies. Trademarks, service marks and trade names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44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309,622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263,838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71,108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52,956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25,017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81,401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67,572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1,520,556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1,234,005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129,472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200,358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141,878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2,593,030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2,731,334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906,725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927,630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183,944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57,879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44,274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42,696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5,527,850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5,203,491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0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70,104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40,602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264,887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33,387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345,487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revenue, non-current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6,041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1,570,781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1,563,025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Operating lease liabilities, less current portion</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153,434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309,097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102,583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218,879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Ordinary shares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Non-voting euro deferred shares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redemption reserve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2,209,156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2,113,630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(197,791)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1,104,158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841,050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3,054,405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2,757,422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5,527,850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5,203,491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4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44"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5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532,321</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465,197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1,559,075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1,402,139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Royalties and contract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12,326</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537,702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469,373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1,580,021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1,414,465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Cost of product sales (excluding amortization of intangible assets)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31,400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26,574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92,582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95,207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155,873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522,667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521,665</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79,855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51,160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202,344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169,959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62,863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154,955</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42,896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51,775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109,975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404,599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280,596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1,108,892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984,682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188,777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471,129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429,783</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(59,171)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Loss on extinguishment and modification of debt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Income before income tax provision (benefit) and equity in loss of investees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114,209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413,535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364,006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10,903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19,348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75,018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loss of investees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102,276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149,316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449,375</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287,628</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per ordinary share: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6"/>
              </w:rPr>
              <w:t>Weighted-average ordinary shares used in per share calculations - 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60,196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4"/>
              </w:rPr>
              <w:t>Weighted-average ordinary shares used in per share calculations -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57,438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61,857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57,647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61,493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102,276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149,316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449,375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287,628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(43,945)</w:t>
            </w: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rPr>
              <w:t>Unrealized gain (loss) on hedging activities, net of income tax (benefit)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provision of ($80), $107, ($769) and $758, respectively</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5,304</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(61,651)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53,270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138,078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387,724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248,987</w:t>
            </w: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760" w:type="dxa"/>
            <w:vAlign w:val="bottom"/>
            <w:gridSpan w:val="4"/>
            <w:vMerge w:val="restart"/>
          </w:tcPr>
          <w:p>
            <w:pPr>
              <w:jc w:val="right"/>
              <w:ind w:right="287"/>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14"/>
                <w:szCs w:val="14"/>
                <w:color w:val="auto"/>
              </w:rPr>
            </w:pPr>
          </w:p>
        </w:tc>
        <w:tc>
          <w:tcPr>
            <w:tcW w:w="17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8"/>
              </w:rPr>
              <w:t>Non-voting Euro Deferred</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60" w:type="dxa"/>
            <w:vAlign w:val="bottom"/>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7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Redemption</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740" w:type="dxa"/>
            <w:vAlign w:val="bottom"/>
          </w:tcPr>
          <w:p>
            <w:pPr>
              <w:jc w:val="right"/>
              <w:ind w:right="228"/>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57,504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2,113,630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(197,791)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841,050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2,757,422</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w w:val="99"/>
              </w:rPr>
              <w:t>Cumulative effect adjustment from</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adoption of new accounting</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standards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4,848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4,848</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exercise of share</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in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payment of</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employee's withholding tax liability</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(13,810)</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27,861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27,861</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(111,249)</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(22,883)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(22,883)</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85,201</w:t>
            </w:r>
          </w:p>
        </w:tc>
        <w:tc>
          <w:tcPr>
            <w:tcW w:w="0" w:type="dxa"/>
            <w:vAlign w:val="bottom"/>
          </w:tcPr>
          <w:p>
            <w:pPr>
              <w:spacing w:after="0"/>
              <w:rPr>
                <w:sz w:val="1"/>
                <w:szCs w:val="1"/>
                <w:color w:val="auto"/>
              </w:rPr>
            </w:pPr>
          </w:p>
        </w:tc>
      </w:tr>
      <w:tr>
        <w:trPr>
          <w:trHeight w:val="244"/>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2019</w:t>
            </w:r>
          </w:p>
        </w:tc>
        <w:tc>
          <w:tcPr>
            <w:tcW w:w="8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56,903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2,130,738</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(220,674)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819,850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6"/>
              </w:rPr>
              <w:t>2,730,447</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exercise of share</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7,033</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under</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6,032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6,032</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Shares withheld for payment of</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w w:val="99"/>
              </w:rPr>
              <w:t>employee's withholding tax liability</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28,658</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(59,869)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(59,869)</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10,238</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261,898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261,898</w:t>
            </w:r>
          </w:p>
        </w:tc>
        <w:tc>
          <w:tcPr>
            <w:tcW w:w="0" w:type="dxa"/>
            <w:vAlign w:val="bottom"/>
          </w:tcPr>
          <w:p>
            <w:pPr>
              <w:spacing w:after="0"/>
              <w:rPr>
                <w:sz w:val="1"/>
                <w:szCs w:val="1"/>
                <w:color w:val="auto"/>
              </w:rPr>
            </w:pPr>
          </w:p>
        </w:tc>
      </w:tr>
      <w:tr>
        <w:trPr>
          <w:trHeight w:val="25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2019</w:t>
            </w: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56,626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2,171,458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(210,436)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1,021,879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2,983,434</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in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conjunction with exercise of share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9,968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9,968</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Shares withheld for payment of</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w w:val="99"/>
              </w:rPr>
              <w:t>employee's withholding tax liability</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28,817</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(19,997)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(19,997)</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(49,006)</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102,276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102,276</w:t>
            </w:r>
          </w:p>
        </w:tc>
        <w:tc>
          <w:tcPr>
            <w:tcW w:w="0" w:type="dxa"/>
            <w:vAlign w:val="bottom"/>
          </w:tcPr>
          <w:p>
            <w:pPr>
              <w:spacing w:after="0"/>
              <w:rPr>
                <w:sz w:val="1"/>
                <w:szCs w:val="1"/>
                <w:color w:val="auto"/>
              </w:rPr>
            </w:pPr>
          </w:p>
        </w:tc>
      </w:tr>
      <w:tr>
        <w:trPr>
          <w:trHeight w:val="24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2019</w:t>
            </w:r>
          </w:p>
        </w:tc>
        <w:tc>
          <w:tcPr>
            <w:tcW w:w="8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56,619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2,209,156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1,104,158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3,054,405</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760" w:type="dxa"/>
            <w:vAlign w:val="bottom"/>
            <w:gridSpan w:val="4"/>
            <w:vMerge w:val="restart"/>
          </w:tcPr>
          <w:p>
            <w:pPr>
              <w:jc w:val="right"/>
              <w:ind w:right="287"/>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14"/>
                <w:szCs w:val="14"/>
                <w:color w:val="auto"/>
              </w:rPr>
            </w:pPr>
          </w:p>
        </w:tc>
        <w:tc>
          <w:tcPr>
            <w:tcW w:w="17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8"/>
              </w:rPr>
              <w:t>Non-voting Euro Deferred</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60" w:type="dxa"/>
            <w:vAlign w:val="bottom"/>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7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Redemption</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740" w:type="dxa"/>
            <w:vAlign w:val="bottom"/>
          </w:tcPr>
          <w:p>
            <w:pPr>
              <w:jc w:val="right"/>
              <w:ind w:right="228"/>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2017</w:t>
            </w: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59,898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1,935,486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(140,878)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917,956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2,713,097</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w w:val="99"/>
              </w:rPr>
              <w:t>Cumulative effect adjustment from</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adoption of new accounting</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standards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exercise of share</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10,588</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in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payment of</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employee's withholding tax liability</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(14,594)</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24,276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24,276</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(34,546)</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42,057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42,057</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45,991</w:t>
            </w:r>
          </w:p>
        </w:tc>
        <w:tc>
          <w:tcPr>
            <w:tcW w:w="0" w:type="dxa"/>
            <w:vAlign w:val="bottom"/>
          </w:tcPr>
          <w:p>
            <w:pPr>
              <w:spacing w:after="0"/>
              <w:rPr>
                <w:sz w:val="1"/>
                <w:szCs w:val="1"/>
                <w:color w:val="auto"/>
              </w:rPr>
            </w:pPr>
          </w:p>
        </w:tc>
      </w:tr>
      <w:tr>
        <w:trPr>
          <w:trHeight w:val="244"/>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2018</w:t>
            </w:r>
          </w:p>
        </w:tc>
        <w:tc>
          <w:tcPr>
            <w:tcW w:w="8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59,989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1,955,756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(98,768)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929,050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6"/>
              </w:rPr>
              <w:t>2,786,571</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exercise of share</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51,023</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under</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5,447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5,447</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Shares withheld for payment of</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w w:val="99"/>
              </w:rPr>
              <w:t>employee's withholding tax liability</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26,294</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(21,015)</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(69,460)</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92,321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92,321</w:t>
            </w:r>
          </w:p>
        </w:tc>
        <w:tc>
          <w:tcPr>
            <w:tcW w:w="0" w:type="dxa"/>
            <w:vAlign w:val="bottom"/>
          </w:tcPr>
          <w:p>
            <w:pPr>
              <w:spacing w:after="0"/>
              <w:rPr>
                <w:sz w:val="1"/>
                <w:szCs w:val="1"/>
                <w:color w:val="auto"/>
              </w:rPr>
            </w:pPr>
          </w:p>
        </w:tc>
      </w:tr>
      <w:tr>
        <w:trPr>
          <w:trHeight w:val="25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2018</w:t>
            </w: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60,386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2,037,091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(168,228)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1,000,356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2,869,752</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in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conjunction with exercise of share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16,998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16,998</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Shares withheld for payment of</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w w:val="99"/>
              </w:rPr>
              <w:t>employee's withholding tax liability</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25,112</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(21,454)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(21,454)</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(11,238)</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149,316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149,316</w:t>
            </w:r>
          </w:p>
        </w:tc>
        <w:tc>
          <w:tcPr>
            <w:tcW w:w="0" w:type="dxa"/>
            <w:vAlign w:val="bottom"/>
          </w:tcPr>
          <w:p>
            <w:pPr>
              <w:spacing w:after="0"/>
              <w:rPr>
                <w:sz w:val="1"/>
                <w:szCs w:val="1"/>
                <w:color w:val="auto"/>
              </w:rPr>
            </w:pPr>
          </w:p>
        </w:tc>
      </w:tr>
      <w:tr>
        <w:trPr>
          <w:trHeight w:val="24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2018</w:t>
            </w:r>
          </w:p>
        </w:tc>
        <w:tc>
          <w:tcPr>
            <w:tcW w:w="8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60,421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2,078,032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1,128,218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3,027,317</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449,375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287,628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181,324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154,955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75,718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42,896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109,975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tax benefit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(167,935)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losses on accounts receivable and 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on extinguishment and modification of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32,669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non-cash transactions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6,970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(55,518)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6,989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Operating lease assets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65,074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Operating lease liabilities, less current portion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688,603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580,808</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maturity of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565,000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proceeds from sale of assets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48,092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Asset acquisition, net of cash acquired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(111,100)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investments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(585,975)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(921,250)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(434,479)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employee equity incentive and purchase plans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84,056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employee withholding taxes related to share-based awards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(17,370)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repurchases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tenant improvement allowance on build-to-suit lease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modification costs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(205,965)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(32,674)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485,553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112,983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386,035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795,175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499,018</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Jazz Pharmaceuticals plc is a global biopharmaceutical company dedicated to developing life-changing medicines for people with limited or no options. As a leader in sleep medicine and with a growing hematology/oncology portfolio, we have a diverse portfolio of products and product candidates in development.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20" w:right="20" w:hanging="320"/>
        <w:spacing w:after="0" w:line="239" w:lineRule="auto"/>
        <w:tabs>
          <w:tab w:leader="none" w:pos="7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Sunosi</w:t>
      </w:r>
      <w:r>
        <w:rPr>
          <w:rFonts w:ascii="Arial" w:cs="Arial" w:eastAsia="Arial" w:hAnsi="Arial"/>
          <w:sz w:val="24"/>
          <w:szCs w:val="24"/>
          <w:color w:val="auto"/>
          <w:vertAlign w:val="superscript"/>
        </w:rPr>
        <w:t>®</w:t>
      </w:r>
      <w:r>
        <w:rPr>
          <w:rFonts w:ascii="Arial" w:cs="Arial" w:eastAsia="Arial" w:hAnsi="Arial"/>
          <w:sz w:val="17"/>
          <w:szCs w:val="17"/>
          <w:b w:val="1"/>
          <w:bCs w:val="1"/>
          <w:color w:val="auto"/>
        </w:rPr>
        <w:t xml:space="preserve"> (solriamfetol)</w:t>
      </w:r>
      <w:r>
        <w:rPr>
          <w:rFonts w:ascii="Arial" w:cs="Arial" w:eastAsia="Arial" w:hAnsi="Arial"/>
          <w:sz w:val="17"/>
          <w:szCs w:val="17"/>
          <w:color w:val="auto"/>
        </w:rPr>
        <w:t>, our newest lead marketed product launched in July 2019 and approved in the U.S. to improve wakefulness in adult patients</w:t>
      </w:r>
      <w:r>
        <w:rPr>
          <w:rFonts w:ascii="Arial" w:cs="Arial" w:eastAsia="Arial" w:hAnsi="Arial"/>
          <w:sz w:val="17"/>
          <w:szCs w:val="17"/>
          <w:b w:val="1"/>
          <w:bCs w:val="1"/>
          <w:color w:val="auto"/>
        </w:rPr>
        <w:t xml:space="preserve"> </w:t>
      </w:r>
      <w:r>
        <w:rPr>
          <w:rFonts w:ascii="Arial" w:cs="Arial" w:eastAsia="Arial" w:hAnsi="Arial"/>
          <w:sz w:val="17"/>
          <w:szCs w:val="17"/>
          <w:color w:val="auto"/>
        </w:rPr>
        <w:t>with excessive daytime sleepiness, or EDS, associated with narcolepsy or obstructive sleep apnea. We are also seeking approval for Sunosi in Europe and submitted a marketing authorization application to the European Medicines Agency in the fourth quarter of 2018;</w:t>
      </w:r>
    </w:p>
    <w:p>
      <w:pPr>
        <w:spacing w:after="0" w:line="92" w:lineRule="exact"/>
        <w:rPr>
          <w:rFonts w:ascii="Arial" w:cs="Arial" w:eastAsia="Arial" w:hAnsi="Arial"/>
          <w:sz w:val="17"/>
          <w:szCs w:val="17"/>
          <w:b w:val="1"/>
          <w:bCs w:val="1"/>
          <w:color w:val="auto"/>
        </w:rPr>
      </w:pPr>
    </w:p>
    <w:p>
      <w:pPr>
        <w:ind w:left="720" w:right="20" w:hanging="320"/>
        <w:spacing w:after="0" w:line="218"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Xyrem</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(sodium oxybate) oral solution</w:t>
      </w:r>
      <w:r>
        <w:rPr>
          <w:rFonts w:ascii="Arial" w:cs="Arial" w:eastAsia="Arial" w:hAnsi="Arial"/>
          <w:sz w:val="18"/>
          <w:szCs w:val="18"/>
          <w:color w:val="auto"/>
        </w:rPr>
        <w:t>, the only product approved by the U.S. Food and Drug Administration, or FDA, and marketed in the U.S.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both cataplexy and EDS in both adult and pediatric patients with narcolepsy;</w:t>
      </w:r>
    </w:p>
    <w:p>
      <w:pPr>
        <w:spacing w:after="0" w:line="91" w:lineRule="exact"/>
        <w:rPr>
          <w:rFonts w:ascii="Arial" w:cs="Arial" w:eastAsia="Arial" w:hAnsi="Arial"/>
          <w:sz w:val="18"/>
          <w:szCs w:val="18"/>
          <w:b w:val="1"/>
          <w:bCs w:val="1"/>
          <w:color w:val="auto"/>
        </w:rPr>
      </w:pPr>
    </w:p>
    <w:p>
      <w:pPr>
        <w:ind w:left="720" w:right="240" w:hanging="320"/>
        <w:spacing w:after="0" w:line="214"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90" w:lineRule="exact"/>
        <w:rPr>
          <w:rFonts w:ascii="Arial" w:cs="Arial" w:eastAsia="Arial" w:hAnsi="Arial"/>
          <w:sz w:val="18"/>
          <w:szCs w:val="18"/>
          <w:b w:val="1"/>
          <w:bCs w:val="1"/>
          <w:color w:val="auto"/>
        </w:rPr>
      </w:pPr>
    </w:p>
    <w:p>
      <w:pPr>
        <w:ind w:left="720" w:right="380" w:hanging="320"/>
        <w:spacing w:after="0" w:line="260" w:lineRule="auto"/>
        <w:tabs>
          <w:tab w:leader="none" w:pos="7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w:t>
      </w:r>
    </w:p>
    <w:p>
      <w:pPr>
        <w:ind w:left="720" w:right="440" w:hanging="320"/>
        <w:spacing w:after="0" w:line="201"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liposomal 44 mg/100 mg powder for concentrate for solution for infusion) for the treatment of adults with newly-diagnosed therapy-related acute myeloid leukemia, or AML, or AML with myelodysplasia-related changes.</w:t>
      </w:r>
    </w:p>
    <w:p>
      <w:pPr>
        <w:spacing w:after="0" w:line="97" w:lineRule="exact"/>
        <w:rPr>
          <w:sz w:val="20"/>
          <w:szCs w:val="20"/>
          <w:color w:val="auto"/>
        </w:rPr>
      </w:pPr>
    </w:p>
    <w:p>
      <w:pPr>
        <w:jc w:val="both"/>
        <w:ind w:right="400" w:firstLine="432"/>
        <w:spacing w:after="0" w:line="279" w:lineRule="auto"/>
        <w:rPr>
          <w:sz w:val="20"/>
          <w:szCs w:val="20"/>
          <w:color w:val="auto"/>
        </w:rPr>
      </w:pPr>
      <w:r>
        <w:rPr>
          <w:rFonts w:ascii="Arial" w:cs="Arial" w:eastAsia="Arial" w:hAnsi="Arial"/>
          <w:sz w:val="17"/>
          <w:szCs w:val="17"/>
          <w:color w:val="auto"/>
        </w:rPr>
        <w:t>In March 2019, we announced positive top-line results from our Phase 3 study evaluating the efficacy and safety of JZP-258, an oxybate product candidate that contains 92% less sodium than Xyrem, for the treatment of cataplexy and EDS in adult patients with narcolepsy and presented additional results from this study publicly at an international medical conference in September 2019. We expect to submit a new drug application, or NDA, for this product in January 2020 and plan to redeem our priority review voucher in connection with this submission.</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to create shareholder value is focused on:</w:t>
      </w:r>
    </w:p>
    <w:p>
      <w:pPr>
        <w:spacing w:after="0" w:line="117" w:lineRule="exact"/>
        <w:rPr>
          <w:sz w:val="20"/>
          <w:szCs w:val="20"/>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financial execution through growth in sales of our current lead marketed products;</w:t>
      </w:r>
    </w:p>
    <w:p>
      <w:pPr>
        <w:spacing w:after="0" w:line="117" w:lineRule="exact"/>
        <w:rPr>
          <w:rFonts w:ascii="Arial" w:cs="Arial" w:eastAsia="Arial" w:hAnsi="Arial"/>
          <w:sz w:val="18"/>
          <w:szCs w:val="18"/>
          <w:color w:val="auto"/>
        </w:rPr>
      </w:pPr>
    </w:p>
    <w:p>
      <w:pPr>
        <w:ind w:left="740" w:right="400" w:hanging="327"/>
        <w:spacing w:after="0" w:line="286"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Building a diversified product portfolio and development pipeline through a combination of our internal research and development efforts and obtaining rights to clinically meaningful and differentiated on- or near-market products and early- to late-stage product candidates through acquisitions, collaborations, licensing arrangements, partnerships and venture investments; and</w:t>
      </w:r>
    </w:p>
    <w:p>
      <w:pPr>
        <w:spacing w:after="0" w:line="57" w:lineRule="exact"/>
        <w:rPr>
          <w:rFonts w:ascii="Arial" w:cs="Arial" w:eastAsia="Arial" w:hAnsi="Arial"/>
          <w:sz w:val="17"/>
          <w:szCs w:val="17"/>
          <w:color w:val="auto"/>
        </w:rPr>
      </w:pPr>
    </w:p>
    <w:p>
      <w:pPr>
        <w:ind w:left="740" w:right="100" w:hanging="32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Maximizing the value of our products and product candidates by continuing to implement our comprehensive global development plans, including through generating additional clinical data and seeking regulatory approval for new indications.</w:t>
      </w:r>
    </w:p>
    <w:p>
      <w:pPr>
        <w:spacing w:after="0" w:line="62"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Throughout this report, unless otherwise indicated or the context otherwise requires, all references to “Jazz Pharmaceuticals,” “the registrant,” “we,” “us,” and “our” refer to Jazz Pharmaceuticals plc and its consolidated subsidiaries. Throughout this report, all references to “ordinary shares” refer to Jazz Pharmaceuticals plc’s ordinary shares.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0" w:firstLine="432"/>
        <w:spacing w:after="0" w:line="220" w:lineRule="exact"/>
        <w:rPr>
          <w:sz w:val="20"/>
          <w:szCs w:val="20"/>
          <w:color w:val="auto"/>
        </w:rPr>
      </w:pPr>
      <w:r>
        <w:rPr>
          <w:rFonts w:ascii="Arial" w:cs="Arial" w:eastAsia="Arial" w:hAnsi="Arial"/>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should be read in conjunction with our</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annual consolidated financial statements and accompanying notes included in our Annual Report on Form 10-K for the year ended December 31, 2018.</w:t>
      </w:r>
    </w:p>
    <w:p>
      <w:pPr>
        <w:spacing w:after="0" w:line="129"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the opinion of management, these condensed consolidated financial statements have been prepared on the same basis as the annual consolidated financial statements and include all adjustments, consisting only of normal recurring adjustments, considered necessary for the fair presentation of our financial position and operating results. The results for the three and nine months ended September 30, 2019 are not necessarily indicative of the results to be expected for the year ending December 31, 2019, for any other interim period or for any future period.</w:t>
      </w:r>
    </w:p>
    <w:p>
      <w:pPr>
        <w:spacing w:after="0" w:line="6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significant accounting policies have not changed substantially from those previously described in our Annual Report on Form 10-K for the year ended December 31, 2018 with the exception of the accounting policy relating to operating leases and financing obligations which was updated as a result of adopting Accounting Standards Update No. 2016-02, “Leases”, or ASU No. 2016-02.</w:t>
      </w:r>
    </w:p>
    <w:p>
      <w:pPr>
        <w:spacing w:after="0" w:line="73"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Jazz Pharmaceuticals plc and our subsidiaries, and intercompany transactions and balances have been eliminated.</w:t>
      </w:r>
    </w:p>
    <w:p>
      <w:pPr>
        <w:spacing w:after="0" w:line="62"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We determine if an arrangement is a lease at inception. Operating leases are included in operating lease assets, other current liabilities, and operating lease liabilities on our condensed consolidated balance sheets. Operating lease assets and operating lease liabilities are recognized based on the present value of the future minimum lease payments over the lease term at commencement date. In determining the net present value of lease payments, we use our incremental borrowing rate based on the information available at the lease commencement date. The operating lease asset also includes any lease payments made and excludes lease incentives and initial direct costs incurred. Our lease terms may include options to extend or terminate the lease when it is reasonably certain that we will exercise that option. Lease expense for minimum lease payments is recognized on a straight-line basis over the lease term.</w:t>
      </w:r>
    </w:p>
    <w:p>
      <w:pPr>
        <w:spacing w:after="0" w:line="5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vehicle leases we account for the lease and non-lease components as a single lease component.</w:t>
      </w:r>
    </w:p>
    <w:p>
      <w:pPr>
        <w:spacing w:after="0" w:line="62"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have elected the short-term lease exemption and, therefore, do not recognize a right-of-use asset or corresponding liability for lease arrangements with an original term of 12 months or less.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February 2016, the Financial Accounting Standards Board, or FASB, issued ASU No. 2016-02. Under the new guidance, lessees are required to recognize a right-of-use asset, which represents the lessee’s right to use, or control the use of, a specified asset for the lease term, and a corresponding lease liability, which represents the lessee’s obligation to make lease payments under a lease, measured on a discounted basis. We adopted ASU No. 2016-02 on a modified retrospective basis applied to leases existing as of, or entered into after, January 1, 2019. We elected the package of practical expedients permitted under the transition guidance within the new standard, which among other things, allowed us to carry forward the historical lease classification of those leases in place as of January 1, 2019.</w:t>
      </w:r>
    </w:p>
    <w:p>
      <w:pPr>
        <w:spacing w:after="0" w:line="8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adoption of ASU No. 2016-02 resulted in the recognition of right-of-use assets and lease liabilities of $149.4 million and $162.9 million, respectively, on the consolidated balance sheet as of January 1, 2019, and the de-recognition of the build-to-suit assets and related financing obligations on the consolidated balance sheet as of December 31, 2018 of $95.4 million and $109.8 million, respectively, with the balance impacting retained earnings, deferred rent and deferred tax liabilities. The right-of-use assets and lease liabilities primarily relate to real estate leases. Refer to Note 10 for lease-related disclosures.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cumulative effect of the changes made to our consolidated balance sheet as of January 1, 2019 for the adoption of the ASU No. 2016-02 was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Balance at December</w:t>
            </w:r>
          </w:p>
        </w:tc>
        <w:tc>
          <w:tcPr>
            <w:tcW w:w="240" w:type="dxa"/>
            <w:vAlign w:val="bottom"/>
          </w:tcPr>
          <w:p>
            <w:pPr>
              <w:spacing w:after="0"/>
              <w:rPr>
                <w:sz w:val="14"/>
                <w:szCs w:val="14"/>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Transition</w:t>
            </w: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Balance at January 1,</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center"/>
              <w:ind w:right="29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jc w:val="right"/>
              <w:ind w:right="179"/>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200,358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(95,397)</w:t>
            </w:r>
          </w:p>
        </w:tc>
        <w:tc>
          <w:tcPr>
            <w:tcW w:w="10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104,961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149,442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273,052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lease liabilities, less current portion</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153,158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153,158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310,586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218,879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(113,615)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105,264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841,050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845,898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Our financial results are significantly influenced by sales of Xyrem. Our ability to maintain or increase Xyrem product sales is subject to a number of risks and uncertainties, including, without limitation, the introduction of new products in the U.S. market that compete with, or otherwise disrupt the market for, Xyrem in the treatment of cataplexy and/or EDS in narcolepsy, such as pitolisant, which was approved by FDA in August 2019 for the treatment of EDS in adult patients with narcolepsy, and our recently-launched product, Sunosi; the introduction of a generic version of Xyrem in the U.S. market before the entry dates specified in our settlements with the abbreviated new drug application, or ANDA, filers or on terms that are different from those contemplated by the settlement agreements; increased pricing pressure from, changes in policies by, or restrictions on reimbursement imposed by, third party payors, including pressure to agree to new or additional discounts, rebates or restrictive pricing terms for Xyrem; changes in healthcare laws and policy, including changes in requirements for patient assistance programs, rebates, reimbursement and coverage by federal healthcare programs, and changes resulting from increased scrutiny on pharmaceutical pricing and risk evaluation and mitigation strategy, or REMS, programs by government entities; changes to or uncertainties around our Xyrem REMS, or any failure to comply with our REMS obligations to the satisfaction of the FDA; challenges to our intellectual property around Xyrem, including the possibility of new ANDA or NDA filers or new post-grant patent review proceedings; operational disruptions at the Xyrem central pharmacy; any supply or manufacturing problems, including any problems with our sole source Xyrem active pharmaceutical ingredient, or API, provider; continued acceptance of Xyrem by physicians and patients, including as a result of negative publicity that surfaces from time to time; and changes to our label, including new safety warnings or changes to our boxed warning, that further restrict how we market and sell Xyrem.</w:t>
      </w:r>
    </w:p>
    <w:p>
      <w:pPr>
        <w:spacing w:after="0" w:line="64"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In addition to risks related specifically to Xyrem,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effectively commercializing our other products, including effectively launching and commercializing new products such as our recently-launched product Sunosi; competition; obtaining and maintaining adequate coverage and reimbursement for our products; increasing scrutiny of pharmaceutical product pricing and resulting changes in healthcare laws and policy; market acceptance; delays or problems in the supply of our products, loss of single source suppliers or failure to comply with manufacturing regulations; regulatory approval and successful launch of our late-stage product candidates; identifying, acquiring or in-licensing additional products or product candidates; pharmaceutical product development and the inherent uncertainty of clinical success; the regulatory approval process;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50" w:lineRule="exact"/>
        <w:rPr>
          <w:sz w:val="20"/>
          <w:szCs w:val="20"/>
          <w:color w:val="auto"/>
        </w:rPr>
      </w:pPr>
    </w:p>
    <w:p>
      <w:pPr>
        <w:ind w:right="220" w:firstLine="432"/>
        <w:spacing w:after="0" w:line="293" w:lineRule="auto"/>
        <w:rPr>
          <w:sz w:val="20"/>
          <w:szCs w:val="20"/>
          <w:color w:val="auto"/>
        </w:rPr>
      </w:pPr>
      <w:r>
        <w:rPr>
          <w:rFonts w:ascii="Arial" w:cs="Arial" w:eastAsia="Arial" w:hAnsi="Arial"/>
          <w:sz w:val="16"/>
          <w:szCs w:val="16"/>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September 30, 2019, we had foreign exchange forward contracts with notional amounts totaling $226.1 million. As of September 30, 2019, the outstanding foreign exchange forward contracts had a net liability fair value of $0.7 million. As of September 30, 2019, we had interest rate swap contracts with notional amounts totaling $300.0 million. These outstanding interest rate swap contracts had a net liability fair value of $2.1 million as of September 30, 2019. The counterparties to these contracts are large multinational commercial banks, and we believe the risk of nonperformance is not significant.</w:t>
      </w:r>
    </w:p>
    <w:p>
      <w:pPr>
        <w:spacing w:after="0" w:line="57"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deteriorating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September 30, 2019 and December 31, 2018, allowances on receivables were not material. As of September 30, 2019, two customers accounted for 88% of gross accounts receivable, Express Scripts Specialty Distribution Services, Inc. and its affiliates, or Express Scripts, the central pharmacy for Xyrem, which accounted for 83% of gross accounts receivable, and McKesson Corporation and affiliates, or McKesson, which accounted for 5% of gross accounts receivable. As of December 31, 2018, two customers accounted for 89% of gross accounts receivable, Express Scripts, which accounted for 74% of gross accounts receivable, and McKesson, which accounted for 15% of gross accounts receivable.</w:t>
      </w:r>
    </w:p>
    <w:p>
      <w:pPr>
        <w:spacing w:after="0" w:line="61"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We depend on single source suppliers for most of our products, product candidates and their APIs. With respect to Xyrem, the API is manufactured for us by a single source supplier and the finished product is manufactured both by us in our facility in Athlone, Ireland and by our U.S.-based Xyrem supplier.</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0" w:firstLine="432"/>
        <w:spacing w:after="0" w:line="276"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standard is effective for us beginning January 1, 2020 and early adoption is permitted. The new guidance is not expected to have a material impact on our results of operations and financial position.</w:t>
      </w:r>
    </w:p>
    <w:p>
      <w:pPr>
        <w:spacing w:after="0" w:line="6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January 2017, the FASB issued ASU No. 2017-04, “Intangibles - Goodwill and Other (Topic 350): Simplifying the Test for Goodwill Impairment” which simplifies the accounting for goodwill impairment by eliminating Step 2 of the current goodwill impairment test. Goodwill impairment will now be the amount by which the reporting unit’s carrying value exceeds its fair value, limited to the carrying value of the goodwill. The standard is effective for us beginning January 1, 2020. Early adoption is permitted for any impairment tests performed after January 1, 2017. The new guidance is not expected to have a material impact on our results of operations and financial position.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Collaboration and License Agreement and Asset Acquisition</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Collaboration and License Agreement</w:t>
      </w:r>
    </w:p>
    <w:p>
      <w:pPr>
        <w:spacing w:after="0" w:line="11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On January 2, 2019, we entered into a strategic collaboration agreement with Codiak BioSciences, Inc., or Codiak, focused on the research, development and commercialization of exosome therapeutics to treat cancer. Codiak granted us an exclusive, worldwide, royalty-bearing license to develop, manufacture and commercialize therapeutic candidates directed at five targets to be developed using Codiak's engEx™ precision engineering platform for exosome therapeutics.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Under the terms of the agreement, Codiak is responsible for the execution of preclinical and early clinical development of therapeutic candidates directed at all five targets through Phase 1/2 proof of concept studies. Following the conclusion of the applicable Phase 1/2 study, we will be responsible for future development, potential regulatory submissions and commercialization for each product. Codiak has the option to participate in co-commercialization and cost/profit-sharing in the U.S. and Canada on up to two products.</w:t>
      </w:r>
    </w:p>
    <w:p>
      <w:pPr>
        <w:spacing w:after="0" w:line="7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part of the agreement, we paid Codiak an upfront payment of $56.0 million in January 2019, which was recorded as acquired IPR&amp;D expense in our condensed consolidated statements of income for the nine months ended September 30, 2019. Codiak is eligible to receive up to $20 million in preclinical development milestone payments across all five programs. Codiak is also eligible to receive milestone payments totaling up to $200 million per target based on investigational new drug application acceptance, clinical and regulatory milestones, including approvals in the U.S., the European Union and Japan, and certain sales milestones. Codiak is also eligible to receive tiered royalties on net sales of each approved product.</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Asset Acquisition</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August 12, 2019, we announced the acquisition of Cavion, Inc., or Cavion, a clinical-stage biotechnology company, for an upfront payment of $52.5 million with the potential for additional payments of up to $260.0 million upon the achievement of certain clinical, regulatory and commercial milestones, for a total potential consideration of $312.5 million. As a result of the acquisition, we added CX-8998, now named JZP-385, a modulator of T-type calcium channels, for the potential treatment of essential tremor, to our clinical pipeline. The acquisition of Cavion was accounted for as an asset acquisition because it did not meet the definition of a business.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total consideration for the acquisition and the value of assets acquired and liabilities assumed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123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Consideration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00" w:type="dxa"/>
            <w:vAlign w:val="bottom"/>
          </w:tcPr>
          <w:p>
            <w:pPr>
              <w:ind w:left="40"/>
              <w:spacing w:after="0"/>
              <w:rPr>
                <w:sz w:val="20"/>
                <w:szCs w:val="20"/>
                <w:color w:val="auto"/>
              </w:rPr>
            </w:pPr>
            <w:r>
              <w:rPr>
                <w:rFonts w:ascii="Arial" w:cs="Arial" w:eastAsia="Arial" w:hAnsi="Arial"/>
                <w:sz w:val="18"/>
                <w:szCs w:val="18"/>
                <w:color w:val="auto"/>
              </w:rPr>
              <w:t>Upfront payment for acquisition of Cavion's outstanding shares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52,500</w:t>
            </w:r>
          </w:p>
        </w:tc>
      </w:tr>
      <w:tr>
        <w:trPr>
          <w:trHeight w:val="27"/>
        </w:trPr>
        <w:tc>
          <w:tcPr>
            <w:tcW w:w="9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acquired</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9900" w:type="dxa"/>
            <w:vAlign w:val="bottom"/>
          </w:tcPr>
          <w:p>
            <w:pPr>
              <w:ind w:left="40"/>
              <w:spacing w:after="0"/>
              <w:rPr>
                <w:sz w:val="20"/>
                <w:szCs w:val="20"/>
                <w:color w:val="auto"/>
              </w:rPr>
            </w:pPr>
            <w:r>
              <w:rPr>
                <w:rFonts w:ascii="Arial" w:cs="Arial" w:eastAsia="Arial" w:hAnsi="Arial"/>
                <w:sz w:val="18"/>
                <w:szCs w:val="18"/>
                <w:color w:val="auto"/>
              </w:rPr>
              <w:t>Working capital adjustment</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9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costs</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2,829</w:t>
            </w:r>
          </w:p>
        </w:tc>
      </w:tr>
      <w:tr>
        <w:trPr>
          <w:trHeight w:val="237"/>
        </w:trPr>
        <w:tc>
          <w:tcPr>
            <w:tcW w:w="990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55,471</w:t>
            </w:r>
          </w:p>
        </w:tc>
      </w:tr>
      <w:tr>
        <w:trPr>
          <w:trHeight w:val="27"/>
        </w:trPr>
        <w:tc>
          <w:tcPr>
            <w:tcW w:w="9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99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9900" w:type="dxa"/>
            <w:vAlign w:val="bottom"/>
          </w:tcPr>
          <w:p>
            <w:pPr>
              <w:ind w:left="40"/>
              <w:spacing w:after="0"/>
              <w:rPr>
                <w:sz w:val="20"/>
                <w:szCs w:val="20"/>
                <w:color w:val="auto"/>
              </w:rPr>
            </w:pPr>
            <w:r>
              <w:rPr>
                <w:rFonts w:ascii="Arial" w:cs="Arial" w:eastAsia="Arial" w:hAnsi="Arial"/>
                <w:sz w:val="18"/>
                <w:szCs w:val="18"/>
                <w:b w:val="1"/>
                <w:bCs w:val="1"/>
                <w:color w:val="auto"/>
              </w:rPr>
              <w:t>Assets Acquired and Liabilities Assumed</w:t>
            </w: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9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990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48,275</w:t>
            </w:r>
          </w:p>
        </w:tc>
      </w:tr>
      <w:tr>
        <w:trPr>
          <w:trHeight w:val="27"/>
        </w:trPr>
        <w:tc>
          <w:tcPr>
            <w:tcW w:w="9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7,995</w:t>
            </w:r>
          </w:p>
        </w:tc>
      </w:tr>
      <w:tr>
        <w:trPr>
          <w:trHeight w:val="243"/>
        </w:trPr>
        <w:tc>
          <w:tcPr>
            <w:tcW w:w="9900" w:type="dxa"/>
            <w:vAlign w:val="bottom"/>
          </w:tcPr>
          <w:p>
            <w:pPr>
              <w:ind w:left="40"/>
              <w:spacing w:after="0"/>
              <w:rPr>
                <w:sz w:val="20"/>
                <w:szCs w:val="20"/>
                <w:color w:val="auto"/>
              </w:rPr>
            </w:pPr>
            <w:r>
              <w:rPr>
                <w:rFonts w:ascii="Arial" w:cs="Arial" w:eastAsia="Arial" w:hAnsi="Arial"/>
                <w:sz w:val="18"/>
                <w:szCs w:val="18"/>
                <w:color w:val="auto"/>
              </w:rPr>
              <w:t>Other assets and liabilities</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(1,196)</w:t>
            </w:r>
          </w:p>
        </w:tc>
      </w:tr>
      <w:tr>
        <w:trPr>
          <w:trHeight w:val="27"/>
        </w:trPr>
        <w:tc>
          <w:tcPr>
            <w:tcW w:w="9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assets acquired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55,471</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value attributed to in-process research and development relates to JZP-385 and was expensed as it was determined to have no alternative future use.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Available-for-Sale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cash equivalents and investments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3"/>
                <w:szCs w:val="13"/>
                <w:color w:val="auto"/>
              </w:rPr>
            </w:pPr>
          </w:p>
        </w:tc>
        <w:tc>
          <w:tcPr>
            <w:tcW w:w="11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Cash and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2"/>
                <w:szCs w:val="12"/>
                <w:color w:val="auto"/>
              </w:rPr>
            </w:pPr>
          </w:p>
        </w:tc>
        <w:tc>
          <w:tcPr>
            <w:tcW w:w="10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7"/>
              </w:rPr>
              <w:t>Investments</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Equivalents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297,243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297,243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297,243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Time deposits</w:t>
            </w:r>
          </w:p>
        </w:tc>
        <w:tc>
          <w:tcPr>
            <w:tcW w:w="2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530,000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530,000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255,000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242,932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242,932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242,932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1,070,175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1,070,175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795,175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ind w:left="6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w:t>
            </w:r>
          </w:p>
        </w:tc>
        <w:tc>
          <w:tcPr>
            <w:tcW w:w="960" w:type="dxa"/>
            <w:vAlign w:val="bottom"/>
          </w:tcPr>
          <w:p>
            <w:pPr>
              <w:jc w:val="center"/>
              <w:ind w:left="221"/>
              <w:spacing w:after="0" w:line="153" w:lineRule="exact"/>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left="202"/>
              <w:spacing w:after="0" w:line="15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Cash and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6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2"/>
                <w:szCs w:val="12"/>
                <w:color w:val="auto"/>
              </w:rPr>
            </w:pPr>
          </w:p>
        </w:tc>
        <w:tc>
          <w:tcPr>
            <w:tcW w:w="10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5"/>
              </w:rPr>
              <w:t>Investments</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2"/>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215,606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215,606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215,606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515,000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515,000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94,016</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94,016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94,016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Totals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824,622</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8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824,622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309,622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Our investment balances represent time deposits with original maturities of greater than three months and less than one year.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by major security type, our available-for-sale securities and derivative contracts as of September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that were measured at fair value on a recurring basis and were categorized using the fair value hierarchy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2019</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3"/>
              </w:rPr>
              <w:t>Quoted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2"/>
              </w:rPr>
              <w:t>Prices in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Active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Active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4"/>
              </w:rPr>
              <w:t>Identical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Identical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98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242,932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242,932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94,016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94,016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exchange forward contracts</w:t>
            </w:r>
          </w:p>
        </w:tc>
        <w:tc>
          <w:tcPr>
            <w:tcW w:w="1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242,932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531,009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773,941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94,016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520,264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614,280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exchange forward contracts</w:t>
            </w:r>
          </w:p>
        </w:tc>
        <w:tc>
          <w:tcPr>
            <w:tcW w:w="1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of September 30, 2019, our available-for-sale securities included time deposits and money market funds, and their carrying values were approximately equal to their fair values. Time deposits were measured at fair value using Level 2 inputs and money market funds were measured using quoted prices in active markets, which represent Level 1 inputs. Level 2 inputs, obtained from various third party data providers, represent quoted prices for similar assets in active markets, or these inputs were derived from observable market data, or if not directly observable, were derived from or corroborated by other observable market data.</w:t>
      </w:r>
    </w:p>
    <w:p>
      <w:pPr>
        <w:spacing w:after="0" w:line="8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derivative assets and liabilities include interest rate and foreign exchange derivatives that are measured at fair value using observable market inputs such as forward rates, interest rates and our own credit risk, as well as an evaluation of our counterparties’ credit risks. Based on these inputs, the derivative assets and liabilities are classified within Level 2 of the fair value hierarchy.</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transfers between the different levels of the fair value hierarchy in 2019 or 2018.</w:t>
      </w:r>
    </w:p>
    <w:p>
      <w:pPr>
        <w:spacing w:after="0" w:line="11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As of September 30, 2019, the carrying amount of investments measured using the measurement alternative for equity investments without a readily determinable fair value was $4.5 million. The carrying amount, which is recorded within other non-current assets, represents the purchase price paid in December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As of September 30, 2019, the estimated fair values of our 1.875% exchangeable senior notes due 2021, or the 2021 Notes, and our 1.50% exchangeable senior notes due 2024, or the 2024 Notes, were approximately $576 million and $554 million, respectively. The fair values of the 2021 Notes and the 2024 Notes, which we refer to together as the Exchangeable Senior Notes, were estimated using quoted market prices obtained from brokers (Level 2). The estimated fair value of our borrowing under our term loan was approximately equal to its book value based on the borrowing rates currently available for variable rate loans (Level 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21"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We are exposed to certain risks arising from operating internationally, including fluctuations in interest rates on our outstanding term loan borrowings and fluctuations in foreign exchange rates primarily related to the translation of euro-denominated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and we do not use derivatives for speculative trading purposes.</w:t>
      </w:r>
    </w:p>
    <w:p>
      <w:pPr>
        <w:spacing w:after="0" w:line="46"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To achieve a desired mix of floating and fixed interest rates on our variable rate debt, we entered into interest rate swap agreements in March 2017 which are effective until July 2021. These agreements hedge contractual term loan interest rates. As of September 30, 2019 and December 31, 2018, the interest rate swap agreements had a notional amount of $300.0 million. As a result of these agreements, the interest rate on a portion of our term loan borrowings was fixed at 1.895%, plus the borrowing spread, until July 12, 2021.</w:t>
      </w:r>
    </w:p>
    <w:p>
      <w:pPr>
        <w:spacing w:after="0" w:line="79"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The effective portion of changes in the fair value of derivatives designated as and that qualify as cash flow hedges is recorded in accumulated other comprehensive loss and is subsequently reclassified into earnings in the period that the hedged forecasted transaction affects earnings. The impact on accumulated other comprehensive loss and earnings from derivative instruments that qualified as cash flow hedges for the three and nine months ended September 30, 2019 and 2018 was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Interest Rate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2018</w:t>
            </w: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Gain (loss) recognized in accumulated other comprehensive loss, net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5,285</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0"/>
              </w:rPr>
              <w:t>Loss (gain) reclassified from accumulated other comprehensive loss to</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 net of tax</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19</w:t>
            </w:r>
          </w:p>
        </w:tc>
      </w:tr>
    </w:tbl>
    <w:p>
      <w:pPr>
        <w:spacing w:after="0" w:line="39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6"/>
          <w:szCs w:val="16"/>
          <w:color w:val="auto"/>
        </w:rPr>
        <w:t>A</w:t>
      </w:r>
      <w:r>
        <w:rPr>
          <w:rFonts w:ascii="Arial" w:cs="Arial" w:eastAsia="Arial" w:hAnsi="Arial"/>
          <w:sz w:val="18"/>
          <w:szCs w:val="18"/>
          <w:color w:val="auto"/>
        </w:rPr>
        <w:t>ssuming no change in LIBOR-based interest rates from market rates as of September 30, 2019, $0.7 million of losses, net of tax, recognized in</w:t>
      </w:r>
      <w:r>
        <w:rPr>
          <w:rFonts w:ascii="Arial" w:cs="Arial" w:eastAsia="Arial" w:hAnsi="Arial"/>
          <w:sz w:val="16"/>
          <w:szCs w:val="16"/>
          <w:color w:val="auto"/>
        </w:rPr>
        <w:t xml:space="preserve"> </w:t>
      </w:r>
      <w:r>
        <w:rPr>
          <w:rFonts w:ascii="Arial" w:cs="Arial" w:eastAsia="Arial" w:hAnsi="Arial"/>
          <w:sz w:val="18"/>
          <w:szCs w:val="18"/>
          <w:color w:val="auto"/>
        </w:rPr>
        <w:t>accumulated other comprehensive loss will be reclassified to earnings over the next 12 months.</w:t>
      </w:r>
    </w:p>
    <w:p>
      <w:pPr>
        <w:spacing w:after="0" w:line="6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September 30, 2019 and December 31, 2018, the notional amount of foreign exchange contracts where hedge accounting is not applied was $226.1 million and $271.5 million, respectively.</w:t>
      </w:r>
    </w:p>
    <w:p>
      <w:pPr>
        <w:spacing w:after="0" w:line="8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foreign exchange loss in our condensed consolidated statements of income included the following losses associated with foreign exchange contracts not designated as hedging instruments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84"/>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Foreign Exchange Forward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3"/>
              </w:rPr>
              <w:t>2018</w:t>
            </w: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recognized in foreign exchange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7,430</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10,718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10,896</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cash flow effects of our derivative contracts for the nine months ended September 30, 2019 and 2018 are included within net cash provided by operating activities in the condensed consolidated statements of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the fair value of outstanding derivatives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September 30, 2019</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Asset Derivatives</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30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Liability Derivatives</w:t>
            </w:r>
          </w:p>
        </w:tc>
      </w:tr>
      <w:tr>
        <w:trPr>
          <w:trHeight w:val="264"/>
        </w:trPr>
        <w:tc>
          <w:tcPr>
            <w:tcW w:w="4700" w:type="dxa"/>
            <w:vAlign w:val="bottom"/>
          </w:tcPr>
          <w:p>
            <w:pPr>
              <w:spacing w:after="0"/>
              <w:rPr>
                <w:sz w:val="22"/>
                <w:szCs w:val="22"/>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Balance Sheet Location</w:t>
            </w:r>
          </w:p>
        </w:tc>
        <w:tc>
          <w:tcPr>
            <w:tcW w:w="480" w:type="dxa"/>
            <w:vAlign w:val="bottom"/>
          </w:tcPr>
          <w:p>
            <w:pPr>
              <w:spacing w:after="0"/>
              <w:rPr>
                <w:sz w:val="22"/>
                <w:szCs w:val="22"/>
                <w:color w:val="auto"/>
              </w:rPr>
            </w:pPr>
          </w:p>
        </w:tc>
        <w:tc>
          <w:tcPr>
            <w:tcW w:w="1120" w:type="dxa"/>
            <w:vAlign w:val="bottom"/>
          </w:tcPr>
          <w:p>
            <w:pPr>
              <w:jc w:val="right"/>
              <w:ind w:right="397"/>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22"/>
                <w:szCs w:val="22"/>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22"/>
                <w:szCs w:val="22"/>
                <w:color w:val="auto"/>
              </w:rPr>
            </w:pPr>
          </w:p>
        </w:tc>
        <w:tc>
          <w:tcPr>
            <w:tcW w:w="1300" w:type="dxa"/>
            <w:vAlign w:val="bottom"/>
          </w:tcPr>
          <w:p>
            <w:pPr>
              <w:jc w:val="right"/>
              <w:ind w:right="39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Other current assets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751</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7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non-current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Other current assets</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1,676</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fair value of derivative instruments</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3,758</w:t>
            </w:r>
          </w:p>
        </w:tc>
      </w:tr>
      <w:tr>
        <w:trPr>
          <w:trHeight w:val="20"/>
        </w:trPr>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764"/>
        </w:trPr>
        <w:tc>
          <w:tcPr>
            <w:tcW w:w="47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4700" w:type="dxa"/>
            <w:vAlign w:val="bottom"/>
          </w:tcPr>
          <w:p>
            <w:pPr>
              <w:spacing w:after="0"/>
              <w:rPr>
                <w:sz w:val="22"/>
                <w:szCs w:val="22"/>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Asset Derivatives</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30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Liability Derivatives</w:t>
            </w:r>
          </w:p>
        </w:tc>
      </w:tr>
      <w:tr>
        <w:trPr>
          <w:trHeight w:val="264"/>
        </w:trPr>
        <w:tc>
          <w:tcPr>
            <w:tcW w:w="4700" w:type="dxa"/>
            <w:vAlign w:val="bottom"/>
          </w:tcPr>
          <w:p>
            <w:pPr>
              <w:spacing w:after="0"/>
              <w:rPr>
                <w:sz w:val="22"/>
                <w:szCs w:val="22"/>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Balance Sheet Location</w:t>
            </w:r>
          </w:p>
        </w:tc>
        <w:tc>
          <w:tcPr>
            <w:tcW w:w="480" w:type="dxa"/>
            <w:vAlign w:val="bottom"/>
          </w:tcPr>
          <w:p>
            <w:pPr>
              <w:spacing w:after="0"/>
              <w:rPr>
                <w:sz w:val="22"/>
                <w:szCs w:val="22"/>
                <w:color w:val="auto"/>
              </w:rPr>
            </w:pPr>
          </w:p>
        </w:tc>
        <w:tc>
          <w:tcPr>
            <w:tcW w:w="1120" w:type="dxa"/>
            <w:vAlign w:val="bottom"/>
          </w:tcPr>
          <w:p>
            <w:pPr>
              <w:jc w:val="right"/>
              <w:ind w:right="397"/>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22"/>
                <w:szCs w:val="22"/>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22"/>
                <w:szCs w:val="22"/>
                <w:color w:val="auto"/>
              </w:rPr>
            </w:pPr>
          </w:p>
        </w:tc>
        <w:tc>
          <w:tcPr>
            <w:tcW w:w="1300" w:type="dxa"/>
            <w:vAlign w:val="bottom"/>
          </w:tcPr>
          <w:p>
            <w:pPr>
              <w:jc w:val="right"/>
              <w:ind w:right="39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Other current assets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7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Other non-current</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0"/>
              </w:rPr>
              <w:t>assets</w:t>
            </w: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Other current assets</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1,460</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fair value of derivative instruments</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1,460</w:t>
            </w:r>
          </w:p>
        </w:tc>
      </w:tr>
      <w:tr>
        <w:trPr>
          <w:trHeight w:val="20"/>
        </w:trPr>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tables summarize the potential effect on our condensed consolidated balance sheets of offsetting our interest rate contracts and foreign exchange forward contracts subject to such provisions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September 30, 2019</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120" w:type="dxa"/>
            <w:vAlign w:val="bottom"/>
          </w:tcPr>
          <w:p>
            <w:pPr>
              <w:spacing w:after="0"/>
              <w:rPr>
                <w:sz w:val="13"/>
                <w:szCs w:val="13"/>
                <w:color w:val="auto"/>
              </w:rPr>
            </w:pPr>
          </w:p>
        </w:tc>
        <w:tc>
          <w:tcPr>
            <w:tcW w:w="3860" w:type="dxa"/>
            <w:vAlign w:val="bottom"/>
            <w:gridSpan w:val="7"/>
            <w:vMerge w:val="restart"/>
          </w:tcPr>
          <w:p>
            <w:pPr>
              <w:jc w:val="center"/>
              <w:ind w:right="16"/>
              <w:spacing w:after="0"/>
              <w:rPr>
                <w:sz w:val="20"/>
                <w:szCs w:val="20"/>
                <w:color w:val="auto"/>
              </w:rPr>
            </w:pPr>
            <w:r>
              <w:rPr>
                <w:rFonts w:ascii="Arial" w:cs="Arial" w:eastAsia="Arial" w:hAnsi="Arial"/>
                <w:sz w:val="14"/>
                <w:szCs w:val="14"/>
                <w:b w:val="1"/>
                <w:bCs w:val="1"/>
                <w:color w:val="auto"/>
                <w:w w:val="91"/>
              </w:rPr>
              <w:t>Gross Amounts Not Offset in the Consolidated Balance Sheet</w:t>
            </w:r>
          </w:p>
        </w:tc>
        <w:tc>
          <w:tcPr>
            <w:tcW w:w="0" w:type="dxa"/>
            <w:vAlign w:val="bottom"/>
          </w:tcPr>
          <w:p>
            <w:pPr>
              <w:spacing w:after="0"/>
              <w:rPr>
                <w:sz w:val="1"/>
                <w:szCs w:val="1"/>
                <w:color w:val="auto"/>
              </w:rPr>
            </w:pPr>
          </w:p>
        </w:tc>
      </w:tr>
      <w:tr>
        <w:trPr>
          <w:trHeight w:val="111"/>
        </w:trPr>
        <w:tc>
          <w:tcPr>
            <w:tcW w:w="3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Gross Amounts</w:t>
            </w:r>
          </w:p>
        </w:tc>
        <w:tc>
          <w:tcPr>
            <w:tcW w:w="1360" w:type="dxa"/>
            <w:vAlign w:val="bottom"/>
            <w:gridSpan w:val="3"/>
          </w:tcPr>
          <w:p>
            <w:pPr>
              <w:jc w:val="center"/>
              <w:ind w:right="120"/>
              <w:spacing w:after="0" w:line="111" w:lineRule="exact"/>
              <w:rPr>
                <w:sz w:val="20"/>
                <w:szCs w:val="20"/>
                <w:color w:val="auto"/>
              </w:rPr>
            </w:pPr>
            <w:r>
              <w:rPr>
                <w:rFonts w:ascii="Arial" w:cs="Arial" w:eastAsia="Arial" w:hAnsi="Arial"/>
                <w:sz w:val="12"/>
                <w:szCs w:val="12"/>
                <w:b w:val="1"/>
                <w:bCs w:val="1"/>
                <w:color w:val="auto"/>
              </w:rPr>
              <w:t>Assets/ Liabilities</w:t>
            </w:r>
          </w:p>
        </w:tc>
        <w:tc>
          <w:tcPr>
            <w:tcW w:w="12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34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Cash Collateral</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Recognized Assets/</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Financial</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7"/>
              </w:rPr>
              <w:t>Balance 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Received (Pledged)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42"/>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750"/>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December 31, 2018</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120" w:type="dxa"/>
            <w:vAlign w:val="bottom"/>
          </w:tcPr>
          <w:p>
            <w:pPr>
              <w:spacing w:after="0"/>
              <w:rPr>
                <w:sz w:val="13"/>
                <w:szCs w:val="13"/>
                <w:color w:val="auto"/>
              </w:rPr>
            </w:pPr>
          </w:p>
        </w:tc>
        <w:tc>
          <w:tcPr>
            <w:tcW w:w="3860" w:type="dxa"/>
            <w:vAlign w:val="bottom"/>
            <w:gridSpan w:val="7"/>
            <w:vMerge w:val="restart"/>
          </w:tcPr>
          <w:p>
            <w:pPr>
              <w:jc w:val="center"/>
              <w:ind w:right="16"/>
              <w:spacing w:after="0"/>
              <w:rPr>
                <w:sz w:val="20"/>
                <w:szCs w:val="20"/>
                <w:color w:val="auto"/>
              </w:rPr>
            </w:pPr>
            <w:r>
              <w:rPr>
                <w:rFonts w:ascii="Arial" w:cs="Arial" w:eastAsia="Arial" w:hAnsi="Arial"/>
                <w:sz w:val="14"/>
                <w:szCs w:val="14"/>
                <w:b w:val="1"/>
                <w:bCs w:val="1"/>
                <w:color w:val="auto"/>
                <w:w w:val="91"/>
              </w:rPr>
              <w:t>Gross Amounts Not Offset in the Consolidated Balance Sheet</w:t>
            </w:r>
          </w:p>
        </w:tc>
        <w:tc>
          <w:tcPr>
            <w:tcW w:w="0" w:type="dxa"/>
            <w:vAlign w:val="bottom"/>
          </w:tcPr>
          <w:p>
            <w:pPr>
              <w:spacing w:after="0"/>
              <w:rPr>
                <w:sz w:val="1"/>
                <w:szCs w:val="1"/>
                <w:color w:val="auto"/>
              </w:rPr>
            </w:pPr>
          </w:p>
        </w:tc>
      </w:tr>
      <w:tr>
        <w:trPr>
          <w:trHeight w:val="111"/>
        </w:trPr>
        <w:tc>
          <w:tcPr>
            <w:tcW w:w="3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Gross Amounts</w:t>
            </w:r>
          </w:p>
        </w:tc>
        <w:tc>
          <w:tcPr>
            <w:tcW w:w="1360" w:type="dxa"/>
            <w:vAlign w:val="bottom"/>
            <w:gridSpan w:val="3"/>
          </w:tcPr>
          <w:p>
            <w:pPr>
              <w:jc w:val="center"/>
              <w:ind w:right="120"/>
              <w:spacing w:after="0" w:line="111" w:lineRule="exact"/>
              <w:rPr>
                <w:sz w:val="20"/>
                <w:szCs w:val="20"/>
                <w:color w:val="auto"/>
              </w:rPr>
            </w:pPr>
            <w:r>
              <w:rPr>
                <w:rFonts w:ascii="Arial" w:cs="Arial" w:eastAsia="Arial" w:hAnsi="Arial"/>
                <w:sz w:val="12"/>
                <w:szCs w:val="12"/>
                <w:b w:val="1"/>
                <w:bCs w:val="1"/>
                <w:color w:val="auto"/>
              </w:rPr>
              <w:t>Assets/ Liabilities</w:t>
            </w:r>
          </w:p>
        </w:tc>
        <w:tc>
          <w:tcPr>
            <w:tcW w:w="12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34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Cash Collateral</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Recognized Assets/</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Financial</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7"/>
              </w:rPr>
              <w:t>Balance 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Received (Pledged)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5,264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42"/>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702"/>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44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10,895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33,935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20,743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25,520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21,318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71,108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52,956</w:t>
            </w:r>
          </w:p>
        </w:tc>
        <w:tc>
          <w:tcPr>
            <w:tcW w:w="0" w:type="dxa"/>
            <w:vAlign w:val="bottom"/>
          </w:tcPr>
          <w:p>
            <w:pPr>
              <w:spacing w:after="0"/>
              <w:rPr>
                <w:sz w:val="1"/>
                <w:szCs w:val="1"/>
                <w:color w:val="auto"/>
              </w:rPr>
            </w:pPr>
          </w:p>
        </w:tc>
      </w:tr>
      <w:tr>
        <w:trPr>
          <w:trHeight w:val="27"/>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7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00" w:type="dxa"/>
            <w:vAlign w:val="bottom"/>
          </w:tcPr>
          <w:p>
            <w:pPr>
              <w:ind w:left="44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927,630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(20,905)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906,725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4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Net Book</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9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 years)</w:t>
            </w:r>
          </w:p>
        </w:tc>
        <w:tc>
          <w:tcPr>
            <w:tcW w:w="20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Acquired developed technologies</w:t>
            </w:r>
          </w:p>
        </w:tc>
        <w:tc>
          <w:tcPr>
            <w:tcW w:w="128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3,136,957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2,346,882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3,110,641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2,478,228</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Priority review voucher</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111,101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111,101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111,101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111,101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contracts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11,656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2,881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Total finite-lived intangible assets</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3,262,595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(804,612)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2,457,983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3,236,894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2,589,329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Acquired IPR&amp;D assets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135,047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135,047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142,005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142,005</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3,397,642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(804,612)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2,593,030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3,378,899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(647,565)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2,731,334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The increase in the gross carrying amount of intangible assets as of September 30, 2019 compared to December 31, 2018 reflects the capitalization of milestone payments triggered by FDA approval of Sunosi in March 2019 and subsequent U.S. Drug Enforcement Agency scheduling in June 2019, partially offset by the negative impact of foreign currency translation adjustments due to the weakening of the euro against the U.S. dollar.</w:t>
      </w:r>
    </w:p>
    <w:p>
      <w:pPr>
        <w:spacing w:after="0" w:line="3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 We reduced the estimated remaining useful life of the Erwinaze intangible asset due to the receipt of a contract termination notice from Porton Biopharma Limited in February 2019. The reduction in the estimated remaining useful life increased intangible asset amortization expense by $15.0 million and $40.1 million, reduced net income by $10.2 million and $27.3 million, reduced basic net income per ordinary share by $0.18 and $0.48, and reduced diluted net income per ordinary share by $0.18 and $0.47 during the three and nine months ended September 30, 2019, respectively.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Based on finite-lived intangible assets recorded as of September 30, 2019, and assuming the underlying assets will not be impaired and that we will not change the expected lives of the assets, future amortization expenses were estimated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7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ind w:right="394"/>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58"/>
        </w:trPr>
        <w:tc>
          <w:tcPr>
            <w:tcW w:w="790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center"/>
              <w:ind w:right="174"/>
              <w:spacing w:after="0" w:line="158"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 (remainder)</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173,131</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6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246,957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201,390</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6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157,785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157,785</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1,520,935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2,457,983</w:t>
            </w:r>
          </w:p>
        </w:tc>
        <w:tc>
          <w:tcPr>
            <w:tcW w:w="0" w:type="dxa"/>
            <w:vAlign w:val="bottom"/>
          </w:tcPr>
          <w:p>
            <w:pPr>
              <w:spacing w:after="0"/>
              <w:rPr>
                <w:sz w:val="1"/>
                <w:szCs w:val="1"/>
                <w:color w:val="auto"/>
              </w:rPr>
            </w:pPr>
          </w:p>
        </w:tc>
      </w:tr>
      <w:tr>
        <w:trPr>
          <w:trHeight w:val="20"/>
        </w:trPr>
        <w:tc>
          <w:tcPr>
            <w:tcW w:w="7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Certain Balance Sheet Items</w:t>
            </w: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79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860" w:type="dxa"/>
            <w:vAlign w:val="bottom"/>
            <w:gridSpan w:val="2"/>
          </w:tcPr>
          <w:p>
            <w:pPr>
              <w:ind w:left="400"/>
              <w:spacing w:after="0"/>
              <w:rPr>
                <w:sz w:val="20"/>
                <w:szCs w:val="20"/>
                <w:color w:val="auto"/>
              </w:rPr>
            </w:pPr>
            <w:r>
              <w:rPr>
                <w:rFonts w:ascii="Arial" w:cs="Arial" w:eastAsia="Arial" w:hAnsi="Arial"/>
                <w:sz w:val="18"/>
                <w:szCs w:val="18"/>
                <w:color w:val="auto"/>
              </w:rPr>
              <w:t>Property, plant and equipment consisted of the following (in thousands):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440" w:type="dxa"/>
            <w:vAlign w:val="bottom"/>
          </w:tcPr>
          <w:p>
            <w:pPr>
              <w:jc w:val="center"/>
              <w:ind w:right="21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6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49,614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33,273</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Land and buildings</w:t>
            </w:r>
          </w:p>
        </w:tc>
        <w:tc>
          <w:tcPr>
            <w:tcW w:w="2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46,555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46,650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19,062</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Manufacturing equipment and machinery</w:t>
            </w:r>
          </w:p>
        </w:tc>
        <w:tc>
          <w:tcPr>
            <w:tcW w:w="2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27,321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25,837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13,679</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11,095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51,243</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Build-to-suit facility</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52,067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249,966</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(52,855)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(49,608)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129,472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200,358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decrease in the carrying amount of construction-in-progress and build-to-suit facility assets as of September 30, 2019 compared to December 31, 2018 reflects the de-recognition of assets related to build-to-suit facility leases on adoption of ASU No. 2016-02.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4"/>
                <w:szCs w:val="14"/>
                <w:color w:val="auto"/>
              </w:rPr>
            </w:pPr>
          </w:p>
        </w:tc>
        <w:tc>
          <w:tcPr>
            <w:tcW w:w="1440" w:type="dxa"/>
            <w:vAlign w:val="bottom"/>
          </w:tcPr>
          <w:p>
            <w:pPr>
              <w:jc w:val="center"/>
              <w:ind w:right="212"/>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Rebates and other sales deductions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86,495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64,595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58,543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Inventory-related accruals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10,433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8,753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trial accruals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Selling and marketing accruals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6,705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construction-in-progress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Sales returns reserve</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Derivative instrument liabilities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loss contingency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58,154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29,935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22,804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238,740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264,887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 Debt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7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00" w:type="dxa"/>
            <w:vAlign w:val="bottom"/>
          </w:tcPr>
          <w:p>
            <w:pPr>
              <w:ind w:left="440"/>
              <w:spacing w:after="0"/>
              <w:rPr>
                <w:sz w:val="20"/>
                <w:szCs w:val="20"/>
                <w:color w:val="auto"/>
              </w:rPr>
            </w:pPr>
            <w:r>
              <w:rPr>
                <w:rFonts w:ascii="Arial" w:cs="Arial" w:eastAsia="Arial" w:hAnsi="Arial"/>
                <w:sz w:val="18"/>
                <w:szCs w:val="18"/>
                <w:color w:val="auto"/>
              </w:rPr>
              <w:t>The following table summarizes the carrying amount of our indebtedness (in thousands):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24"/>
                <w:szCs w:val="24"/>
                <w:color w:val="auto"/>
              </w:rPr>
            </w:pPr>
          </w:p>
        </w:tc>
        <w:tc>
          <w:tcPr>
            <w:tcW w:w="1440" w:type="dxa"/>
            <w:vAlign w:val="bottom"/>
          </w:tcPr>
          <w:p>
            <w:pPr>
              <w:jc w:val="center"/>
              <w:ind w:right="212"/>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 Notes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Unamortized discount and debt issuance costs on 2021 Notes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(44,566)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(60,910)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 Notes,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530,434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514,090</w:t>
            </w: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Notes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Unamortized discount and debt issuance costs on 2024 Notes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(123,310)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(138,914)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Notes,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451,690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436,086</w:t>
            </w: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622,044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646,236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1,604,168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1,596,412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1,570,781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1,563,025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September 30, 2019, the carrying values of the equity component of the 2021 Notes and the 2024 Notes, net of equity issuance costs, were $126.9 million and $149.8 million, respectively.</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Maturities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Scheduled maturities with respect to our long-term debt principal balances outstanding as of September 30, 2019 were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Scheduled Long-Term</w:t>
            </w:r>
          </w:p>
        </w:tc>
        <w:tc>
          <w:tcPr>
            <w:tcW w:w="0" w:type="dxa"/>
            <w:vAlign w:val="bottom"/>
          </w:tcPr>
          <w:p>
            <w:pPr>
              <w:spacing w:after="0"/>
              <w:rPr>
                <w:sz w:val="1"/>
                <w:szCs w:val="1"/>
                <w:color w:val="auto"/>
              </w:rPr>
            </w:pPr>
          </w:p>
        </w:tc>
      </w:tr>
      <w:tr>
        <w:trPr>
          <w:trHeight w:val="158"/>
        </w:trPr>
        <w:tc>
          <w:tcPr>
            <w:tcW w:w="78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Debt Maturities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 (remainder)</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6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33,387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608,387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6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33,387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517,494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575,000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1,776,002</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10. Leases</w:t>
            </w: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78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9620" w:type="dxa"/>
            <w:vAlign w:val="bottom"/>
            <w:gridSpan w:val="5"/>
          </w:tcPr>
          <w:p>
            <w:pPr>
              <w:ind w:left="400"/>
              <w:spacing w:after="0"/>
              <w:rPr>
                <w:sz w:val="20"/>
                <w:szCs w:val="20"/>
                <w:color w:val="auto"/>
              </w:rPr>
            </w:pPr>
            <w:r>
              <w:rPr>
                <w:rFonts w:ascii="Arial" w:cs="Arial" w:eastAsia="Arial" w:hAnsi="Arial"/>
                <w:sz w:val="18"/>
                <w:szCs w:val="18"/>
                <w:color w:val="auto"/>
                <w:w w:val="90"/>
              </w:rPr>
              <w:t>The components of the lease expense for the three and nine months ended September 30, 2019 were as follows (in thousands):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Lease Cost</w:t>
            </w:r>
          </w:p>
        </w:tc>
        <w:tc>
          <w:tcPr>
            <w:tcW w:w="160" w:type="dxa"/>
            <w:vAlign w:val="bottom"/>
          </w:tcPr>
          <w:p>
            <w:pPr>
              <w:spacing w:after="0"/>
              <w:rPr>
                <w:sz w:val="24"/>
                <w:szCs w:val="2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8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50"/>
        </w:trPr>
        <w:tc>
          <w:tcPr>
            <w:tcW w:w="78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gridSpan w:val="3"/>
          </w:tcPr>
          <w:p>
            <w:pPr>
              <w:ind w:left="40"/>
              <w:spacing w:after="0"/>
              <w:rPr>
                <w:sz w:val="20"/>
                <w:szCs w:val="20"/>
                <w:color w:val="auto"/>
              </w:rPr>
            </w:pPr>
            <w:r>
              <w:rPr>
                <w:rFonts w:ascii="Arial" w:cs="Arial" w:eastAsia="Arial" w:hAnsi="Arial"/>
                <w:sz w:val="18"/>
                <w:szCs w:val="18"/>
                <w:color w:val="auto"/>
              </w:rPr>
              <w:t>Short-term lease cost</w:t>
            </w:r>
          </w:p>
        </w:tc>
        <w:tc>
          <w:tcPr>
            <w:tcW w:w="16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1,616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gridSpan w:val="3"/>
          </w:tcPr>
          <w:p>
            <w:pPr>
              <w:ind w:left="40"/>
              <w:spacing w:after="0"/>
              <w:rPr>
                <w:sz w:val="20"/>
                <w:szCs w:val="20"/>
                <w:color w:val="auto"/>
              </w:rPr>
            </w:pPr>
            <w:r>
              <w:rPr>
                <w:rFonts w:ascii="Arial" w:cs="Arial" w:eastAsia="Arial" w:hAnsi="Arial"/>
                <w:sz w:val="18"/>
                <w:szCs w:val="18"/>
                <w:color w:val="auto"/>
              </w:rPr>
              <w:t>Sublease income</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5,984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18,814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Supplemental balance sheet information related to operating leases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Leases</w:t>
            </w:r>
          </w:p>
        </w:tc>
        <w:tc>
          <w:tcPr>
            <w:tcW w:w="70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4"/>
                <w:szCs w:val="14"/>
                <w:color w:val="auto"/>
              </w:rPr>
            </w:pPr>
          </w:p>
        </w:tc>
        <w:tc>
          <w:tcPr>
            <w:tcW w:w="1360" w:type="dxa"/>
            <w:vAlign w:val="bottom"/>
          </w:tcPr>
          <w:p>
            <w:pPr>
              <w:jc w:val="right"/>
              <w:ind w:right="27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2780" w:type="dxa"/>
            <w:vAlign w:val="bottom"/>
            <w:tcBorders>
              <w:bottom w:val="single" w:sz="8" w:color="CCEEFF"/>
            </w:tcBorders>
            <w:vMerge w:val="continue"/>
          </w:tcPr>
          <w:p>
            <w:pPr>
              <w:spacing w:after="0"/>
              <w:rPr>
                <w:sz w:val="16"/>
                <w:szCs w:val="16"/>
                <w:color w:val="auto"/>
              </w:rPr>
            </w:pPr>
          </w:p>
        </w:tc>
        <w:tc>
          <w:tcPr>
            <w:tcW w:w="700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Operating lease assets</w:t>
            </w:r>
          </w:p>
        </w:tc>
        <w:tc>
          <w:tcPr>
            <w:tcW w:w="7000" w:type="dxa"/>
            <w:vAlign w:val="bottom"/>
            <w:gridSpan w:val="2"/>
          </w:tcPr>
          <w:p>
            <w:pPr>
              <w:ind w:left="560"/>
              <w:spacing w:after="0"/>
              <w:rPr>
                <w:sz w:val="20"/>
                <w:szCs w:val="20"/>
                <w:color w:val="auto"/>
              </w:rPr>
            </w:pPr>
            <w:r>
              <w:rPr>
                <w:rFonts w:ascii="Arial" w:cs="Arial" w:eastAsia="Arial" w:hAnsi="Arial"/>
                <w:sz w:val="18"/>
                <w:szCs w:val="18"/>
                <w:color w:val="auto"/>
              </w:rPr>
              <w:t>Operating lease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141,878</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6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shd w:val="clear" w:color="auto" w:fill="CCEEFF"/>
          </w:tcPr>
          <w:p>
            <w:pPr>
              <w:spacing w:after="0"/>
              <w:rPr>
                <w:sz w:val="23"/>
                <w:szCs w:val="23"/>
                <w:color w:val="auto"/>
              </w:rPr>
            </w:pPr>
          </w:p>
        </w:tc>
        <w:tc>
          <w:tcPr>
            <w:tcW w:w="6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6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6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6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7000" w:type="dxa"/>
            <w:vAlign w:val="bottom"/>
            <w:gridSpan w:val="2"/>
          </w:tcPr>
          <w:p>
            <w:pPr>
              <w:ind w:left="5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11,713</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6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6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7000" w:type="dxa"/>
            <w:vAlign w:val="bottom"/>
            <w:gridSpan w:val="2"/>
          </w:tcPr>
          <w:p>
            <w:pPr>
              <w:ind w:left="560"/>
              <w:spacing w:after="0"/>
              <w:rPr>
                <w:sz w:val="20"/>
                <w:szCs w:val="20"/>
                <w:color w:val="auto"/>
              </w:rPr>
            </w:pPr>
            <w:r>
              <w:rPr>
                <w:rFonts w:ascii="Arial" w:cs="Arial" w:eastAsia="Arial" w:hAnsi="Arial"/>
                <w:sz w:val="18"/>
                <w:szCs w:val="18"/>
                <w:color w:val="auto"/>
              </w:rPr>
              <w:t>Operating lease liabilities, less current portion</w:t>
            </w:r>
          </w:p>
        </w:tc>
        <w:tc>
          <w:tcPr>
            <w:tcW w:w="22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153,434</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6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165,147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Lease Term and Discount Rate</w:t>
            </w:r>
          </w:p>
        </w:tc>
        <w:tc>
          <w:tcPr>
            <w:tcW w:w="6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17"/>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92"/>
        </w:trPr>
        <w:tc>
          <w:tcPr>
            <w:tcW w:w="2780" w:type="dxa"/>
            <w:vAlign w:val="bottom"/>
            <w:tcBorders>
              <w:bottom w:val="single" w:sz="8" w:color="CCEEFF"/>
            </w:tcBorders>
            <w:vMerge w:val="continue"/>
          </w:tcPr>
          <w:p>
            <w:pPr>
              <w:spacing w:after="0"/>
              <w:rPr>
                <w:sz w:val="16"/>
                <w:szCs w:val="16"/>
                <w:color w:val="auto"/>
              </w:rPr>
            </w:pPr>
          </w:p>
        </w:tc>
        <w:tc>
          <w:tcPr>
            <w:tcW w:w="69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9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operating leases (years)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9780" w:type="dxa"/>
            <w:vAlign w:val="bottom"/>
            <w:gridSpan w:val="3"/>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702"/>
        </w:trPr>
        <w:tc>
          <w:tcPr>
            <w:tcW w:w="2780" w:type="dxa"/>
            <w:vAlign w:val="bottom"/>
          </w:tcPr>
          <w:p>
            <w:pPr>
              <w:spacing w:after="0"/>
              <w:rPr>
                <w:sz w:val="24"/>
                <w:szCs w:val="24"/>
                <w:color w:val="auto"/>
              </w:rPr>
            </w:pPr>
          </w:p>
        </w:tc>
        <w:tc>
          <w:tcPr>
            <w:tcW w:w="6920" w:type="dxa"/>
            <w:vAlign w:val="bottom"/>
          </w:tcPr>
          <w:p>
            <w:pPr>
              <w:ind w:left="28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0" w:type="dxa"/>
            <w:vAlign w:val="bottom"/>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80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0"/>
              </w:rPr>
              <w:t>September 30, 2019</w:t>
            </w:r>
          </w:p>
        </w:tc>
      </w:tr>
      <w:tr>
        <w:trPr>
          <w:trHeight w:val="250"/>
        </w:trPr>
        <w:tc>
          <w:tcPr>
            <w:tcW w:w="40" w:type="dxa"/>
            <w:vAlign w:val="bottom"/>
          </w:tcPr>
          <w:p>
            <w:pPr>
              <w:spacing w:after="0"/>
              <w:rPr>
                <w:sz w:val="21"/>
                <w:szCs w:val="21"/>
                <w:color w:val="auto"/>
              </w:rPr>
            </w:pPr>
          </w:p>
        </w:tc>
        <w:tc>
          <w:tcPr>
            <w:tcW w:w="9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660" w:type="dxa"/>
            <w:vAlign w:val="bottom"/>
            <w:gridSpan w:val="3"/>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11,758</w:t>
            </w: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Non-cash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660" w:type="dxa"/>
            <w:vAlign w:val="bottom"/>
            <w:gridSpan w:val="3"/>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153,048</w:t>
            </w:r>
          </w:p>
        </w:tc>
      </w:tr>
      <w:tr>
        <w:trPr>
          <w:trHeight w:val="229"/>
        </w:trPr>
        <w:tc>
          <w:tcPr>
            <w:tcW w:w="9700" w:type="dxa"/>
            <w:vAlign w:val="bottom"/>
            <w:gridSpan w:val="4"/>
          </w:tcPr>
          <w:p>
            <w:pPr>
              <w:jc w:val="right"/>
              <w:ind w:right="7080"/>
              <w:spacing w:after="0"/>
              <w:rPr>
                <w:sz w:val="20"/>
                <w:szCs w:val="20"/>
                <w:color w:val="auto"/>
              </w:rPr>
            </w:pPr>
            <w:r>
              <w:rPr>
                <w:rFonts w:ascii="Arial" w:cs="Arial" w:eastAsia="Arial" w:hAnsi="Arial"/>
                <w:sz w:val="18"/>
                <w:szCs w:val="18"/>
                <w:color w:val="auto"/>
                <w:w w:val="89"/>
              </w:rPr>
              <w:t>_____________________________</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2"/>
          </w:tcPr>
          <w:p>
            <w:pPr>
              <w:jc w:val="right"/>
              <w:ind w:right="2860"/>
              <w:spacing w:after="0"/>
              <w:rPr>
                <w:sz w:val="20"/>
                <w:szCs w:val="20"/>
                <w:color w:val="auto"/>
              </w:rPr>
            </w:pPr>
            <w:r>
              <w:rPr>
                <w:rFonts w:ascii="Arial" w:cs="Arial" w:eastAsia="Arial" w:hAnsi="Arial"/>
                <w:sz w:val="18"/>
                <w:szCs w:val="18"/>
                <w:color w:val="auto"/>
                <w:w w:val="93"/>
              </w:rPr>
              <w:t>(1) Includes the balances recognized on January 1, 2019 on adoption of ASU No. 2016-02.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648"/>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
          </w:tcPr>
          <w:p>
            <w:pPr>
              <w:jc w:val="right"/>
              <w:ind w:right="4180"/>
              <w:spacing w:after="0"/>
              <w:rPr>
                <w:sz w:val="20"/>
                <w:szCs w:val="20"/>
                <w:color w:val="auto"/>
              </w:rPr>
            </w:pPr>
            <w:r>
              <w:rPr>
                <w:rFonts w:ascii="Arial" w:cs="Arial" w:eastAsia="Arial" w:hAnsi="Arial"/>
                <w:sz w:val="18"/>
                <w:szCs w:val="18"/>
                <w:color w:val="auto"/>
                <w:w w:val="98"/>
              </w:rPr>
              <w:t>Maturities of operating lease liabilities were as follows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96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93"/>
              <w:spacing w:after="0"/>
              <w:rPr>
                <w:sz w:val="20"/>
                <w:szCs w:val="20"/>
                <w:color w:val="auto"/>
              </w:rPr>
            </w:pPr>
            <w:r>
              <w:rPr>
                <w:rFonts w:ascii="Arial" w:cs="Arial" w:eastAsia="Arial" w:hAnsi="Arial"/>
                <w:sz w:val="14"/>
                <w:szCs w:val="14"/>
                <w:b w:val="1"/>
                <w:bCs w:val="1"/>
                <w:color w:val="auto"/>
              </w:rPr>
              <w:t>Operating leases</w:t>
            </w:r>
          </w:p>
        </w:tc>
      </w:tr>
      <w:tr>
        <w:trPr>
          <w:trHeight w:val="21"/>
        </w:trPr>
        <w:tc>
          <w:tcPr>
            <w:tcW w:w="4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8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9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2019 (remainder)</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4,531</w:t>
            </w:r>
          </w:p>
        </w:tc>
      </w:tr>
      <w:tr>
        <w:trPr>
          <w:trHeight w:val="243"/>
        </w:trPr>
        <w:tc>
          <w:tcPr>
            <w:tcW w:w="1700" w:type="dxa"/>
            <w:vAlign w:val="bottom"/>
            <w:gridSpan w:val="3"/>
          </w:tcPr>
          <w:p>
            <w:pPr>
              <w:ind w:left="60"/>
              <w:spacing w:after="0"/>
              <w:rPr>
                <w:sz w:val="20"/>
                <w:szCs w:val="20"/>
                <w:color w:val="auto"/>
              </w:rPr>
            </w:pPr>
            <w:r>
              <w:rPr>
                <w:rFonts w:ascii="Arial" w:cs="Arial" w:eastAsia="Arial" w:hAnsi="Arial"/>
                <w:sz w:val="18"/>
                <w:szCs w:val="18"/>
                <w:color w:val="auto"/>
              </w:rPr>
              <w:t>2020</w:t>
            </w:r>
          </w:p>
        </w:tc>
        <w:tc>
          <w:tcPr>
            <w:tcW w:w="8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20,954</w:t>
            </w:r>
          </w:p>
        </w:tc>
      </w:tr>
      <w:tr>
        <w:trPr>
          <w:trHeight w:val="27"/>
        </w:trPr>
        <w:tc>
          <w:tcPr>
            <w:tcW w:w="6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20,843</w:t>
            </w:r>
          </w:p>
        </w:tc>
      </w:tr>
      <w:tr>
        <w:trPr>
          <w:trHeight w:val="243"/>
        </w:trPr>
        <w:tc>
          <w:tcPr>
            <w:tcW w:w="1700" w:type="dxa"/>
            <w:vAlign w:val="bottom"/>
            <w:gridSpan w:val="3"/>
          </w:tcPr>
          <w:p>
            <w:pPr>
              <w:ind w:left="60"/>
              <w:spacing w:after="0"/>
              <w:rPr>
                <w:sz w:val="20"/>
                <w:szCs w:val="20"/>
                <w:color w:val="auto"/>
              </w:rPr>
            </w:pPr>
            <w:r>
              <w:rPr>
                <w:rFonts w:ascii="Arial" w:cs="Arial" w:eastAsia="Arial" w:hAnsi="Arial"/>
                <w:sz w:val="18"/>
                <w:szCs w:val="18"/>
                <w:color w:val="auto"/>
              </w:rPr>
              <w:t>2022</w:t>
            </w:r>
          </w:p>
        </w:tc>
        <w:tc>
          <w:tcPr>
            <w:tcW w:w="8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20,889</w:t>
            </w:r>
          </w:p>
        </w:tc>
      </w:tr>
      <w:tr>
        <w:trPr>
          <w:trHeight w:val="27"/>
        </w:trPr>
        <w:tc>
          <w:tcPr>
            <w:tcW w:w="6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21,260</w:t>
            </w:r>
          </w:p>
        </w:tc>
      </w:tr>
      <w:tr>
        <w:trPr>
          <w:trHeight w:val="243"/>
        </w:trPr>
        <w:tc>
          <w:tcPr>
            <w:tcW w:w="40" w:type="dxa"/>
            <w:vAlign w:val="bottom"/>
          </w:tcPr>
          <w:p>
            <w:pPr>
              <w:spacing w:after="0"/>
              <w:rPr>
                <w:sz w:val="21"/>
                <w:szCs w:val="21"/>
                <w:color w:val="auto"/>
              </w:rPr>
            </w:pPr>
          </w:p>
        </w:tc>
        <w:tc>
          <w:tcPr>
            <w:tcW w:w="966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128,294</w:t>
            </w:r>
          </w:p>
        </w:tc>
      </w:tr>
      <w:tr>
        <w:trPr>
          <w:trHeight w:val="27"/>
        </w:trPr>
        <w:tc>
          <w:tcPr>
            <w:tcW w:w="4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9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216,771</w:t>
            </w:r>
          </w:p>
        </w:tc>
      </w:tr>
      <w:tr>
        <w:trPr>
          <w:trHeight w:val="243"/>
        </w:trPr>
        <w:tc>
          <w:tcPr>
            <w:tcW w:w="40" w:type="dxa"/>
            <w:vAlign w:val="bottom"/>
          </w:tcPr>
          <w:p>
            <w:pPr>
              <w:spacing w:after="0"/>
              <w:rPr>
                <w:sz w:val="21"/>
                <w:szCs w:val="21"/>
                <w:color w:val="auto"/>
              </w:rPr>
            </w:pPr>
          </w:p>
        </w:tc>
        <w:tc>
          <w:tcPr>
            <w:tcW w:w="9660" w:type="dxa"/>
            <w:vAlign w:val="bottom"/>
            <w:gridSpan w:val="3"/>
          </w:tcPr>
          <w:p>
            <w:pPr>
              <w:ind w:left="20"/>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(51,624)</w:t>
            </w:r>
          </w:p>
        </w:tc>
      </w:tr>
      <w:tr>
        <w:trPr>
          <w:trHeight w:val="27"/>
        </w:trPr>
        <w:tc>
          <w:tcPr>
            <w:tcW w:w="4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9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165,147</w:t>
            </w:r>
          </w:p>
        </w:tc>
      </w:tr>
      <w:tr>
        <w:trPr>
          <w:trHeight w:val="20"/>
        </w:trPr>
        <w:tc>
          <w:tcPr>
            <w:tcW w:w="4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September 30, 2019 and December 31, 2018.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 and Other Commitments</w:t>
      </w:r>
    </w:p>
    <w:p>
      <w:pPr>
        <w:spacing w:after="0" w:line="117"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We have noncancelable operating leases for our office buildings and we are obligated to make payments under noncancelable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leases for automobiles used by our sales force. Refer to Note 10 for details of the maturity of our operating lease liabilities.</w:t>
      </w:r>
    </w:p>
    <w:p>
      <w:pPr>
        <w:spacing w:after="0" w:line="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 xml:space="preserve">Other Commitments. </w:t>
      </w:r>
      <w:r>
        <w:rPr>
          <w:rFonts w:ascii="Arial" w:cs="Arial" w:eastAsia="Arial" w:hAnsi="Arial"/>
          <w:sz w:val="18"/>
          <w:szCs w:val="18"/>
          <w:color w:val="auto"/>
        </w:rPr>
        <w:t>As of September 30, 2019, we had $79.8 million of noncancelable purchase commitments due within one year, primarily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with third party manufacturers.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litigation pending that could have, individually or in the aggregate, a material adverse effect on our results of operations or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November 2016, our board of directors authorized a share repurchase program pursuant to which we are authorized to repurchase a number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having an aggregate purchase price of up to $300.0 million, exclusive of any brokerage commissions. In November and December 2018,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increased the existing share repurchase program authorization by $320.0 million and $400.0 million, respectively, thereby increasing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amount authorized to $1.02 billion. Under this program, which has no expiration date, we may repurchase ordinary shares from time to time on the open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 The timing and amount of repurchases will depend on a variety of factors, including the price of our ordinary shares, alternative investment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opportunities, restrictions under the amended credit agreement, corporate and regulatory requirements and market conditions. The share repurchase program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be modified, suspended or discontinued at any time without prior notice. In the nine months ended September 30, 2019, we spent a total of $191.1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to purchase 1.5 million of our ordinary shares under the share repurchase program at an average total purchase price, including commissions,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$131.48 per share. All ordinary shares repurchased were canceled. As of September 30, 2019, the remaining amount authorized under the share repurchase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 was $188.1 million. In October 2019, our board of directors authorized the additional repurchase of shares having an aggregate purchase price of 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$500.0 million, exclusive of any brokerage commissions.</w:t>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accumulated other comprehensive loss as of September 30, 2019 and December 31, 2018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Net Unrealized</w:t>
            </w:r>
          </w:p>
        </w:tc>
        <w:tc>
          <w:tcPr>
            <w:tcW w:w="240" w:type="dxa"/>
            <w:vAlign w:val="bottom"/>
          </w:tcPr>
          <w:p>
            <w:pPr>
              <w:spacing w:after="0"/>
              <w:rPr>
                <w:sz w:val="14"/>
                <w:szCs w:val="14"/>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 (Loss) From</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2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2"/>
                <w:szCs w:val="12"/>
                <w:color w:val="auto"/>
              </w:rPr>
            </w:pPr>
          </w:p>
        </w:tc>
        <w:tc>
          <w:tcPr>
            <w:tcW w:w="12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Activities</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(197,791)</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(56,271)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(60,632)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Other comprehensive loss, net</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(61,651)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(259,442)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During the nine months ended September 30, 2019, other comprehensive loss reflects foreign currency translation adjustments, primarily due to the weakening of the euro against the U.S. dollar, and the net unrealized loss on derivatives that qualify as cash flow hedges.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Ordinary Share</w:t>
      </w:r>
    </w:p>
    <w:p>
      <w:pPr>
        <w:spacing w:after="0" w:line="12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Basic net income per ordinary share is based on the weighted-average number of ordinary shares outstanding. Diluted net income per ordinary share is based on the weighted-average number of ordinary shares outstanding and potentially dilutive ordinary shares outstanding.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diluted net income per ordinary share were computed as follows (in thousands, except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102,276</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149,316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449,375</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287,628</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3"/>
              </w:rPr>
              <w:t>Weighted-average ordinary shares used in per share calculations -</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56,674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60,476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56,860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60,196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Dilutive effect of employee equity incentive and purchase plans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09"/>
        </w:trPr>
        <w:tc>
          <w:tcPr>
            <w:tcW w:w="5160" w:type="dxa"/>
            <w:vAlign w:val="bottom"/>
          </w:tcPr>
          <w:p>
            <w:pPr>
              <w:ind w:left="180"/>
              <w:spacing w:after="0"/>
              <w:rPr>
                <w:sz w:val="20"/>
                <w:szCs w:val="20"/>
                <w:color w:val="auto"/>
              </w:rPr>
            </w:pPr>
            <w:r>
              <w:rPr>
                <w:rFonts w:ascii="Arial" w:cs="Arial" w:eastAsia="Arial" w:hAnsi="Arial"/>
                <w:sz w:val="18"/>
                <w:szCs w:val="18"/>
                <w:color w:val="auto"/>
                <w:w w:val="93"/>
              </w:rPr>
              <w:t>Weighted-average ordinary shares used in per share calculations -</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57,438</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61,857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57,647</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61,493</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per ordinary share: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Potentially dilutive ordinary shares from our employee equity incentive and purchase plans and the Exchangeable Senior Notes are determined by applying the treasury stock method to the assumed exercise of share options, the assumed vesting of outstanding restricted stock units, or RSUs, the assumed issuance of ordinary shares under our employee stock purchase plan, or ESPP, and the assumed issuance of ordinary shares upon exchange of the Exchangeable Senior Notes. The potential issue of ordinary shares issuable upon exchange of the Exchangeable Senior Notes had no effect on diluted net income per ordinary share because the average price of our ordinary shares for the three and nine months ended September 30, 2019 and 2018 did not exceed the effective exchange prices per ordinary share of the Exchangeable Senior Notes.</w:t>
      </w:r>
    </w:p>
    <w:p>
      <w:pPr>
        <w:spacing w:after="0" w:line="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represents the weighted-average ordinary shares that were excluded from the calculation of diluted net income per ordinary share for the periods presented because including them would have an anti-dilutive effect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3"/>
          </w:tcPr>
          <w:p>
            <w:pPr>
              <w:jc w:val="center"/>
              <w:ind w:left="841"/>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82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6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ind w:right="516"/>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22"/>
                <w:szCs w:val="22"/>
                <w:color w:val="auto"/>
              </w:rPr>
            </w:pPr>
          </w:p>
        </w:tc>
        <w:tc>
          <w:tcPr>
            <w:tcW w:w="1480" w:type="dxa"/>
            <w:vAlign w:val="bottom"/>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ind w:right="516"/>
              <w:spacing w:after="0"/>
              <w:rPr>
                <w:sz w:val="20"/>
                <w:szCs w:val="20"/>
                <w:color w:val="auto"/>
              </w:rPr>
            </w:pPr>
            <w:r>
              <w:rPr>
                <w:rFonts w:ascii="Arial" w:cs="Arial" w:eastAsia="Arial" w:hAnsi="Arial"/>
                <w:sz w:val="14"/>
                <w:szCs w:val="14"/>
                <w:b w:val="1"/>
                <w:bCs w:val="1"/>
                <w:color w:val="auto"/>
                <w:w w:val="83"/>
              </w:rPr>
              <w:t>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Exchangeable Senior Notes</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5,504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5,504</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Options, RSUs and ESPP</w:t>
            </w:r>
          </w:p>
        </w:tc>
        <w:tc>
          <w:tcPr>
            <w:tcW w:w="600" w:type="dxa"/>
            <w:vAlign w:val="bottom"/>
          </w:tcPr>
          <w:p>
            <w:pPr>
              <w:jc w:val="right"/>
              <w:ind w:right="39"/>
              <w:spacing w:after="0"/>
              <w:rPr>
                <w:sz w:val="20"/>
                <w:szCs w:val="20"/>
                <w:color w:val="auto"/>
              </w:rPr>
            </w:pPr>
            <w:r>
              <w:rPr>
                <w:rFonts w:ascii="Arial" w:cs="Arial" w:eastAsia="Arial" w:hAnsi="Arial"/>
                <w:sz w:val="18"/>
                <w:szCs w:val="18"/>
                <w:color w:val="auto"/>
              </w:rPr>
              <w:t>5,062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21"/>
                <w:szCs w:val="21"/>
                <w:color w:val="auto"/>
              </w:rPr>
            </w:pPr>
          </w:p>
        </w:tc>
        <w:tc>
          <w:tcPr>
            <w:tcW w:w="1480" w:type="dxa"/>
            <w:vAlign w:val="bottom"/>
          </w:tcPr>
          <w:p>
            <w:pPr>
              <w:jc w:val="right"/>
              <w:ind w:right="21"/>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2,975</w:t>
            </w:r>
          </w:p>
        </w:tc>
      </w:tr>
      <w:tr>
        <w:trPr>
          <w:trHeight w:val="918"/>
        </w:trPr>
        <w:tc>
          <w:tcPr>
            <w:tcW w:w="60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total revenues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425,644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1,207,173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1,030,036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Erwinaze/Erwinase</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34,024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41,134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122,545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150,474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Defitelio/defibrotide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37,604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125,159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Vyxeos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29,581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21,038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89,886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75,217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Sunosi</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4,481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9,597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13,325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34,676</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532,321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1,559,075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1,402,139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5,381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4,176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20,946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12,326</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537,702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469,373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1,580,021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1,414,465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492,366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429,729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1,436,160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1,290,775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35,037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30,816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106,956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94,165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10,299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36,905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29,525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537,702</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469,373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1,580,021</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4"/>
              </w:rPr>
              <w:t>1,414,465</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presents a summary of the percentage of total revenues from customers that represented more than 10% of our total revenues: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240" w:type="dxa"/>
            <w:vAlign w:val="bottom"/>
            <w:gridSpan w:val="3"/>
          </w:tcPr>
          <w:p>
            <w:pPr>
              <w:ind w:left="940"/>
              <w:spacing w:after="0"/>
              <w:rPr>
                <w:sz w:val="20"/>
                <w:szCs w:val="20"/>
                <w:color w:val="auto"/>
              </w:rPr>
            </w:pPr>
            <w:r>
              <w:rPr>
                <w:rFonts w:ascii="Arial" w:cs="Arial" w:eastAsia="Arial" w:hAnsi="Arial"/>
                <w:sz w:val="14"/>
                <w:szCs w:val="14"/>
                <w:b w:val="1"/>
                <w:bCs w:val="1"/>
                <w:color w:val="auto"/>
                <w:w w:val="92"/>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ind w:left="980"/>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tcPr>
          <w:p>
            <w:pPr>
              <w:spacing w:after="0"/>
              <w:rPr>
                <w:sz w:val="14"/>
                <w:szCs w:val="14"/>
                <w:color w:val="auto"/>
              </w:rPr>
            </w:pPr>
          </w:p>
        </w:tc>
      </w:tr>
      <w:tr>
        <w:trPr>
          <w:trHeight w:val="192"/>
        </w:trPr>
        <w:tc>
          <w:tcPr>
            <w:tcW w:w="5000" w:type="dxa"/>
            <w:vAlign w:val="bottom"/>
          </w:tcPr>
          <w:p>
            <w:pPr>
              <w:spacing w:after="0"/>
              <w:rPr>
                <w:sz w:val="16"/>
                <w:szCs w:val="16"/>
                <w:color w:val="auto"/>
              </w:rPr>
            </w:pPr>
          </w:p>
        </w:tc>
        <w:tc>
          <w:tcPr>
            <w:tcW w:w="22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Express Scripts</w:t>
            </w:r>
          </w:p>
        </w:tc>
        <w:tc>
          <w:tcPr>
            <w:tcW w:w="15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9"/>
              </w:rPr>
              <w:t>79%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w w:val="94"/>
              </w:rPr>
              <w:t>76%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McKesson</w:t>
            </w:r>
          </w:p>
        </w:tc>
        <w:tc>
          <w:tcPr>
            <w:tcW w:w="1520" w:type="dxa"/>
            <w:vAlign w:val="bottom"/>
          </w:tcPr>
          <w:p>
            <w:pPr>
              <w:ind w:left="1140"/>
              <w:spacing w:after="0"/>
              <w:rPr>
                <w:sz w:val="20"/>
                <w:szCs w:val="20"/>
                <w:color w:val="auto"/>
              </w:rPr>
            </w:pPr>
            <w:r>
              <w:rPr>
                <w:rFonts w:ascii="Arial" w:cs="Arial" w:eastAsia="Arial" w:hAnsi="Arial"/>
                <w:sz w:val="18"/>
                <w:szCs w:val="18"/>
                <w:color w:val="auto"/>
                <w:w w:val="99"/>
              </w:rPr>
              <w:t>12%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20" w:type="dxa"/>
            <w:vAlign w:val="bottom"/>
          </w:tcPr>
          <w:p>
            <w:pPr>
              <w:ind w:left="1160"/>
              <w:spacing w:after="0"/>
              <w:rPr>
                <w:sz w:val="20"/>
                <w:szCs w:val="20"/>
                <w:color w:val="auto"/>
              </w:rPr>
            </w:pPr>
            <w:r>
              <w:rPr>
                <w:rFonts w:ascii="Arial" w:cs="Arial" w:eastAsia="Arial" w:hAnsi="Arial"/>
                <w:sz w:val="18"/>
                <w:szCs w:val="18"/>
                <w:color w:val="auto"/>
                <w:w w:val="94"/>
              </w:rPr>
              <w:t>14%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payment terms vary by the type and location of our customer but payment is generally required in a term ranging from 30 to 45 days.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deferred revenue balance as of September 30, 2019 primarily related to deferred upfront fees received from Nippon Shinyaku Co., Ltd., or Nippon Shinyaku, in connection with two license, development and commercialization agreements granting Nippon Shinyaku exclusive rights to develop and commercialize each of Defitelio and Vyxeos in Japan. We recognized contract revenues of $1.2 million and $4.2 million during the three and nine months ended September 30, 2019, respectively, relating to these upfront payments. The deferred revenue balances are being recognized over an average of four years representing the period over which we expect to perform our research and developments obligations under each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presents a reconciliation of our beginning and ending balances in contract liabilities from contracts with customers for the nine months ended September 30, 2019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14,995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Amount recognized within royalties and contract revenues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2019</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10,761</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15. Share-Based Compensation</w:t>
            </w: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940" w:type="dxa"/>
            <w:vAlign w:val="bottom"/>
            <w:gridSpan w:val="10"/>
          </w:tcPr>
          <w:p>
            <w:pPr>
              <w:ind w:left="440"/>
              <w:spacing w:after="0"/>
              <w:rPr>
                <w:sz w:val="20"/>
                <w:szCs w:val="20"/>
                <w:color w:val="auto"/>
              </w:rPr>
            </w:pPr>
            <w:r>
              <w:rPr>
                <w:rFonts w:ascii="Arial" w:cs="Arial" w:eastAsia="Arial" w:hAnsi="Arial"/>
                <w:sz w:val="18"/>
                <w:szCs w:val="18"/>
                <w:color w:val="auto"/>
                <w:w w:val="93"/>
              </w:rPr>
              <w:t>Share-based compensation expense related to share options, RSUs and grants under our ESPP was as follows (in thousands):</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20,302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61,357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57,012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6,498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17,917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13,684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1,985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5,352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share-based compensation expense, pre-tax</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28,785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25,103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84,626</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75,718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share-based compensation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share-based compensation expense, net of tax</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24,679</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21,551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72,380</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63,652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shows the number of shares underlying options granted to purchase our ordinary shares, the weighted-average assumptions used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and the resulting weighted-average grant date fair value of share options granted: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3"/>
              </w:rPr>
              <w:t>Nine Months Ended</w:t>
            </w:r>
          </w:p>
        </w:tc>
        <w:tc>
          <w:tcPr>
            <w:tcW w:w="920" w:type="dxa"/>
            <w:vAlign w:val="bottom"/>
          </w:tcPr>
          <w:p>
            <w:pPr>
              <w:spacing w:after="0"/>
              <w:rPr>
                <w:sz w:val="14"/>
                <w:szCs w:val="14"/>
                <w:color w:val="auto"/>
              </w:rPr>
            </w:pPr>
          </w:p>
        </w:tc>
      </w:tr>
      <w:tr>
        <w:trPr>
          <w:trHeight w:val="192"/>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underlying options granted (in thousands)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1,597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1,349</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42.32</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46.95</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Black-Scholes option pricing model assumption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Volatility</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term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Range of risk-free rates</w:t>
            </w:r>
          </w:p>
        </w:tc>
        <w:tc>
          <w:tcPr>
            <w:tcW w:w="360" w:type="dxa"/>
            <w:vAlign w:val="bottom"/>
          </w:tcPr>
          <w:p>
            <w:pPr>
              <w:spacing w:after="0"/>
              <w:rPr>
                <w:sz w:val="21"/>
                <w:szCs w:val="21"/>
                <w:color w:val="auto"/>
              </w:rPr>
            </w:pP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w w:val="97"/>
              </w:rPr>
              <w:t>2.7-2.8%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1.5-2.5%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93"/>
              <w:spacing w:after="0"/>
              <w:rPr>
                <w:sz w:val="20"/>
                <w:szCs w:val="20"/>
                <w:color w:val="auto"/>
              </w:rPr>
            </w:pPr>
            <w:r>
              <w:rPr>
                <w:rFonts w:ascii="Arial" w:cs="Arial" w:eastAsia="Arial" w:hAnsi="Arial"/>
                <w:sz w:val="18"/>
                <w:szCs w:val="18"/>
                <w:color w:val="auto"/>
                <w:w w:val="99"/>
              </w:rPr>
              <w:t>2.2-2.8%</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dividend yield</w:t>
            </w:r>
          </w:p>
        </w:tc>
        <w:tc>
          <w:tcPr>
            <w:tcW w:w="3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shows the number of RSUs granted covering an equal number of our ordinary shares and the weighted-average grant date fair value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RSUs granted: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granted (in thousands)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135.90</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174.73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138.50</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145.59</w:t>
            </w:r>
          </w:p>
        </w:tc>
      </w:tr>
    </w:tbl>
    <w:p>
      <w:pPr>
        <w:spacing w:after="0" w:line="391"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our ordinary shares on that date. The fair value of RSUs is expensed ratably over the vesting period, generally over four years.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As of September 30, 2019, compensation cost not yet recognized related to unvested share options and RSUs was $92.2 million and $116.1 million, respectively, which is expected to be recognized over a weighted-average period of 2.7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right="40" w:firstLine="432"/>
        <w:spacing w:after="0" w:line="283" w:lineRule="auto"/>
        <w:rPr>
          <w:sz w:val="20"/>
          <w:szCs w:val="20"/>
          <w:color w:val="auto"/>
        </w:rPr>
      </w:pPr>
      <w:r>
        <w:rPr>
          <w:rFonts w:ascii="Arial" w:cs="Arial" w:eastAsia="Arial" w:hAnsi="Arial"/>
          <w:sz w:val="16"/>
          <w:szCs w:val="16"/>
          <w:color w:val="auto"/>
        </w:rPr>
        <w:t>Our income tax provision was $10.9 million in the three months ended September 30, 2019 and our income tax benefit was $38.6 million in the nine months ended September 30, 2019, compared to an income tax provision of $19.3 million and $75.0 million for the same periods in 2018. The effective tax rates were 9.5% and (9.3)% in the three and nine months ended September 30, 2019, respectively, compared to 11.4% and 20.6% for the same periods in 2018. The decrease in the effective tax rate for the three months ended September 30, 2019 compared to the same period in 2018 was primarily due to the release of reserves related to unrecognized tax benefits upon expiration of a statute of limitations. The income tax benefit for the nine months ended September 30, 2019 includes a discrete tax benefit of $112.3 million resulting from an intra-entity intellectual property asset transfer. The tax benefit, which represents a deferred future benefit, was recorded as a deferred tax asset. The decrease in the effective tax rate for the nine months ended September 30, 2019 compared to the same period in 2018 was primarily due to the impact of the intra-entity intellectual property asset transfer. Excluding this effect, the decrease in the effective tax rate for the nine months ended September 30, 2019 compared to the same period in 2018 was primarily due to the impairment charge recognized on the Prialt assets held for sale and the impact of the loss contingency expense in 2018. The effective tax rate for the three months ended September 30, 2019 was lower than the Irish statutory rate of 12.5% primarily due to the impact of the release of reserves related to unrecognized tax benefits upon expiration of a statute of limitations. The effective tax rate for the nine months ended September 30, 2019 was lower than the Irish statutory rate of</w:t>
      </w:r>
    </w:p>
    <w:p>
      <w:pPr>
        <w:spacing w:after="0" w:line="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12.5% primarily due to the impact of the intra-entity intellectual property asset transfer. We do not provide for Irish income taxes on undistributed earnings of our foreign operations that are intended to be indefinitely reinvested in our foreign subsidiaries.</w:t>
      </w:r>
    </w:p>
    <w:p>
      <w:pPr>
        <w:spacing w:after="0" w:line="76"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Our net deferred tax liability primarily arose due to the acquisition of Celator Pharmaceuticals, Inc. The balance is net of deferred tax assets which are comprised primarily of U.S. federal and state tax credits, U.S. federal and state and foreign net operating loss carryforwards and other temporary differences. We maintain a valuation allowance against certain foreign and U.S. federal and state deferred tax assets. Each reporting period, we evaluate the need for a valuation allowance on our deferred tax assets by jurisdiction and adjust our estimates as more information becomes available.</w:t>
      </w:r>
    </w:p>
    <w:p>
      <w:pPr>
        <w:spacing w:after="0" w:line="4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Our most significant tax jurisdictions are Ireland and the U.S. (both at the federal level and in various state jurisdictions). In Ireland, we are no longer subject to income tax audits by taxing authorities for the years prior to 2014. The U.S. jurisdictions generally have statutes of limitations three to four years from the later of the return due date or the date when the return was filed. However, in the U.S. (at the federal level and in most states), carryforward tax attributes that were generated in 2015 and earlier may still be adjusted upon examination by the tax authorities. Certain of our subsidiaries are currently under examination by the French tax authorities for the years ended December 31, 2012, 2013, 2015, 2016 and 2017 and by the Italian tax authorities for the year ended December 31, 2017. These examinations may lead to ordinary course adjustments or proposed adjustments to our taxes. In December 2015, we received proposed tax assessment notices, and, in October 2018, we received revised tax assessment notices from the French tax authorities for 2012 and 2013, and in December 2018 and September 2019, we received proposed tax assessments notices from the French tax authorities for 2015, 2016 and 2017, relating to certain transfer pricing adjustments. The notices provide for additional French tax of approximately $41 million for 2012 and 2013 and approximately $12 million for 2015, 2016 and 2017 including interest and penalties through the respective dates of the proposed assessments, translated at the foreign exchange rate at September 30, 2019. We disagree with the assessments and are contesting them vigorously.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October 2019, we notified the FDA of our intention to redeem our priority review voucher for the planned NDA submission for JZP-258 in January</w:t>
      </w:r>
    </w:p>
    <w:p>
      <w:pPr>
        <w:spacing w:after="0" w:line="4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2020. As a result of this notification, we expect to amortize the cost of the priority review voucher intangible asset, of $111.1 million, in full in the fourth quarter of 2019.</w:t>
      </w:r>
    </w:p>
    <w:p>
      <w:pPr>
        <w:spacing w:after="0" w:line="2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II, Item 1A in this Quarterly Report on Form 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Jazz Pharmaceuticals plc is a global biopharmaceutical company dedicated to developing life-changing medicines for people with limited or no options. As a leader in sleep medicine and with a growing hematology/oncology portfolio, we have a diverse portfolio of products and product candidates in development.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40" w:hanging="327"/>
        <w:spacing w:after="0" w:line="233" w:lineRule="auto"/>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Sunosi</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(solriamfetol)</w:t>
      </w:r>
      <w:r>
        <w:rPr>
          <w:rFonts w:ascii="Arial" w:cs="Arial" w:eastAsia="Arial" w:hAnsi="Arial"/>
          <w:sz w:val="18"/>
          <w:szCs w:val="18"/>
          <w:color w:val="auto"/>
        </w:rPr>
        <w:t>, our newest lead marketed product launched in July 2019 and approved in the U.S. to improve wakefulness in adult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excessive daytime sleepiness, or EDS, associated with narcolepsy or obstructive sleep apnea, or OSA. We are also seeking approval for Sunosi in Europe and submitted a marketing authorization application, or MAA, to the European Medicines Agency, or EMA, in the fourth quarter of 2018;</w:t>
      </w:r>
    </w:p>
    <w:p>
      <w:pPr>
        <w:spacing w:after="0" w:line="90" w:lineRule="exact"/>
        <w:rPr>
          <w:rFonts w:ascii="Arial" w:cs="Arial" w:eastAsia="Arial" w:hAnsi="Arial"/>
          <w:sz w:val="18"/>
          <w:szCs w:val="18"/>
          <w:b w:val="1"/>
          <w:bCs w:val="1"/>
          <w:color w:val="auto"/>
        </w:rPr>
      </w:pPr>
    </w:p>
    <w:p>
      <w:pPr>
        <w:ind w:left="740" w:hanging="327"/>
        <w:spacing w:after="0" w:line="218" w:lineRule="auto"/>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Xyrem</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(sodium oxybate) oral solution</w:t>
      </w:r>
      <w:r>
        <w:rPr>
          <w:rFonts w:ascii="Arial" w:cs="Arial" w:eastAsia="Arial" w:hAnsi="Arial"/>
          <w:sz w:val="18"/>
          <w:szCs w:val="18"/>
          <w:color w:val="auto"/>
        </w:rPr>
        <w:t>, the only product approved by the U.S. Food and Drug Administration, or FDA, and marketed in the U.S.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both cataplexy and EDS in both adult and pediatric patients with narcolepsy;</w:t>
      </w:r>
    </w:p>
    <w:p>
      <w:pPr>
        <w:spacing w:after="0" w:line="91" w:lineRule="exact"/>
        <w:rPr>
          <w:rFonts w:ascii="Arial" w:cs="Arial" w:eastAsia="Arial" w:hAnsi="Arial"/>
          <w:sz w:val="18"/>
          <w:szCs w:val="18"/>
          <w:b w:val="1"/>
          <w:bCs w:val="1"/>
          <w:color w:val="auto"/>
        </w:rPr>
      </w:pPr>
    </w:p>
    <w:p>
      <w:pPr>
        <w:ind w:left="740" w:right="220" w:hanging="327"/>
        <w:spacing w:after="0" w:line="214" w:lineRule="auto"/>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90" w:lineRule="exact"/>
        <w:rPr>
          <w:rFonts w:ascii="Arial" w:cs="Arial" w:eastAsia="Arial" w:hAnsi="Arial"/>
          <w:sz w:val="18"/>
          <w:szCs w:val="18"/>
          <w:b w:val="1"/>
          <w:bCs w:val="1"/>
          <w:color w:val="auto"/>
        </w:rPr>
      </w:pPr>
    </w:p>
    <w:p>
      <w:pPr>
        <w:jc w:val="both"/>
        <w:ind w:left="740" w:right="380" w:hanging="327"/>
        <w:spacing w:after="0" w:line="260" w:lineRule="auto"/>
        <w:tabs>
          <w:tab w:leader="none" w:pos="74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w:t>
      </w:r>
    </w:p>
    <w:p>
      <w:pPr>
        <w:ind w:left="740" w:right="420" w:hanging="327"/>
        <w:spacing w:after="0" w:line="201" w:lineRule="auto"/>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liposomal 44 mg/100 mg powder for concentrate for solution for infusion) for the treatment of adults with newly-diagnosed therapy-related acute myeloid leukemia, or AML, or AML with myelodysplasia-related changes.</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to create shareholder value is focused on:</w:t>
      </w:r>
    </w:p>
    <w:p>
      <w:pPr>
        <w:spacing w:after="0" w:line="117" w:lineRule="exact"/>
        <w:rPr>
          <w:sz w:val="20"/>
          <w:szCs w:val="20"/>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financial execution through growth in sales of our current lead marketed products;</w:t>
      </w:r>
    </w:p>
    <w:p>
      <w:pPr>
        <w:spacing w:after="0" w:line="117" w:lineRule="exact"/>
        <w:rPr>
          <w:rFonts w:ascii="Arial" w:cs="Arial" w:eastAsia="Arial" w:hAnsi="Arial"/>
          <w:sz w:val="18"/>
          <w:szCs w:val="18"/>
          <w:color w:val="auto"/>
        </w:rPr>
      </w:pPr>
    </w:p>
    <w:p>
      <w:pPr>
        <w:ind w:left="740" w:right="400" w:hanging="327"/>
        <w:spacing w:after="0" w:line="286"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Building a diversified product portfolio and development pipeline through a combination of our internal research and development efforts and obtaining rights to clinically meaningful and differentiated on- or near-market products and early- to late-stage product candidates through acquisitions, collaborations, licensing arrangements, partnerships and venture investments; and</w:t>
      </w:r>
    </w:p>
    <w:p>
      <w:pPr>
        <w:spacing w:after="0" w:line="57" w:lineRule="exact"/>
        <w:rPr>
          <w:rFonts w:ascii="Arial" w:cs="Arial" w:eastAsia="Arial" w:hAnsi="Arial"/>
          <w:sz w:val="17"/>
          <w:szCs w:val="17"/>
          <w:color w:val="auto"/>
        </w:rPr>
      </w:pPr>
    </w:p>
    <w:p>
      <w:pPr>
        <w:ind w:left="740" w:right="100" w:hanging="327"/>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Maximizing the value of our products and product candidates by continuing to implement our comprehensive global development plans, including through generating additional clinical data and seeking regulatory approval for new indications.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the three and nine months ended September 30, 2019, our total net product sales increased by 14% and 11%, respectively, compared to the same periods in 2018, primarily due to an increase in Xyrem net product sales. We expect total net product sales to increase in 2019 over 2018, primarily due to expected growth in sales of Xyrem, Vyxeos and Defitelio. Our ability to increase net product sales is subject to a number of risks and uncertainties as set forth below and under “Risk Factors” in Part II, Item 1A of this Quarterly Report on Form 10-Q. For additional information regarding our net product sales, see “—Results of Operations.”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Developments Affecting Our Business During the Quarter</w:t>
      </w:r>
    </w:p>
    <w:p>
      <w:pPr>
        <w:spacing w:after="0" w:line="117"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In July 2019, we acquired from Redx Pharma plc, or Redx, a pan-RAF inhibitor program for the potential treatment of RAF and RAS mutant tumors. Under the terms of our agreement with Redx, we paid Redx $3.5 million at closing and Redx is eligible to receive up to $203 million in development, regulatory and commercial milestone payments from us, as well as incremental tiered royalties in mid-single digit percentage based on any future net sales.</w:t>
      </w:r>
    </w:p>
    <w:p>
      <w:pPr>
        <w:spacing w:after="0" w:line="3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August 2019, we announced the acquisition of Cavion, Inc., a clinical-stage biotechnology company, or Cavion, for an upfront payment of $52.5 million with the potential for additional payments of up to $260.0 million upon the achievement of certain clinical, regulatory and commercial milestones, for a total potential consideration of $312.5 million. As a result of the acquisition, we added CX-8998, now named JZP-385, a modulator of T-type calcium channels, for the potential treatment of essential tremor, to our clinical pipeline. The acquisition of Cavion was accounted for as an asset acquisition because it did not meet the definition of a business.</w:t>
      </w:r>
    </w:p>
    <w:p>
      <w:pPr>
        <w:spacing w:after="0" w:line="80"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In the third quarter of 2019, we began executing agreements with payor organizations, including pharmacy benefit managers, or PBMs, to ensure patient access for our products, including Sunosi and Xyrem, and to support the long-term success of our sleep franchise. These agreements include terms related to the payment of rebates and/or administrative fees on these products.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Continued Emphasis on Research and Development</w:t>
      </w:r>
    </w:p>
    <w:p>
      <w:pPr>
        <w:spacing w:after="0" w:line="117" w:lineRule="exact"/>
        <w:rPr>
          <w:sz w:val="20"/>
          <w:szCs w:val="20"/>
          <w:color w:val="auto"/>
        </w:rPr>
      </w:pPr>
    </w:p>
    <w:p>
      <w:pPr>
        <w:ind w:right="1240" w:firstLine="432"/>
        <w:spacing w:after="0" w:line="277" w:lineRule="auto"/>
        <w:rPr>
          <w:sz w:val="20"/>
          <w:szCs w:val="20"/>
          <w:color w:val="auto"/>
        </w:rPr>
      </w:pPr>
      <w:r>
        <w:rPr>
          <w:rFonts w:ascii="Arial" w:cs="Arial" w:eastAsia="Arial" w:hAnsi="Arial"/>
          <w:sz w:val="18"/>
          <w:szCs w:val="18"/>
          <w:color w:val="auto"/>
        </w:rPr>
        <w:t>During the nine months ended September 30, 2019, we continued our focus on research and development activities, all in our sleep and hematology/oncology therapeutic areas.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recent research and development activities included the following developments:</w:t>
      </w:r>
    </w:p>
    <w:p>
      <w:pPr>
        <w:spacing w:after="0" w:line="117" w:lineRule="exact"/>
        <w:rPr>
          <w:sz w:val="20"/>
          <w:szCs w:val="20"/>
          <w:color w:val="auto"/>
        </w:rPr>
      </w:pPr>
    </w:p>
    <w:p>
      <w:pPr>
        <w:ind w:left="740" w:right="560" w:hanging="327"/>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July 2019, we announced that we are pursuing development activities for Sunosi for the potential treatment of EDS in patients with major depressive disorder;</w:t>
      </w:r>
    </w:p>
    <w:p>
      <w:pPr>
        <w:spacing w:after="0" w:line="62" w:lineRule="exact"/>
        <w:rPr>
          <w:rFonts w:ascii="Arial" w:cs="Arial" w:eastAsia="Arial" w:hAnsi="Arial"/>
          <w:sz w:val="18"/>
          <w:szCs w:val="18"/>
          <w:color w:val="auto"/>
        </w:rPr>
      </w:pPr>
    </w:p>
    <w:p>
      <w:pPr>
        <w:ind w:left="740" w:right="100" w:hanging="327"/>
        <w:spacing w:after="0" w:line="312"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August 2019, we announced that, based on the results of a Phase 1 clinical trial, we plan to commence a single-arm, pivotal Phase 2/3 clinical trial of JZP-458, a recombinant </w:t>
      </w:r>
      <w:r>
        <w:rPr>
          <w:rFonts w:ascii="Arial" w:cs="Arial" w:eastAsia="Arial" w:hAnsi="Arial"/>
          <w:sz w:val="16"/>
          <w:szCs w:val="16"/>
          <w:i w:val="1"/>
          <w:iCs w:val="1"/>
          <w:color w:val="auto"/>
        </w:rPr>
        <w:t>Erwinia</w:t>
      </w:r>
      <w:r>
        <w:rPr>
          <w:rFonts w:ascii="Arial" w:cs="Arial" w:eastAsia="Arial" w:hAnsi="Arial"/>
          <w:sz w:val="16"/>
          <w:szCs w:val="16"/>
          <w:color w:val="auto"/>
        </w:rPr>
        <w:t xml:space="preserve"> asparaginase product candidate, for the potential treatment of ALL and lymphoblastic lymphoma, or LBL, by the end of 2019. In October 2019, the FDA granted Fast Track designation to JZP-458 for the treatment of ALL/LBL; and</w:t>
      </w:r>
    </w:p>
    <w:p>
      <w:pPr>
        <w:spacing w:after="0" w:line="38" w:lineRule="exact"/>
        <w:rPr>
          <w:rFonts w:ascii="Arial" w:cs="Arial" w:eastAsia="Arial" w:hAnsi="Arial"/>
          <w:sz w:val="16"/>
          <w:szCs w:val="16"/>
          <w:color w:val="auto"/>
        </w:rPr>
      </w:pPr>
    </w:p>
    <w:p>
      <w:pPr>
        <w:ind w:left="740" w:right="80" w:hanging="327"/>
        <w:spacing w:after="0" w:line="26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October 2019, we announced enrollment of the first patient in an exploratory Phase 2 clinical trial evaluating the ability of defibrotide to prevent neurotoxicity in patients with relapsed or refractory diffuse large B-cell lymphoma receiving chimeric antigen receptor T-cell, or CAR T-cell, therapy.</w:t>
      </w:r>
    </w:p>
    <w:p>
      <w:pPr>
        <w:spacing w:after="0" w:line="73"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Below is a summary of ongoing and planned development projects related to our products and pipeline and their corresponding current stages of development: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Sleep/Neuroscience</w:t>
      </w:r>
    </w:p>
    <w:p>
      <w:pPr>
        <w:spacing w:after="0" w:line="14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7420" w:type="dxa"/>
            <w:vAlign w:val="bottom"/>
            <w:gridSpan w:val="3"/>
          </w:tcPr>
          <w:p>
            <w:pPr>
              <w:ind w:left="660"/>
              <w:spacing w:after="0"/>
              <w:rPr>
                <w:sz w:val="20"/>
                <w:szCs w:val="20"/>
                <w:color w:val="auto"/>
              </w:rPr>
            </w:pPr>
            <w:r>
              <w:rPr>
                <w:rFonts w:ascii="Arial" w:cs="Arial" w:eastAsia="Arial" w:hAnsi="Arial"/>
                <w:sz w:val="18"/>
                <w:szCs w:val="18"/>
                <w:b w:val="1"/>
                <w:bCs w:val="1"/>
                <w:color w:val="auto"/>
              </w:rPr>
              <w:t>Description</w:t>
            </w:r>
          </w:p>
        </w:tc>
      </w:tr>
      <w:tr>
        <w:trPr>
          <w:trHeight w:val="48"/>
        </w:trPr>
        <w:tc>
          <w:tcPr>
            <w:tcW w:w="2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2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58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Submitted for Regulatory Approval</w:t>
            </w:r>
          </w:p>
        </w:tc>
        <w:tc>
          <w:tcPr>
            <w:tcW w:w="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Sunosi in the European Union, or EU</w:t>
            </w:r>
          </w:p>
        </w:tc>
        <w:tc>
          <w:tcPr>
            <w:tcW w:w="7420" w:type="dxa"/>
            <w:vAlign w:val="bottom"/>
            <w:gridSpan w:val="3"/>
          </w:tcPr>
          <w:p>
            <w:pPr>
              <w:ind w:left="660"/>
              <w:spacing w:after="0"/>
              <w:rPr>
                <w:sz w:val="20"/>
                <w:szCs w:val="20"/>
                <w:color w:val="auto"/>
              </w:rPr>
            </w:pPr>
            <w:r>
              <w:rPr>
                <w:rFonts w:ascii="Arial" w:cs="Arial" w:eastAsia="Arial" w:hAnsi="Arial"/>
                <w:sz w:val="18"/>
                <w:szCs w:val="18"/>
                <w:color w:val="auto"/>
              </w:rPr>
              <w:t>EDS in OSA and EDS in narcolepsy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Phase 3</w:t>
            </w:r>
          </w:p>
        </w:tc>
        <w:tc>
          <w:tcPr>
            <w:tcW w:w="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JZP-258 (oxybate; 92% sodium reduction)</w:t>
            </w:r>
          </w:p>
        </w:tc>
        <w:tc>
          <w:tcPr>
            <w:tcW w:w="7420" w:type="dxa"/>
            <w:vAlign w:val="bottom"/>
            <w:gridSpan w:val="3"/>
          </w:tcPr>
          <w:p>
            <w:pPr>
              <w:ind w:left="660"/>
              <w:spacing w:after="0"/>
              <w:rPr>
                <w:sz w:val="20"/>
                <w:szCs w:val="20"/>
                <w:color w:val="auto"/>
              </w:rPr>
            </w:pPr>
            <w:r>
              <w:rPr>
                <w:rFonts w:ascii="Arial" w:cs="Arial" w:eastAsia="Arial" w:hAnsi="Arial"/>
                <w:sz w:val="18"/>
                <w:szCs w:val="18"/>
                <w:color w:val="auto"/>
              </w:rPr>
              <w:t>Cataplexy and EDS in narcolepsy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JZP-258 (oxybate; 92% sodium reduction)</w:t>
            </w:r>
          </w:p>
        </w:tc>
        <w:tc>
          <w:tcPr>
            <w:tcW w:w="742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Idiopathic hypersomnia</w:t>
            </w: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Phase 2b</w:t>
            </w: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JZP-385 (CX-8998)</w:t>
            </w:r>
          </w:p>
        </w:tc>
        <w:tc>
          <w:tcPr>
            <w:tcW w:w="742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Essential tremor (planned study)</w:t>
            </w: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Oxybate once-nightly formulation</w:t>
            </w:r>
          </w:p>
        </w:tc>
        <w:tc>
          <w:tcPr>
            <w:tcW w:w="742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Narcolepsy</w:t>
            </w:r>
          </w:p>
        </w:tc>
      </w:tr>
      <w:tr>
        <w:trPr>
          <w:trHeight w:val="45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20" w:type="dxa"/>
            <w:vAlign w:val="bottom"/>
            <w:gridSpan w:val="3"/>
          </w:tcPr>
          <w:p>
            <w:pPr>
              <w:ind w:left="166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Hematology/Oncology</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560" w:type="dxa"/>
            <w:vAlign w:val="bottom"/>
            <w:gridSpan w:val="3"/>
          </w:tcPr>
          <w:p>
            <w:pPr>
              <w:ind w:left="20"/>
              <w:spacing w:after="0"/>
              <w:rPr>
                <w:sz w:val="20"/>
                <w:szCs w:val="20"/>
                <w:color w:val="auto"/>
              </w:rPr>
            </w:pPr>
            <w:r>
              <w:rPr>
                <w:rFonts w:ascii="Arial" w:cs="Arial" w:eastAsia="Arial" w:hAnsi="Arial"/>
                <w:sz w:val="18"/>
                <w:szCs w:val="18"/>
                <w:b w:val="1"/>
                <w:bCs w:val="1"/>
                <w:color w:val="auto"/>
              </w:rPr>
              <w:t>Product Candidates</w:t>
            </w: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48"/>
        </w:trPr>
        <w:tc>
          <w:tcPr>
            <w:tcW w:w="2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30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5900" w:type="dxa"/>
            <w:vAlign w:val="bottom"/>
          </w:tcPr>
          <w:p>
            <w:pPr>
              <w:spacing w:after="0"/>
              <w:rPr>
                <w:sz w:val="4"/>
                <w:szCs w:val="4"/>
                <w:color w:val="auto"/>
              </w:rPr>
            </w:pPr>
          </w:p>
        </w:tc>
      </w:tr>
      <w:tr>
        <w:trPr>
          <w:trHeight w:val="250"/>
        </w:trPr>
        <w:tc>
          <w:tcPr>
            <w:tcW w:w="4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Phase 3</w:t>
            </w:r>
          </w:p>
        </w:tc>
        <w:tc>
          <w:tcPr>
            <w:tcW w:w="9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Defitelio</w:t>
            </w:r>
          </w:p>
        </w:tc>
        <w:tc>
          <w:tcPr>
            <w:tcW w:w="6800" w:type="dxa"/>
            <w:vAlign w:val="bottom"/>
            <w:gridSpan w:val="2"/>
          </w:tcPr>
          <w:p>
            <w:pPr>
              <w:spacing w:after="0"/>
              <w:rPr>
                <w:sz w:val="20"/>
                <w:szCs w:val="20"/>
                <w:color w:val="auto"/>
              </w:rPr>
            </w:pPr>
            <w:r>
              <w:rPr>
                <w:rFonts w:ascii="Arial" w:cs="Arial" w:eastAsia="Arial" w:hAnsi="Arial"/>
                <w:sz w:val="18"/>
                <w:szCs w:val="18"/>
                <w:color w:val="auto"/>
              </w:rPr>
              <w:t>Prevention of VOD in high-risk patients following HSCT</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AML or high-risk myelodysplastic syndrome, or MDS (AML19 and AML 18) (cooperative</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group study)</w:t>
            </w: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gridSpan w:val="2"/>
          </w:tcPr>
          <w:p>
            <w:pPr>
              <w:spacing w:after="0"/>
              <w:rPr>
                <w:sz w:val="20"/>
                <w:szCs w:val="20"/>
                <w:color w:val="auto"/>
              </w:rPr>
            </w:pPr>
            <w:r>
              <w:rPr>
                <w:rFonts w:ascii="Arial" w:cs="Arial" w:eastAsia="Arial" w:hAnsi="Arial"/>
                <w:sz w:val="18"/>
                <w:szCs w:val="18"/>
                <w:color w:val="auto"/>
              </w:rPr>
              <w:t>Newly diagnosed adults with standard- and high-risk AML (cooperative group study)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Newly diagnosed pediatric patients (planned Children’s Oncology Group cooperative group</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study)</w:t>
            </w:r>
          </w:p>
        </w:tc>
      </w:tr>
      <w:tr>
        <w:trPr>
          <w:trHeight w:val="243"/>
        </w:trPr>
        <w:tc>
          <w:tcPr>
            <w:tcW w:w="4560" w:type="dxa"/>
            <w:vAlign w:val="bottom"/>
            <w:gridSpan w:val="3"/>
          </w:tcPr>
          <w:p>
            <w:pPr>
              <w:ind w:left="20"/>
              <w:spacing w:after="0"/>
              <w:rPr>
                <w:sz w:val="20"/>
                <w:szCs w:val="20"/>
                <w:color w:val="auto"/>
              </w:rPr>
            </w:pPr>
            <w:r>
              <w:rPr>
                <w:rFonts w:ascii="Arial" w:cs="Arial" w:eastAsia="Arial" w:hAnsi="Arial"/>
                <w:sz w:val="18"/>
                <w:szCs w:val="18"/>
                <w:b w:val="1"/>
                <w:bCs w:val="1"/>
                <w:color w:val="auto"/>
              </w:rPr>
              <w:t>Phase 2/3</w:t>
            </w:r>
          </w:p>
        </w:tc>
        <w:tc>
          <w:tcPr>
            <w:tcW w:w="900" w:type="dxa"/>
            <w:vAlign w:val="bottom"/>
          </w:tcPr>
          <w:p>
            <w:pPr>
              <w:spacing w:after="0"/>
              <w:rPr>
                <w:sz w:val="21"/>
                <w:szCs w:val="21"/>
                <w:color w:val="auto"/>
              </w:rPr>
            </w:pPr>
          </w:p>
        </w:tc>
        <w:tc>
          <w:tcPr>
            <w:tcW w:w="59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JZP-458 (recombinant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ALL/LBL</w:t>
            </w:r>
          </w:p>
        </w:tc>
      </w:tr>
      <w:tr>
        <w:trPr>
          <w:trHeight w:val="243"/>
        </w:trPr>
        <w:tc>
          <w:tcPr>
            <w:tcW w:w="4560" w:type="dxa"/>
            <w:vAlign w:val="bottom"/>
            <w:gridSpan w:val="3"/>
          </w:tcPr>
          <w:p>
            <w:pPr>
              <w:ind w:left="20"/>
              <w:spacing w:after="0"/>
              <w:rPr>
                <w:sz w:val="20"/>
                <w:szCs w:val="20"/>
                <w:color w:val="auto"/>
              </w:rPr>
            </w:pPr>
            <w:r>
              <w:rPr>
                <w:rFonts w:ascii="Arial" w:cs="Arial" w:eastAsia="Arial" w:hAnsi="Arial"/>
                <w:sz w:val="18"/>
                <w:szCs w:val="18"/>
                <w:b w:val="1"/>
                <w:bCs w:val="1"/>
                <w:color w:val="auto"/>
              </w:rPr>
              <w:t>Phase 2</w:t>
            </w:r>
          </w:p>
        </w:tc>
        <w:tc>
          <w:tcPr>
            <w:tcW w:w="900" w:type="dxa"/>
            <w:vAlign w:val="bottom"/>
          </w:tcPr>
          <w:p>
            <w:pPr>
              <w:spacing w:after="0"/>
              <w:rPr>
                <w:sz w:val="21"/>
                <w:szCs w:val="21"/>
                <w:color w:val="auto"/>
              </w:rPr>
            </w:pPr>
          </w:p>
        </w:tc>
        <w:tc>
          <w:tcPr>
            <w:tcW w:w="59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Defitelio</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Prevention of acute Graft versus Host Disease following allogeneic HSCT</w:t>
            </w: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Defitelio</w:t>
            </w:r>
          </w:p>
        </w:tc>
        <w:tc>
          <w:tcPr>
            <w:tcW w:w="6800" w:type="dxa"/>
            <w:vAlign w:val="bottom"/>
            <w:gridSpan w:val="2"/>
          </w:tcPr>
          <w:p>
            <w:pPr>
              <w:spacing w:after="0"/>
              <w:rPr>
                <w:sz w:val="20"/>
                <w:szCs w:val="20"/>
                <w:color w:val="auto"/>
              </w:rPr>
            </w:pPr>
            <w:r>
              <w:rPr>
                <w:rFonts w:ascii="Arial" w:cs="Arial" w:eastAsia="Arial" w:hAnsi="Arial"/>
                <w:sz w:val="18"/>
                <w:szCs w:val="18"/>
                <w:color w:val="auto"/>
              </w:rPr>
              <w:t>Prevention of CAR T-cell therapy-associated neurotoxicity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Vyxeos + venetoclax</w:t>
            </w: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 novo or relapsed/refractory, or R/R, AML (MD Anderson Cancer Center, or MD</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Anderson, collaboration study)</w:t>
            </w:r>
          </w:p>
        </w:tc>
      </w:tr>
      <w:tr>
        <w:trPr>
          <w:trHeight w:val="229"/>
        </w:trPr>
        <w:tc>
          <w:tcPr>
            <w:tcW w:w="20" w:type="dxa"/>
            <w:vAlign w:val="bottom"/>
          </w:tcPr>
          <w:p>
            <w:pPr>
              <w:spacing w:after="0"/>
              <w:rPr>
                <w:sz w:val="19"/>
                <w:szCs w:val="19"/>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gridSpan w:val="2"/>
          </w:tcPr>
          <w:p>
            <w:pPr>
              <w:spacing w:after="0"/>
              <w:rPr>
                <w:sz w:val="20"/>
                <w:szCs w:val="20"/>
                <w:color w:val="auto"/>
              </w:rPr>
            </w:pPr>
            <w:r>
              <w:rPr>
                <w:rFonts w:ascii="Arial" w:cs="Arial" w:eastAsia="Arial" w:hAnsi="Arial"/>
                <w:sz w:val="18"/>
                <w:szCs w:val="18"/>
                <w:color w:val="auto"/>
                <w:w w:val="98"/>
              </w:rPr>
              <w:t>High-risk MDS (European Myelodysplastic Syndromes Cooperative Group cooperative</w:t>
            </w: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group study)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R/R AML (Children’s Oncology Group cooperative group study)</w:t>
            </w:r>
          </w:p>
        </w:tc>
      </w:tr>
      <w:tr>
        <w:trPr>
          <w:trHeight w:val="243"/>
        </w:trPr>
        <w:tc>
          <w:tcPr>
            <w:tcW w:w="20" w:type="dxa"/>
            <w:vAlign w:val="bottom"/>
          </w:tcPr>
          <w:p>
            <w:pPr>
              <w:spacing w:after="0"/>
              <w:rPr>
                <w:sz w:val="21"/>
                <w:szCs w:val="21"/>
                <w:color w:val="auto"/>
              </w:rPr>
            </w:pPr>
          </w:p>
        </w:tc>
        <w:tc>
          <w:tcPr>
            <w:tcW w:w="4540" w:type="dxa"/>
            <w:vAlign w:val="bottom"/>
            <w:gridSpan w:val="2"/>
          </w:tcPr>
          <w:p>
            <w:pPr>
              <w:ind w:left="80"/>
              <w:spacing w:after="0"/>
              <w:rPr>
                <w:sz w:val="20"/>
                <w:szCs w:val="20"/>
                <w:color w:val="auto"/>
              </w:rPr>
            </w:pPr>
            <w:r>
              <w:rPr>
                <w:rFonts w:ascii="Arial" w:cs="Arial" w:eastAsia="Arial" w:hAnsi="Arial"/>
                <w:sz w:val="18"/>
                <w:szCs w:val="18"/>
                <w:color w:val="auto"/>
              </w:rPr>
              <w:t>Vyxeos</w:t>
            </w:r>
          </w:p>
        </w:tc>
        <w:tc>
          <w:tcPr>
            <w:tcW w:w="6800" w:type="dxa"/>
            <w:vAlign w:val="bottom"/>
            <w:gridSpan w:val="2"/>
          </w:tcPr>
          <w:p>
            <w:pPr>
              <w:spacing w:after="0"/>
              <w:rPr>
                <w:sz w:val="20"/>
                <w:szCs w:val="20"/>
                <w:color w:val="auto"/>
              </w:rPr>
            </w:pPr>
            <w:r>
              <w:rPr>
                <w:rFonts w:ascii="Arial" w:cs="Arial" w:eastAsia="Arial" w:hAnsi="Arial"/>
                <w:sz w:val="18"/>
                <w:szCs w:val="18"/>
                <w:color w:val="auto"/>
              </w:rPr>
              <w:t>Newly diagnosed older adults with high-risk AML (planned cooperative group study)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Vyxeos + venetoclax</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High-risk AML (planned cooperative group study)</w:t>
            </w:r>
          </w:p>
        </w:tc>
      </w:tr>
      <w:tr>
        <w:trPr>
          <w:trHeight w:val="243"/>
        </w:trPr>
        <w:tc>
          <w:tcPr>
            <w:tcW w:w="4560" w:type="dxa"/>
            <w:vAlign w:val="bottom"/>
            <w:gridSpan w:val="3"/>
          </w:tcPr>
          <w:p>
            <w:pPr>
              <w:ind w:left="20"/>
              <w:spacing w:after="0"/>
              <w:rPr>
                <w:sz w:val="20"/>
                <w:szCs w:val="20"/>
                <w:color w:val="auto"/>
              </w:rPr>
            </w:pPr>
            <w:r>
              <w:rPr>
                <w:rFonts w:ascii="Arial" w:cs="Arial" w:eastAsia="Arial" w:hAnsi="Arial"/>
                <w:sz w:val="18"/>
                <w:szCs w:val="18"/>
                <w:b w:val="1"/>
                <w:bCs w:val="1"/>
                <w:color w:val="auto"/>
              </w:rPr>
              <w:t>Phase 1</w:t>
            </w:r>
          </w:p>
        </w:tc>
        <w:tc>
          <w:tcPr>
            <w:tcW w:w="900" w:type="dxa"/>
            <w:vAlign w:val="bottom"/>
          </w:tcPr>
          <w:p>
            <w:pPr>
              <w:spacing w:after="0"/>
              <w:rPr>
                <w:sz w:val="21"/>
                <w:szCs w:val="21"/>
                <w:color w:val="auto"/>
              </w:rPr>
            </w:pPr>
          </w:p>
        </w:tc>
        <w:tc>
          <w:tcPr>
            <w:tcW w:w="59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Vyxeos + gemtuzumab</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R/R AML or hypomethylating agent failure MDS (MD Anderson collaboration study)</w:t>
            </w: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Vyxeos + venetoclax</w:t>
            </w:r>
          </w:p>
        </w:tc>
        <w:tc>
          <w:tcPr>
            <w:tcW w:w="6800" w:type="dxa"/>
            <w:vAlign w:val="bottom"/>
            <w:gridSpan w:val="2"/>
          </w:tcPr>
          <w:p>
            <w:pPr>
              <w:spacing w:after="0"/>
              <w:rPr>
                <w:sz w:val="20"/>
                <w:szCs w:val="20"/>
                <w:color w:val="auto"/>
              </w:rPr>
            </w:pPr>
            <w:r>
              <w:rPr>
                <w:rFonts w:ascii="Arial" w:cs="Arial" w:eastAsia="Arial" w:hAnsi="Arial"/>
                <w:sz w:val="18"/>
                <w:szCs w:val="18"/>
                <w:color w:val="auto"/>
              </w:rPr>
              <w:t>Low intensity therapy for first-line, unfit AML (Phase 1b study)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Vyxeos + various targeted agents</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First-line, fit AML (planned Phase 1b study)</w:t>
            </w: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Vyxeos</w:t>
            </w:r>
          </w:p>
        </w:tc>
        <w:tc>
          <w:tcPr>
            <w:tcW w:w="6800" w:type="dxa"/>
            <w:vAlign w:val="bottom"/>
            <w:gridSpan w:val="2"/>
          </w:tcPr>
          <w:p>
            <w:pPr>
              <w:spacing w:after="0"/>
              <w:rPr>
                <w:sz w:val="20"/>
                <w:szCs w:val="20"/>
                <w:color w:val="auto"/>
              </w:rPr>
            </w:pPr>
            <w:r>
              <w:rPr>
                <w:rFonts w:ascii="Arial" w:cs="Arial" w:eastAsia="Arial" w:hAnsi="Arial"/>
                <w:sz w:val="18"/>
                <w:szCs w:val="18"/>
                <w:color w:val="auto"/>
              </w:rPr>
              <w:t>Low intensity dosing for higher risk MDS (MD Anderson collaboration study)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IMGN632</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CD123+ hematological malignancies (Jazz opt-in opportunity with ImmunoGen, Inc.)</w:t>
            </w: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IMGN632 +/- venetoclax/azacitidine</w:t>
            </w:r>
          </w:p>
        </w:tc>
        <w:tc>
          <w:tcPr>
            <w:tcW w:w="6800" w:type="dxa"/>
            <w:vAlign w:val="bottom"/>
            <w:gridSpan w:val="2"/>
          </w:tcPr>
          <w:p>
            <w:pPr>
              <w:spacing w:after="0"/>
              <w:rPr>
                <w:sz w:val="20"/>
                <w:szCs w:val="20"/>
                <w:color w:val="auto"/>
              </w:rPr>
            </w:pPr>
            <w:r>
              <w:rPr>
                <w:rFonts w:ascii="Arial" w:cs="Arial" w:eastAsia="Arial" w:hAnsi="Arial"/>
                <w:sz w:val="18"/>
                <w:szCs w:val="18"/>
                <w:color w:val="auto"/>
              </w:rPr>
              <w:t>CD123+ AML (Jazz opt-in opportunity with ImmunoGen, Inc.; Phase 1b/2 study)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Preclinical</w:t>
            </w:r>
          </w:p>
        </w:tc>
        <w:tc>
          <w:tcPr>
            <w:tcW w:w="9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CombiPlex</w:t>
            </w:r>
          </w:p>
        </w:tc>
        <w:tc>
          <w:tcPr>
            <w:tcW w:w="6800" w:type="dxa"/>
            <w:vAlign w:val="bottom"/>
            <w:gridSpan w:val="2"/>
          </w:tcPr>
          <w:p>
            <w:pPr>
              <w:spacing w:after="0"/>
              <w:rPr>
                <w:sz w:val="20"/>
                <w:szCs w:val="20"/>
                <w:color w:val="auto"/>
              </w:rPr>
            </w:pPr>
            <w:r>
              <w:rPr>
                <w:rFonts w:ascii="Arial" w:cs="Arial" w:eastAsia="Arial" w:hAnsi="Arial"/>
                <w:sz w:val="18"/>
                <w:szCs w:val="18"/>
                <w:color w:val="auto"/>
              </w:rPr>
              <w:t>Solid tumors candidate</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CombiPlex</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Hematology/oncology exploratory activities</w:t>
            </w: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 xml:space="preserve">JZP-341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6800" w:type="dxa"/>
            <w:vAlign w:val="bottom"/>
            <w:gridSpan w:val="2"/>
          </w:tcPr>
          <w:p>
            <w:pPr>
              <w:spacing w:after="0"/>
              <w:rPr>
                <w:sz w:val="20"/>
                <w:szCs w:val="20"/>
                <w:color w:val="auto"/>
              </w:rPr>
            </w:pPr>
            <w:r>
              <w:rPr>
                <w:rFonts w:ascii="Arial" w:cs="Arial" w:eastAsia="Arial" w:hAnsi="Arial"/>
                <w:sz w:val="18"/>
                <w:szCs w:val="18"/>
                <w:color w:val="auto"/>
                <w:w w:val="99"/>
              </w:rPr>
              <w:t>ALL and other hematological malignancies (collaboration with Pfenex, Inc., or Pfenex)</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Recombinant pegaspargase</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Hematological malignancies (Jazz opt-in opportunity with Pfenex)</w:t>
            </w: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Defitelio</w:t>
            </w:r>
          </w:p>
        </w:tc>
        <w:tc>
          <w:tcPr>
            <w:tcW w:w="6800" w:type="dxa"/>
            <w:vAlign w:val="bottom"/>
            <w:gridSpan w:val="2"/>
          </w:tcPr>
          <w:p>
            <w:pPr>
              <w:spacing w:after="0"/>
              <w:rPr>
                <w:sz w:val="20"/>
                <w:szCs w:val="20"/>
                <w:color w:val="auto"/>
              </w:rPr>
            </w:pPr>
            <w:r>
              <w:rPr>
                <w:rFonts w:ascii="Arial" w:cs="Arial" w:eastAsia="Arial" w:hAnsi="Arial"/>
                <w:sz w:val="18"/>
                <w:szCs w:val="18"/>
                <w:color w:val="auto"/>
              </w:rPr>
              <w:t>Exploratory activities</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Exosome NRAS candidate</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Hematological malignancies (collaboration with Codiak Biosciences, Inc., or Codiak)</w:t>
            </w: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Exosome STAT3 candidate</w:t>
            </w:r>
          </w:p>
        </w:tc>
        <w:tc>
          <w:tcPr>
            <w:tcW w:w="6800" w:type="dxa"/>
            <w:vAlign w:val="bottom"/>
            <w:gridSpan w:val="2"/>
          </w:tcPr>
          <w:p>
            <w:pPr>
              <w:spacing w:after="0"/>
              <w:rPr>
                <w:sz w:val="20"/>
                <w:szCs w:val="20"/>
                <w:color w:val="auto"/>
              </w:rPr>
            </w:pPr>
            <w:r>
              <w:rPr>
                <w:rFonts w:ascii="Arial" w:cs="Arial" w:eastAsia="Arial" w:hAnsi="Arial"/>
                <w:sz w:val="18"/>
                <w:szCs w:val="18"/>
                <w:color w:val="auto"/>
              </w:rPr>
              <w:t>Hematological malignancies (collaboration with Codiak)</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Exosome-based candidates</w:t>
            </w: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Solid tumors/hematological malignancies (collaboration with Codiak)</w:t>
            </w:r>
          </w:p>
        </w:tc>
      </w:tr>
      <w:tr>
        <w:trPr>
          <w:trHeight w:val="243"/>
        </w:trPr>
        <w:tc>
          <w:tcPr>
            <w:tcW w:w="20" w:type="dxa"/>
            <w:vAlign w:val="bottom"/>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Pan-RAF inhibitor program</w:t>
            </w:r>
          </w:p>
        </w:tc>
        <w:tc>
          <w:tcPr>
            <w:tcW w:w="6800" w:type="dxa"/>
            <w:vAlign w:val="bottom"/>
            <w:gridSpan w:val="2"/>
          </w:tcPr>
          <w:p>
            <w:pPr>
              <w:spacing w:after="0"/>
              <w:rPr>
                <w:sz w:val="20"/>
                <w:szCs w:val="20"/>
                <w:color w:val="auto"/>
              </w:rPr>
            </w:pPr>
            <w:r>
              <w:rPr>
                <w:rFonts w:ascii="Arial" w:cs="Arial" w:eastAsia="Arial" w:hAnsi="Arial"/>
                <w:sz w:val="18"/>
                <w:szCs w:val="18"/>
                <w:color w:val="auto"/>
              </w:rPr>
              <w:t>RAF and RAS mutant tumors (acquired from Redx, which is continuing development)</w:t>
            </w:r>
          </w:p>
        </w:tc>
      </w:tr>
    </w:tbl>
    <w:p>
      <w:pPr>
        <w:spacing w:after="0" w:line="121" w:lineRule="exact"/>
        <w:rPr>
          <w:sz w:val="20"/>
          <w:szCs w:val="20"/>
          <w:color w:val="auto"/>
        </w:rPr>
      </w:pPr>
    </w:p>
    <w:p>
      <w:pPr>
        <w:jc w:val="both"/>
        <w:ind w:right="720" w:firstLine="432"/>
        <w:spacing w:after="0" w:line="264" w:lineRule="auto"/>
        <w:rPr>
          <w:sz w:val="20"/>
          <w:szCs w:val="20"/>
          <w:color w:val="auto"/>
        </w:rPr>
      </w:pPr>
      <w:r>
        <w:rPr>
          <w:rFonts w:ascii="Arial" w:cs="Arial" w:eastAsia="Arial" w:hAnsi="Arial"/>
          <w:sz w:val="18"/>
          <w:szCs w:val="18"/>
          <w:color w:val="auto"/>
        </w:rPr>
        <w:t>For the remainder of 2019 and beyond, we expect that our research and development expenses will continue to increase from historical levels, particularly as we prepare for anticipated regulatory submissions and trial data read-outs, initiate and undertake additional clinical trials and related development work on our current portfolio of products including recent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acquisitions and potentially acquire rights to additional product candidates. Our ability to continue to undertake our planned development activities, as well as the success of these activities, are subject to a number of risks and uncertainties, including the risk factors under the headings “Risks Related to Our Business” and “Risks Related to Our Industry” in Part II, Item 1A of this Quarterly Report on Form 10-Q.</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Challenges, Risks and Trends Related to Our Business</w:t>
      </w:r>
    </w:p>
    <w:p>
      <w:pPr>
        <w:spacing w:after="0" w:line="11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i w:val="1"/>
          <w:iCs w:val="1"/>
          <w:color w:val="auto"/>
        </w:rPr>
        <w:t xml:space="preserve">Xyrem. </w:t>
      </w:r>
      <w:r>
        <w:rPr>
          <w:rFonts w:ascii="Arial" w:cs="Arial" w:eastAsia="Arial" w:hAnsi="Arial"/>
          <w:sz w:val="18"/>
          <w:szCs w:val="18"/>
          <w:color w:val="auto"/>
        </w:rPr>
        <w:t>Xyrem is our largest selling product, and our financial results are significantly influenced by sales of Xyrem, which were 80% and 77%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net product sales for the three and nine months ended September 30, 2019, respectively, and 75% of our net product sales for the year ended December 31, 2018. Our future plans assume that sales of Xyrem will increase, but there is no guarantee that we can maintain sales of Xyrem at or near current levels, or that Xyrem sales will continue to grow. We have periodically increased the price of Xyrem, most recently in July 2019, and there is no guarantee that we will be able to make similar price adjustments in the future or that price adjustments we have taken or may take in the future will not negatively affect Xyrem sales volumes and revenues from Xyrem.</w:t>
      </w:r>
    </w:p>
    <w:p>
      <w:pPr>
        <w:spacing w:after="0" w:line="8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Although Xyrem is protected by patents covering its manufacture, formulation, distribution system and method of use, nine companies have sent us notices that they had filed abbreviated new drug applications, or ANDAs, seeking approval to market a generic version of Xyrem, and we have filed and settled patent lawsuits with all nine companies. To date, the FDA has approved or tentatively approved three of these ANDAs, and we believe that it is likely that the FDA will approve or tentatively approve additional ANDAs. In connection with the ANDA settlement agreements, we granted four of the ANDA filers the right to sell an authorized generic version of Xyrem, or an AG Product, and we granted each of the nine ANDA filers a license to launch its own generic sodium oxybate product. The actual timing of the launch of an AG Product or generic sodium oxybate product is uncertain because the launch dates of the AG Products and generic sodium oxybate products under our settlement agreements are subject to acceleration under certain circumstances. In the absence of any circumstances triggering acceleration, the earliest launch of an AG Product would be January 1, 2023. For a further description of the settlement agreements, including a more complete description of potential dates of market entry for an AG Product(s) and generic sodium oxybate product(s) and circumstances that might trigger acceleration of such dates, see the risk factor under the heading “</w:t>
      </w:r>
      <w:r>
        <w:rPr>
          <w:rFonts w:ascii="Arial" w:cs="Arial" w:eastAsia="Arial" w:hAnsi="Arial"/>
          <w:sz w:val="17"/>
          <w:szCs w:val="17"/>
          <w:i w:val="1"/>
          <w:iCs w:val="1"/>
          <w:color w:val="auto"/>
        </w:rPr>
        <w:t>The introduction of new products in the U.S. market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that compete with, or otherwise disrupt the market for, Xyrem would adversely affect sales of Xyrem” </w:t>
      </w:r>
      <w:r>
        <w:rPr>
          <w:rFonts w:ascii="Arial" w:cs="Arial" w:eastAsia="Arial" w:hAnsi="Arial"/>
          <w:sz w:val="17"/>
          <w:szCs w:val="17"/>
          <w:color w:val="auto"/>
        </w:rPr>
        <w:t>in Part II, Item 1A of this Quarterly Report on Form 10-Q.</w:t>
      </w:r>
    </w:p>
    <w:p>
      <w:pPr>
        <w:spacing w:after="0" w:line="72" w:lineRule="exact"/>
        <w:rPr>
          <w:sz w:val="20"/>
          <w:szCs w:val="20"/>
          <w:color w:val="auto"/>
        </w:rPr>
      </w:pPr>
    </w:p>
    <w:p>
      <w:pPr>
        <w:ind w:right="280" w:firstLine="432"/>
        <w:spacing w:after="0" w:line="255" w:lineRule="auto"/>
        <w:rPr>
          <w:sz w:val="20"/>
          <w:szCs w:val="20"/>
          <w:color w:val="auto"/>
        </w:rPr>
      </w:pPr>
      <w:r>
        <w:rPr>
          <w:rFonts w:ascii="Arial" w:cs="Arial" w:eastAsia="Arial" w:hAnsi="Arial"/>
          <w:sz w:val="18"/>
          <w:szCs w:val="18"/>
          <w:color w:val="auto"/>
        </w:rPr>
        <w:t>In addition to generic and authorized generic versions of Xyrem, we and others have launched and may in the future launch products as treatment options in cataplexy and/or EDS in patients with narcolepsy, including other branded sodium oxybate products and other new and existing branded market entrants. For example, Avadel Pharmaceuticals plc is conducting a Phase 3 clinical trial of a once-nightly formulation of sodium oxybate which uses its proprietary technology for the treatment of EDS and cataplexy in patients with narcolepsy, and has indicated that it intends to seek approval of its product candidate in the U.S. under a Section 505(b)(2) new drug application, or NDA, approval pathway. Other companies may also develop a sodium oxybate or similar product using, for example, an alternative formulation or a different delivery technology and pursue a similar regulatory approval strategy in the future.</w:t>
      </w:r>
    </w:p>
    <w:p>
      <w:pPr>
        <w:spacing w:after="0" w:line="8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Non-oxybate products intended for the treatment of EDS or cataplexy in narcolepsy, including new market entrants, even if not directly competitive with Xyrem, could have the effect of changing treatment regimens and payor coverage of Xyrem, and indirectly materially and adversely affect sales of Xyrem. Prescribers often prescribe stimulants or wake-promoting agents for treatment of EDS, and anti-depressants for cataplexy, before or instead of prescribing Xyrem, and payors often require patients to try such medications before they will cover Xyrem. It is possible that additional branded or generic products that treat symptoms of narcolepsy will also be prescribed before or instead of Xyrem, or that payors will require patients to try such products before they will cover Xyrem, or that payors will exclude Xyrem from formulary coverage in favor of a newly-launched product. Our product Sunosi, which we launched in July 2019, is an example of a new market entrant recently approved by the FDA to improve wakefulness in adult patients with EDS associated with narcolepsy or OSA. In addition, Harmony Biosciences LLC recently announced that its product, pitolisant, was approved by the FDA in August 2019 for the treatment of EDS in adult patients with narcolepsy and is expected to be commercially available in the U.S. in the fourth quarter of 2019. Pitolisant has also been approved and marketed in Europe to treat adult patients with narcolepsy with or without cataplexy.</w:t>
      </w:r>
    </w:p>
    <w:p>
      <w:pPr>
        <w:spacing w:after="0" w:line="7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The receipt of marketing approval and commercialization of an alternative product approved in the U.S. for the treatment of narcolepsy patients could negatively impact our ability to maintain and grow sales of Xyrem, including due to payor actions taken in response to the disruption of the narcolepsy market. This could have the additional impact of potentially triggering acceleration of market entry of the AG Products or other generic sodium oxybate products under our ANDA litigation settlement agreements. We expect that the approval and launch of any other sodium oxybate or alternative product that treats narcolepsy, or the launch of an AG Product or other generic version of Xyrem, could have a material adverse effect on our sales of and revenues from Xyrem and on our business, financial condition, results of operations and growth prospects.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Future Xyrem sales may also be impacted by changes to, or uncertainties around, regulatory restrictions, including changes to our current Xyrem risk evaluation and mitigation strategy, or REMS, which requires, among other things, that Xyrem be distributed through a single pharmacy. We cannot predict whether the FDA will request, seek to require or ultimately require modifications to, or impose additional requirements on, the Xyrem REMS, including in connection with the submission of applications for new oxybate products, new oxybate indications or the introduction of authorized generics, or whether the FDA will approve modifications to the Xyrem REMS that we consider warranted in connection with the submission of applications for new oxybate products. We may face pressure to further modify the Xyrem REMS or to license or share intellectual property pertinent to the Xyrem REMS, including proprietary data required for the safe distribution of sodium oxybate, in connection with the FDA’s approval of the generic sodium oxybate REMS or otherwise. Any such modifications to the Xyrem REMS approved, required or rejected by the FDA could make it more difficult or expensive for us to distribute Xyrem, make distribution easier for sodium oxybate competitors, disrupt continuity of care for Xyrem patients and/or negatively affect sales of Xyrem. We also cannot predict the impact of future implementation of a generic sodium oxybate REMS on the Xyrem REMS.</w:t>
      </w:r>
    </w:p>
    <w:p>
      <w:pPr>
        <w:spacing w:after="0" w:line="70"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i w:val="1"/>
          <w:iCs w:val="1"/>
          <w:color w:val="auto"/>
        </w:rPr>
        <w:t xml:space="preserve">Erwinaze/Erwinase. </w:t>
      </w:r>
      <w:r>
        <w:rPr>
          <w:rFonts w:ascii="Arial" w:cs="Arial" w:eastAsia="Arial" w:hAnsi="Arial"/>
          <w:sz w:val="16"/>
          <w:szCs w:val="16"/>
          <w:color w:val="auto"/>
        </w:rPr>
        <w:t>Sales of Erwinaze/Erwinase (which we refer to in this report as Erwinaze unless otherwise indicated or the context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were 6% and 8% of our net product sales for the three and nine months ended September 30, 2019, respectively, and 9% for the year ended December 31, 2018. Erwinaze is licensed from and manufactured by a single source, Porton Biopharma Limited, or PBL, a company that is wholly owned by the UK Department of Health and Social Care. Our license and supply agreement with PBL, which includes our license to Erwinaze trademarks and manufacturing know-how, expires on December 31, 2020. We and PBL had been engaged in discussions related to entry into a replacement agreement to extend the term of our commercial relationship past 2020, but we did not reach agreement. Unless we and PBL enter into a new agreement, we will lose our rights to Erwinaze effective December 31, 2020, other than our right to sell certain Erwinaze inventory for a post-termination sales period of 12 months. In such event, we may not be able to replace the product sales we would lose from Erwinaze, which in 2018 totaled $174.7 million, and our business, financial condition, results of operations and growth prospects would be materially adversely affected. In addition, we cannot predict whether and to what extent uncertainty related to our rights to, and availability of, Erwinaze after 2020 will negatively impact sales of and revenues from this product.</w:t>
      </w:r>
    </w:p>
    <w:p>
      <w:pPr>
        <w:spacing w:after="0" w:line="61"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 continuing and significant challenge to maintaining sales of Erwinaze and a barrier to increasing sales is PBL’s inability to consistently supply product adequate to meet market demand. All Erwinaze that PBL has been able to supply is currently completely absorbed by demand for the product. In addition, PBL is subject to a January 2017 warning letter issued by the FDA citing significant violations of the FDA’s current Good Manufacturing Practices, or cGMP. PBL’s product quality and manufacturing issues have resulted, and continue to result, in disruptions in our ability to supply markets from time to time and have caused, and may in the future cause, us to implement batch-specific, modified product use instructions. We have been experiencing, and continue to experience, supply disruptions globally and expect further supply disruptions for the remainder of 2019 and in 2020. These supply disruptions will continue to adversely impact our ability to generate sales of and revenues from Erwinaze and our business, financial condition, results of operations and growth prospects could be materially adversely affected.</w:t>
      </w:r>
    </w:p>
    <w:p>
      <w:pPr>
        <w:spacing w:after="0" w:line="7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i w:val="1"/>
          <w:iCs w:val="1"/>
          <w:color w:val="auto"/>
        </w:rPr>
        <w:t xml:space="preserve">Defitelio/defibrotide. </w:t>
      </w:r>
      <w:r>
        <w:rPr>
          <w:rFonts w:ascii="Arial" w:cs="Arial" w:eastAsia="Arial" w:hAnsi="Arial"/>
          <w:sz w:val="17"/>
          <w:szCs w:val="17"/>
          <w:color w:val="auto"/>
        </w:rPr>
        <w:t>Sales of Defitelio/defibrotide were 7% and 8% of our net product sales for the three and nine months ended September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and 8% for the year ended December 31, 2018. Our ability to maintain and grow sales and to realize the anticipated benefits from our investment in Defitelio is subject to a number of risks and uncertainties, including continued acceptance by hospital pharmacy and therapeutics committees in the U.S., the continued availability of favorable pricing and adequate coverage and reimbursement, the limited experience of, and need to educate, physicians in recognizing, diagnosing and treating VOD, and the limited size of the population of VOD patients who are indicated for treatment with Defitelio (particularly if changes in HSCT treatment protocols reduce the incidence of VOD diagnosis and demand for Defitelio). If sales of Defitelio do not reach the levels we expect, our anticipated revenue from the product will be negatively affected and our business, financial condition, results of operations and growth prospects could be materially adversely affected.</w:t>
      </w:r>
    </w:p>
    <w:p>
      <w:pPr>
        <w:spacing w:after="0" w:line="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i w:val="1"/>
          <w:iCs w:val="1"/>
          <w:color w:val="auto"/>
        </w:rPr>
        <w:t>Vyxeos</w:t>
      </w:r>
      <w:r>
        <w:rPr>
          <w:rFonts w:ascii="Arial" w:cs="Arial" w:eastAsia="Arial" w:hAnsi="Arial"/>
          <w:sz w:val="18"/>
          <w:szCs w:val="18"/>
          <w:color w:val="auto"/>
        </w:rPr>
        <w:t>. Sales of Vyxeos were 6% of our net product sales for the three and nine months ended September 30, 2019 and 5% of our net product sales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2018. We began selling Vyxeos in the U.S. in August 2017 following NDA approval. In August 2018, the European Commission, or EC, granted marketing authorization for Vyxeos. We are continuing our rolling launch of Vyxeos in the EU and are continuing to make pricing and reimbursement submissions in EU member states.</w:t>
      </w:r>
    </w:p>
    <w:p>
      <w:pPr>
        <w:spacing w:after="0" w:line="79"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Our ability to realize the anticipated benefits from our investment in Vyxeos is subject to a number of risks and uncertainties, including acceptance by hospital pharmacy and therapeutics committees in the U.S., the EU and other countries, the availability of adequate coverage, pricing and reimbursement approvals, competition from new and existing products and potential competition from products in development, and delays or problems in the supply or manufacture of Vyxeos. If sales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Vyxeos do not reach the levels we expect, our anticipated revenue from the product will be negatively affected, which could have a material adverse effect on our business, financial condition, results of operations and growth prospects.</w:t>
      </w:r>
    </w:p>
    <w:p>
      <w:pPr>
        <w:spacing w:after="0" w:line="62"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i w:val="1"/>
          <w:iCs w:val="1"/>
          <w:color w:val="auto"/>
        </w:rPr>
        <w:t xml:space="preserve">Sunosi/solriamfetol. </w:t>
      </w:r>
      <w:r>
        <w:rPr>
          <w:rFonts w:ascii="Arial" w:cs="Arial" w:eastAsia="Arial" w:hAnsi="Arial"/>
          <w:sz w:val="16"/>
          <w:szCs w:val="16"/>
          <w:color w:val="auto"/>
        </w:rPr>
        <w:t>The FDA approved Sunosi in March 2019, and we launched Sunosi in July 2019. In the fourth quarter of 2018, we submitted an</w:t>
      </w:r>
      <w:r>
        <w:rPr>
          <w:rFonts w:ascii="Arial" w:cs="Arial" w:eastAsia="Arial" w:hAnsi="Arial"/>
          <w:sz w:val="16"/>
          <w:szCs w:val="16"/>
          <w:i w:val="1"/>
          <w:iCs w:val="1"/>
          <w:color w:val="auto"/>
        </w:rPr>
        <w:t xml:space="preserve"> </w:t>
      </w:r>
      <w:r>
        <w:rPr>
          <w:rFonts w:ascii="Arial" w:cs="Arial" w:eastAsia="Arial" w:hAnsi="Arial"/>
          <w:sz w:val="16"/>
          <w:szCs w:val="16"/>
          <w:color w:val="auto"/>
        </w:rPr>
        <w:t>MAA to the EMA for Sunosi. We cannot predict whether our Sunosi MAA will be approved in a timely manner, or at all. Our ability to realize the anticipated benefits from our investment in Sunosi is subject to a number of risks and uncertainties, including, among other things, market acceptance of Sunosi, including our ability, in a competitive retail pharmacy market, to differentiate Sunosi from other branded and generic products that treat EDS in patients with narcolepsy with which physicians are more familiar; the availability of adequate formulary positions and pricing and adequate coverage and reimbursement by government programs and other third party payors, including the impact of any delays in coverage decisions by payors; restrictions on permitted promotional activities based on any additional limitations on the labeling for the product that may be required by the FDA in the future and any such limitations that may be required by the EC or other regulatory authority on any approved labeling; delays or problems in the supply or manufacture of Sunosi; and our ability to satisfy the FDA’s post-marketing requirements and other post-marketing requirements or commitments, if any, imposed by the EC in connection with its potential marketing authorization. If we are unable to successfully launch and commercialize Sunosi in the U.S., if we are unable to obtain approval of our Sunosi MAA in a timely manner, or at all, if the EC requires product labeling that negatively impacts patient, physician or payor acceptance of the product, or if sales of Sunosi in the U.S. and in the EU (if approved) do not reach the levels we expect, our anticipated revenue from the product will be negatively affected, which could have a material adverse effect on our business, financial condition, results of operations and growth prospects.</w:t>
      </w:r>
    </w:p>
    <w:p>
      <w:pPr>
        <w:spacing w:after="0" w:line="67"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i w:val="1"/>
          <w:iCs w:val="1"/>
          <w:color w:val="auto"/>
        </w:rPr>
        <w:t xml:space="preserve">JZP-258. </w:t>
      </w:r>
      <w:r>
        <w:rPr>
          <w:rFonts w:ascii="Arial" w:cs="Arial" w:eastAsia="Arial" w:hAnsi="Arial"/>
          <w:sz w:val="18"/>
          <w:szCs w:val="18"/>
          <w:color w:val="auto"/>
        </w:rPr>
        <w:t>In March 2019, we announced positive top-line results from our Phase 3 study evaluating the efficacy and safety of JZP-258 for the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cataplexy and EDS in adult patients with narcolepsy and presented additional data from this study publicly at an international medical conference in September 2019. We expect to submit an NDA for this product in January 2020 and plan to redeem our priority review voucher in connection with this submission. We cannot predict whether we will be able to submit our planned NDA in a timely manner or at all. Any failure or delay in successfully completing necessary clinical trials and conducting other activities, including chemistry, manufacturing and controls activities, that are required to complete our planned NDA submission and obtain regulatory approval, could materially and adversely affect our growth prospects. If we submit an NDA to the FDA for approval and the FDA determines that our safety or efficacy data do not warrant marketing approval, we may be required to conduct additional clinical trials, which could be costly and time-consuming, or we may not be able to commercialize JZP-258, in which event we would not receive any return on our investment.</w:t>
      </w:r>
    </w:p>
    <w:p>
      <w:pPr>
        <w:spacing w:after="0" w:line="89"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i w:val="1"/>
          <w:iCs w:val="1"/>
          <w:color w:val="auto"/>
        </w:rPr>
        <w:t>Other Challenges and Risks</w:t>
      </w:r>
      <w:r>
        <w:rPr>
          <w:rFonts w:ascii="Arial" w:cs="Arial" w:eastAsia="Arial" w:hAnsi="Arial"/>
          <w:sz w:val="17"/>
          <w:szCs w:val="17"/>
          <w:color w:val="auto"/>
        </w:rPr>
        <w:t>. We anticipate that we will continue to face a number of other challenges and risks to our business and our ability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execute our strategy for the remainder of 2019 and beyond. Some of these challenges and risks are specific to our business, and others are common to companies in the pharmaceutical industry with development and commercial operations. In this regard, a key aspect of our growth strategy is our continued and growing investment in research and development activities. Our ability to successfully develop product candidates for one or more indications as well as our ability to identify new indications for existing products are subject to a number of risks and uncertainties, such as the difficulty and uncertainty of pharmaceutical product development and the uncertainty of clinical success, including the risk that results from preclinical studies and/or early clinical trials may not be predictive of results obtained in later and larger clinical trials. In addition, obtaining regulatory approval for product candidates is subject to the inherent uncertainty associated with the regulatory approval process, especially as we continue to increase investment in our product pipeline development projects and undertake planned regulatory submissions for our product candidates.</w:t>
      </w:r>
    </w:p>
    <w:p>
      <w:pPr>
        <w:spacing w:after="0" w:line="7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also seek to expand our business through corporate development activities. Our ability to identify and acquire, in-license or develop additional products or product candidates to grow our business are subject to a number of risks and uncertainties, including the risks associated with business combination or product or product candidate acquisition transactions, such as the challenges inherent in the integration of acquired businesses with our historical business, the increase in geographic dispersion among our centers of operation and the risks that we may acquire unanticipated liabilities along with acquired businesses or otherwise fail to realize the anticipated benefits (commercial or otherwise) from such transactions. In addition, we may not realize the anticipated benefits of our collaborations with third parties for the acquisition and development of product candidates, including as a result of the inability of a collaboration partner to obtain and maintain adequate funding to pursue development activities or our inability to agree with our collaboration partners on our respective contractual rights.</w:t>
      </w:r>
    </w:p>
    <w:p>
      <w:pPr>
        <w:spacing w:after="0" w:line="8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are increasingly experiencing pressure from third party payors to agree to discounts, rebates or restrictive pricing terms for Xyrem. We also need to obtain adequate formulary positions and reimbursement coverage for newly-launched products such as Sunosi. Entering into agreements with payors or PBMs to ensure patient access may result in higher gross to net deductions for future periods for these products. We cannot guarantee we will be able to agree to commercially reasonable terms with PBMs and other third party payors, or that we will be able to ensure patient access to Xyrem, Sunosi or our other sleep franchise products.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In addition to increasing pricing pressure from, and restrictions on reimbursement imposed by, governmental and private third party payors, due to the attention being paid globally to healthcare cost containment, drug pricing by pharmaceutical companies is currently, and is expected to continue to be, under close scrutiny by both federal and state governments, including with respect to companies that have increased the price of products after acquiring those products from other companies. If healthcare policies or reforms intended to curb healthcare costs are adopted or if we experience negative publicity with respect to pricing of our products or the pricing of pharmaceutical drugs generally, the prices that we charge for our products, including Xyrem, may be affected, our commercial opportunity may be limited and/or our revenues from sales of our products may be negatively impacted.</w:t>
      </w:r>
    </w:p>
    <w:p>
      <w:pPr>
        <w:spacing w:after="0" w:line="57"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In addition, REMS programs have increasingly drawn public scrutiny from the U.S. Congress, the Federal Trade Commission and the FDA, with allegations that such programs are used as a means of improperly blocking or delaying competition. If we become the subject of any future government investigation with respect to drug pricing or other business practices, including as they relate to the Xyrem REMS or otherwise, we could incur significant expense and could be distracted from operation of our business and execution of our strategy.</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Any of these risks and uncertainties could have a material adverse effect on our business, financial condition, results of operations and growth prospects.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All of these risks are discussed in greater detail, along with other risks, in “Risk Factors” in Part II, Item 1A of this Quarterly Report on Form 10-Q.</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revenues and expenses (in thousands, except percentages):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Increase/</w:t>
            </w:r>
          </w:p>
        </w:tc>
        <w:tc>
          <w:tcPr>
            <w:tcW w:w="260" w:type="dxa"/>
            <w:vAlign w:val="bottom"/>
            <w:vMerge w:val="restart"/>
          </w:tcPr>
          <w:p>
            <w:pPr>
              <w:spacing w:after="0"/>
              <w:rPr>
                <w:sz w:val="14"/>
                <w:szCs w:val="14"/>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532,321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465,197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14 %  $</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1,559,075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1,402,139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Royalties and contract revenues</w:t>
            </w: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4,176</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20,946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12,326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Cost of product sales (excluding amortization of</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26,574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92,582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95,207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178,706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155,873</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522,667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521,665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79,855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51,160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202,344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169,959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62,863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46,989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181,324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154,955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N/A(1)</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42,896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w w:val="94"/>
              </w:rPr>
              <w:t>Acquired in-process research and development</w:t>
            </w: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51,775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N/A(1)</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109,975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18,920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54,017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Foreign exchange loss</w:t>
            </w: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5,181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Loss on extinguishment and modification of debt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N/A(1)</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10,903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19,348</w:t>
            </w:r>
          </w:p>
        </w:tc>
        <w:tc>
          <w:tcPr>
            <w:tcW w:w="120" w:type="dxa"/>
            <w:vAlign w:val="bottom"/>
          </w:tcPr>
          <w:p>
            <w:pPr>
              <w:spacing w:after="0"/>
              <w:rPr>
                <w:sz w:val="21"/>
                <w:szCs w:val="21"/>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N/A(1)</w:t>
            </w:r>
          </w:p>
        </w:tc>
        <w:tc>
          <w:tcPr>
            <w:tcW w:w="1000" w:type="dxa"/>
            <w:vAlign w:val="bottom"/>
          </w:tcPr>
          <w:p>
            <w:pPr>
              <w:jc w:val="right"/>
              <w:spacing w:after="0"/>
              <w:rPr>
                <w:sz w:val="20"/>
                <w:szCs w:val="20"/>
                <w:color w:val="auto"/>
              </w:rPr>
            </w:pPr>
            <w:r>
              <w:rPr>
                <w:rFonts w:ascii="Arial" w:cs="Arial" w:eastAsia="Arial" w:hAnsi="Arial"/>
                <w:sz w:val="18"/>
                <w:szCs w:val="18"/>
                <w:color w:val="auto"/>
              </w:rPr>
              <w:t>(38,631)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75,018</w:t>
            </w:r>
          </w:p>
        </w:tc>
        <w:tc>
          <w:tcPr>
            <w:tcW w:w="10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loss of investees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_____________________________</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w w:val="99"/>
              </w:rPr>
              <w:t>(1) Comparison to prior period not meaningful.</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ind w:right="3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net product sales, royalties and contract revenues, and total revenues (in thousands, except percentages):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425,644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357,251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1,207,173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1,030,036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Erwinaze/Erwinase</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34,024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41,134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122,545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150,474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Defitelio/defibrotide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36,177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125,159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111,736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Vyxeos</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29,581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21,038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89,886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75,217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Sunosi</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N/A(1)</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4,481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9,597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13,325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34,676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532,321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465,197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1,559,075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1,402,139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5,381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4,176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20,946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12,326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537,702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469,373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1,580,021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1,414,465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Xyrem product sales increased in the three and nine months ended September 30, 2019 compared to the same periods in 2018 due to a higher average net selling price and, to a lesser extent, an increase in sales volume. Price increases were instituted in July 2019 and January 2019. Xyrem product sales volume increased by 6% in the three and nine months ended September 30, 2019 compared to the same periods in 2018 primarily driven by an increase in the average number of patients on Xyrem. Erwinaze/Erwinase product sales decreased in the three and nine months ended September 30, 2019 compared to the same periods in 2018 primarily due to a decrease in product availability. Ongoing supply challenges at PBL continue to negatively impact our ability to supply the market. We have been experiencing, and continue to experience, supply disruptions globally and expect further supply disruptions during 2019 and 2020. Defitelio/defibrotide product sales increased in the three and nine months ended September 30, 2019 compared to the same periods in 2018 primarily due to higher sales volumes as a result of increased use by transplant centers that treat adult and pediatric patients. Vyxeos product sales increased in the three and nine months ended September 30, 2019 compared to the same periods in 2018 following the commercial launch in the EU in September 2018. Sunosi product sales in the three and nine months ended September 30, 2019 were $1.0 million following its U.S. launch in July 2019. Other product sales decreased in the three and nine months ended September 30, 2019 compared to the same periods in 2018 primarily due to the sale of our rights to Prialt to TerSera Therapeutics LLC, or TerSera, in September 2018. We expect total product sales will increase in 2019 over 2018, primarily due to expected growth in sales of Xyrem, Vyxeos and Defitelio.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11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Royalties and contract revenues increased in the three and nine months ended September 30, 2019 compared to the same periods in 2018 due to higher contract revenues from out-licensing agreements. We expect royalties and contract revenues to increase in 2019 compared to 2018, due to higher contract revenues from out-licensing arrangements.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17"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Cost of product sales increased in the three months ended September 30, 2019 compared to the same period in 2018 primarily due to product mix. Cost of product sales decreased in the nine months ended September 30, 2019 compared to the same period in 2018 primarily due to product mix. Gross margin as a percentage of net product sales was 94.1% for the three and nine months ended September 30, 2019 compared to 94.3% and 93.2%, respectively, for the same periods in 2018. We do not expect our gross margin as a percentage of net product sales to change materially in 2019 compared to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Selling, general and administrative expenses increased in the three months ended September 30, 2019 compared to the same period in 2018 primarily due to higher expenses related to the launch of Sunosi in the U.S., an increase in compensation-related expenses driven by higher headcount, and an increase in other expenses related to the expansion and support of our business. Selling, general and administrative expenses in the nine months ended September 30, 2019 were in line with the same period in 2018 as higher expenses related to the launch of Sunosi in the U.S., an increase in compensation-related expenses driven by higher headcount, and an increase in other expenses related to the expansion and support of our business, were offset by a loss contingency of $57.0 million recorded in the 2018 period. In April 2019, we finalized a settlement agreement with the U.S. Department of Justice and the Office of Inspector General. For a further description of this matter, see the risk factors under the heading “Other Risks Related to Our Business and Industry” in Part II, Item 1A of this report. We expect selling, general and administrative expenses in 2019 to increase compared to 2018, primarily due to an increase in compensation-related expenses driven by higher headcount and other expenses related to the expansion and support of our business including an increase in expenses related to the commercial launch of Sunosi in the U.S., the continuation of the commercial launch of Vyxeos in the EU and the preparation for the planned commercial launch of Sunosi in the EU.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Research and development expenses consist primarily of costs related to clinical studies and outside services, personnel expenses, milestone payments and other research and development costs. Clinical studies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ind w:left="540"/>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studies and outside services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33,753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97,018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86,889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Personnel expenses</w:t>
            </w:r>
          </w:p>
        </w:tc>
        <w:tc>
          <w:tcPr>
            <w:tcW w:w="360" w:type="dxa"/>
            <w:vAlign w:val="bottom"/>
          </w:tcPr>
          <w:p>
            <w:pPr>
              <w:spacing w:after="0"/>
              <w:rPr>
                <w:sz w:val="21"/>
                <w:szCs w:val="21"/>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24,506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17,340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66,671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52,588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Milestone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11,000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10,596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7,319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27,655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19,482</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79,855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202,344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169,959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Research and development expenses increased by $28.7 million and $32.4 million in the three and nine months ended September 30, 2019, respectively, compared to the same periods in 2018. Clinical studies and outside services costs increased by $7.3 million and $10.1 million in the three and nine months ended September 30, 2019, respectively, compared to the same periods in 2018 primarily due to an increase in expenses related to our ongoing pre-clinical and clinical development programs and regulatory activities. Personnel expenses increased by $7.2 million and $14.1 million in the three and nine months ended September 30, 2019, respectively, compared to the same periods in 2018, primarily due to increased headcount in support of our development programs. Milestone expense of $11.0 million in the three and nine months ended September 30, 2019 related to a milestone payable under the license and option agreement with Pfenex, which we entered into in July 2016 and amended in December 2017, for worldwide rights to develop and commercialize multiple early-stage hematology product candidates. Milestone expense of $11.0 million in the nine months ended September 30, 2018 related to milestone payments following FDA acceptance of our NDA for Sunosi in March 2018.</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80" w:firstLine="432"/>
        <w:spacing w:after="0" w:line="219" w:lineRule="exact"/>
        <w:rPr>
          <w:sz w:val="20"/>
          <w:szCs w:val="20"/>
          <w:color w:val="auto"/>
        </w:rPr>
      </w:pPr>
      <w:r>
        <w:rPr>
          <w:rFonts w:ascii="Arial" w:cs="Arial" w:eastAsia="Arial" w:hAnsi="Arial"/>
          <w:sz w:val="18"/>
          <w:szCs w:val="18"/>
          <w:color w:val="auto"/>
        </w:rPr>
        <w:t>For the remainder of 2019 and beyond, we expect that our research and development expenses will continue to increase from historical levels, particularly as we prepare for anticipated regulatory submissions and data read-outs from clinical trials, initiate and undertake additional clinical trials and related development work on our current portfolio of products including recent acquisitions and potentially acquire rights to additional product candidates. A discussion of the risks and uncertainties with respect to our research and development activities, including completing the development of and regulatory submissions for our product candidates, and the consequences to our business, financial position and growth prospects can be found in “Risk Factors” in Part II, Item 1A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Intangible asset amortization increased by $15.9 million in the three months ended September 30, 2019 compared to the same period in 2018, primarily due to the reduction in the estimated remaining useful life of the Erwinaze intangible asset resulting from the contract termination notice we received from PBL in February 2019. Intangible asset amortization increased by $26.4 million in the nine months ended September 30, 2019 compared to the same period in 2018, primarily due to the reduction in the estimated remaining useful life of the Erwinaze intangible asset, partially offset by the cessation of amortization of the Prialt intangible asset following our entry into an Asset Purchase Agreement, or APA, with TerSera in 2018. Intangible asset amortization is expected to increase in 2019 compared to 2018 as a result of the amortization in full of our priority review voucher intangible asset in the fourth quarter of 2019 and the reduction in the estimated remaining useful life of the Erwinaze intangible asset.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w:t>
      </w:r>
    </w:p>
    <w:p>
      <w:pPr>
        <w:spacing w:after="0" w:line="117"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In 2018, we entered into an APA with TerSera, pursuant to which TerSera purchased substantially all of the assets held by us related to Prialt. In connection with the entry into the APA, we reclassified the Prialt assets to be transferred to TerSera as assets held for sale and recorded these assets at fair value, less estimated sales costs, resulting in the recognition of an impairment charge of $42.9 million in the nine months ended September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jc w:val="both"/>
        <w:ind w:right="480" w:firstLine="432"/>
        <w:spacing w:after="0" w:line="286" w:lineRule="auto"/>
        <w:rPr>
          <w:sz w:val="20"/>
          <w:szCs w:val="20"/>
          <w:color w:val="auto"/>
        </w:rPr>
      </w:pPr>
      <w:r>
        <w:rPr>
          <w:rFonts w:ascii="Arial" w:cs="Arial" w:eastAsia="Arial" w:hAnsi="Arial"/>
          <w:sz w:val="17"/>
          <w:szCs w:val="17"/>
          <w:color w:val="auto"/>
        </w:rPr>
        <w:t>Acquired IPR&amp;D expense in the three months ended September 30, 2019 primarily related to the value attributed to JZP-385 in the acquisition of Cavion. Acquired IPR&amp;D expense in the nine months ended September 30, 2019 primarily related to an upfront payment of $56.0 million to Codiak in connection with our strategic collaboration agreement and the value attributed to JZP-385 in the acquisition of Cavion.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Interest expense, net decreased by $1.1 million and $5.2 million in the three and nine months ended September 30, 2019, respectively, compared to the same periods in 2018, primarily due to higher interest income. We expect interest expense, net will be lower in 2019 compared to 2018, primarily due to higher interest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117"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foreign exchange loss is primarily related to the translation of euro-denominated net monetary liabilities, primarily intercompany balances, held by subsidiaries with a U.S. dollar functional currency and related foreign exchange forward contracts not designated as hedging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and Modification of Debt</w:t>
      </w:r>
    </w:p>
    <w:p>
      <w:pPr>
        <w:spacing w:after="0" w:line="117"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In the nine months ended September 30, 2018, we recorded a loss of $1.4 million in connection with the amendment of our 2015 credit agreement in June 2018, related to unamortized debt issuance costs and original issue discount associated with extinguished debt and new third party fees associated with modified debt.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7"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Our income tax provision was $10.9 million in the three months ended September 30, 2019 and our income tax benefit was $38.6 million in the nine months ended September 30, 2019, compared to an income tax provision of $19.3 million and $75.0 million for the same periods in 2018. The effective tax rates were 9.5% and (9.3)% in the three and nine months ended September 30, 2019, respectively, compared to 11.4% and 20.6% for the same periods in 2018. The decrease in the effective tax rate for the three months ended September 30, 2019 compared to the same period in 2018 was primarily due to the release of reserves related to unrecognized tax benefits upon expiration of a statute of limitations. The income tax benefit for the nine months ended September 30, 2019 includes a discrete tax benefit of $112.3 million resulting from an intra-entity intellectual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property asset transfer. The tax benefit, which represents a deferred future benefit, was recorded as a deferred tax asset. The decrease in the effective tax rate for the nine months ended September 30, 2019 compared to the same period in 2018 was primarily due to the impact of the intra-entity intellectual property asset transfer. Excluding this effect, the decrease in the effective tax rate for the nine months ended September 30, 2019 compared to the same period in 2018 was primarily due to the impairment charge recognized on the Prialt assets held for sale and the impact of the loss contingency expense in 2018. The effective tax rate for the three months ended September 30, 2019 was lower than the Irish statutory rate of 12.5% primarily due to the impact of the release of reserves related to unrecognized tax benefits upon expiration of a statute of limitations. The effective tax rate for the nine months ended September 30, 2019 was lower than the Irish statutory rate of 12.5% primarily due to the impact of the intra-entity intellectual property asset transfer.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 of Investees</w:t>
      </w:r>
    </w:p>
    <w:p>
      <w:pPr>
        <w:spacing w:after="0" w:line="11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Equity in loss of investees relates to our share in the loss of companies in which we have made investments accounted for under the equity method of accounting.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2019, we had cash, cash equivalents and investments of $1.1 billion, borrowing availability under our revolving credit facility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$1.6 billion and long-term debt principal balance of $1.8 billion. Our long-term debt included $626.0 million aggregate principal amount term loan,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$575.0 million principal amount of our 1.875% exchangeable senior notes due 2021 and $575.0 million principal amount of our 1.50% exchangeable senior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2024. We generated cash flows from operations of $688.6 million during the nine months ended September 30, 2019, and we expect to continue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generate positive cash flows from operations for the remainder of 2019.</w:t>
      </w:r>
    </w:p>
    <w:p>
      <w:pPr>
        <w:spacing w:after="0" w:line="103"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 xml:space="preserve">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in Part II, Item 1A of this Quarterly Report on Form 10-Q under the headings “Risks Related to Xyrem and Our Other Marketed Products” and </w:t>
      </w:r>
      <w:r>
        <w:rPr>
          <w:rFonts w:ascii="Arial" w:cs="Arial" w:eastAsia="Arial" w:hAnsi="Arial"/>
          <w:sz w:val="17"/>
          <w:szCs w:val="17"/>
          <w:i w:val="1"/>
          <w:iCs w:val="1"/>
          <w:color w:val="auto"/>
        </w:rPr>
        <w:t>“To continue to grow our business, we will need to commit substantial resources, which could result in future losses or otherwise limit our opportunities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or affect our ability to operate our business.” </w:t>
      </w:r>
      <w:r>
        <w:rPr>
          <w:rFonts w:ascii="Arial" w:cs="Arial" w:eastAsia="Arial" w:hAnsi="Arial"/>
          <w:sz w:val="17"/>
          <w:szCs w:val="17"/>
          <w:color w:val="auto"/>
        </w:rPr>
        <w:t>Our assumptions may prove to be wrong or other factors may adversely affect our business, and as a result we</w:t>
      </w:r>
      <w:r>
        <w:rPr>
          <w:rFonts w:ascii="Arial" w:cs="Arial" w:eastAsia="Arial" w:hAnsi="Arial"/>
          <w:sz w:val="17"/>
          <w:szCs w:val="17"/>
          <w:i w:val="1"/>
          <w:iCs w:val="1"/>
          <w:color w:val="auto"/>
        </w:rPr>
        <w:t xml:space="preserve"> </w:t>
      </w:r>
      <w:r>
        <w:rPr>
          <w:rFonts w:ascii="Arial" w:cs="Arial" w:eastAsia="Arial" w:hAnsi="Arial"/>
          <w:sz w:val="17"/>
          <w:szCs w:val="17"/>
          <w:color w:val="auto"/>
        </w:rPr>
        <w:t>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7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Any equity financing would be dilutive to our shareholders, and the consent of the lenders under the amended credit agreement could be required for certain financings.</w:t>
      </w:r>
    </w:p>
    <w:p>
      <w:pPr>
        <w:spacing w:after="0" w:line="74"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In November 2016, our board of directors authorized a new share repurchase program pursuant to which we were authorized to repurchase a number of ordinary shares having an aggregate purchase price of up to $300 million, exclusive of any brokerage commissions. In November and December 2018, our board of directors increased the existing share repurchase program authorization by $320.0 million and $400.0 million, respectively, thereby increasing the total amount authorized to $1.02 billion.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our amended credit agreement, corporate and regulatory requirements and market conditions. The repurchase program may be modified, suspended or discontinued at any time without prior notice. In the nine months ended September 30, 2019, we spent a total of $191.1 million to purchase 1.5 million of our ordinary shares under the share repurchase program at an average total purchase price, including commissions, of $131.48 per share. All ordinary shares repurchased were canceled. As of September 30, 2019, the remaining amount authorized under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share repurchase program was $188.1 million. In October 2019, our board of directors authorized the additional repurchase of shares having an aggregate purchase price of up to $500.0 million, exclusive of any brokerage commissions.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our cash flows for the periods indicated (in thousands):</w:t>
      </w:r>
    </w:p>
    <w:p>
      <w:pPr>
        <w:spacing w:after="0" w:line="163"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688,603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580,808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(434,479)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485,553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112,983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Net cash provided by operating activities of $688.6 million for the nine months ended September 30, 2019 related to net income of $449.4 million, adjusted for acquired IPR&amp;D expense of $110.0 million and non-cash items of $142.7 million primarily related to intangible asset amortization, share-based compensation expense and deferred income taxes, offset by a net cash outflow of $13.5 million related to changes in operating assets and liabilities. Net cash provided by operating activities of $580.8 million for the nine months ended September 30, 2018 related to net income of $287.6 million, adjusted for non-cash items of $286.7 million primarily related to intangible asset amortization, share-based compensation expense, impairment charges and a net cash inflow of $6.5 million related to changes in operating assets and liabilities.</w:t>
      </w:r>
    </w:p>
    <w:p>
      <w:pPr>
        <w:spacing w:after="0" w:line="70" w:lineRule="exact"/>
        <w:rPr>
          <w:sz w:val="20"/>
          <w:szCs w:val="20"/>
          <w:color w:val="auto"/>
        </w:rPr>
      </w:pPr>
    </w:p>
    <w:p>
      <w:pPr>
        <w:ind w:right="360" w:firstLine="432"/>
        <w:spacing w:after="0" w:line="291" w:lineRule="auto"/>
        <w:rPr>
          <w:sz w:val="20"/>
          <w:szCs w:val="20"/>
          <w:color w:val="auto"/>
        </w:rPr>
      </w:pPr>
      <w:r>
        <w:rPr>
          <w:rFonts w:ascii="Arial" w:cs="Arial" w:eastAsia="Arial" w:hAnsi="Arial"/>
          <w:sz w:val="16"/>
          <w:szCs w:val="16"/>
          <w:color w:val="auto"/>
        </w:rPr>
        <w:t>Net cash provided by investing activities for the nine months ended September 30, 2019 related to the net proceeds on maturity of investments of $234.0 million, partially offset by milestone payments of $80.5 million triggered by FDA approval of Sunosi in March 2019 and subsequent U.S. Drug Enforcement Agency scheduling in June 2019, upfront payments for acquired IPR&amp;D of $61.7 million primarily related to our strategic collaboration agreement with Codiak, consideration, net of cash acquired of $55.1 million related to our acquisition of Cavion and purchases of property, plant and equipment of $33.0 million. Net cash used in investing activities for the nine months ended September 30, 2018 primarily related to the net acquisition of investments of $356.3 million, acquisition of intangible assets of $111.1 million related to the purchase of a priority review voucher and purchases of property, plant and equipment of $15.2 million, partially offset by net proceeds of $48.1 million from the sale of our rights to Prialt to TerSera.</w:t>
      </w:r>
    </w:p>
    <w:p>
      <w:pPr>
        <w:spacing w:after="0" w:line="5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Net cash used in financing activities for the nine months ended September 30, 2019 related to repurchase of ordinary shares under our share repurchase program of $191.1 million, repayment of our term loan principal of $25.0 million and payment of employee withholding taxes of $15.9 million related to share-based awards, partially offset by proceeds from employee equity incentive and purchase plans of $26.1 million. Net cash used in financing activities for the nine months ended September 30, 2018 related to repurchase of ordinary shares under our share repurchase program of $77.0 million, repayment of our term loan principal of $17.4 million, payment of employee withholding taxes of $17.2 million related to share-based awards and payment of debt modification costs of $6.4 million, partially offset by proceeds from employee equity incentive and purchase plans of $84.1 million and proceeds from tenant improvement allowance on a build-to-suit lease of $1.3 million.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summary of our outstanding indebtedness under our financing arrangements is included in Note 9, Debt, of the Notes to Condensed Consolidated Financial Statements included in Part I, Item 1 of this Quarterly Report on Form 10-Q. As of September 30, 2019, no amounts were outstanding under our revolving credit facility. During the nine months ended September 30, 2019, there were no material changes to our credit agreement and the Exchangeable Senior Notes, as set forth in Note 11, Debt, of the Notes to Consolidated Financial Statements included in our Annual Report on Form 10-K for the year ended December 31,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During the three and nine months ended September 30, 2019, there were no material changes to our contractual obligations as set forth in Part II, Item 7 “Management’s Discussion and Analysis of Financial Condition and Results of Operations” in our Annual Report on Form 10-K for the year ended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To understand our financial statements, it is important to understand our critical accounting estimates. The preparation of our financial statements in conformity with U.S. generally accepted accounting principles requires us to make estimates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in particular estimates of government rebates, which include Medicaid and TRICARE rebates, and estimated product returns. Significant estimates and assumptions are also required to determine whether to capitalize intangible assets, the amortization periods for identifiable intangible assets, the potential impairment of goodwill and other intangible assets, income taxes and share-based compensation.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7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Our critical accounting policies and significant estimates are detailed in our Annual Report on Form 10-K for the year ended December 31, 2018. Except for the operating leases and financing obligations policy that was updated as a result of adopting Accounting Standards Update No. 2016-02, “Leases”, our critical accounting policies and significant estimates have not changed substantially from those previously disclosed in our Annual Report on Form 10-K for the year ended December 31,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risk factors in greater detail under Part II, Item 1A of this Quarterly Report on Form 10-Q. 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27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During the three and nine months ended September 30, 2019, there were no material changes to our market risk disclosures as set forth in Part II, Item 7A “Quantitative and Qualitative Disclosures About Market Risk” in our Annual Report on Form 10-K for the year ended December 31, 2018.</w:t>
      </w:r>
    </w:p>
    <w:p>
      <w:pPr>
        <w:spacing w:after="0" w:line="22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We have carried out an evaluation under the supervision and with the participation of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who is both our principal executive officer and interim principal financial officer, of our disclosure controls and procedures (as defined in Rule 13a-15(e) of the Securities Exchange Act of 1934, as amended) as of the end of the period covered by this Quarterly Report on Form 10-Q. Based on his evaluation, our chief executive officer, who is both our principal executive officer and interim principal financial officer, concluded that our disclosure controls and procedures were effective as of September 30, 2019.</w:t>
      </w:r>
    </w:p>
    <w:p>
      <w:pPr>
        <w:spacing w:after="0" w:line="8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i w:val="1"/>
          <w:iCs w:val="1"/>
          <w:color w:val="auto"/>
        </w:rPr>
        <w:t xml:space="preserve">Limitations on the Effectiveness of Controls. </w:t>
      </w:r>
      <w:r>
        <w:rPr>
          <w:rFonts w:ascii="Arial" w:cs="Arial" w:eastAsia="Arial" w:hAnsi="Arial"/>
          <w:sz w:val="18"/>
          <w:szCs w:val="18"/>
          <w:color w:val="auto"/>
        </w:rPr>
        <w:t>A control system, no matter how well conceived and operated, can provide only reasonable, not absolute,</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that the objectives of the control system are met. Because of inherent limitations in all control systems, no evaluation of controls can provide absolute assurance that all control issues, if any, within an organization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have been detected. Accordingly, our disclosure controls and procedures are designed to provide reasonable, not absolute, assurance that the objectives of our disclosure control system are met and, as set forth above, our chief executive officer, who is both our principal executive officer and interim principal financial officer, has concluded, based on his evaluation as of the end of the period covered by this report, that our disclosure controls and procedures were effective to provide reasonable assurance that the objectives of our disclosure control system were met.</w:t>
      </w:r>
    </w:p>
    <w:p>
      <w:pPr>
        <w:spacing w:after="0" w:line="63"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During the quarter ended September 30, 2019, there have been no changes to our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over financial reporting that have materially affected, or are reasonably likely to materially affect, our internal control over financial reporting.</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5"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260" w:firstLine="432"/>
        <w:spacing w:after="0" w:line="219" w:lineRule="exact"/>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including our condensed consolidated financial statements and accompanying notes.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Xyrem and Our Other Marketed Products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Xyrem is our largest selling product, and our inability to maintain or increase sales of Xyrem would have a material adverse effect on our business, financial condition, results of operations and growth prospects.</w:t>
      </w:r>
    </w:p>
    <w:p>
      <w:pPr>
        <w:spacing w:after="0" w:line="62" w:lineRule="exact"/>
        <w:rPr>
          <w:sz w:val="20"/>
          <w:szCs w:val="20"/>
          <w:color w:val="auto"/>
        </w:rPr>
      </w:pPr>
    </w:p>
    <w:p>
      <w:pPr>
        <w:ind w:right="60" w:firstLine="432"/>
        <w:spacing w:after="0" w:line="241" w:lineRule="auto"/>
        <w:rPr>
          <w:sz w:val="20"/>
          <w:szCs w:val="20"/>
          <w:color w:val="auto"/>
        </w:rPr>
      </w:pPr>
      <w:r>
        <w:rPr>
          <w:rFonts w:ascii="Arial" w:cs="Arial" w:eastAsia="Arial" w:hAnsi="Arial"/>
          <w:sz w:val="18"/>
          <w:szCs w:val="18"/>
          <w:color w:val="auto"/>
        </w:rPr>
        <w:t>Xyrem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(sodium oxybate) oral solution is the only product approved by the U.S. Food and Drug Administration, or FDA, and marketed in the U.S. for the treatment of both cataplexy and excessive daytime sleepiness, or EDS, in both adult and pediatric patients with narcolepsy. Xyrem is our largest selling product, and our financial results are significantly influenced by sales of Xyrem, which accounted for 80% and 77% of our net product sales for the three and nine months ended September 30, 2019, respectively, and 75% of our net product sales for the year ended December 31, 2018. Our future plans assume that sales of Xyrem will increase, but there is no guarantee that we can maintain sales of Xyrem at or near current levels, or that Xyrem sales will continue to grow. We have periodically increased the price of Xyrem, most recently in July 2019, and there is no guarantee that we will be able to make similar price adjustments in the future or that price adjustments we have taken or may take in the future will not negatively affect Xyrem sales volumes and revenues from Xyrem.</w:t>
      </w:r>
    </w:p>
    <w:p>
      <w:pPr>
        <w:spacing w:after="0" w:line="9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ability to maintain or increase Xyrem product sales is subject to a number of risks and uncertainties. The most important of these risks and uncertainties, any of which could have a material adverse effect on our sales of and revenue from Xyrem, are discussed in more detail in this Part II, Item 1A and include those related to:</w:t>
      </w:r>
    </w:p>
    <w:p>
      <w:pPr>
        <w:spacing w:after="0" w:line="73" w:lineRule="exact"/>
        <w:rPr>
          <w:sz w:val="20"/>
          <w:szCs w:val="20"/>
          <w:color w:val="auto"/>
        </w:rPr>
      </w:pPr>
    </w:p>
    <w:p>
      <w:pPr>
        <w:ind w:left="720" w:right="360" w:hanging="320"/>
        <w:spacing w:after="0" w:line="22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of new products in the U.S. market that compete with, or otherwise disrupt the market for, Xyrem in the treatment of cataplexy and/or EDS in narcolepsy, such as pitolisant, which was approved by FDA in August 2019 for the treatment of EDS in adult patients with narcolepsy, and our recently-launched product, Sunosi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(solriamfetol);</w:t>
      </w:r>
    </w:p>
    <w:p>
      <w:pPr>
        <w:ind w:left="720" w:right="100" w:hanging="320"/>
        <w:spacing w:after="0" w:line="264"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introduction of a generic version of Xyrem in the U.S. market before the entry dates specified in our settlements with the abbreviated new drug application, or ANDA, filers or on terms that are different from those contemplated by the settlement agreements;</w:t>
      </w:r>
    </w:p>
    <w:p>
      <w:pPr>
        <w:ind w:left="720" w:right="20" w:hanging="320"/>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pricing pressure from, changes in policies by, or restrictions on reimbursement imposed by, third party payors, including pressure to agree to new or additional discounts, rebates or restrictive pricing terms for Xyrem;</w:t>
      </w:r>
    </w:p>
    <w:p>
      <w:pPr>
        <w:ind w:left="720" w:hanging="320"/>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healthcare laws and policy, including changes in requirements for patient assistance programs, rebates, reimbursement and coverage by federal healthcare programs, and changes resulting from increased scrutiny on pharmaceutical pricing and risk evaluation and mitigation strategy, or REMS, programs by government entities;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to or uncertainties around our Xyrem REMS, or any failure to comply with our REMS obligations to the satisfaction of the FDA;</w:t>
      </w:r>
    </w:p>
    <w:p>
      <w:pPr>
        <w:spacing w:after="0" w:line="20" w:lineRule="exact"/>
        <w:rPr>
          <w:rFonts w:ascii="Arial" w:cs="Arial" w:eastAsia="Arial" w:hAnsi="Arial"/>
          <w:sz w:val="17"/>
          <w:szCs w:val="17"/>
          <w:color w:val="auto"/>
        </w:rPr>
      </w:pPr>
    </w:p>
    <w:p>
      <w:pPr>
        <w:ind w:left="720" w:right="80" w:hanging="320"/>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to our intellectual property around Xyrem, including the possibility of new ANDA or new drug application, or NDA, filers or new post-grant patent review proceedings;</w:t>
      </w:r>
    </w:p>
    <w:p>
      <w:pPr>
        <w:ind w:left="720" w:hanging="320"/>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operational disruptions at the Xyrem central pharmacy;</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supply or manufacturing problems, including any problems with our sole source Xyrem active pharmaceutical ingredient, or API, provider;</w:t>
      </w:r>
    </w:p>
    <w:p>
      <w:pPr>
        <w:spacing w:after="0" w:line="20" w:lineRule="exact"/>
        <w:rPr>
          <w:rFonts w:ascii="Arial" w:cs="Arial" w:eastAsia="Arial" w:hAnsi="Arial"/>
          <w:sz w:val="17"/>
          <w:szCs w:val="17"/>
          <w:color w:val="auto"/>
        </w:rPr>
      </w:pPr>
    </w:p>
    <w:p>
      <w:pPr>
        <w:ind w:left="720" w:hanging="320"/>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continued acceptance of Xyrem by physicians and patients, including as a result of negative publicity that surfaces from time to time; and</w:t>
      </w:r>
    </w:p>
    <w:p>
      <w:pPr>
        <w:spacing w:after="0" w:line="20" w:lineRule="exact"/>
        <w:rPr>
          <w:rFonts w:ascii="Arial" w:cs="Arial" w:eastAsia="Arial" w:hAnsi="Arial"/>
          <w:sz w:val="17"/>
          <w:szCs w:val="17"/>
          <w:color w:val="auto"/>
        </w:rPr>
      </w:pPr>
    </w:p>
    <w:p>
      <w:pPr>
        <w:ind w:left="720" w:hanging="320"/>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to our label, including new safety warnings or changes to our boxed warning, that further restrict how we market and sell Xyrem.</w:t>
      </w:r>
    </w:p>
    <w:p>
      <w:pPr>
        <w:spacing w:after="0" w:line="11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If sales of Xyrem were to decline significantly, we might need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introduction of new products in the U.S. market that compete with, or otherwise disrupt the market for, Xyrem would adversely affect sales of Xyrem.</w:t>
      </w:r>
    </w:p>
    <w:p>
      <w:pPr>
        <w:spacing w:after="0" w:line="15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While Xyrem is currently the only product approved by the FDA and marketed in the U.S. for the treatment of both cataplexy and EDS in patients with narcolepsy, we and others have launched and may in the future launch products as treatment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options in cataplexy and/or EDS in narcolepsy, including other branded sodium oxybate products and other new and existing branded market entrants, that are competitive with Xyrem. In addition, Xyrem will face competition from generics and authorized generics. We expect that the approval and launch of any other sodium oxybate or alternative product that treats narcolepsy, or the launch of an authorized generic product, or AG Product, or other generic version of Xyrem, could have a material adverse effect on our sales of and revenues from Xyrem and on our business, financial condition, results of operations and growth prospects.</w:t>
      </w:r>
    </w:p>
    <w:p>
      <w:pPr>
        <w:spacing w:after="0" w:line="80"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With respect to generic and authorized generic competition, nine companies sent us notices that they filed ANDAs with the FDA seeking approval to market a generic version of Xyrem, and we filed patent lawsuits against each of them, asserting that such generic products would violate our patents covering Xyrem. We have settled the patent litigation with all nine companies. In our settlement with the first filer, West-Ward Pharmaceuticals Corp. (a wholly owned subsidiary of Hikma Pharmaceuticals PLC), or West-Ward, we granted West-Ward the right to sell an AG Product in the U.S. beginning on January 1, 2023, or earlier under certain circumstances. These include circumstances related to the licensing or market entry of another generic sodium oxybate product, a final decision that all unexpired claims of the Xyrem patents are invalid and/or unenforceable, or a substantial reduction in Xyrem net sales over specified periods of time. West-Ward has a right to elect to continue to sell the West-Ward AG Product for a total of up to five years. We also granted West-Ward a license to launch its own generic sodium oxybate product as early as six months after it has the right to sell the West-Ward AG Product, but if it elects to begin selling its own generic product, it cannot continue to sell the West-Ward AG Product. In our settlements with Amneal Pharmaceuticals LLC, or Amneal, Lupin Inc., or Lupin, and Par Pharmaceutical, Inc., or Par, we granted each party the right to sell a limited volume of an AG Product in the U.S. beginning on July 1, 2023, or earlier under certain circumstances, including events related to the acceleration of West-Ward’s AG Product launch date, the earlier launch of another party’s AG Product, the launch of another generic sodium oxybate product or a final decision that all unexpired claims of the Xyrem patents are invalid and/or unenforceable. We also granted each of Amneal, Lupin and Par a license to launch its own generic sodium oxybate product under its ANDA on or after December 31, 2025, or earlier under certain circumstances, including events related to the launch of another generic sodium oxybate product or a final decision that all unexpired claims of the Xyrem patents are not infringed, or are invalid and/or unenforceable. If an acceleration event occurs, then each of Amneal, Par and Lupin will have the option to elect to market its AG Product until December 31, 2025, but will not be entitled to market its AG Product and its own generic sodium oxybate product simultaneously. Under the terms of our settlement agreements, we are entitled to receive royalty and other revenue based on sales of AG Products. In our settlements with each of the other five ANDA filers, we granted each a license to launch its own generic sodium oxybate product under its ANDA on or after December 31, 2025, or earlier under certain circumstances, including the launch of another generic sodium oxybate product.</w:t>
      </w:r>
    </w:p>
    <w:p>
      <w:pPr>
        <w:spacing w:after="0" w:line="80"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In order to launch a generic sodium oxybate product, an ANDA filer must obtain and maintain FDA approval of its ANDA. In January 2017, the FDA approved West-Ward’s ANDA and tentatively approved two additional ANDAs for generic sodium oxybate products, and we believe that it is likely that the FDA will approve or tentatively approve the additional ANDAs that have been filed.</w:t>
      </w:r>
    </w:p>
    <w:p>
      <w:pPr>
        <w:spacing w:after="0" w:line="73"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Any ANDA holder launching an AG Product or another generic sodium oxybate product will independently establish the price of the AG Product and/or its own generic sodium oxybate product. Generic competition often results in decreases in the prices at which branded products can be sold. After any introduction of a generic product, whether or not it is an AG Product, a significant percentage of the prescriptions written for Xyrem may be filled with the generic product. Certain U.S. state laws allow for, and in some instances in the absence of specific instructions from the prescribing physician mandate, the dispensing of generic products rather than branded products when a generic version is available. This would result in reduction in sales of, and revenue from, Xyrem, although we would continue to receive royalty and other revenue based on sales of an AG Product in accordance with the terms of our settlement agreements. For more information on the impact of generic competition, see the risk factors under the heading “</w:t>
      </w:r>
      <w:r>
        <w:rPr>
          <w:rFonts w:ascii="Arial" w:cs="Arial" w:eastAsia="Arial" w:hAnsi="Arial"/>
          <w:sz w:val="17"/>
          <w:szCs w:val="17"/>
          <w:i w:val="1"/>
          <w:iCs w:val="1"/>
          <w:color w:val="auto"/>
        </w:rPr>
        <w:t>Adequate coverage and reimbursement from</w:t>
      </w:r>
      <w:r>
        <w:rPr>
          <w:rFonts w:ascii="Arial" w:cs="Arial" w:eastAsia="Arial" w:hAnsi="Arial"/>
          <w:sz w:val="17"/>
          <w:szCs w:val="17"/>
          <w:color w:val="auto"/>
        </w:rPr>
        <w:t xml:space="preserve"> </w:t>
      </w:r>
      <w:r>
        <w:rPr>
          <w:rFonts w:ascii="Arial" w:cs="Arial" w:eastAsia="Arial" w:hAnsi="Arial"/>
          <w:sz w:val="17"/>
          <w:szCs w:val="17"/>
          <w:i w:val="1"/>
          <w:iCs w:val="1"/>
          <w:color w:val="auto"/>
        </w:rPr>
        <w:t>third party payors may not be available for our products, which could diminish our sales or affect our ability to sell our products profitably</w:t>
      </w:r>
      <w:r>
        <w:rPr>
          <w:rFonts w:ascii="Arial" w:cs="Arial" w:eastAsia="Arial" w:hAnsi="Arial"/>
          <w:sz w:val="17"/>
          <w:szCs w:val="17"/>
          <w:color w:val="auto"/>
        </w:rPr>
        <w:t>” and “</w:t>
      </w:r>
      <w:r>
        <w:rPr>
          <w:rFonts w:ascii="Arial" w:cs="Arial" w:eastAsia="Arial" w:hAnsi="Arial"/>
          <w:sz w:val="17"/>
          <w:szCs w:val="17"/>
          <w:i w:val="1"/>
          <w:iCs w:val="1"/>
          <w:color w:val="auto"/>
        </w:rPr>
        <w:t xml:space="preserve">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 </w:t>
      </w:r>
      <w:r>
        <w:rPr>
          <w:rFonts w:ascii="Arial" w:cs="Arial" w:eastAsia="Arial" w:hAnsi="Arial"/>
          <w:sz w:val="17"/>
          <w:szCs w:val="17"/>
          <w:color w:val="auto"/>
        </w:rPr>
        <w:t>in this Part II, Item 1A.</w:t>
      </w:r>
    </w:p>
    <w:p>
      <w:pPr>
        <w:spacing w:after="0" w:line="75"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It is possible that additional companies may file ANDAs seeking to market a generic version of Xyrem which could lead to additional patent litigation or challenges with respect to Xyrem. Such patent litigation or challenges could potentially trigger acceleration of the launch dates in our settlement agreements. For example, the launch dates in our settlement agreements would be accelerated if a new ANDA filer were to obtain a final decision prior to January 1, 2023 that all unexpired claims of the Xyrem patents are invalid and/or unenforceable. Alternatively, the launch dates in our settlement agreements could be accelerated if a new ANDA filer were to obtain FDA approval for its sodium oxybate product, and launch its generic product through a generic sodium oxybate REMS before the entry dates specified in our settlement agreements, if, for example, we are unable to obtain an injunction or because that party launches “at risk” of being held liable for damages for patent infringement. It is also possible that we could enter into a settlement agreement with a future ANDA filer that would permit such filer to enter the market on or prior to the launch date(s) in our settlement agreements. If a company launches a generic or authorized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generic sodium oxybate product in any of these scenarios, except in limited circumstances related to an “at risk” launch, the launch date for West-Ward’s AG Product would be accelerated to a date on or prior to the date of such entry, which could lead to acceleration of the other settling ANDA filers’ AG Product and generic sodium oxybate product launch dates as described above. For further discussion of Xyrem-related patent matters, see the risk factors under the heading “Risks Related to Our Intellectual Property” in this Part II, Item 1A.</w:t>
      </w:r>
    </w:p>
    <w:p>
      <w:pPr>
        <w:spacing w:after="0" w:line="7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Another circumstance that could trigger acceleration of West-Ward’s launch date for an AG Product, which would also accelerate Amneal, Lupin and Par’s launch dates for their AG Products and ultimately could lead to acceleration of the other settling ANDA filers’ launch dates for their generic sodium oxybate products, is a substantial reduction in Xyrem net sales. Such a reduction could occur under various circumstances, including if we introduce, or a third party introduces, a product to treat EDS or cataplexy in narcolepsy that leads to a substantial decline in Xyrem net sales prior to January 1, 2023. For example, we are developing JZP-258, an oxybate product candidate that contains 92% less sodium than Xyrem, for the treatment of cataplexy and EDS in adult patients with narcolepsy. In March 2019, we announced positive top-line results from a Phase 3 study of JZP-258. We expect to submit an NDA for this product in January 2020 and plan to redeem our priority review voucher in connection with this submission. Given the well-accepted relationship between dietary sodium and blood pressure as well as published hypertension guidelines underscoring that excessive consumption of sodium is independently associated with an increased risk of stroke, cardiovascular disease and other adverse outcomes, we believe that significantly lowering sodium intake would be beneficial for patients. Other companies may similarly develop a sodium oxybate product for treatment of narcolepsy, using an alternative formulation or a different delivery technology, and seek approval in the U.S. using an NDA approval pathway under Section 505(b)(2) and referencing the safety and efficacy data for Xyrem, which could lead to additional patent litigation or challenges. We are aware that Avadel Pharmaceuticals plc, or Avadel, is conducting a Phase 3 clinical trial of a once-nightly formulation of sodium oxybate which uses its proprietary technology for the treatment of EDS and cataplexy in patients with narcolepsy, and has indicated that it intends to seek approval using the Section 505(b)(2) approval pathway. Approval and successful commercialization of JZP-258 or Avadel’s sodium oxybate formulation, or any other new non-generic sodium oxybate or other product for treatment of narcolepsy patients could negatively impact our ability to maintain and grow sales of Xyrem.</w:t>
      </w:r>
    </w:p>
    <w:p>
      <w:pPr>
        <w:spacing w:after="0" w:line="70" w:lineRule="exact"/>
        <w:rPr>
          <w:sz w:val="20"/>
          <w:szCs w:val="20"/>
          <w:color w:val="auto"/>
        </w:rPr>
      </w:pPr>
    </w:p>
    <w:p>
      <w:pPr>
        <w:ind w:right="40" w:firstLine="432"/>
        <w:spacing w:after="0" w:line="258" w:lineRule="auto"/>
        <w:rPr>
          <w:sz w:val="20"/>
          <w:szCs w:val="20"/>
          <w:color w:val="auto"/>
        </w:rPr>
      </w:pPr>
      <w:r>
        <w:rPr>
          <w:rFonts w:ascii="Arial" w:cs="Arial" w:eastAsia="Arial" w:hAnsi="Arial"/>
          <w:sz w:val="17"/>
          <w:szCs w:val="17"/>
          <w:color w:val="auto"/>
        </w:rPr>
        <w:t>Although, as noted above, Xyrem is currently the only product approved by the FDA and marketed in the U.S. for the treatment of cataplexy associated with narcolepsy, we are aware that prescribers often prescribe branded or generic medications for cataplexy before prescribing or instead of prescribing Xyrem, and that payors often require patients to try such medications before they will cover Xyrem, even if they are not approved for this use. For example, prescribers often treat mild cataplexy with drugs that have not been approved by the FDA for this indication, including tricyclic antidepressants and selective serotonin reuptake inhibitors or selective norepinephrine reuptake inhibitors. We are also aware that branded or generic stimulants may be prescribed off label for treatment of EDS in narcolepsy. Wake-promoting agents Provigil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(modafinil) and Nuvigil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(armodafinil), and their generic equivalents are approved for the treatment of EDS in narcolepsy and other conditions, and may be used in conjunction with or instead of Xyrem. Prescribers often prescribe these medications before prescribing or instead of prescribing Xyrem, and payors often require patients to try such medications before they will cover Xyrem. Payors could also choose to exclude Xyrem from formulary coverage in favor of a newly-launched product for the treatment of symptoms of narcolepsy, which could impact access to Xyrem, particularly for newly-diagnosed narcolepsy patients.</w:t>
      </w:r>
    </w:p>
    <w:p>
      <w:pPr>
        <w:spacing w:after="0" w:line="8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The distribution and sale of Xyrem are subject to significant regulatory restrictions, including the requirements of a REMS, and these regulatory requirements subject us to risks and uncertainties, any of which could negatively impact sales of Xyrem.</w:t>
      </w:r>
    </w:p>
    <w:p>
      <w:pPr>
        <w:spacing w:after="0" w:line="38"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The active ingredient of Xyrem, sodium oxybate, is the sodium salt of gamma-hydroxybutyric acid, or GHB, a central nervous system depressant known to be associated with facilitated sexual assault as well as with respiratory depression and other serious side effects. As a result, the FDA requires that we maintain a REMS with elements to assure safe use, or ETASU, for Xyrem to help ensure that the benefits of the drug in the treatment of cataplexy and EDS in narcolepsy outweigh the serious risks of the drug. The REMS imposes extensive controls and restrictions on the sales and marketing of Xyrem that we are responsible for implementing. For example, under the Xyrem REMS, all of the Xyrem sold in the U.S. must be dispensed and shipped directly to patients or caregivers through a central pharmacy, and may not be stocked in retail pharmacies. Physicians and patients must complete an enrollment process prior to fulfillment of Xyrem prescriptions, and each physician and patient must receive materials concerning the serious risks associated with Xyrem before the physician can prescribe, or a patient can receive, the product. The central certified pharmacy must monitor and report instances of patient or prescriber behavior giving rise to a reasonable suspicion of abuse, misuse or diversion of Xyrem, and maintains enrollment and prescription monitoring information in a central database. Any failure to comply with our REMS obligations, or a determination by the FDA that the Xyrem REMS is not meeting its goals, could result in enforcement action by the FDA, lead to changes in our Xyrem REMS obligations, negatively affect sales of Xyrem, result in additional costs and expenses for us and/or require us to invest a significant amount of resources, any of which could materially and adversely affect our business, financial condition, results of operations and growth prospects.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While we believe that the Xyrem REMS has met its goal of mitigating the risks of serious adverse outcomes resulting from inappropriate prescribing, misuse, abuse and diversion of Xyrem, we cannot guarantee that the FDA will agree or that the Xyrem REMS will continue to do so in the future. We are required to prepare and submit regular assessments of the Xyrem REMS, and the FDA has stated that it will evaluate the REMS on an ongoing basis and will require modifications as may be appropriate. We cannot predict whether the FDA will request, seek to require or ultimately require modifications to, or impose additional requirements on, the Xyrem REMS, including in connection with the submission of applications for new oxybate products, new oxybate indications, or the introduction of authorized generics, or whether the FDA will approve modifications to the Xyrem REMS that we consider warranted in connection with the submission of applications for new oxybate products. Any modifications approved, required or rejected by the FDA could change the safety profile of Xyrem, and have a significant negative impact in terms of product liability, public acceptance of Xyrem as a treatment for cataplexy and EDS in narcolepsy, and prescribers’ willingness to prescribe, and patients’ willingness to take, Xyrem, any of which could have a material adverse effect on our Xyrem business. Modifications approved, required or rejected by the FDA could also make it more difficult or expensive for us to distribute Xyrem, make distribution easier for sodium oxybate competitors, disrupt continuity of care for Xyrem patients and/or negatively affect sales of Xyrem.</w:t>
      </w:r>
    </w:p>
    <w:p>
      <w:pPr>
        <w:spacing w:after="0" w:line="6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October 2018, the FDA approved a modification to the Xyrem REMS in connection with our submission of our pediatric supplemental NDA to include information for pediatric patients and their caregivers and, in March 2019, we completed the implementation of the approved REMS modification. We have also submitted and expect to continue to submit ongoing assessments as required by the FDA. However, we cannot guarantee that the ongoing assessments will be completed on our expected timing or be satisfactory to the FDA, or that the operation of the Xyrem REMS will satisfy the FDA’s expectations in its evaluation of the Xyrem REMS on an ongoing basis.</w:t>
      </w:r>
    </w:p>
    <w:p>
      <w:pPr>
        <w:spacing w:after="0" w:line="8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depend on outside vendors, including the central certified pharmacy, to implement the requirements of the Xyrem REMS. We have an exclusive agreement with Express Scripts Specialty Distribution Services, Inc., the central pharmacy for Xyrem, which expires on July 1, 2020. The agreement may be terminated by either party at any time without cause on 180 days’ prior written notice to the other party. If the central pharmacy fails to meet the requirements of the Xyrem REMS applicable to the central pharmacy or otherwise does not fulfill its contractual obligations to us, provides timely notice that it wants to terminate our agreement, refuses or fails to adequately serve patients, or fails to promptly and adequately address operational challenges or challenges in implementing REMS modifications, the fulfillment of Xyrem prescriptions and our sales would be adversely affected. If we change to a new central pharmacy, new contracts might be required with government payors and other insurers who pay for Xyrem, and the terms of any new contracts could be less favorable to us than current agreements. In addition, any new central pharmacy would need to be registered with the U.S. Drug Enforcement Administration, or DEA, and certified and would also need to implement the particular processes, procedures and activities necessary to distribute Xyrem under the Xyrem REMS. Transitioning to a new pharmacy could result in product shortages, which would negatively affect sales of Xyrem, result in additional costs and expenses for us and/or take a significant amount of time, any of which could materially and adversely affect our business, financial condition, results of operations and growth prospects.</w:t>
      </w:r>
    </w:p>
    <w:p>
      <w:pPr>
        <w:spacing w:after="0" w:line="72"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A generic version of a drug subject to a REMS with ETASU is required to have the same REMS as the brand drug, and generics and brands are mandated to use a single shared system REMS. However, the FDA may waive this requirement for a single shared system and approve an ANDA with a separate REMS with differing but comparable aspects of ETASU under certain circumstances. In its approval of West-Ward’s ANDA, the FDA waived the shared REMS requirement, approving West-Ward’s ANDA with a generic sodium oxybate REMS, on the condition that the generic sodium oxybate REMS be open to all future sponsors of ANDAs or NDAs for sodium oxybate products. In connection with the waiver, FDA issued a statement that it considers the generic sodium oxybate REMS to have the same ETASU as the Xyrem REMS and operationalizes those elements in a comparable manner to achieve the same level of safety as the Xyrem REMS. However, the generic sodium oxybate REMS, unlike the Xyrem REMS, permits multiple certified pharmacies and multiple databases that are connected via an electronic “switch” system. The generic sodium oxybate REMS also requires the certified pharmacies in its system to contact the Xyrem REMS program to verify that the patient has no other active prescriptions for Xyrem that overlap with the generic prescription to be filled and to identify any patient and prescriber disenrollments from the Xyrem system for suspected abuse, misuse and diversion.</w:t>
      </w:r>
    </w:p>
    <w:p>
      <w:pPr>
        <w:spacing w:after="0" w:line="61"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We were not involved in development of the generic sodium oxybate REMS and were not consulted regarding any features of this REMS. A sodium oxybate distribution system that is less restrictive than the Xyrem REMS, such as the generic sodium oxybate REMS, which provides that generic sodium oxybate products and potentially sodium oxybate products approved under a Section 505(b)(2) NDA approval pathway could be distributed through multiple pharmacies, could increase the risks associated with sodium oxybate distribution. Because patients, consumers and others may not differentiate generic sodium oxybate from Xyrem or differentiate between the different REMS programs, any negative outcomes, including risks to the public, caused by or otherwise related to a separate sodium oxybate REMS, could have a significant negative impact in terms of product liability, our reputation and good will, public acceptance of Xyrem as a treatment for cataplexy and EDS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narcolepsy, and prescribers’ willingness to prescribe, and patients’ willingness to take, Xyrem, any of which could have a material adverse effect on our Xyrem business.</w:t>
      </w:r>
    </w:p>
    <w:p>
      <w:pPr>
        <w:spacing w:after="0" w:line="62"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We may face pressure to further modify the Xyrem REMS or to license or share intellectual property pertinent to the Xyrem REMS, including proprietary data required for the safe distribution of sodium oxybate, in connection with the FDA’s approval of the generic sodium oxybate REMS or otherwise. Our settlement agreements with ANDA filers do not directly impact the FDA’s waiver of the single shared system REMS requirement, any other ANDA filer’s ability to develop and implement the generic sodium oxybate REMS for its generic sodium oxybate product or our ability to take any action with respect to the generic sodium oxybate REMS. We cannot predict the outcome or impact on our business of any future action that we may take with respect to the FDA’s waiver of the single shared system REMS requirement, its approval and tentative approval of generic versions of Xyrem or the consequences of distribution of sodium oxybate through the generic sodium oxybate REMS approved by the FDA or another separate REMS.</w:t>
      </w:r>
    </w:p>
    <w:p>
      <w:pPr>
        <w:spacing w:after="0" w:line="59" w:lineRule="exact"/>
        <w:rPr>
          <w:sz w:val="20"/>
          <w:szCs w:val="20"/>
          <w:color w:val="auto"/>
        </w:rPr>
      </w:pPr>
    </w:p>
    <w:p>
      <w:pPr>
        <w:ind w:firstLine="432"/>
        <w:spacing w:after="0" w:line="259" w:lineRule="auto"/>
        <w:rPr>
          <w:sz w:val="20"/>
          <w:szCs w:val="20"/>
          <w:color w:val="auto"/>
        </w:rPr>
      </w:pPr>
      <w:r>
        <w:rPr>
          <w:rFonts w:ascii="Arial" w:cs="Arial" w:eastAsia="Arial" w:hAnsi="Arial"/>
          <w:sz w:val="17"/>
          <w:szCs w:val="17"/>
          <w:color w:val="auto"/>
        </w:rPr>
        <w:t>REMS programs have increasingly drawn public scrutiny from the U.S. Congress, the Federal Trade Commission, or FTC, and the FDA, with allegations that such programs are used as a means of improperly blocking or delaying competition. The U.S. Congress, for example, has introduced proposed legislation aimed at preventing companies from using REMS and other restricted distribution programs as a means to deny potential competitors access to product samples needed for bioequivalence testing. The FDA has stated that it will seek to coordinate with the FTC in identifying and publicizing practices the FTC finds to be anticompetitive and has further stated that the FDA has concerns related to the role of REMS programs in delaying approval of generic products. For example, in May 2018, FDA published a list of companies that it said had potentially been blocking access to the samples of their branded products, including one of our subsidiaries that sells FazaClo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(clozapine, USP) through a REMS program. It is possible that the FTC, the FDA, other governmental authorities or other third parties could claim that, or launch an investigation into whether, we are using our REMS programs in an anticompetitive manner or have engaged in other anticompetitive practices. The Federal Food, Drug and Cosmetic Act further states that a REMS ETASU shall not be used by an NDA holder to block or delay generic drugs or drugs covered by an application under Section 505(b)(2) from entering the market. In its 2015 letter approving the Xyrem REMS, the FDA expressed concern that we were aware that the Xyrem REMS could have the effect of blocking or delaying generic competition. We cannot predict whether we would face a government investigation or a complaint by a third party premised on a claim that the Xyrem REMS is blocking competition, or the outcome or impact of any such claim.</w:t>
      </w:r>
    </w:p>
    <w:p>
      <w:pPr>
        <w:spacing w:after="0" w:line="8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Pharmaceutical companies, including their agents and employees, are required to monitor adverse events occurring during the use of their products and report them to the FDA. The patient counseling and monitoring requirements of the Xyrem REMS provide more extensive information about adverse events, including deaths, than is generally available for other products that are not subject to similar REMS requirements. As required by the FDA and other regulatory agencies, the adverse event information that we collect for Xyrem is regularly reported to the FDA and could result in the FDA requiring changes to Xyrem labeling, including additional warnings or additional boxed warnings, or requiring us to take other actions that could have an adverse effect on patient and prescriber acceptance of Xyrem. As required by the FDA, Xyrem’s current labeling includes a boxed warning regarding the risk of central nervous system depression and misuse and abuse.</w:t>
      </w:r>
    </w:p>
    <w:p>
      <w:pPr>
        <w:spacing w:after="0" w:line="8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Any failure to demonstrate our substantial compliance with the REMS or any other applicable regulatory requirements to the satisfaction of the FDA or another regulatory authority could result in such regulatory authorities taking actions in the future which could have a material adverse effect on Xyrem sales and therefore on our business, financial condition, results of operations and growth prospects. For more information, see the risk factor under the heading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addition to those specifically described in other risk factors, we are subject to significant ongoing regulatory obligations and oversight, which may result in significant additional expense and limit our ability to commercialize our products</w:t>
      </w:r>
      <w:r>
        <w:rPr>
          <w:rFonts w:ascii="Arial" w:cs="Arial" w:eastAsia="Arial" w:hAnsi="Arial"/>
          <w:sz w:val="17"/>
          <w:szCs w:val="17"/>
          <w:color w:val="auto"/>
        </w:rPr>
        <w:t>” in this Part II, Item 1A.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While Xyrem remains our largest product, our success also depends on our ability to effectively commercialize our other products.</w:t>
      </w:r>
    </w:p>
    <w:p>
      <w:pPr>
        <w:spacing w:after="0" w:line="117" w:lineRule="exact"/>
        <w:rPr>
          <w:sz w:val="20"/>
          <w:szCs w:val="20"/>
          <w:color w:val="auto"/>
        </w:rPr>
      </w:pPr>
    </w:p>
    <w:p>
      <w:pPr>
        <w:ind w:right="240" w:firstLine="432"/>
        <w:spacing w:after="0" w:line="272" w:lineRule="auto"/>
        <w:rPr>
          <w:sz w:val="20"/>
          <w:szCs w:val="20"/>
          <w:color w:val="auto"/>
        </w:rPr>
      </w:pPr>
      <w:r>
        <w:rPr>
          <w:rFonts w:ascii="Arial" w:cs="Arial" w:eastAsia="Arial" w:hAnsi="Arial"/>
          <w:sz w:val="17"/>
          <w:szCs w:val="17"/>
          <w:color w:val="auto"/>
        </w:rPr>
        <w:t>In addition to Xyrem, we are commercializing a portfolio of products, including our other lead marketed products, Erwinaze, Defitelio, Vyxeos and Sunosi. We are in the early stages of launching and commercializing Sunosi, which received FDA approval in March 2019 and was launched in the U.S. in July 2019. We are making significant investments in maximizing the value and therapeutic reach of Defitelio, Vyxeos and Sunosi by conducting additional research and development activities, which include generating additional supportive clinical data and seeking regulatory approval for new indications, as appropriate. Our inability to effectively commercialize Defitelio, Vyxeos and Sunosi and to maximize their potential where possible through successful research and development activities, and our inability to retain rights to Erwinaze after 2020 could have a material adverse effect on our business, financial condition, results of operations and growth prospects.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Erwinaze</w:t>
      </w:r>
    </w:p>
    <w:p>
      <w:pPr>
        <w:spacing w:after="0" w:line="117" w:lineRule="exact"/>
        <w:rPr>
          <w:sz w:val="20"/>
          <w:szCs w:val="20"/>
          <w:color w:val="auto"/>
        </w:rPr>
      </w:pPr>
    </w:p>
    <w:p>
      <w:pPr>
        <w:ind w:right="560" w:firstLine="432"/>
        <w:spacing w:after="0" w:line="203" w:lineRule="auto"/>
        <w:rPr>
          <w:sz w:val="20"/>
          <w:szCs w:val="20"/>
          <w:color w:val="auto"/>
        </w:rPr>
      </w:pPr>
      <w:r>
        <w:rPr>
          <w:rFonts w:ascii="Arial" w:cs="Arial" w:eastAsia="Arial" w:hAnsi="Arial"/>
          <w:sz w:val="18"/>
          <w:szCs w:val="18"/>
          <w:color w:val="auto"/>
        </w:rPr>
        <w:t>Erwinaze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(asparaginase </w:t>
      </w:r>
      <w:r>
        <w:rPr>
          <w:rFonts w:ascii="Arial" w:cs="Arial" w:eastAsia="Arial" w:hAnsi="Arial"/>
          <w:sz w:val="18"/>
          <w:szCs w:val="18"/>
          <w:i w:val="1"/>
          <w:iCs w:val="1"/>
          <w:color w:val="auto"/>
        </w:rPr>
        <w:t>Erwinia chrysanthemi</w:t>
      </w:r>
      <w:r>
        <w:rPr>
          <w:rFonts w:ascii="Arial" w:cs="Arial" w:eastAsia="Arial" w:hAnsi="Arial"/>
          <w:sz w:val="18"/>
          <w:szCs w:val="18"/>
          <w:color w:val="auto"/>
        </w:rPr>
        <w:t>) is a treatment approved in the U.S. and in certain markets in Europe (where it is marketed as Erwinase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patients with acute lymphoblastic leukemia, or ALL, who 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Erwinaze is licensed from, and manufactured by, a single source, Porton</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Biopharma Limited, or PBL, a company that is wholly owned by the UK Department of Health and Social Care. In February 2019, we received a contract termination notice from PBL. As a result of our receipt of the contract termination notice, our license and supply agreement with PBL, which includes our license to Erwinaze trademarks and manufacturing know-how, will expire on December 31, 2020. We and PBL had been engaged in discussions related to entry into a replacement agreement to extend the term of our commercial relationship past 2020, but we did not reach agreement. Unless we and PBL enter into a new agreement, we will lose our rights to Erwinaze effective December 31, 2020, other than our right to sell certain Erwinaze inventory for a post-termination sales period of 12 months. In such event, we may not be able to replace the product sales we would lose from Erwinaze, which in 2018 totaled $174.7 million, and our business, financial condition, results of operations and growth prospects would be materially adversely affected. In addition, we cannot predict whether and to what extent uncertainty related to our rights to, and availability of, Erwinaze after 2020 will negatively impact sales of and revenues from this product.</w:t>
      </w:r>
    </w:p>
    <w:p>
      <w:pPr>
        <w:spacing w:after="0" w:line="74"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A continuing and significant challenge to our ability to maintain sales of Erwinaze and a barrier to increasing sales is PBL’s inability to consistently supply product adequate to meet market demand. PBL’s product quality and manufacturing issues have resulted, and continue to result, in supply disruptions, and our need for PBL to minimize or avoid additional supply disruptions due to capacity constraints, production delays, quality or regulatory challenges and other manufacturing difficulties. In addition, we have incurred and continue to incur significant internal and external costs and expenses as a result of these issues, including due to managing the increased need for regulatory and customer interaction. See the discussion regarding Erwinaze supply issues in the risk factor under the heading “</w:t>
      </w:r>
      <w:r>
        <w:rPr>
          <w:rFonts w:ascii="Arial" w:cs="Arial" w:eastAsia="Arial" w:hAnsi="Arial"/>
          <w:sz w:val="17"/>
          <w:szCs w:val="17"/>
          <w:i w:val="1"/>
          <w:iCs w:val="1"/>
          <w:color w:val="auto"/>
        </w:rPr>
        <w:t>Delays or problems in the supply of our products for sale or our for use in clinical trials, loss of our single source suppliers or</w:t>
      </w:r>
      <w:r>
        <w:rPr>
          <w:rFonts w:ascii="Arial" w:cs="Arial" w:eastAsia="Arial" w:hAnsi="Arial"/>
          <w:sz w:val="17"/>
          <w:szCs w:val="17"/>
          <w:color w:val="auto"/>
        </w:rPr>
        <w:t xml:space="preserve"> </w:t>
      </w:r>
      <w:r>
        <w:rPr>
          <w:rFonts w:ascii="Arial" w:cs="Arial" w:eastAsia="Arial" w:hAnsi="Arial"/>
          <w:sz w:val="17"/>
          <w:szCs w:val="17"/>
          <w:i w:val="1"/>
          <w:iCs w:val="1"/>
          <w:color w:val="auto"/>
        </w:rPr>
        <w:t>failure to comply with manufacturing regulations could materially and adversely affect our business, financial condition, results of operations and growth prospects</w:t>
      </w:r>
      <w:r>
        <w:rPr>
          <w:rFonts w:ascii="Arial" w:cs="Arial" w:eastAsia="Arial" w:hAnsi="Arial"/>
          <w:sz w:val="17"/>
          <w:szCs w:val="17"/>
          <w:color w:val="auto"/>
        </w:rPr>
        <w:t>” in this Part II, Item 1A.</w:t>
      </w:r>
    </w:p>
    <w:p>
      <w:pPr>
        <w:spacing w:after="0" w:line="7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Our ability to maintain sales of Erwinaze is also subject to a number of additional challenges, including the following as well as other risks and uncertainties described elsewhere in this Part II, Item 1A:</w:t>
      </w:r>
    </w:p>
    <w:p>
      <w:pPr>
        <w:spacing w:after="0" w:line="62" w:lineRule="exact"/>
        <w:rPr>
          <w:sz w:val="20"/>
          <w:szCs w:val="20"/>
          <w:color w:val="auto"/>
        </w:rPr>
      </w:pPr>
    </w:p>
    <w:p>
      <w:pPr>
        <w:ind w:left="740" w:hanging="327"/>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limited population of patients with ALL, and the incidence of hypersensitivity reactions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within that population;</w:t>
      </w:r>
    </w:p>
    <w:p>
      <w:pPr>
        <w:spacing w:after="0" w:line="46" w:lineRule="exact"/>
        <w:rPr>
          <w:rFonts w:ascii="Arial" w:cs="Arial" w:eastAsia="Arial" w:hAnsi="Arial"/>
          <w:sz w:val="16"/>
          <w:szCs w:val="16"/>
          <w:color w:val="auto"/>
        </w:rPr>
      </w:pPr>
    </w:p>
    <w:p>
      <w:pPr>
        <w:ind w:left="740" w:right="400" w:hanging="327"/>
        <w:spacing w:after="0" w:line="250"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and/or approval of new asparaginase treatments or treatment protocols for ALL that may not include asparaginase-containing regimens and prescribers’ use of alternate methods to address hypersensitivity reactions;</w:t>
      </w:r>
    </w:p>
    <w:p>
      <w:pPr>
        <w:ind w:left="740" w:hanging="327"/>
        <w:spacing w:after="0" w:line="250"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to obtain regulatory approval from the FDA or UK Medicines and Healthcare Products Regulatory Agency, or MHRA, to release batches of Erwinaze requiring batch-specific approval due to quality and manufacturing issues;</w:t>
      </w: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with obtaining and maintaining favorable pricing and reimbursement arrangements;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competition from future biosimilar products;</w:t>
      </w:r>
    </w:p>
    <w:p>
      <w:pPr>
        <w:spacing w:after="0" w:line="9" w:lineRule="exact"/>
        <w:rPr>
          <w:rFonts w:ascii="Arial" w:cs="Arial" w:eastAsia="Arial" w:hAnsi="Arial"/>
          <w:sz w:val="18"/>
          <w:szCs w:val="18"/>
          <w:color w:val="auto"/>
        </w:rPr>
      </w:pPr>
    </w:p>
    <w:p>
      <w:pPr>
        <w:ind w:left="740" w:right="80" w:hanging="327"/>
        <w:spacing w:after="0" w:line="250"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PBL’s ability to meet the manufacturing post-marketing commitments imposed by the FDA in connection with its approval of our biologics license application, or BLA; and</w:t>
      </w: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failure to comply with obligations under our agreement with PBL resulting in PBL claiming an uncured material breach.</w:t>
      </w:r>
    </w:p>
    <w:p>
      <w:pPr>
        <w:spacing w:after="0" w:line="9"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If we fail to maintain revenue from sales of Erwinaze, our business, financial condition, results of operations and growth prospects could be materially adversely affected.</w:t>
      </w:r>
    </w:p>
    <w:p>
      <w:pPr>
        <w:spacing w:after="0" w:line="76"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 xml:space="preserve">To expand our asparaginase franchise beyond Erwinaze, we are pursuing activities related to the development of improved asparaginase products for patients with ALL or other hematological malignancies. Several of our external research and development collaborations are focused on these efforts, including our agreement with Pfenex, Inc., or Pfenex, which includes worldwide rights to develop and commercialize multiple early-stage hematology product candidates and an option to negotiate a license for a recombinant pegaspargase product candidate, and our agreement with XL-protein GmbH, or XLp, for rights to use XLp’s PASylation® technology to extend the plasma half-life of selected asparaginase product candidates. Among the product candidates in collaboration with Pfenex is JZP-458, a recombinant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 product candidate, for the potential treatment of ALL and lymphoblastic lymphoma for which we plan to commence a single-arm, pivotal Phase 2/3 clinical trial by the end of 2019. If these activities are unsuccessful, our growth prospects could be materially adversely affected.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Defitelio</w:t>
      </w:r>
    </w:p>
    <w:p>
      <w:pPr>
        <w:spacing w:after="0" w:line="117" w:lineRule="exact"/>
        <w:rPr>
          <w:sz w:val="20"/>
          <w:szCs w:val="20"/>
          <w:color w:val="auto"/>
        </w:rPr>
      </w:pPr>
    </w:p>
    <w:p>
      <w:pPr>
        <w:ind w:right="140" w:firstLine="432"/>
        <w:spacing w:after="0" w:line="213" w:lineRule="auto"/>
        <w:rPr>
          <w:sz w:val="20"/>
          <w:szCs w:val="20"/>
          <w:color w:val="auto"/>
        </w:rPr>
      </w:pPr>
      <w:r>
        <w:rPr>
          <w:rFonts w:ascii="Arial" w:cs="Arial" w:eastAsia="Arial" w:hAnsi="Arial"/>
          <w:sz w:val="18"/>
          <w:szCs w:val="18"/>
          <w:color w:val="auto"/>
        </w:rPr>
        <w:t>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sodium) is a product approved in the U.S. in 2016 for the treatment of adult and pediatric patients with hepatic veno-occlusive disease, or VOD, also known as sinusoidal obstruction syndrome, with renal or pulmonary dysfunction following hematopoietic stem cell transplantation, or HSCT, and in Europe in 2013 (where it is marketed as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9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ability to maintain and successfully and sustainably grow sales of Defitelio is subject to a number of risks and uncertainties, including the following as well as other risks and uncertainties described elsewhere in this Part II, Item 1A:</w:t>
      </w:r>
    </w:p>
    <w:p>
      <w:pPr>
        <w:spacing w:after="0" w:line="62" w:lineRule="exact"/>
        <w:rPr>
          <w:sz w:val="20"/>
          <w:szCs w:val="20"/>
          <w:color w:val="auto"/>
        </w:rPr>
      </w:pPr>
    </w:p>
    <w:p>
      <w:pPr>
        <w:ind w:left="720" w:right="160" w:hanging="320"/>
        <w:spacing w:after="0" w:line="274"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continued acceptance of Defitelio in the U.S., the EU and other countries by hospital pharmacy and therapeutics committees and the continued availability of favorable pricing and adequate coverage and reimbursement by government programs and third party payors;</w:t>
      </w: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limited experience of, and need to educate, physicians in recognizing, diagnosing and treating VOD, particularly in adults;</w:t>
      </w:r>
    </w:p>
    <w:p>
      <w:pPr>
        <w:spacing w:after="0" w:line="9" w:lineRule="exact"/>
        <w:rPr>
          <w:rFonts w:ascii="Arial" w:cs="Arial" w:eastAsia="Arial" w:hAnsi="Arial"/>
          <w:sz w:val="18"/>
          <w:szCs w:val="18"/>
          <w:color w:val="auto"/>
        </w:rPr>
      </w:pPr>
    </w:p>
    <w:p>
      <w:pPr>
        <w:ind w:left="720" w:right="180" w:hanging="320"/>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possibility that physicians recognizing VOD symptoms may not initiate or may delay initiation of treatment while waiting for those symptoms to improve, or may terminate treatment before the end of the recommended dosing schedule;</w:t>
      </w:r>
    </w:p>
    <w:p>
      <w:pPr>
        <w:ind w:left="720" w:right="400" w:hanging="320"/>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maintain or grow sales of Defitelio in Europe and other non-U.S. countries, including our ability to obtain marketing approval in new countries;</w:t>
      </w: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the product;</w:t>
      </w:r>
    </w:p>
    <w:p>
      <w:pPr>
        <w:spacing w:after="0" w:line="9" w:lineRule="exact"/>
        <w:rPr>
          <w:rFonts w:ascii="Arial" w:cs="Arial" w:eastAsia="Arial" w:hAnsi="Arial"/>
          <w:sz w:val="18"/>
          <w:szCs w:val="18"/>
          <w:color w:val="auto"/>
        </w:rPr>
      </w:pPr>
    </w:p>
    <w:p>
      <w:pPr>
        <w:ind w:left="720" w:right="600" w:hanging="320"/>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limited size of the population of VOD patients who are indicated for treatment with Defitelio (particularly if changes in HSCT treatment protocols reduce the incidence of VOD diagnosis and demand for Defitelio);</w:t>
      </w:r>
    </w:p>
    <w:p>
      <w:pPr>
        <w:ind w:left="720" w:right="120" w:hanging="320"/>
        <w:spacing w:after="0" w:line="265"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meet the post-marketing commitments and requirements imposed by the FDA in connection with its approval of our NDA and by the European Commission, or EC, in connection with its marketing authorization granted “under exceptional circumstances”; and</w:t>
      </w:r>
    </w:p>
    <w:p>
      <w:pPr>
        <w:ind w:left="720" w:hanging="320"/>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maintain favorable pricing and reimbursement approvals across Europe, particularly in countries that represent significant markets.</w:t>
      </w:r>
    </w:p>
    <w:p>
      <w:pPr>
        <w:spacing w:after="0" w:line="126" w:lineRule="exact"/>
        <w:rPr>
          <w:sz w:val="20"/>
          <w:szCs w:val="20"/>
          <w:color w:val="auto"/>
        </w:rPr>
      </w:pPr>
    </w:p>
    <w:p>
      <w:pPr>
        <w:jc w:val="both"/>
        <w:ind w:right="140" w:firstLine="405"/>
        <w:spacing w:after="0" w:line="255" w:lineRule="auto"/>
        <w:rPr>
          <w:sz w:val="20"/>
          <w:szCs w:val="20"/>
          <w:color w:val="auto"/>
        </w:rPr>
      </w:pPr>
      <w:r>
        <w:rPr>
          <w:rFonts w:ascii="Arial" w:cs="Arial" w:eastAsia="Arial" w:hAnsi="Arial"/>
          <w:sz w:val="18"/>
          <w:szCs w:val="18"/>
          <w:color w:val="auto"/>
        </w:rPr>
        <w:t>To expand the potential of Defitelio, our clinical development strategy generally focuses on the prevention and treatment of serious diseases associated with endothelial cell damage, including an ongoing Phase 3 clinical trial in prevention of VOD in high-risk patients following HSCT, ongoing Phase 2 trials in prevention of acute Graft versus Host Disease following allogeneic HSCT, and an ongoing Phase 2 trial in prevention of chimeric antigen receptor T-cell, or CAR T-cell, therapy-associated neurotoxicity. In addition to clinical trials we are sponsoring, there are more than 20 investigator-sponsored trials ongoing in the U.S. and EU to evaluate defibrotide in multiple conditions. If these development activities are unsuccessful, our growth prospects could be materially adversely affected.</w:t>
      </w:r>
    </w:p>
    <w:p>
      <w:pPr>
        <w:spacing w:after="0" w:line="8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Because VOD is an ultra-rare disease, we have experienced inter-quarter variability in our Defitelio sales, which makes Defitelio sales difficult to predict from period to period. As a result, Defitelio sales results or trends in any period may not necessarily be indicative of future performance. If sales of Defitelio do not reach the levels we expect, our anticipated revenue from the product would be negatively affected, which could have a material adverse effect on our business, financial condition, results of operations and growth prospects.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Vyxeos</w:t>
      </w:r>
    </w:p>
    <w:p>
      <w:pPr>
        <w:spacing w:after="0" w:line="117" w:lineRule="exact"/>
        <w:rPr>
          <w:sz w:val="20"/>
          <w:szCs w:val="20"/>
          <w:color w:val="auto"/>
        </w:rPr>
      </w:pPr>
    </w:p>
    <w:p>
      <w:pPr>
        <w:ind w:right="200" w:firstLine="432"/>
        <w:spacing w:after="0" w:line="250" w:lineRule="auto"/>
        <w:rPr>
          <w:sz w:val="20"/>
          <w:szCs w:val="20"/>
          <w:color w:val="auto"/>
        </w:rPr>
      </w:pPr>
      <w:r>
        <w:rPr>
          <w:rFonts w:ascii="Arial" w:cs="Arial" w:eastAsia="Arial" w:hAnsi="Arial"/>
          <w:sz w:val="17"/>
          <w:szCs w:val="17"/>
          <w:color w:val="auto"/>
        </w:rPr>
        <w:t>Vyxeos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(daunorubicin and cytarabine) liposome for injection is a product approved in the U.S. in 2017 and in Europe in August 2018 (where it is marketed as Vyxeos® liposomal 44 mg/100 mg powder for concentrate for solution for infusion) for the treatment of adults with newly-diagnosed therapy-related acute myeloid leukemia, or t-AML, or acute myeloid leukemia, or AML, with myelodysplasia-related changes, or AML-MRC. Our ability to realize the anticipated benefits from our investment in Vyxeos by successfully and sustainably growing sales is subject to a number of risks and uncertainties, including the following as well as other risks and uncertainties described elsewhere in this Part II, Item 1A:</w:t>
      </w:r>
    </w:p>
    <w:p>
      <w:pPr>
        <w:spacing w:after="0" w:line="32" w:lineRule="exact"/>
        <w:rPr>
          <w:sz w:val="20"/>
          <w:szCs w:val="20"/>
          <w:color w:val="auto"/>
        </w:rPr>
      </w:pPr>
    </w:p>
    <w:p>
      <w:pPr>
        <w:ind w:left="720" w:right="760" w:hanging="320"/>
        <w:spacing w:after="0" w:line="25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differentiate Vyxeos from other liposomal chemotherapies and generically available chemotherapy combinations with which physicians and treatment centers are more familiar;</w:t>
      </w:r>
    </w:p>
    <w:p>
      <w:pPr>
        <w:spacing w:after="0" w:line="1" w:lineRule="exact"/>
        <w:rPr>
          <w:rFonts w:ascii="Arial" w:cs="Arial" w:eastAsia="Arial" w:hAnsi="Arial"/>
          <w:sz w:val="18"/>
          <w:szCs w:val="18"/>
          <w:color w:val="auto"/>
        </w:rPr>
      </w:pPr>
    </w:p>
    <w:p>
      <w:pPr>
        <w:ind w:left="720" w:hanging="320"/>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acceptance of Vyxeos in the U.S., the EU and other countries by hospital pharmacy and therapeutics committees and the availability of favorable pricing and adequate coverage and reimbursement by government programs and third party payors;</w:t>
      </w:r>
    </w:p>
    <w:p>
      <w:pPr>
        <w:ind w:left="720" w:right="80" w:hanging="320"/>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the product, including the ability of the third parties upon which we rely to manufacture Vyxeos and its APIs to manufacture sufficient quantities in accordance with applicable specifications;</w:t>
      </w:r>
    </w:p>
    <w:p>
      <w:pPr>
        <w:ind w:left="720" w:right="180" w:hanging="320"/>
        <w:spacing w:after="0" w:line="261"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increasing complexity of the AML landscape requiring changes in patient identification and treatment selection, including diagnostic tests and monitoring that clinicians may find challenging to incorporate;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20" w:right="220" w:hanging="320"/>
        <w:spacing w:after="0" w:line="25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new and novel compounds in AML that are either used off-label or are only approved for use in combination with other agents and that have not been tested in combination with Vyxeos;</w:t>
      </w:r>
    </w:p>
    <w:p>
      <w:pPr>
        <w:spacing w:after="0" w:line="1" w:lineRule="exact"/>
        <w:rPr>
          <w:rFonts w:ascii="Arial" w:cs="Arial" w:eastAsia="Arial" w:hAnsi="Arial"/>
          <w:sz w:val="18"/>
          <w:szCs w:val="18"/>
          <w:color w:val="auto"/>
        </w:rPr>
      </w:pPr>
    </w:p>
    <w:p>
      <w:pPr>
        <w:ind w:left="720" w:right="380" w:hanging="320"/>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limited size of the population of high-risk AML patients who may potentially be indicated for treatment with Vyxeos, particularly given the ongoing clinical trials by other companies with the same patient population; and</w:t>
      </w:r>
    </w:p>
    <w:p>
      <w:pPr>
        <w:ind w:left="720" w:right="120" w:hanging="320"/>
        <w:spacing w:after="0" w:line="261"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meet the post-marketing commitments and requirements imposed by the FDA in connection with its approval of our NDA and by the EC in connection with its marketing authorization.</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lack of prescriber usage data from U.S. commercialization of Vyxeos makes Vyxeos sales difficult to predict from period to period, and sales results or trends in any period may not necessarily be indicative of future performance. Following receipt of marketing authorization from the EC in late 2018, as part of our rolling launch of Vyxeos in the EU, we are continuing to make pricing and reimbursement submissions. If we experience delays or unforeseen difficulties in obtaining favorable pricing and reimbursement, planned launches in the affected EU member states would be delayed, which could negatively impact anticipated revenue.</w:t>
      </w:r>
    </w:p>
    <w:p>
      <w:pPr>
        <w:spacing w:after="0" w:line="8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To expand the potential of Vyxeos, our clinical development strategy is designed to target potential new patient segments across the AML landscape, to pursue indications related to myelodysplastic syndrome and to generate clinical data on Vyxeos when used in combination with other therapeutic agents. We are pursuing this strategy by sponsoring clinical trials, working with cooperative groups who are conducting clinical trials and partnering with The University of Texas MD Anderson Cancer Center to evaluate potential treatment options for hematologic malignancies, with a near-term focus on Vyxeos. In addition, there are multiple investigator-sponsored trials ongoing. Because combination regimens and the continual generation of new data have become particularly important in AML, if we are unable to initiate multiple combination studies, safely combine Vyxeos with novel agents, or if efficacy results do not meet clinicians’ expectations, our growth prospects could be materially adversely affected.</w:t>
      </w:r>
    </w:p>
    <w:p>
      <w:pPr>
        <w:spacing w:after="0" w:line="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If sales of Vyxeos do not reach the levels we expect, our anticipated revenue from the product will be negatively affected, which could have a material adverse effect on our business, financial condition, results of operations and growth prospects.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Sunosi</w:t>
      </w:r>
    </w:p>
    <w:p>
      <w:pPr>
        <w:spacing w:after="0" w:line="117" w:lineRule="exact"/>
        <w:rPr>
          <w:sz w:val="20"/>
          <w:szCs w:val="20"/>
          <w:color w:val="auto"/>
        </w:rPr>
      </w:pPr>
    </w:p>
    <w:p>
      <w:pPr>
        <w:ind w:right="40" w:firstLine="405"/>
        <w:spacing w:after="0" w:line="271" w:lineRule="auto"/>
        <w:rPr>
          <w:sz w:val="20"/>
          <w:szCs w:val="20"/>
          <w:color w:val="auto"/>
        </w:rPr>
      </w:pPr>
      <w:r>
        <w:rPr>
          <w:rFonts w:ascii="Arial" w:cs="Arial" w:eastAsia="Arial" w:hAnsi="Arial"/>
          <w:sz w:val="16"/>
          <w:szCs w:val="16"/>
          <w:color w:val="auto"/>
        </w:rPr>
        <w:t>Sunosi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(solriamfetol) is a product approved in the U.S. to improve wakefulness in adult patients with EDS associated with narcolepsy or obstructive sleep apnea, or OSA. Sunosi was launched in the U.S. in July 2019, and our launch of this product is at an early stage. Sunosi faces competition from existing branded and generic products that treat EDS or improve wakefulness in adult patients with narcolepsy or OSA in a competitive retail pharmacy market. For further discussion of the competition that Sunosi faces, see the risk factor under the heading “</w:t>
      </w:r>
      <w:r>
        <w:rPr>
          <w:rFonts w:ascii="Arial" w:cs="Arial" w:eastAsia="Arial" w:hAnsi="Arial"/>
          <w:sz w:val="16"/>
          <w:szCs w:val="16"/>
          <w:i w:val="1"/>
          <w:iCs w:val="1"/>
          <w:color w:val="auto"/>
        </w:rPr>
        <w:t>We face substantial competition from other companies,</w:t>
      </w:r>
      <w:r>
        <w:rPr>
          <w:rFonts w:ascii="Arial" w:cs="Arial" w:eastAsia="Arial" w:hAnsi="Arial"/>
          <w:sz w:val="16"/>
          <w:szCs w:val="16"/>
          <w:color w:val="auto"/>
        </w:rPr>
        <w:t xml:space="preserve"> </w:t>
      </w:r>
      <w:r>
        <w:rPr>
          <w:rFonts w:ascii="Arial" w:cs="Arial" w:eastAsia="Arial" w:hAnsi="Arial"/>
          <w:sz w:val="16"/>
          <w:szCs w:val="16"/>
          <w:i w:val="1"/>
          <w:iCs w:val="1"/>
          <w:color w:val="auto"/>
        </w:rPr>
        <w:t>including companies with larger sales organizations and more experience working with large and diverse product portfolios</w:t>
      </w:r>
      <w:r>
        <w:rPr>
          <w:rFonts w:ascii="Arial" w:cs="Arial" w:eastAsia="Arial" w:hAnsi="Arial"/>
          <w:sz w:val="16"/>
          <w:szCs w:val="16"/>
          <w:color w:val="auto"/>
        </w:rPr>
        <w:t>” in this Part II, Item 1A.</w:t>
      </w:r>
    </w:p>
    <w:p>
      <w:pPr>
        <w:spacing w:after="0" w:line="72" w:lineRule="exact"/>
        <w:rPr>
          <w:sz w:val="20"/>
          <w:szCs w:val="20"/>
          <w:color w:val="auto"/>
        </w:rPr>
      </w:pPr>
    </w:p>
    <w:p>
      <w:pPr>
        <w:jc w:val="both"/>
        <w:ind w:right="60" w:firstLine="392"/>
        <w:spacing w:after="0" w:line="259" w:lineRule="auto"/>
        <w:rPr>
          <w:sz w:val="20"/>
          <w:szCs w:val="20"/>
          <w:color w:val="auto"/>
        </w:rPr>
      </w:pPr>
      <w:r>
        <w:rPr>
          <w:rFonts w:ascii="Arial" w:cs="Arial" w:eastAsia="Arial" w:hAnsi="Arial"/>
          <w:sz w:val="18"/>
          <w:szCs w:val="18"/>
          <w:color w:val="auto"/>
        </w:rPr>
        <w:t>We submitted a marketing authorization application, or MAA, for Sunosi for the potential treatment of EDS in adult patients with narcolepsy or OSA to the European Medicines Agency, or EMA, in the fourth quarter of 2018. We cannot predict whether our Sunosi MAA will be approved in a timely manner, or at all. If we fail to obtain approval for Sunosi in the EU, or if the EC requires product labeling that negatively impacts patient, physician or payor acceptance of the product, our growth prospects could be materially adversely affected.</w:t>
      </w:r>
    </w:p>
    <w:p>
      <w:pPr>
        <w:spacing w:after="0" w:line="79"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In addition to challenges and uncertainties related to Sunosi competition and obtaining regulatory approval of Sunosi in the EU, our ability to realize the anticipated benefits from our investment in Sunosi is subject to a number of risks and uncertainties, including the following as well as other risks and uncertainties described elsewhere in this Part II, Item 1A:</w:t>
      </w: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launch and grow sales of Sunosi in the U.S. and, if approved, in the EU;</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marketing approval, successfully launch and grow sales of Sunosi in other non-U.S. countries;</w:t>
      </w:r>
    </w:p>
    <w:p>
      <w:pPr>
        <w:spacing w:after="0" w:line="9" w:lineRule="exact"/>
        <w:rPr>
          <w:rFonts w:ascii="Arial" w:cs="Arial" w:eastAsia="Arial" w:hAnsi="Arial"/>
          <w:sz w:val="18"/>
          <w:szCs w:val="18"/>
          <w:color w:val="auto"/>
        </w:rPr>
      </w:pPr>
    </w:p>
    <w:p>
      <w:pPr>
        <w:ind w:left="740" w:right="80" w:hanging="327"/>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adequate formulary positions and pricing and adequate coverage and reimbursement by third party payors, including government programs, including the impact of any delays in coverage decisions by payors;</w:t>
      </w:r>
    </w:p>
    <w:p>
      <w:pPr>
        <w:ind w:left="740" w:right="80" w:hanging="327"/>
        <w:spacing w:after="0" w:line="265"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restrictions on permitted promotional activities based on any additional limitations on the labeling for the product that may be required by the FDA in the future and any such limitations that may be required by the EC or other regulatory authority on any approved labeling;</w:t>
      </w: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Sunosi;</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or problems in the supply or manufacture of Sunosi; and</w:t>
      </w:r>
    </w:p>
    <w:p>
      <w:pPr>
        <w:spacing w:after="0" w:line="9" w:lineRule="exact"/>
        <w:rPr>
          <w:rFonts w:ascii="Arial" w:cs="Arial" w:eastAsia="Arial" w:hAnsi="Arial"/>
          <w:sz w:val="18"/>
          <w:szCs w:val="18"/>
          <w:color w:val="auto"/>
        </w:rPr>
      </w:pPr>
    </w:p>
    <w:p>
      <w:pPr>
        <w:ind w:left="740" w:right="140" w:hanging="327"/>
        <w:spacing w:after="0" w:line="261"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satisfy the FDA’s post-marketing requirements and other post-marketing requirements or commitments, if any, imposed by the EC in connection with its potential marketing authorization.</w:t>
      </w:r>
    </w:p>
    <w:p>
      <w:pPr>
        <w:spacing w:after="0" w:line="184"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color w:val="auto"/>
        </w:rPr>
        <w:t>To expand the potential of Sunosi, our clinical development strategy is designed to target potential new indications for Sunosi for the potential treatment of EDS in other sleep or central nervous system disorders, including pursuing development activities for Sunosi for the potential treatment of EDS in patients with major depressive disorder, or MDD. If these development activities are unsuccessful, our growth prospects could be materially adversely affected.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If we are unable to successfully launch and commercialize Sunosi in the U.S., if we are unable to obtain approval of our Sunosi MAA in a timely manner, or at all, if the EC requires product labeling that negatively impacts patient, physician or payor acceptance of the product, or if sales of Sunosi in the U.S. and EU (if approved) do not reach the levels we expect, our anticipated revenue from Sunosi will be negatively affected, which could have a material adverse effect on our business, financial condition, results of operations and growth prospects.</w:t>
      </w:r>
    </w:p>
    <w:p>
      <w:pPr>
        <w:spacing w:after="0" w:line="7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For a discussion of the risks inherent in implementing our research and clinical development strategy with respect to Defitelio, Vyxeos, and Sunosi, see the discussion in the risk factor under the heading “</w:t>
      </w:r>
      <w:r>
        <w:rPr>
          <w:rFonts w:ascii="Arial" w:cs="Arial" w:eastAsia="Arial" w:hAnsi="Arial"/>
          <w:sz w:val="16"/>
          <w:szCs w:val="16"/>
          <w:i w:val="1"/>
          <w:iCs w:val="1"/>
          <w:color w:val="auto"/>
        </w:rPr>
        <w:t>Conducting clinical trials is costly and time-consuming, and the outcomes are uncertain. A failure to prove</w:t>
      </w:r>
      <w:r>
        <w:rPr>
          <w:rFonts w:ascii="Arial" w:cs="Arial" w:eastAsia="Arial" w:hAnsi="Arial"/>
          <w:sz w:val="16"/>
          <w:szCs w:val="16"/>
          <w:color w:val="auto"/>
        </w:rPr>
        <w:t xml:space="preserve"> </w:t>
      </w:r>
      <w:r>
        <w:rPr>
          <w:rFonts w:ascii="Arial" w:cs="Arial" w:eastAsia="Arial" w:hAnsi="Arial"/>
          <w:sz w:val="16"/>
          <w:szCs w:val="16"/>
          <w:i w:val="1"/>
          <w:iCs w:val="1"/>
          <w:color w:val="auto"/>
        </w:rPr>
        <w:t>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r>
        <w:rPr>
          <w:rFonts w:ascii="Arial" w:cs="Arial" w:eastAsia="Arial" w:hAnsi="Arial"/>
          <w:sz w:val="16"/>
          <w:szCs w:val="16"/>
          <w:color w:val="auto"/>
        </w:rPr>
        <w:t>” in this Part II, Item 1A.</w:t>
      </w:r>
    </w:p>
    <w:p>
      <w:pPr>
        <w:spacing w:after="0" w:line="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companies, including companies with larger sales organizations and more experience working with large and diverse product portfolios.</w:t>
      </w:r>
    </w:p>
    <w:p>
      <w:pPr>
        <w:spacing w:after="0" w:line="62"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Our products compete, and our product candidates may in the future compete, with currently existing therapies, product candidates currently under development by others and/or future product candidates, including new chemical entities that may be safer or more effective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w:t>
      </w:r>
    </w:p>
    <w:p>
      <w:pPr>
        <w:spacing w:after="0" w:line="46"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We also face competition, and may in the future face additional competition, from manufacturers of generic drugs. Certain U.S. state laws allow for, and in some instances in the absence of specific instructions from the prescribing physician mandate, the dispensing of generic products rather than branded products when a generic version is available. Generic competition often results in decreases in the net revenue for branded products.</w:t>
      </w:r>
    </w:p>
    <w:p>
      <w:pPr>
        <w:spacing w:after="0" w:line="57" w:lineRule="exact"/>
        <w:rPr>
          <w:sz w:val="20"/>
          <w:szCs w:val="20"/>
          <w:color w:val="auto"/>
        </w:rPr>
      </w:pPr>
    </w:p>
    <w:p>
      <w:pPr>
        <w:ind w:right="480" w:firstLine="432"/>
        <w:spacing w:after="0" w:line="342" w:lineRule="auto"/>
        <w:rPr>
          <w:sz w:val="20"/>
          <w:szCs w:val="20"/>
          <w:color w:val="auto"/>
        </w:rPr>
      </w:pPr>
      <w:r>
        <w:rPr>
          <w:rFonts w:ascii="Arial" w:cs="Arial" w:eastAsia="Arial" w:hAnsi="Arial"/>
          <w:sz w:val="16"/>
          <w:szCs w:val="16"/>
          <w:color w:val="auto"/>
        </w:rPr>
        <w:t>The commercial potential of our current products and any future products may be reduced or eliminated if our competitors develop or acquire and commercialize generic or branded products that are safer or more effective, are more convenient or are less expensive than our products.</w:t>
      </w:r>
    </w:p>
    <w:p>
      <w:pPr>
        <w:spacing w:after="0" w:line="16"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For a discussion of specific risks relating to competition from new products that treat cataplexy and/or EDS in narcolepsy, including generic versions of Xyrem or other sodium oxybate products, see the risk factor under the heading “</w:t>
      </w:r>
      <w:r>
        <w:rPr>
          <w:rFonts w:ascii="Arial" w:cs="Arial" w:eastAsia="Arial" w:hAnsi="Arial"/>
          <w:sz w:val="16"/>
          <w:szCs w:val="16"/>
          <w:i w:val="1"/>
          <w:iCs w:val="1"/>
          <w:color w:val="auto"/>
        </w:rPr>
        <w:t>The introduction of new products in the U.S. market that compete with, or</w:t>
      </w:r>
      <w:r>
        <w:rPr>
          <w:rFonts w:ascii="Arial" w:cs="Arial" w:eastAsia="Arial" w:hAnsi="Arial"/>
          <w:sz w:val="16"/>
          <w:szCs w:val="16"/>
          <w:color w:val="auto"/>
        </w:rPr>
        <w:t xml:space="preserve"> </w:t>
      </w:r>
      <w:r>
        <w:rPr>
          <w:rFonts w:ascii="Arial" w:cs="Arial" w:eastAsia="Arial" w:hAnsi="Arial"/>
          <w:sz w:val="16"/>
          <w:szCs w:val="16"/>
          <w:i w:val="1"/>
          <w:iCs w:val="1"/>
          <w:color w:val="auto"/>
        </w:rPr>
        <w:t>otherwise disrupt the market for, Xyrem would adversely affect sales of Xyrem</w:t>
      </w:r>
      <w:r>
        <w:rPr>
          <w:rFonts w:ascii="Arial" w:cs="Arial" w:eastAsia="Arial" w:hAnsi="Arial"/>
          <w:sz w:val="16"/>
          <w:szCs w:val="16"/>
          <w:color w:val="auto"/>
        </w:rPr>
        <w:t>” in this Part II, Item 1A. We expect that the approval and launch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sodium oxybate or alternative product that treats narcolepsy, or the launch of an AG Product or other generic version of Xyrem, could have a material adverse effect on our sales of and revenues from Xyrem and on our business, financial condition, results of operations and growth prospects.</w:t>
      </w:r>
    </w:p>
    <w:p>
      <w:pPr>
        <w:spacing w:after="0" w:line="5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 xml:space="preserve">While there is currently no direct competition to Erwinaze to treat ALL patients with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other companies have developed or are developing new treatments for ALL. Some new asparaginase treatments could reduce the rate of hypersensitivity in patients with ALL, and new treatment protocols are being developed and approved for ALL that may not include asparaginase-containing regimens, including some for the treatment of relapsed or refractory ALL patients. We have experienced frequent intermittent shortages of the product that have impacted prescribing habits for Erwinaze, including prescribers’ use of alternate methods to address hypersensitivity reactions. The development of these new treatments could negatively impact our ability to maintain, and potentially in the future grow, sales of Erwinaze in patient populations where the benefit of an asparaginase-containing regimen is not well established. As a biologic product, Erwinaze also faces potential competition from biosimilar products.</w:t>
      </w:r>
    </w:p>
    <w:p>
      <w:pPr>
        <w:spacing w:after="0" w:line="5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While there is currently no direct competition to Defitelio to treat severe VOD, changes in the types of conditioning regimens used as part of HSCT may affect the incidence of VOD diagnosis and demand for Defitelio.</w:t>
      </w:r>
    </w:p>
    <w:p>
      <w:pPr>
        <w:spacing w:after="0" w:line="62" w:lineRule="exact"/>
        <w:rPr>
          <w:sz w:val="20"/>
          <w:szCs w:val="20"/>
          <w:color w:val="auto"/>
        </w:rPr>
      </w:pPr>
    </w:p>
    <w:p>
      <w:pPr>
        <w:ind w:right="80" w:firstLine="432"/>
        <w:spacing w:after="0" w:line="217" w:lineRule="exact"/>
        <w:rPr>
          <w:sz w:val="20"/>
          <w:szCs w:val="20"/>
          <w:color w:val="auto"/>
        </w:rPr>
      </w:pPr>
      <w:r>
        <w:rPr>
          <w:rFonts w:ascii="Arial" w:cs="Arial" w:eastAsia="Arial" w:hAnsi="Arial"/>
          <w:sz w:val="16"/>
          <w:szCs w:val="16"/>
          <w:color w:val="auto"/>
        </w:rPr>
        <w:t>With respect to Vyxeos, there are a number of alternative established therapies in AML. A key consideration in the treatment of AML patients is the patient’s suitability for chemotherapy. The AML patient population studied in the Vyxeos Phase 3 clinical trial supporting our NDA included fit patients, or those deemed able to tolerate intensive induction chemotherapy. The existing options for the treatment of newly-diagnosed t-AML and AML-MRC in fit patients include cytarabine in combination with an anthracycline (i.e., daunorubicin), known as 7+3. In addition, we are aware of several other products that have been recently approved by the FDA or are in development as treatment options for newly diagnosed AML patients eligible for intensive chemotherapy, such as targeted agents (e.g. midostaurin, enasidenib and ivosidenib), immunotherapies (e.g., gemtuzumab ozogamicin and CAR-T</w:t>
      </w:r>
      <w:r>
        <w:rPr>
          <w:rFonts w:ascii="MS PGothic" w:cs="MS PGothic" w:eastAsia="MS PGothic" w:hAnsi="MS PGothic"/>
          <w:sz w:val="16"/>
          <w:szCs w:val="16"/>
          <w:color w:val="auto"/>
        </w:rPr>
        <w:t>‑</w:t>
      </w:r>
      <w:r>
        <w:rPr>
          <w:rFonts w:ascii="Arial" w:cs="Arial" w:eastAsia="Arial" w:hAnsi="Arial"/>
          <w:sz w:val="16"/>
          <w:szCs w:val="16"/>
          <w:color w:val="auto"/>
        </w:rPr>
        <w:t>cell therapy), and agents disrupting leukemia cell survival (e.g., glasdegib). We are also aware of the increasing use of venetoclax, an AML treatment recently approved by the FDA. Some of the patient populations being studied for, or treated by, these products overlap with the patient population studied in the Vyxeos Phase 3 clinical trial supporting our NDA. The existence of established treatment options and the development of competing</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products for the treatment of newly-diagnosed t-AML or AML-MRC could negatively impact our ability to successfully commercialize Vyxeos and achieve the level of sales we expect.</w:t>
      </w:r>
    </w:p>
    <w:p>
      <w:pPr>
        <w:spacing w:after="0" w:line="62"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Sunosi faces competition from existing branded and generic products that treat EDS or improve wakefulness in adult patients with narcolepsy or OSA in a competitive retail pharmacy market. To successfully launch and commercialize Sunosi, we need to differentiate Sunosi from other branded and generic products that treat EDS in patients with narcolepsy with which physicians are more familiar, including stimulants, wake-promoting agents, such as Provigil and Nuvigil, and generic versions of stimulants and wake-promoting agents. We are also aware that stimulants are prescribed for patients to treat excessive sleepiness in OSA. Sunosi will likely face competition from this genericized market and may face competition from new branded entrants such as pitolisant, a drug that was approved by the FDA in August 2019 for the treatment of EDS in adult patients with narcolepsy and is expected to be commercially available in the U.S. in the fourth quarter of 2019, and that has also been approved and marketed in Europe to treat adult patients with narcolepsy with or without cataplexy, or from other products in development as potential treatments for EDS in patients with narcolepsy or OSA, including, for example, orexin agonists, mazindol, modafinil combinations and Avadel’s once-nightly sodium oxybate formulation.</w:t>
      </w:r>
    </w:p>
    <w:p>
      <w:pPr>
        <w:spacing w:after="0" w:line="7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Many of our competitors, particularly large pharmaceutical and life sciences companies, have substantially greater financial, operational and human resources than we do. They can spend more on, and have more expertise in, research and development, regulatory, manufacturing, distribution and sales and marketing activities. As a result, our competitors may obtain FDA or other regulatory approvals for their product candidates more rapidly than we can and may market their products more effectively than we do. Smaller or earlier stage companies may also prove to be significant competitors, particularly through focused development programs and collaborative arrangements with large, established companies.</w:t>
      </w:r>
    </w:p>
    <w:p>
      <w:pPr>
        <w:spacing w:after="0" w:line="6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have a relatively small number of sales representatives compared with most other pharmaceutical companies with marketed products. Each of our sales representatives is responsible for a territory of significant size. Many of our competitors deploy more personnel to market and sell their products than we do. In particular, we compete with companies with extensive sales, marketing and promotional experience in hematology/oncology markets, and our failure to compete effectively in this area could negatively affect sales of our hematology/oncology products. If our sales force and sales support organization are not appropriately resourced and sized to adequately promote our products, the commercial potential of our current and any future products may be diminished.</w:t>
      </w:r>
    </w:p>
    <w:p>
      <w:pPr>
        <w:spacing w:after="0" w:line="50"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growth of our current products and the launch of any future products may require expansion of our sales force and sales support organization, and we may need to commit significant additional funds, management and other resources to such growth. We may not be able to expand in a timely or cost-effective manner, or we may not have the financial resources to achieve the necessary growth. We also compete with other companies to recruit, hire, train and retain pharmaceutical sales and marketing personnel, and excessive turnover in such personnel could negatively affect sales of our products.</w:t>
      </w:r>
    </w:p>
    <w:p>
      <w:pPr>
        <w:spacing w:after="0" w:line="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Adequate coverage and reimbursement from third party payors may not be available for our products, which could diminish our sales or affect our ability to sell our products profitably.</w:t>
      </w:r>
    </w:p>
    <w:p>
      <w:pPr>
        <w:spacing w:after="0" w:line="6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both U.S. and non-U.S. markets, our ability to successfully commercialize and achieve market acceptance of our products depends in significant part on adequate financial coverage and reimbursement from third party payors. Third party payors include governmental payors (such as the Medicare and Medicaid programs in the U.S.), managed care organizations and private health insurers. Without third party payor support, patients may not be able to obtain prescribed medications due to barriers to access, including the inability to afford the medication.</w:t>
      </w:r>
    </w:p>
    <w:p>
      <w:pPr>
        <w:spacing w:after="0" w:line="79"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Third party payors’ reimbursement practices are complex, vary widely from payor to payor and can impose time-consuming burdens for patients and prescribing physicians. 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For example, we are experiencing increasingly restrictive conditions for reimbursement required by some third party payors for Xyrem, which have extended the time required to fill some prescriptions and could continue to do so in the future and which may have a material effect on the overall level of reimbursement coverage for Xyrem. Moreover, other companies with products that compete with ours may seek to disadvantage our products’ reimbursement coverage or formulary position with third party payors, leading to reduced access for our patients.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75"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Reimbursement guidelines and incentives provided to prescribing physicians by third party payors may have a significant impact on the prescribing physicians’ willingness to prescribe our products. For example, the U.S. federal government follows a Medicare severity diagnosis-related group, or MS-DRG, payment system for certain inpatient hospital services provided under Medicare, which some states also use for Medicaid. The MS-DRG system entitles a hospital to a fixed reimbursement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based on discharge diagnoses rather than actual costs incurred in providing inpatient treatment, thereby increasing the incentive for the facility to limit or control expenditures for many healthcare products. For our hematology/oncology products, all of which are used primarily or exclusively in the inpatient hospital setting, there may not be sufficient reimbursement under the relevant MS-DRG to fully cover the cost of our products. This risk was in part mitigated by a New Technology Add-on Payment, or NTAP, which is in addition to the MS-DRG-based reimbursement that hospitals receive. In 2017, Centers for Medicare and Medicaid Services, or CMS, approved an NTAP for Defitelio, which was renewed by CMS for 2018 and 2019. NTAP designations are reviewed by CMS on a yearly basis and may only be renewed for two years. Because Defitelio has already been renewed twice, the product will not be eligible for renewal after 2019. For 2019, CMS approved an NTAP for Vyxeos and renewed that NTAP for 2020, but we cannot guarantee that CMS will renew our NTAP after 2020.</w:t>
      </w:r>
    </w:p>
    <w:p>
      <w:pPr>
        <w:spacing w:after="0" w:line="84"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 addition, a significant portion of our revenue from our hematology/oncology products, particularly Erwinaze and Vyxeos, is obtained through government payors, including Medicare, Medicaid and similar types of payors in other countries, and any failure to qualify for or receive adequate reimbursement under those programs, including as a result of legislative changes to these programs, would have a material adverse effect on revenues from such products. Significant attention has been paid to legislation proposing federal rebates on Medicare Part D and Medicare Advantage utilization for drugs issued to certain groups of lower income beneficiaries and the desire to change the provisions that treat these dual-eligible patients differently from traditional Medicare patients. Any such changes could have a negative impact on revenues from sales of our affected products. Any failure to cover our products appropriately, in addition to legislative and regulatory changes and others that may occur in the future, could impact our ability to maximize revenues in the federal marketplace.</w:t>
      </w:r>
    </w:p>
    <w:p>
      <w:pPr>
        <w:spacing w:after="0" w:line="84"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Medicaid and other governmental programs are described under the heading “Business—Pharmaceutical Pricing, Reimbursement by Government and Private Payors and Patient Access” in Part I, Item 1 of our Annual Report on Form 10-K for the year ended December 31, 2018. For a discussion of specific risks relating to our reporting and payment obligations to government payors, see the risk factor under the heading “</w:t>
      </w:r>
      <w:r>
        <w:rPr>
          <w:rFonts w:ascii="Arial" w:cs="Arial" w:eastAsia="Arial" w:hAnsi="Arial"/>
          <w:sz w:val="16"/>
          <w:szCs w:val="16"/>
          <w:i w:val="1"/>
          <w:iCs w:val="1"/>
          <w:color w:val="auto"/>
        </w:rPr>
        <w:t>If we fail to comply with our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r>
        <w:rPr>
          <w:rFonts w:ascii="Arial" w:cs="Arial" w:eastAsia="Arial" w:hAnsi="Arial"/>
          <w:sz w:val="16"/>
          <w:szCs w:val="16"/>
          <w:color w:val="auto"/>
        </w:rPr>
        <w:t>” in this Part II, Item 1A. Third party payors outside the federal government are also increasingly considering new metrics as</w:t>
      </w:r>
      <w:r>
        <w:rPr>
          <w:rFonts w:ascii="Arial" w:cs="Arial" w:eastAsia="Arial" w:hAnsi="Arial"/>
          <w:sz w:val="16"/>
          <w:szCs w:val="16"/>
          <w:i w:val="1"/>
          <w:iCs w:val="1"/>
          <w:color w:val="auto"/>
        </w:rPr>
        <w:t xml:space="preserve"> </w:t>
      </w:r>
      <w:r>
        <w:rPr>
          <w:rFonts w:ascii="Arial" w:cs="Arial" w:eastAsia="Arial" w:hAnsi="Arial"/>
          <w:sz w:val="16"/>
          <w:szCs w:val="16"/>
          <w:color w:val="auto"/>
        </w:rPr>
        <w:t>the basis for reimbursement rates, including those used by federal government payors such as average net sales price, average manufacturer price and actual acquisition cost. It is not possible to predict the impact of these evolving reimbursement mechanics on the willingness of payors to cover our products.</w:t>
      </w:r>
    </w:p>
    <w:p>
      <w:pPr>
        <w:spacing w:after="0" w:line="58" w:lineRule="exact"/>
        <w:rPr>
          <w:sz w:val="20"/>
          <w:szCs w:val="20"/>
          <w:color w:val="auto"/>
        </w:rPr>
      </w:pPr>
    </w:p>
    <w:p>
      <w:pPr>
        <w:ind w:right="180" w:firstLine="432"/>
        <w:spacing w:after="0" w:line="270" w:lineRule="auto"/>
        <w:rPr>
          <w:sz w:val="20"/>
          <w:szCs w:val="20"/>
          <w:color w:val="auto"/>
        </w:rPr>
      </w:pPr>
      <w:r>
        <w:rPr>
          <w:rFonts w:ascii="Arial" w:cs="Arial" w:eastAsia="Arial" w:hAnsi="Arial"/>
          <w:sz w:val="17"/>
          <w:szCs w:val="17"/>
          <w:color w:val="auto"/>
        </w:rPr>
        <w:t>Third party payors increasingly examine the cost effectiveness of pharmaceutical products, in addition to their safety and efficacy, when making coverage and reimbursement decisions. We may need to conduct expensive pharmacoeconomic and/or clinical studies in order to demonstrate the cost-effectiveness of our products. Even with such studies, our products may be considered less safe, less effective or less cost-effective than other products, and third party payors may not provide and maintain coverage and reimbursement for our products. If our competitors offer their products at prices that provide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benefits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7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 small number of third party pharmacy benefit managers, or PBMs, and payors have market power and negotiating leverage to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or pay 100% of the cost of a drug. In addition, in many instances, third party payors and PBMs may exert negotiating leverage by requiring incremental rebates, discounts or other concessions from manufacturers in order to maintain formulary positions, which could result in higher gross to net deductions for affected products.</w:t>
      </w:r>
    </w:p>
    <w:p>
      <w:pPr>
        <w:spacing w:after="0" w:line="57"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cannot predict market acceptance of, and our ability to obtain or maintain adequate formulary positions, access to and reimbursement coverage for our products, including Sunosi, which was recently launched in the U.S. in July 2019. We have started to enter into agreements with PBMs and payor accounts regarding formulary coverage for Sunosi, but we cannot guarantee that we will be able to agree to coverage terms with other PBMs and other third party payors. Payors could decide to exclude Sunosi from formulary coverage lists, impose step edits that require patients to try alternative, including generic, treatments before authorizing payment for Sunosi, limit the types of diagnoses for which coverage will be provided or impose a moratorium on coverage for products while the payor makes a coverage decision. An inability to obtain or maintain adequate formulary positions could increase patient cost-sharing for Sunosi and cause some patients to determine not to use Sunosi. Any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delays or unforeseen difficulties in obtaining access or reimbursement approvals could limit patient access, depress therapy adherence rates, and adversely impact our ability to successfully launch Sunosi. If we are unsuccessful in obtaining broad coverage for Sunosi, our anticipated revenue from and growth prospects for Sunosi could be negatively affected. For more information on Sunosi, see the risk factor under the heading “</w:t>
      </w:r>
      <w:r>
        <w:rPr>
          <w:rFonts w:ascii="Arial" w:cs="Arial" w:eastAsia="Arial" w:hAnsi="Arial"/>
          <w:sz w:val="17"/>
          <w:szCs w:val="17"/>
          <w:i w:val="1"/>
          <w:iCs w:val="1"/>
          <w:color w:val="auto"/>
        </w:rPr>
        <w:t>While Xyrem remains our largest</w:t>
      </w:r>
      <w:r>
        <w:rPr>
          <w:rFonts w:ascii="Arial" w:cs="Arial" w:eastAsia="Arial" w:hAnsi="Arial"/>
          <w:sz w:val="17"/>
          <w:szCs w:val="17"/>
          <w:color w:val="auto"/>
        </w:rPr>
        <w:t xml:space="preserve"> </w:t>
      </w:r>
      <w:r>
        <w:rPr>
          <w:rFonts w:ascii="Arial" w:cs="Arial" w:eastAsia="Arial" w:hAnsi="Arial"/>
          <w:sz w:val="17"/>
          <w:szCs w:val="17"/>
          <w:i w:val="1"/>
          <w:iCs w:val="1"/>
          <w:color w:val="auto"/>
        </w:rPr>
        <w:t>product, our success also depends on our ability to effectively commercialize our other products.</w:t>
      </w:r>
      <w:r>
        <w:rPr>
          <w:rFonts w:ascii="Arial" w:cs="Arial" w:eastAsia="Arial" w:hAnsi="Arial"/>
          <w:sz w:val="17"/>
          <w:szCs w:val="17"/>
          <w:color w:val="auto"/>
        </w:rPr>
        <w:t>” in this Part II, Item 1A.</w:t>
      </w:r>
    </w:p>
    <w:p>
      <w:pPr>
        <w:spacing w:after="0" w:line="63"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demand for, and the profitability of, our products could be materially harmed if the Medicaid program, Medicare program or other third party payors in the U.S. or elsewhere deny reimbursement for our products, limit the indications for which our products will be reimbursed, or provide reimbursement only on unfavorable terms. We are unable to predict what additional legislation, regulations or policies, if any, relating to third party coverage and reimbursement may be enacted in the future or what effect such legislation, regulations or policies would have on our business.</w:t>
      </w:r>
    </w:p>
    <w:p>
      <w:pPr>
        <w:spacing w:after="0" w:line="6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7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w:t>
      </w:r>
    </w:p>
    <w:p>
      <w:pPr>
        <w:spacing w:after="0" w:line="7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Policies to address healthcare costs and drug pricing have garnered increasing bipartisan support and activity within the U.S. Congress, and continuing support by the current presidential administration, for drug pricing-related policies. Specific legislation that may be enacted or implemented remain uncertain, both as to their final substance and timing, and may affect a broad range of public policy considerations, the Medicare and Medicaid programs and the FDA regulatory regime. We anticipate that the U.S. Congress, state legislatures, and regulators will continue to consider and may adopt healthcare policies and reforms intended to curb healthcare costs. These cost containment measures may include federal and state controls on government-funded reimbursement for drugs (including Medicare, Medicaid) and commercial health plans, new or increased requirements to pay prescription drug rebates and penalties to government health care programs, and additional pharmaceutical cost transparency bills that aim to require drug companies to justify their prices through required disclosures. Additionally, proposals made part of proposed legislation and executive rule-making seek to utilize an “international pricing index” as a benchmark to determine the costs and potentially limit the reimbursement of drugs under Medicare Part B to more closely align with international drug prices. If the U.S. were to move to such a pricing system that were to apply to any of our products, our revenues from U.S. sales of such products could decrease.</w:t>
      </w:r>
    </w:p>
    <w:p>
      <w:pPr>
        <w:spacing w:after="0" w:line="61"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Other legislative and regulatory proposals that have recently been considered include the potential authorization of prescription drug importation from other countries, the approval of generic drugs and changes to REMS provisions related to generic products, legislative proposals to limit the terms of patent litigation settlements with generic sponsors, redefine certain conduct around patenting and new product development as unfair competition, create a private right of action related to access to samples of innovator products and ease the approval of REMS for generic applicants. All such considerations may adversely affect our business and industry in ways that we cannot accurately predict.</w:t>
      </w:r>
    </w:p>
    <w:p>
      <w:pPr>
        <w:spacing w:after="0" w:line="64"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There is also ongoing activity related to the Patient Protection and Affordable Care Act, as amended by the Healthcare and Education Reconciliation Act of 2010, together, the Healthcare Reform Act. The Healthcare Reform Act has substantially changed the way healthcare is financed by both governmental and private insurers. These changes have impacted previously existing government healthcare programs and have resulted in the development of new programs, including Medicare payment-for-performance initiatives. Some of the provisions of the Healthcare Reform Act have yet to be fully implemented, and certain provisions have been subject to judicial and Congressional challenges, as well as efforts by the current presidential administration to repeal or replace certain aspects of the Healthcare Reform Act and to alter the implementation of the Healthcare Reform Act and related laws. Additional legislative and regulatory changes and judicial challenges related to the Healthcare Reform Act remain possible. For example, while “repeal and replace” efforts have failed, aspects of the Healthcare Reform Act have been changed legislatively, such as the repeal of the requirement that certain individuals who fail to maintain qualifying health coverage for all or part of a year make a tax-based shared responsibility payment commonly referred to as the “individual mandate.” In addition, there have been delays in the implementation of key provisions of the Healthcare Reform Act, including the excise tax on generous employer-based health plans. There is ongoing judicial scrutiny of the Healthcare Reform Act including recent court rulings that have invalidated the Healthcare Reform Act based upon the repeal of the tax penalty associated with the individual mandate. We expect that the Healthcare Reform Act and its implementation, efforts to repeal or replace, or invalidate, the Healthcare Reform Act or portions thereof and other healthcare reform measures that may be adopted in the future could have a material adverse effect on our industry generally and on our ability to maintain or increase sales of our products.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If healthcare policies or reforms intended to curb healthcare costs are adopted or if we experience negative publicity with respect to pricing of our products or the pricing of pharmaceutical drugs generally, the prices that we charge for our products, including Xyrem, may be affected, our commercial opportunity may be limited and/or our revenues from sales of our products may be negatively impacted. We have periodically increased the price of Xyrem, most recently in July 2019, and may do so again in the future. We also have made and may in the future make similar price increases on our other products. There is no guarantee that such price adjustments will not negatively affect our reputation and our ability to secure and maintain reimbursement coverage for our products, which could limit the prices that we charge for our products, including Xyrem, limit the commercial opportunities for our products and/or negatively impact revenues from sales of our products.</w:t>
      </w:r>
    </w:p>
    <w:p>
      <w:pPr>
        <w:spacing w:after="0" w:line="81"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If we become the subject of any future government investigation or U.S. Congressional hearing with respect to drug pricing or other business practices, we could incur significant expense and could be distracted from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 For more information, see the risk factor under the heading “</w:t>
      </w:r>
      <w:r>
        <w:rPr>
          <w:rFonts w:ascii="Arial" w:cs="Arial" w:eastAsia="Arial" w:hAnsi="Arial"/>
          <w:sz w:val="16"/>
          <w:szCs w:val="16"/>
          <w:i w:val="1"/>
          <w:iCs w:val="1"/>
          <w:color w:val="auto"/>
        </w:rPr>
        <w:t>In addition to those specifically described in other risk factors, we are subject to significant ongoing regulatory obligations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oversight, which may result in significant additional expense and limit our ability to commercialize our products</w:t>
      </w:r>
      <w:r>
        <w:rPr>
          <w:rFonts w:ascii="Arial" w:cs="Arial" w:eastAsia="Arial" w:hAnsi="Arial"/>
          <w:sz w:val="16"/>
          <w:szCs w:val="16"/>
          <w:color w:val="auto"/>
        </w:rPr>
        <w:t>” in this Part II, Item 1A.</w:t>
      </w:r>
    </w:p>
    <w:p>
      <w:pPr>
        <w:spacing w:after="0" w:line="5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many countries outside the U.S., procedures to obtain price approvals, coverage and reimbursement can take considerable time after the receipt of marketing approval. The process of maintaining pricing and reimbursement approvals is complex and varies from country to country. Many European countries periodically review their reimbursement of medicinal products, which could have an adverse impact on reimbursement status. We cannot predict the outcome of any periodic reviews required to maintain pricing and reimbursement approvals across Europe. In addition, orphan products that have a significant impact on patient survival, such as Defitelio, may be budgeted on a local rather than national level. The balance of all of these factors will determine our ability to maintain favorable pricing and reimbursement approvals across Europe. Furthermore, after initial pricing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external reference pricing, which consists of arbitrage between low-priced and high-priced countries. Changes in the pricing of our medicinal products in one of the EU member states could, therefore, affect the price of our medicinal products in other EU member states. If we are unable to maintain favorable pricing and reimbursement approvals in EU member states that represent significant markets, especially where an EU member state’s reimbursed price influences other EU member states, our anticipated revenue from and growth prospects for our products in the EU could be negatively affected.</w:t>
      </w:r>
    </w:p>
    <w:p>
      <w:pPr>
        <w:spacing w:after="0" w:line="61"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In August 2018, the EC granted marketing authorization for Vyxeos, and, as part of our rolling launch of Vyxeos in the EU, we are continuing to make pricing and reimbursement submissions in EU member states. If we experience delays or unforeseen difficulties in obtaining favorable pricing and reimbursement approvals, planned launches in the affected EU member states would be delayed, which could negatively impact anticipated revenue from Vyxeos. If we are unable to obtain favorable pricing and reimbursement approvals in the EU member states that represent significant potential markets, our anticipated revenue from and growth prospects for Vyxeos in the EU could be negatively affected.</w:t>
      </w:r>
    </w:p>
    <w:p>
      <w:pPr>
        <w:spacing w:after="0" w:line="64"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In various EU member states we expect to be subject to continuous cost-cutting measures, such as lower maximum prices, lower or lack of reimbursement coverage and incentives to use cheaper, usually generic, products as an alternative. Health Technology Assessment, or HTA, of medicinal products is becoming an increasingly common part of the pricing and reimbursement procedures in some EU member states, including those representing the larger markets. The HTA process, which is currently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although a recently proposed EU regulation governing HTA procedures may lead to harmonization.</w:t>
      </w:r>
    </w:p>
    <w:p>
      <w:pPr>
        <w:spacing w:after="0" w:line="7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the EU, our products are marketed through various channels and within different legal frameworks. In certain EU member states, reimbursement for unauthorized products may be provided through national named patient programs. Such reimbursement may no longer be available if authorization for named patient programs expire or are terminated or when marketing authorization is granted. In other EU member states, authorization and reimbursement policies may also delay commercialization of our products, or may adversely affect our ability to sell our products on a profitable basis.</w:t>
      </w:r>
    </w:p>
    <w:p>
      <w:pPr>
        <w:spacing w:after="0" w:line="46"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We expect that legislators, policymakers and healthcare insurance funds in the EU member states will continue to propose and implement cost-containing measures to keep healthcare costs down. Such measures could include limitations on the prices we will be able to charge for our products or the amounts of reimbursement available for these products from governmental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authorities or third party payors, may increase the tax obligations on pharmaceutical companies, or may facilitate the introduction of generic competition with respect to our products. Further, an increasing number of EU member states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 Moreover, in order to obtain reimbursement for our products in some European countries, including some EU member states, we may be required to compile additional data comparing the cost-effectiveness of our products to other available therapies. There can be no assurance that our products will obtain favorable reimbursement status in any country in Europe. Any cost containment measures, including those listed above, or other healthcare system reforms that are adopted, could negatively affect our growth prospects in Europe.</w:t>
      </w:r>
    </w:p>
    <w:p>
      <w:pPr>
        <w:spacing w:after="0" w:line="8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62"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62" w:lineRule="exact"/>
        <w:rPr>
          <w:sz w:val="20"/>
          <w:szCs w:val="20"/>
          <w:color w:val="auto"/>
        </w:rPr>
      </w:pPr>
    </w:p>
    <w:p>
      <w:pPr>
        <w:ind w:left="720" w:right="480" w:hanging="320"/>
        <w:spacing w:after="0" w:line="258"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clinical indications for which a product is approved and any restrictions placed upon the product in connection with its approval, such as a REMS, patient registry requirements or labeling restrictions;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its diagnosis;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severity of side effects;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sufficient product inventory to meet demand, particularly with respect to Erwinaze;</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physicians’ decisions relating to treatment practices based on availability of product, particularly with respect to Erwinaze;</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advantages over alternative treatments;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720" w:right="220" w:hanging="320"/>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Xyrem, physician and patient assessment of the burdens associated with obtaining or maintaining the certifications required under the Xyrem REMS;</w:t>
      </w: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financial or other assistance for patients who are uninsured or underinsured.</w:t>
      </w:r>
    </w:p>
    <w:p>
      <w:pPr>
        <w:spacing w:after="0" w:line="103" w:lineRule="exact"/>
        <w:rPr>
          <w:sz w:val="20"/>
          <w:szCs w:val="20"/>
          <w:color w:val="auto"/>
        </w:rPr>
      </w:pPr>
    </w:p>
    <w:p>
      <w:pPr>
        <w:ind w:right="260" w:firstLine="432"/>
        <w:spacing w:after="0" w:line="291" w:lineRule="auto"/>
        <w:rPr>
          <w:sz w:val="20"/>
          <w:szCs w:val="20"/>
          <w:color w:val="auto"/>
        </w:rPr>
      </w:pPr>
      <w:r>
        <w:rPr>
          <w:rFonts w:ascii="Arial" w:cs="Arial" w:eastAsia="Arial" w:hAnsi="Arial"/>
          <w:sz w:val="16"/>
          <w:szCs w:val="16"/>
          <w:color w:val="auto"/>
        </w:rPr>
        <w:t>Because of our dependence upon market acceptance of our products, any adverse publicity associated with harm to patients or other adverse events resulting from the use or misuse of any of our products or any similar products distributed by other companies, including generic versions of our products, could materially and adversely affect our business, financial condition, results of operations and growth prospects. For example, from time to time, there is negative publicity about illicit GHB and its effects, including with respect to illegal use, overdoses, serious injury and death. Because sodium oxybate, the API in Xyrem, is a derivative of GHB, Xyrem sometimes also receives negative mention in publicity relating to GHB. Patients, physicians and regulators may therefore view Xyrem as the same as or similar to illicit GHB. In addition, there are regulators and some law enforcement agencies that oppose the prescription and use of Xyrem generally because of its connection to GHB. Xyrem’s label includes information about adverse events from GHB.</w:t>
      </w:r>
    </w:p>
    <w:p>
      <w:pPr>
        <w:spacing w:after="0" w:line="59"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For additional discussion about payor acceptance, see the risk factor under the heading “</w:t>
      </w:r>
      <w:r>
        <w:rPr>
          <w:rFonts w:ascii="Arial" w:cs="Arial" w:eastAsia="Arial" w:hAnsi="Arial"/>
          <w:sz w:val="17"/>
          <w:szCs w:val="17"/>
          <w:i w:val="1"/>
          <w:iCs w:val="1"/>
          <w:color w:val="auto"/>
        </w:rPr>
        <w:t>Adequate coverage and reimbursement from third party payors</w:t>
      </w:r>
      <w:r>
        <w:rPr>
          <w:rFonts w:ascii="Arial" w:cs="Arial" w:eastAsia="Arial" w:hAnsi="Arial"/>
          <w:sz w:val="17"/>
          <w:szCs w:val="17"/>
          <w:color w:val="auto"/>
        </w:rPr>
        <w:t xml:space="preserve"> </w:t>
      </w:r>
      <w:r>
        <w:rPr>
          <w:rFonts w:ascii="Arial" w:cs="Arial" w:eastAsia="Arial" w:hAnsi="Arial"/>
          <w:sz w:val="17"/>
          <w:szCs w:val="17"/>
          <w:i w:val="1"/>
          <w:iCs w:val="1"/>
          <w:color w:val="auto"/>
        </w:rPr>
        <w:t>may not be available for our products, which could diminish our sales or affect our ability to sell our products profitably</w:t>
      </w:r>
      <w:r>
        <w:rPr>
          <w:rFonts w:ascii="Arial" w:cs="Arial" w:eastAsia="Arial" w:hAnsi="Arial"/>
          <w:sz w:val="17"/>
          <w:szCs w:val="17"/>
          <w:color w:val="auto"/>
        </w:rPr>
        <w:t>” in this Part II, Item 1A.</w:t>
      </w:r>
    </w:p>
    <w:p>
      <w:pPr>
        <w:spacing w:after="0" w:line="38" w:lineRule="exact"/>
        <w:rPr>
          <w:sz w:val="20"/>
          <w:szCs w:val="20"/>
          <w:color w:val="auto"/>
        </w:rPr>
      </w:pPr>
    </w:p>
    <w:p>
      <w:pPr>
        <w:ind w:right="740"/>
        <w:spacing w:after="0" w:line="375" w:lineRule="auto"/>
        <w:rPr>
          <w:sz w:val="20"/>
          <w:szCs w:val="20"/>
          <w:color w:val="auto"/>
        </w:rPr>
      </w:pPr>
      <w:r>
        <w:rPr>
          <w:rFonts w:ascii="Arial" w:cs="Arial" w:eastAsia="Arial" w:hAnsi="Arial"/>
          <w:sz w:val="15"/>
          <w:szCs w:val="15"/>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the FDA’s current Good Manufacturing Practices, or cGMP, requirements, DEA regulations and equivalent rules and regulations prescribed by non-U.S. regulatory authorities. We have cGMP responsibilities for the products we manufacture in our facilities and also have oversight responsibilities for the manufacturing conducted by our third party suppliers operating under contract. If we or any of our suppliers encounter manufacturing, quality or compliance difficulties with respect to any of our products, we may be unable to obtain or maintain regulatory approval or meet commercial demand for such products, which could adversely affect our business, financial condition, results of operations and growth prospects. In addition, the failure of any of our suppliers to comply with cGMP or other rules and regulations while manufacturing products on our behalf could result in regulatory action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directed at the adequacy of our oversight of our contract suppliers, which could result in enforcement actions against us by the FDA and other regulatory entities.</w:t>
      </w:r>
    </w:p>
    <w:p>
      <w:pPr>
        <w:spacing w:after="0" w:line="62"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We have a manufacturing and development facility in Ireland where we manufacture Xyrem and development-stage oxybate products, including JZP-258, and a manufacturing plant in Italy where we produce the defibrotide drug substance. We currently do not have our own commercial manufacturing or packaging capability for our other products, product candidates or their APIs. As a result, our ability to develop and supply products in a timely and competitive manner depends primarily on third party suppliers being able to meet our ongoing commercial and clinical trial needs for API, other raw materials, packaging materials and finished products. For details of our arrangements with our suppliers, see “Business—Manufacturing” in Part I, Item 1 of our Annual Report on Form 10-K for the year ended December 31, 2018.</w:t>
      </w:r>
    </w:p>
    <w:p>
      <w:pPr>
        <w:spacing w:after="0" w:line="70"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In part due to the limited market size for our products and product candidates, we have a single source of supply for most of our marketed products, product candidates and their APIs. We are the sole supplier of the defibrotide compound. We have single source suppliers for sodium oxybate, the API for Xyrem, for Erwinaze, for the finished vial form of Defitelio, for Vyxeos and the API and finished form of Sunosi. Single sourcing puts us at risk of interruption in supply in the event of manufacturing, quality or compliance difficulties. There is no guarantee that our suppliers can or will continue to supply on a timely basis, or at all, the quantities of API or finished product that we need. If one of our suppliers fails or refuses to supply us for any reason, it would take a significant amount of time and expense to implement and execute the necessary technology transfer to, and to qualify, a new supplier. The FDA and similar international or national regulatory bodies must approve manufacturers of the active and inactive pharmaceutical ingredients and certain packaging materials used in our products. The loss of one of our suppliers could require us to obtain regulatory clearance in the form of a “prior approval supplement” and to incur validation and other costs associated with the transfer of the API or product manufacturing process. We believe that it could take up to two years, or longer in certain cases, to qualify a new supplier, and we may not be able to obtain APIs or finished products from new suppliers on acceptable terms and at reasonable prices, or at all.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 In addition, to conduct our ongoing and any future clinical trials of, complete marketing authorization submissions for, and potentially launch our other product candidates, we need to have sufficient quantities of product manufactured.</w:t>
      </w:r>
    </w:p>
    <w:p>
      <w:pPr>
        <w:spacing w:after="0" w:line="6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Erwinaze is licensed from, and manufactured for us by, a single source, PBL. The Erwinaze BLA includes a number of post-marketing commitments related to the manufacture of Erwinaze by PBL.</w:t>
      </w:r>
    </w:p>
    <w:p>
      <w:pPr>
        <w:spacing w:after="0" w:line="62"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In January 2017, the FDA issued a warning letter to PBL indicating that it was not satisfied with PBL’s response to the FDA Form 483 issued to PBL in March 2016 and citing significant violations of cGMP for finished pharmaceuticals and significant deviations from cGMP for APIs. In March 2017, PBL filed a response to the warning letter with the FDA. In August 2018, the FDA conducted an inspection of the PBL manufacturing facility and issued an FDA Form 483 to PBL citing observations related to items referenced in the warning letter as well as other manufacturing practices, including data and records management. PBL continues to address the issues identified by the FDA in the warning letter and has submitted its response to the August 2018 Form 483.</w:t>
      </w:r>
    </w:p>
    <w:p>
      <w:pPr>
        <w:spacing w:after="0" w:line="5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the United Kingdom, or UK, where PBL’s manufacturing facilities are located, PBL is subject to similar inspections conducted by the MHRA. Inability to comply with regulatory requirements of the FDA, the MHRA or other competent authorities in the EU member states in which Erwinaze is subject to marketing authorizations, including any failure by PBL to correct the violations and deviations referenced above to the satisfaction of the FDA, could further adversely affect Erwinaze supply, particularly in light of the ongoing limited supply of Erwinaze, and could result in enforcement actions by the FDA, MHRA or other EU member states’ competent authorities (including the issuance of the local equivalents of FDA Form 483s or warning letters), the approval of the FDA or other competent authorities being suspended, varied, or revoked, product release being delayed or suspended, including potentially the FDA refusing admission of Erwinaze in the U.S., or product being seized or recalled. Any of these actions could have a material adverse effect on our sales of, and revenues from, Erwinaze and further limit our future maintenance and potential growth of the market for this product. We have incurred and continue to incur significant internal and external costs and expenses as a result of these issues, including due to managing the increased need for regulatory and customer interaction. In addition, if the FDA or any non-U.S. regulatory authority mandates any changes to the specifications for Erwinaze, we may face challenges having product produced to meet such specifications, and PBL may increase its price to supply Erwinaze meeting such specifications, which may result in additional costs to us or a delay in supply and may decrease any profit we would otherwise achieve with Erwinaze.</w:t>
      </w:r>
    </w:p>
    <w:p>
      <w:pPr>
        <w:spacing w:after="0" w:line="6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All Erwinaze that PBL has been able to supply is currently completely absorbed by demand for the product. As a consequence, there is no product inventory that can be used to absorb supply disruptions resulting from quality, manufacturing, regulatory or other issues. PBL has experienced and continues to experience product quality and manufacturing issues that have resulted, and continue to result, in disruptions in our ability to supply markets from time to time and have caused, and may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the future cause, us to implement batch-specific, modified product use instructions. We have been experiencing, and continue to experience, supply disruptions globally and expect further supply disruptions for the remainder of 2019 and in 2020. We cannot predict whether the required remediation activities by PBL in connection with its January 2017 FDA warning letter or the August 2018 FDA Form 483 will further strain PBL’s manufacturing capacity or otherwise further adversely affect Erwinaze supply. As capacity constraints and supply disruptions continue, whether as a result of continued quality or manufacturing challenges at PBL, regulatory issues or otherwise, we will be unable to build product inventory, our ability to supply the market will continue to be compromised and physicians’ decisions to use Erwinaze will continue to be negatively impacted.</w:t>
      </w:r>
    </w:p>
    <w:p>
      <w:pPr>
        <w:spacing w:after="0" w:line="70"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If PBL’s quality, manufacturing or regulatory issues persist and supply disruptions continue, our agreement with PBL, which will expire on December 31, 2020, only gives us the right to engage a backup supplier for Erwinaze in very limited circumstances, such as following termination of the agreement by us due to uncured material breach or the cessation of manufacturing by PBL. Moreover, if our right to engage a backup supplier for Erwinaze arises during the term of our agreement with PBL, there would not be sufficient time for us to engage a backup or alternative supplier before our agreement with PBL expires at the end of 2020. If we continue to fail to obtain a sufficient supply of Erwinaze from PBL, our sales of and revenues from Erwinaze, our future maintenance and potential growth of the market for this product, our reputation and our business, financial condition, results of operations and growth prospects could continue to be materially adversely affected.</w:t>
      </w:r>
    </w:p>
    <w:p>
      <w:pPr>
        <w:spacing w:after="0" w:line="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API in Defitelio is derived from porcine DNA. If our porcine DNA supplier experiences safety or other issues that impact its ability to supply porcine materials to us as needed, we may not be able to find alternative suppliers in a timely fashion, which could negatively impact our supply of Defitelio.</w:t>
      </w:r>
    </w:p>
    <w:p>
      <w:pPr>
        <w:spacing w:after="0" w:line="1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Vyxeos is manufactured by Baxter Oncology GmbH, or Baxter, which is a sole source supplier from a single site location. Given that our Vyxeos launch is still at a relatively early stage, there is limited experience with the complex manufacturing process relating to Vyxeos. Baxter manufactured batches that were used in the Phase 3 clinical trial for Vyxeos; there have since been batch failures due to mechanical, component and other issues, and batches have been produced that have otherwise not been in compliance with applicable specifications. We are continuing to work with Baxter to address manufacturing complexities.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for any reason or due to manufacturing or regulatory challenges, our sales of and revenues from Vyxeos, our future maintenance and potential growth of the market for this product, our ability to conduct ongoing and future clinical trials of Vyxeos, and our business, financial condition, results of operations and growth prospects could be materially adversely affected.</w:t>
      </w:r>
    </w:p>
    <w:p>
      <w:pPr>
        <w:spacing w:after="0" w:line="7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while the APIs in Vyxeos, daunorubicin and cytarabine are available from a number of suppliers, certain suppliers have received warning letters from the FDA. As a result, we have qualified other suppliers for each API, and we provided the qualification data to the FDA. If the FDA restricts importation of API from either supplier, and we are unable to qualify API from additional suppliers in a timely manner, or at all, our ability to successfully commercialize Vyxeos and generate sales of this product at the level we expect and to conduct ongoing and future clinical trials of Vyxeos could be materially and adversely affected.</w:t>
      </w:r>
    </w:p>
    <w:p>
      <w:pPr>
        <w:spacing w:after="0" w:line="8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Siegfried USA, LLC, through its European affiliates, or Siegfried, is our sole supplier of both the API and finished product for Sunosi for both commercial sale as well as development activities. If Siegfried does not or is not able to supply us with Sunosi for any reason, it may take time and resources to implement and execute the necessary technology transfer to another provider, and such delay could negatively impact our sales of and revenues from Sunosi, our future maintenance and potential growth of the market for this product, and our ability to conduct ongoing and future clinical trials of Sunosi, any of which could materially and adversely affect our business, financial condition, results of operations and growth prospects.</w:t>
      </w:r>
    </w:p>
    <w:p>
      <w:pPr>
        <w:spacing w:after="0" w:line="6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or our suppliers may not be able to produce sufficient supplies of our product candidates in a timely manner or in accordance with applicable specifications. If any of our suppliers fail or refuse to comply with their obligations to us under our supply and manufacturing arrangements, we may not have adequate remedies for any breach. In addition, to obtain approval from the FDA or a similar international or national regulatory body of any product candidate, we or our supplier or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or CMC,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Our manufacturing facilities and manufacturing facilities of our suppliers have been and are subject to periodic unannounced inspection by the FDA, the EMA, the DEA, the Italian Health Authority and other regulatory authorities, including state authorities and similar authorities in other jurisdictions, to confirm compliance with cGMP and other requirements. We and our third party suppliers must continually expend time, money and effort in production, recordkeeping and quality assurance and control to ensure that our products and product candidates meet applicable specifications and other requirements for product safety, efficacy and quality. Failure to comply with applicable legal and regulatory requirements subjects us and our suppliers to possible legal or regulatory action, including restrictions on supply or shutdown, which may adversely affect our or a supplier’s ability to supply the ingredients or finished products we need. Moreover, our or our third party suppliers’ facilities could be damaged by fire, flood, earthquake, power loss, telecommunication and information system failure, terrorism or similar events. Any of these events could cause a delay or interruption in manufacturing and potentially a supply shortage of our products, which could negatively impact our anticipated revenues.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of Our Product Portfolio and Research and Development</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successfully develop and obtain and maintain regulatory approval in the U.S. and Europe for our late-stage product candidates and, if approved, to successfully launch and commercialize those product candidates.</w:t>
      </w:r>
    </w:p>
    <w:p>
      <w:pPr>
        <w:spacing w:after="0" w:line="62"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In furtherance of our growth strategy, we have made and are making significant investments in a number of product candidates, including Sunosi and JZP-258. Our inability to obtain and maintain regulatory approval for our product candidates in the U.S. and Europe, and, if approved, to successfully commercialize new products would have a material adverse effect on our business, financial condition, results of operations and growth prospects.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Sunosi</w:t>
      </w:r>
    </w:p>
    <w:p>
      <w:pPr>
        <w:spacing w:after="0" w:line="11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submitted an MAA for Sunosi to the EMA in the fourth quarter of 2018. If we are unable to obtain approval of our Sunosi MAA in a timely manner, or at all, if the EC requires product labeling that negatively impacts patient, physician or payor acceptance of the product, or if sales of Sunosi in the EU (if approved) do not reach the levels we expect, our anticipated revenue from Sunosi will be negatively affected, which could have a material adverse effect on our business, financial condition, results of operations and growth prospects. In addition, we are targeting potential new indications for Sunosi for the potential treatment of EDS in other sleep or central nervous system disorders, including pursuing development activities for Sunosi for the potential treatment of EDS in patients with MDD. If these development activities are unsuccessful, our growth prospects could be materially adversely affected. For more information, see the risk factor under the heading “</w:t>
      </w:r>
      <w:r>
        <w:rPr>
          <w:rFonts w:ascii="Arial" w:cs="Arial" w:eastAsia="Arial" w:hAnsi="Arial"/>
          <w:sz w:val="17"/>
          <w:szCs w:val="17"/>
          <w:i w:val="1"/>
          <w:iCs w:val="1"/>
          <w:color w:val="auto"/>
        </w:rPr>
        <w:t>While Xyrem remains our largest product, our success also depends on our ability to effectively</w:t>
      </w:r>
      <w:r>
        <w:rPr>
          <w:rFonts w:ascii="Arial" w:cs="Arial" w:eastAsia="Arial" w:hAnsi="Arial"/>
          <w:sz w:val="17"/>
          <w:szCs w:val="17"/>
          <w:color w:val="auto"/>
        </w:rPr>
        <w:t xml:space="preserve"> </w:t>
      </w:r>
      <w:r>
        <w:rPr>
          <w:rFonts w:ascii="Arial" w:cs="Arial" w:eastAsia="Arial" w:hAnsi="Arial"/>
          <w:sz w:val="17"/>
          <w:szCs w:val="17"/>
          <w:i w:val="1"/>
          <w:iCs w:val="1"/>
          <w:color w:val="auto"/>
        </w:rPr>
        <w:t>commercialize our other products</w:t>
      </w:r>
      <w:r>
        <w:rPr>
          <w:rFonts w:ascii="Arial" w:cs="Arial" w:eastAsia="Arial" w:hAnsi="Arial"/>
          <w:sz w:val="17"/>
          <w:szCs w:val="17"/>
          <w:color w:val="auto"/>
        </w:rPr>
        <w:t>” in this Part II, Item 1A.</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JZP-258</w:t>
      </w:r>
    </w:p>
    <w:p>
      <w:pPr>
        <w:spacing w:after="0" w:line="11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JZP-258 is an oxybate product candidate that contains 92% less sodium than Xyrem. Given the well-accepted relationship between dietary sodium and blood pressure as well as published hypertension guidelines, we believe that significantly lowering sodium intake would be beneficial for patients. On March 26, 2019, we announced positive top-line results from our Phase 3 study evaluating the efficacy and safety of JZP-258 for the treatment of cataplexy and EDS in adult patients with narcolepsy and presented additional data from this study publicly at an international medical conference in September 2019. We expect to submit an NDA for this product in January 2020 and plan to redeem our priority review voucher in connection with this submission. Although we received positive results from that Phase 3 study, we cannot guarantee the timing or acceptance of our planned NDA by the FDA. We are also conducting a Phase 3 clinical trial for use of JZP-258 for the treatment of idiopathic hypersomnia, a chronic neurological disorder that is primarily characterized by EDS. Any failure or delay in successfully completing necessary clinical trials and conducting other activities, including CMC activities, that are required to complete our planned NDA submission and obtain regulatory approval, could materially and adversely affect our growth prospects. If we submit an NDA to the FDA for approval and the FDA determines that our safety or efficacy data do not warrant marketing approval, we may be required to conduct additional clinical trials, which could be costly and time-consuming, or we may not be able to commercialize JZP-258, in which event we would not receive any return on our investment.</w:t>
      </w:r>
    </w:p>
    <w:p>
      <w:pPr>
        <w:spacing w:after="0" w:line="72"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Avadel has announced that it has obtained an orphan drug designation from the FDA for its once-nightly sodium oxybate formulation for the treatment of EDS and cataplexy in patients with narcolepsy. To obtain orphan drug exclusivity upon approval, Avadel will have to show clinical superiority to Xyrem, or, if applicable, clinical superiority to JZP-258. However, if the FDA approves Avadel’s product and grants it orphan drug exclusivity before we obtain approval for JZP-258, there is a risk that JZP-258 will not be approvable for seven years unless it can establish clinical superiority to Avadel’s product. We cannot predict the timing of the two submissions or how FDA will evaluate any clinical superiority arguments that either company may make, but a delay in our ability to obtain approval for JZP-258, if at all, could be detrimental to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a discussion of the risks inherent in product development and regulatory approval, see the discussions in the risk factors under the headings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Conducting clinical trials is costly and time-consuming, and the outcomes are uncertain. A failure to prove that our product candidates are safe and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clinical trials, or to generate data in clinical trials to support expansion of the therapeutic uses for our existing products, could materially and adversely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affect our business, financial condition, results of operations and growth prospects</w:t>
      </w:r>
      <w:r>
        <w:rPr>
          <w:rFonts w:ascii="Arial" w:cs="Arial" w:eastAsia="Arial" w:hAnsi="Arial"/>
          <w:sz w:val="16"/>
          <w:szCs w:val="16"/>
          <w:color w:val="auto"/>
        </w:rPr>
        <w:t>” and “</w:t>
      </w:r>
      <w:r>
        <w:rPr>
          <w:rFonts w:ascii="Arial" w:cs="Arial" w:eastAsia="Arial" w:hAnsi="Arial"/>
          <w:sz w:val="16"/>
          <w:szCs w:val="16"/>
          <w:i w:val="1"/>
          <w:iCs w:val="1"/>
          <w:color w:val="auto"/>
        </w:rPr>
        <w:t>The regulatory approval process is expensive, time-consuming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and may prevent us or our partners from obtaining and maintaining approvals for the commercialization of some or all of our product candidates”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this Part II, Item 1A. If we are not successful in the clinical development of our product candidates, if we are unable to obtain regulatory approval for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candidates in a timely manner, or at all, or if sales of an approved product do not reach the levels we expect, our anticipated revenue from our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candidates would be negatively affected, which could have a material adverse effect on our business, financial condition, results of operations and growth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prospects.</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acquisitions.</w:t>
      </w:r>
    </w:p>
    <w:p>
      <w:pPr>
        <w:spacing w:after="0" w:line="62"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Future growth through acquisition or in-licensing will depend upon the availability of suitable products and product candidates for acquisition or in-licensing on acceptable prices, terms and conditions.</w:t>
      </w:r>
    </w:p>
    <w:p>
      <w:pPr>
        <w:spacing w:after="0" w:line="7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Even if appropriate opportunities are available, we may not be able to successfully identify them, or we may not have the financial resources necessary to pursue them. Other companies, many of which may have substantially greater financial, sales and marketing resources, compete with us for these opportunities. In order to compete successfully to acquire attractive products or product candidates in the current business climate, we may have to pay higher prices for assets than may have been paid historically, which may make it more difficult for us to realize an adequate return on any acquisition.</w:t>
      </w:r>
    </w:p>
    <w:p>
      <w:pPr>
        <w:spacing w:after="0" w:line="46" w:lineRule="exact"/>
        <w:rPr>
          <w:sz w:val="20"/>
          <w:szCs w:val="20"/>
          <w:color w:val="auto"/>
        </w:rPr>
      </w:pPr>
    </w:p>
    <w:p>
      <w:pPr>
        <w:ind w:right="500" w:firstLine="432"/>
        <w:spacing w:after="0" w:line="259" w:lineRule="auto"/>
        <w:rPr>
          <w:sz w:val="20"/>
          <w:szCs w:val="20"/>
          <w:color w:val="auto"/>
        </w:rPr>
      </w:pPr>
      <w:r>
        <w:rPr>
          <w:rFonts w:ascii="Arial" w:cs="Arial" w:eastAsia="Arial" w:hAnsi="Arial"/>
          <w:sz w:val="18"/>
          <w:szCs w:val="18"/>
          <w:color w:val="auto"/>
        </w:rPr>
        <w:t>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We may not be able to realize the anticipated benefits for a variety of reasons, including if:</w:t>
      </w:r>
    </w:p>
    <w:p>
      <w:pPr>
        <w:spacing w:after="0" w:line="79" w:lineRule="exact"/>
        <w:rPr>
          <w:sz w:val="20"/>
          <w:szCs w:val="20"/>
          <w:color w:val="auto"/>
        </w:rPr>
      </w:pPr>
    </w:p>
    <w:p>
      <w:pPr>
        <w:ind w:left="720" w:right="280" w:hanging="320"/>
        <w:spacing w:after="0" w:line="258"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a collaboration partner are unable to obtain and maintain adequate funding to complete the development of, obtain regulatory approval for and commercialize an acquired product candidate;</w:t>
      </w:r>
    </w:p>
    <w:p>
      <w:pPr>
        <w:spacing w:after="0" w:line="1" w:lineRule="exact"/>
        <w:rPr>
          <w:rFonts w:ascii="Arial" w:cs="Arial" w:eastAsia="Arial" w:hAnsi="Arial"/>
          <w:sz w:val="18"/>
          <w:szCs w:val="18"/>
          <w:color w:val="auto"/>
        </w:rPr>
      </w:pPr>
    </w:p>
    <w:p>
      <w:pPr>
        <w:ind w:left="720" w:right="200" w:hanging="320"/>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and our collaboration partners are unable to agree on our respective contractual rights or other disputes arise between us and our collaboration partners;</w:t>
      </w: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collaborations with third parties are terminated or allowed to expire;</w:t>
      </w:r>
    </w:p>
    <w:p>
      <w:pPr>
        <w:spacing w:after="0" w:line="9" w:lineRule="exact"/>
        <w:rPr>
          <w:rFonts w:ascii="Arial" w:cs="Arial" w:eastAsia="Arial" w:hAnsi="Arial"/>
          <w:sz w:val="18"/>
          <w:szCs w:val="18"/>
          <w:color w:val="auto"/>
        </w:rPr>
      </w:pPr>
    </w:p>
    <w:p>
      <w:pPr>
        <w:ind w:left="720" w:right="340" w:hanging="320"/>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product candidate proves not to be safe or effective in later clinical trials or its development is otherwise discontinued by us or a collaboration partner;</w:t>
      </w: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product fails to reach its forecasted commercial potential as a result of pricing pressures or for any other reason;</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experience negative publicity regarding actual or potential future price increases for that product or otherwise; or</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integration of a product or product candidate gives rise to unforeseen difficulties and expenditures.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failure to identify and manage these risks and uncertainties effectively could have a material adverse effect on our business.</w:t>
      </w:r>
    </w:p>
    <w:p>
      <w:pPr>
        <w:spacing w:after="0" w:line="117"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In addition, product and product candidate acquisitions create other uncertainties and risks, particularly when the acquisition takes the form of a merger or other business consolidation. Our business acquisitions have required, and any similar future transactions will also require, significant efforts and expenditures, including with respect to transition activities and integrating the acquired business with our historical business. We may encounter unexpected difficulties, or incur unexpected costs, in connection with potential acquisitions and similar transactions, which include:</w:t>
      </w:r>
    </w:p>
    <w:p>
      <w:pPr>
        <w:spacing w:after="0" w:line="63" w:lineRule="exact"/>
        <w:rPr>
          <w:sz w:val="20"/>
          <w:szCs w:val="20"/>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23"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any acquisition;</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11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If any of these or other factors impair our ability to integrate or otherwise manage an acquired business efficiently and successfully, we may be required to spend time or money on integration activities that otherwise would be spent on the development and expansion of our business. Resulting operating inefficiencies could increase costs and expenses more than we planned, could negatively impact the market price of our ordinary shares and could otherwise distract us from the execution of our strategy. Failure to maintain effective financial controls and reporting systems and procedures during and after integration of an acquired business could also impact our ability to produce timely and accurate financial statements.</w:t>
      </w:r>
    </w:p>
    <w:p>
      <w:pPr>
        <w:spacing w:after="0" w:line="6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As a condition to regulatory approval, each product candidate must undergo extensive and expensive preclinical studies and clinical trials to demonstrate to a statistically significant degree that the product candidate is safe and effective. The results at any stage of the development process may lack the desired safety, efficacy or pharmacokinetic characteristics. Results of limited preclinical studies, including studies in animal models, may not predict the results of human clinical trials. Similarly, results from early clinical trials may not be predictive of results obtained in later and larger clinical trials, and later clinical trials may fail to show the desired safety and efficacy of our product candidates despite successful initial clinical testing. Even if we believe we have successfully completed testing, the FDA or any equivalent non-U.S. regulatory agency may determine our data is not sufficiently compelling to warrant marketing approval and may require us to engage in additional clinical trials or provide further analysis which may be costly and time-consuming. A number of companies in the pharmaceutical industry, including us, have suffered significant setbacks in clinical trials, even in advanced clinical trials after showing positive results in preclinical studies or earlier clinical trials. If a product candidate fails at any stage of development or the data is otherwise not sufficient for regulatory approval, we will not be able to commercialize it and receive any return on our investment in that product candidate.</w:t>
      </w:r>
    </w:p>
    <w:p>
      <w:pPr>
        <w:spacing w:after="0" w:line="6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If the FDA determines that the safety or efficacy data we submit in our planned NDA for JZP-258 do not warrant marketing approval, we may be required to conduct additional clinical trials, which could be costly and time-consuming, or we may not be able to commercialize JZP-258, in which event we would not receive any return on our investment in this product candidate. The FDA may also require product labeling that negatively impacts patient, physician or payor acceptance of the product. For more information, see the risk factor under the heading “</w:t>
      </w:r>
      <w:r>
        <w:rPr>
          <w:rFonts w:ascii="Arial" w:cs="Arial" w:eastAsia="Arial" w:hAnsi="Arial"/>
          <w:sz w:val="18"/>
          <w:szCs w:val="18"/>
          <w:i w:val="1"/>
          <w:iCs w:val="1"/>
          <w:color w:val="auto"/>
        </w:rPr>
        <w:t>Our future success depends on our ability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successfully develop and obtain and maintain regulatory approval in the U.S. and Europe for our late-stage product candidates and, if approved, to successfully launch and commercialize those product candidates” </w:t>
      </w:r>
      <w:r>
        <w:rPr>
          <w:rFonts w:ascii="Arial" w:cs="Arial" w:eastAsia="Arial" w:hAnsi="Arial"/>
          <w:sz w:val="18"/>
          <w:szCs w:val="18"/>
          <w:color w:val="auto"/>
        </w:rPr>
        <w:t>in this Part II, Item 1A.</w:t>
      </w:r>
    </w:p>
    <w:p>
      <w:pPr>
        <w:spacing w:after="0" w:line="8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Any adverse events or other data generated during the course of clinical trials of our product candidates and/or clinical trials related to additional indications for our commercialized products could result in action by the FDA or a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issues relating to the results generated in clinical trials, clinical trials can be delayed or halted for a variety of reasons, including:</w:t>
      </w:r>
    </w:p>
    <w:p>
      <w:pPr>
        <w:spacing w:after="0" w:line="129" w:lineRule="exact"/>
        <w:rPr>
          <w:sz w:val="20"/>
          <w:szCs w:val="20"/>
          <w:color w:val="auto"/>
        </w:rPr>
      </w:pPr>
    </w:p>
    <w:p>
      <w:pPr>
        <w:ind w:left="720" w:right="480" w:hanging="320"/>
        <w:spacing w:after="0" w:line="258"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identifying or enrolling eligible patients, often based on the number of clinical trials, particularly in hematology and oncology, with enrollment criteria targeting the same patient population;</w:t>
      </w:r>
    </w:p>
    <w:p>
      <w:pPr>
        <w:spacing w:after="0" w:line="1" w:lineRule="exact"/>
        <w:rPr>
          <w:rFonts w:ascii="Arial" w:cs="Arial" w:eastAsia="Arial" w:hAnsi="Arial"/>
          <w:sz w:val="18"/>
          <w:szCs w:val="18"/>
          <w:color w:val="auto"/>
        </w:rPr>
      </w:pPr>
    </w:p>
    <w:p>
      <w:pPr>
        <w:ind w:left="720" w:right="100" w:hanging="320"/>
        <w:spacing w:after="0" w:line="250"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identifying a clinical development pathway, including viable indications and appropriate clinical trial protocol design, particularly where there is no applicable regulatory precedent;</w:t>
      </w:r>
    </w:p>
    <w:p>
      <w:pPr>
        <w:ind w:left="720" w:right="660" w:hanging="320"/>
        <w:spacing w:after="0" w:line="250"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9" w:lineRule="exact"/>
        <w:rPr>
          <w:rFonts w:ascii="Arial" w:cs="Arial" w:eastAsia="Arial" w:hAnsi="Arial"/>
          <w:sz w:val="18"/>
          <w:szCs w:val="18"/>
          <w:color w:val="auto"/>
        </w:rPr>
      </w:pPr>
    </w:p>
    <w:p>
      <w:pPr>
        <w:ind w:left="720" w:right="60" w:hanging="320"/>
        <w:spacing w:after="0" w:line="250"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known as an ethics committee in Europe, to conduct a clinical trial at a prospective study site;</w:t>
      </w:r>
    </w:p>
    <w:p>
      <w:pPr>
        <w:ind w:left="720" w:hanging="32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failures in recruiting patients to participate in a clinical trial;</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5"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20" w:right="360" w:hanging="320"/>
        <w:spacing w:after="0" w:line="258"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to be in compliance with the FDA and other regulatory agencies’ requirements, commonly referred to as good clinical practices;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monitoring multiple study sites;</w:t>
      </w:r>
    </w:p>
    <w:p>
      <w:pPr>
        <w:spacing w:after="0" w:line="9" w:lineRule="exact"/>
        <w:rPr>
          <w:rFonts w:ascii="Arial" w:cs="Arial" w:eastAsia="Arial" w:hAnsi="Arial"/>
          <w:sz w:val="18"/>
          <w:szCs w:val="18"/>
          <w:color w:val="auto"/>
        </w:rPr>
      </w:pPr>
    </w:p>
    <w:p>
      <w:pPr>
        <w:ind w:left="720" w:right="700" w:hanging="320"/>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third party clinical trial managers to satisfactorily perform their contractual duties, comply with regulations or meet expected deadlines; or</w:t>
      </w: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103"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rely on contract research organizations and other third parties, such as cooperative groups, to assist us in designing, coordinating, managing, monitoring and otherwise conducting clinical trials with our product candidates. If we, contract research organizations assisting us with clinical trials, other third parties conducting clinical trials with our product candidates, or our trial sites fail to comply with applicable good clinical practices, the clinical data generated in these clinical trials may be deemed unreliable, and the FDA and/or other global regulatory agencies may require us to perform additional clinical trials before approving our marketing applications. In addition, clinical trials must be conducted with product candidates produced under the FDA’s cGMP regulations and similar regulations outside of the U.S. Our failure, or the failure of our product suppliers, to comply with these regulations may require us to repeat or redesign clinical trials, which would delay the completion of clinical trials and the regulatory approval process.</w:t>
      </w:r>
    </w:p>
    <w:p>
      <w:pPr>
        <w:spacing w:after="0" w:line="70" w:lineRule="exact"/>
        <w:rPr>
          <w:sz w:val="20"/>
          <w:szCs w:val="20"/>
          <w:color w:val="auto"/>
        </w:rPr>
      </w:pPr>
    </w:p>
    <w:p>
      <w:pPr>
        <w:jc w:val="both"/>
        <w:ind w:right="120" w:firstLine="432"/>
        <w:spacing w:after="0" w:line="297" w:lineRule="auto"/>
        <w:rPr>
          <w:sz w:val="20"/>
          <w:szCs w:val="20"/>
          <w:color w:val="auto"/>
        </w:rPr>
      </w:pPr>
      <w:r>
        <w:rPr>
          <w:rFonts w:ascii="Arial" w:cs="Arial" w:eastAsia="Arial" w:hAnsi="Arial"/>
          <w:sz w:val="16"/>
          <w:szCs w:val="16"/>
          <w:color w:val="auto"/>
        </w:rPr>
        <w:t>If third parties do not successfully carry out their contractual duties under their agreements with us, if the quality or accuracy of the data they obtain is compromised due to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generate additional clinical data in support of these products.</w:t>
      </w:r>
    </w:p>
    <w:p>
      <w:pPr>
        <w:spacing w:after="0" w:line="5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is expensive, time-consuming and uncertain and may prevent us or our partners from obtaining and maintaining approvals for the commercialization of some or all of our product candidates.</w:t>
      </w:r>
    </w:p>
    <w:p>
      <w:pPr>
        <w:spacing w:after="0" w:line="62"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are not permitted to market a pharmaceutical product in the U.S. or in the EU member states until we receive approval from the FDA or a marketing authorization from the EC or the competent authorities of the EU member states, as applicable. Submission of an application for marketing authorization does not assure approval for marketing in any jurisdiction, and we may encounter significant difficulties or costs in our efforts to obtain approval to market products. If the FDA, the EC or the competent authorities of the EU member states determine that our quality, safety or efficacy data do not warrant marketing approval for a product candidate, we could be required to conduct additional clinical trials as a condition to receiving approval, which could be costly and time-consuming and could delay or preclude the approval of our application. If we are unable to obtain regulatory approval of our product candidates, we will not be able to commercialize them and recoup our research and development costs.</w:t>
      </w:r>
    </w:p>
    <w:p>
      <w:pPr>
        <w:spacing w:after="0" w:line="70"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In the U.S., the Prescription Drug User Fee Act, or PDUFA, provides a ten-month deadline for the FDA to review an NDA that has been accepted by filing by the FDA, or a six-month deadline for priority review. However, there is no guarantee that the FDA will meet the applicable deadline, and the FDA can extend a PDUFA action date under certain circumstances. If the FDA fails to meet PDUFA targeted action dates established for any of our product candidates, the commercialization of the affected product candidate could be delayed or impaired.</w:t>
      </w:r>
    </w:p>
    <w:p>
      <w:pPr>
        <w:spacing w:after="0" w:line="6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addition, in May 2018, we purchased a rare pediatric disease priority review voucher for $110.0 million. We plan to redeem our priority review voucher in connection with the submission of our NDA for JZP-258 in January 2020. However, the redemption of a rare pediatric disease priority review voucher may not result in faster review or approval compared to products considered for approval under conventional FDA procedures and, in any event, does not assure ultimate approval by FDA. Accordingly, we could fail to realize the anticipated benefits of our purchase of the priority review voucher.</w:t>
      </w:r>
    </w:p>
    <w:p>
      <w:pPr>
        <w:spacing w:after="0" w:line="46"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Any delay or failure in obtaining approval of a product candidate, or receipt of approval for narrower indications than sought, can have a negative impact on our ability to recoup or research and development costs and to successfully commercialize that product, any of which could materially and adversely affect our business, financial condition, results of operations and growth prospects.</w:t>
      </w:r>
    </w:p>
    <w:p>
      <w:pPr>
        <w:spacing w:after="0" w:line="7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Even if we receive approval, an approved product may be subject to significant labeling restrictions, including limitations on the dosing of the product, indicated uses for which we may market the product, the imposition of a boxed warning or other warnings and precautions, and/or the requirement for a REMS to ensure that the benefits of the drug outweigh the risks. A boxed warning is the strongest type of warning that the FDA can require for a drug product and warns prescribers that the drug carries a significant risk of serious or even life-threatening adverse effects. The FDA requires a REMS and a boxed warning for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Xyrem, and similar restrictions could be imposed on other products in the future. For example, we expect that the FDA would require a REMS for an approved JZP-258 product.</w:t>
      </w:r>
    </w:p>
    <w:p>
      <w:pPr>
        <w:spacing w:after="0" w:line="62"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Regulatory authorities may also impose post-marketing obligations as part of their approval. Post-marketing obligations may lead to additional costs and burdens associated with commercialization of the drug, and may pose a risk to maintaining approval of the drug. We are subject to certain post-marketing requirements and commitments in connection with the approval of certain of our products, including Erwinaze, Defitelio, Vyxeos and Sunosi. For example, for Defitelio, in the U.S. the FDA imposed several post-marketing commitments and requirements in connection with its approval, including the requirement that we conduct a clinical trial to analyze the safety of defibrotide versus best supportive care in the prevention of VOD in adult and pediatric patients, and in the EU marketing authorization was granted under exceptional circumstances and requires us to comply with a number of post-marketing obligations, including the conduct of a Phase 3, randomized adaptive study of Defitelio as compared to the best supportive care in the prevention of VOD in adult and pediatric patients undergoing HSCT. Similarly, the FDA imposed post-marketing requirements in connection with its approval of our NDA for Vyxeos, including the requirement that we conduct a safety study to characterize infusion-related reactions in patients treated with Vyxeos and a clinical trial to determine dosing to minimize toxicity in patients with moderate and severe renal impairment, and the marketing authorization in the EU also requires us to comply with certain manufacturing-related post-approval commitments. The FDA also required us to conduct additional post-marketing safety studies related to pregnancy and lactation for Sunosi. In the event that we are unable to comply with our post-marketing obligations imposed as part of the marketing approvals in the U.S. or EU, our approval may be varied, suspended or revoked, product supply may be delayed and our sales of and revenues from our products could be materially adversely affected.</w:t>
      </w:r>
    </w:p>
    <w:p>
      <w:pPr>
        <w:spacing w:after="0" w:line="7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A significant proportion of the regulatory framework in the UK is derived from EU laws. For that reason, the results of the formal procedure of withdrawal from the EU, initiated by the UK in March 2017, could materially change the regulatory regime applicable to our operations, including with respect to the approval of our product candidates, as there is significant uncertainty concerning the future relationship between the UK and the EU. For a further discussion, see the risks under the heading “</w:t>
      </w:r>
      <w:r>
        <w:rPr>
          <w:rFonts w:ascii="Arial" w:cs="Arial" w:eastAsia="Arial" w:hAnsi="Arial"/>
          <w:sz w:val="17"/>
          <w:szCs w:val="17"/>
          <w:i w:val="1"/>
          <w:iCs w:val="1"/>
          <w:color w:val="auto"/>
        </w:rPr>
        <w:t>The UK’s planned withdrawal from the EU, commonly referred to as Brexit, may have a negative effect on</w:t>
      </w:r>
      <w:r>
        <w:rPr>
          <w:rFonts w:ascii="Arial" w:cs="Arial" w:eastAsia="Arial" w:hAnsi="Arial"/>
          <w:sz w:val="17"/>
          <w:szCs w:val="17"/>
          <w:color w:val="auto"/>
        </w:rPr>
        <w:t xml:space="preserve"> </w:t>
      </w:r>
      <w:r>
        <w:rPr>
          <w:rFonts w:ascii="Arial" w:cs="Arial" w:eastAsia="Arial" w:hAnsi="Arial"/>
          <w:sz w:val="17"/>
          <w:szCs w:val="17"/>
          <w:i w:val="1"/>
          <w:iCs w:val="1"/>
          <w:color w:val="auto"/>
        </w:rPr>
        <w:t>global economic conditions, financial markets and our business</w:t>
      </w:r>
      <w:r>
        <w:rPr>
          <w:rFonts w:ascii="Arial" w:cs="Arial" w:eastAsia="Arial" w:hAnsi="Arial"/>
          <w:sz w:val="17"/>
          <w:szCs w:val="17"/>
          <w:color w:val="auto"/>
        </w:rPr>
        <w:t>” in this Part II, Item 1A.</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commercial success depends in part on obtaining, maintaining and defending intellectual property protection for our products and product candidates, including protection of their use and methods of manufacturing and distribution.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79" w:lineRule="exact"/>
        <w:rPr>
          <w:sz w:val="20"/>
          <w:szCs w:val="20"/>
          <w:color w:val="auto"/>
        </w:rPr>
      </w:pPr>
    </w:p>
    <w:p>
      <w:pPr>
        <w:ind w:right="500" w:firstLine="432"/>
        <w:spacing w:after="0" w:line="256" w:lineRule="auto"/>
        <w:rPr>
          <w:sz w:val="20"/>
          <w:szCs w:val="20"/>
          <w:color w:val="auto"/>
        </w:rPr>
      </w:pPr>
      <w:r>
        <w:rPr>
          <w:rFonts w:ascii="Arial" w:cs="Arial" w:eastAsia="Arial" w:hAnsi="Arial"/>
          <w:sz w:val="18"/>
          <w:szCs w:val="18"/>
          <w:color w:val="auto"/>
        </w:rPr>
        <w:t>The patent position of pharmaceutical companies can be highly uncertain and involve complex and often changing legal, regulatory and factual questions. The degree of protection to be afforded by our proprietary rights is uncertain because legal means afford only limited protection and may not adequately protect our rights or permit us to gain or keep our competitive advantage. For example:</w:t>
      </w: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patent applications, or those of our licensors or partners, may not result in issued patents;</w:t>
      </w:r>
    </w:p>
    <w:p>
      <w:pPr>
        <w:spacing w:after="0" w:line="9" w:lineRule="exact"/>
        <w:rPr>
          <w:rFonts w:ascii="Arial" w:cs="Arial" w:eastAsia="Arial" w:hAnsi="Arial"/>
          <w:sz w:val="18"/>
          <w:szCs w:val="18"/>
          <w:color w:val="auto"/>
        </w:rPr>
      </w:pPr>
    </w:p>
    <w:p>
      <w:pPr>
        <w:ind w:left="740" w:right="260" w:hanging="327"/>
        <w:spacing w:after="0" w:line="281"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others may independently develop similar or therapeutically equivalent products without infringing our patents, or those of our licensors, such as products that are not covered by the claims of our patents, or for which we do not have adequate exclusive rights under our license agreements;</w:t>
      </w:r>
    </w:p>
    <w:p>
      <w:pPr>
        <w:spacing w:after="0" w:line="1" w:lineRule="exact"/>
        <w:rPr>
          <w:rFonts w:ascii="Arial" w:cs="Arial" w:eastAsia="Arial" w:hAnsi="Arial"/>
          <w:sz w:val="16"/>
          <w:szCs w:val="16"/>
          <w:color w:val="auto"/>
        </w:rPr>
      </w:pPr>
    </w:p>
    <w:p>
      <w:pPr>
        <w:ind w:left="740" w:right="120" w:hanging="327"/>
        <w:spacing w:after="0" w:line="250"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ind w:left="740" w:right="580" w:hanging="327"/>
        <w:spacing w:after="0" w:line="250"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invent or file, as appropriate, subject matters covered by our issued patents or pending patent applications or those of our licensors or partners;</w:t>
      </w:r>
    </w:p>
    <w:p>
      <w:pPr>
        <w:ind w:left="740" w:right="680" w:hanging="327"/>
        <w:spacing w:after="0" w:line="250"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competitors may manufacture products in countries where we have not applied for patent protection or that have a different scope of patent protection or that do not respect our patents; or</w:t>
      </w: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may be issued patents that prevent the sale of our products or require licensing and the payment of significant fees or royalties.</w:t>
      </w:r>
    </w:p>
    <w:p>
      <w:pPr>
        <w:spacing w:after="0" w:line="10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patents covering many of our products in Europe and other parts of the world where patent laws operate differently and provide a different scope of protection than in the U.S. For example, in the EU, approval of a generic pharmaceutical product can occur independently of whether the reference brand product is covered by patents, and enforcement of such patents generally must await approval and an indication that the generic product is being offered for sale. Patent enforcement generally must be sought on a country-by-country basis, and issues of patent validity and infringement may be judged differently in different countries.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We own a portfolio of U.S. and non-U.S. patents and patent applications and have licensed rights to a number of issued patents and patent applications that cover or relate to our products and product candidates, including Xyrem, Defitelio, Vyxeos and Sunosi. Changes in either the patent laws or in interpretations of patent laws in the U.S. and other countries may diminish the value of our intellectual property. Even if we are able to obtain patents covering our products and product candidates, any patent may be challenged, and potentially invalidated or held unenforceable, including through patent litigation or through patent office procedures that permit challenges to patent validity. Patents can also be circumvented, potentially including by FDA approval of an ANDA or Section 505(b)(2) application that avoids infringement of our intellectual property.</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Xyrem is covered by patents covering its manufacture, formulation, distribution system and method of use, and we have U.S. patents that extend to</w:t>
      </w:r>
    </w:p>
    <w:p>
      <w:pPr>
        <w:spacing w:after="0" w:line="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2033. We have settled patent litigation with nine companies seeking to introduce generic versions of Xyrem in the U.S. by granting those companies licenses to launch their generic products (and in certain cases, an AG Product) in advance of the expiration of the last of our patents. Notwithstanding our patents and settlement agreements, additional third parties may also attempt to introduce generic versions of Xyrem or other sodium oxybate products for treatment of cataplexy and/or EDS in narcolepsy that design around our patents or assert that our patents are invalid or otherwise unenforceable. If these efforts are successful, then that third party could launch a generic or 505(b)(2) product referencing Xyrem before the dates provided in our patents or settlement agreements.</w:t>
      </w:r>
    </w:p>
    <w:p>
      <w:pPr>
        <w:spacing w:after="0" w:line="86"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For example, we have several method of use patents listed in the FDA’s publication “Approved Drug Products with Therapeutic Equivalence Evaluations,” or the Orange Book, that expire in 2033 that cover treatment methods included in the Xyrem label related to a drug-drug interaction, or DDI, with divalproex sodium. Although the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the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61"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Since Xyrem’s regulatory exclusivity has expired in the EU, we are aware that generic or hybrid generic applications have been approved by various EU regulatory authorities, and additional generic or hybrid generic applications may be submitted and approved. We cannot predict whether our licensee in the EU will be able to enforce our existing European patents against generic or hybrid generic filers in the EU.</w:t>
      </w:r>
    </w:p>
    <w:p>
      <w:pPr>
        <w:spacing w:after="0" w:line="57"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For a discussion regarding the risks associated with our ANDA litigation settlement agreements, the potential launch of AG Products or other generic versions of Xyrem, and the approval and launch of other sodium oxybate or other current and potential future products that compete with Xyrem, as well as other risks and challenges we face with respect to Xyrem, see the risk factors under the headings “Risks Related to Xyrem and the Our Other Marketed Products” and “</w:t>
      </w:r>
      <w:r>
        <w:rPr>
          <w:rFonts w:ascii="Arial" w:cs="Arial" w:eastAsia="Arial" w:hAnsi="Arial"/>
          <w:sz w:val="16"/>
          <w:szCs w:val="16"/>
          <w:i w:val="1"/>
          <w:iCs w:val="1"/>
          <w:color w:val="auto"/>
        </w:rPr>
        <w:t>We have incurred and may in the future incur substantial costs as a result of litigation or other proceedings relating to patents,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intellectual property rights and related matters, and we may be unable to protect our rights to, or commercialize, our products” </w:t>
      </w:r>
      <w:r>
        <w:rPr>
          <w:rFonts w:ascii="Arial" w:cs="Arial" w:eastAsia="Arial" w:hAnsi="Arial"/>
          <w:sz w:val="16"/>
          <w:szCs w:val="16"/>
          <w:color w:val="auto"/>
        </w:rPr>
        <w:t>in this Part II, Item 1A.</w:t>
      </w:r>
    </w:p>
    <w:p>
      <w:pPr>
        <w:spacing w:after="0" w:line="50"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also rely on trade secrets and other unpatented proprietary information to protect our products and their commercial position, particularly with respect to our products with limited or no patent protection, such as Erwinaze, which has no patent protection.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Enforcing a claim that a third party illegally obtained or is using any of our inventions or trade secrets would be expensive and time-consuming, and the outcome is unpredictable. In addition, courts outside of the U.S. are sometimes less willing to protect trade secrets. Moreover, our competitors may independently develop equivalent knowledge, methods and know-how.</w:t>
      </w:r>
    </w:p>
    <w:p>
      <w:pPr>
        <w:spacing w:after="0" w:line="5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some instances, we also rely on regulatory exclusivity to protect our commercial position. In addition to relying on trade secret protection, Erwinaze was granted orphan drug exclusivity by the FDA for the treatment of ALL in the U.S. for a seven-year period from its FDA approval, which had precluded approval of another product with the same principal molecular structure for the same indication until November 2018. As a biologic product approved under a BLA, Erwinaze is also subject to the U.S. Biologics Price Competition and Innovation Act, or BPCIA. We believe that Erwinaze is protected by exclusivity that prevents approval of a biosimilar in the U.S. through late 2023 under the BPCIA. However, interpretation of regulatory exclusivity under the BPCIA may evolve over time based on FDA issuance of guidance documents, proposed regulations or decisions made by the FDA in the course of considering specific applications. In addition, the BPCIA exclusivity period does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not prevent another company from independently developing a product that is highly similar to Erwinaze, generating all the data necessary for a full BLA and seeking approval. BPCIA exclusivity only assures that another company cannot rely on the FDA’s prior approvals of Erwinaze to support the biosimilar product’s approval. As a result, it is possible that a potential competing drug product might obtain FDA approval before the expected BPCIA exclusivity period has expired, which would adversely affect sales of Erwinaze. In the EU, the regulatory data protection that provides an exclusivity period for Erwinase has lapsed. Any new marketing authorizations for Erwinase in other EU member states will not receive any regulatory data protection. If a biosimilar product to Erwinaze is approved as interchangeable to Erwinaze in the U.S. or in other countries where Erwinaze is sold, a significant percentage of the prescriptions that would have been written for Erwinaze may be filled with the biosimilar version, resulting in a loss in sales of Erwinaze, and there may be a decrease in the price at which Erwinaze can be sold. Competition from a biosimilar product to Erwinaze could have a material adverse effect on our business, financial condition, results of operations and growth prospects.</w:t>
      </w:r>
    </w:p>
    <w:p>
      <w:pPr>
        <w:spacing w:after="0" w:line="7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research and development collaborators may have rights to publish data and other information to which we have rights. In addition, we sometimes engage individuals or entities to conduct research that may be relevant to our business. While the ability of these individuals or entities to publish or otherwise publicly disclose data and other information generated during the course of their research is subject to contractual limitations, these contractual provisions may be insufficient or inadequate to protect our trade secrets and may impair our patent rights. If we do not apply for patent protection prior to such publication, or if we cannot otherwise maintain the confidentiality of our innovations and other confidential information, then our ability to obtain patent protection or protect our proprietary information may be jeopardized. Moreover, a dispute may arise with our employees, consultants, advisors or partners over the ownership of rights to inventions, including jointly developed intellectual property. Such disputes, if not successfully resolved, could lead to a loss of rights and possibly prevent us from pursuing certain new products or product candidates.</w:t>
      </w:r>
    </w:p>
    <w:p>
      <w:pPr>
        <w:spacing w:after="0" w:line="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62"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Our ability, and that of our partners, to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These lawsuits and administrative proceedings are expensive and consume time and other resources, and we may not be successful in these proceedings or in stopping infringement. In addition, the inter partes review, or IPR, process under the Leahy-Smith America Invents Act permits any person, whether they are accused of infringing the patent at issue or not, to challenge the validity of certain patents. As a result, many types of entities, including ANDA filers, have challenged valuable pharmaceutical patents through the IPR process, and six of our Orange Book-listed patents for Xyrem were invalidated through this process and have since been delisted from the Orange Book.</w:t>
      </w:r>
    </w:p>
    <w:p>
      <w:pPr>
        <w:spacing w:after="0" w:line="71"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There is a risk that a court or the Patent Trial and Appeal Board, or PTAB, of the U.S. Patent and Trademark Office could decide that our patents or certain claims in our patents are not valid or infringed, and that we do not have the right to stop a third party from using the inventions covered by those claims, as happened with the decision of the PTAB that certain of our patent claims covering the Xyrem REMS are invalid.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 For more information, see the risk factors under the headings “Risks Related to Xyrem and Our Other Marketed Products” and “</w:t>
      </w:r>
      <w:r>
        <w:rPr>
          <w:rFonts w:ascii="Arial" w:cs="Arial" w:eastAsia="Arial" w:hAnsi="Arial"/>
          <w:sz w:val="17"/>
          <w:szCs w:val="17"/>
          <w:i w:val="1"/>
          <w:iCs w:val="1"/>
          <w:color w:val="auto"/>
        </w:rPr>
        <w:t>It is difficult and costly to protect 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proprietary rights, and we may not be able to ensure their protection” </w:t>
      </w:r>
      <w:r>
        <w:rPr>
          <w:rFonts w:ascii="Arial" w:cs="Arial" w:eastAsia="Arial" w:hAnsi="Arial"/>
          <w:sz w:val="17"/>
          <w:szCs w:val="17"/>
          <w:color w:val="auto"/>
        </w:rPr>
        <w:t>in this Part II, Item 1A. Lawsuits or proceedings we may file in the future, or our</w:t>
      </w:r>
      <w:r>
        <w:rPr>
          <w:rFonts w:ascii="Arial" w:cs="Arial" w:eastAsia="Arial" w:hAnsi="Arial"/>
          <w:sz w:val="17"/>
          <w:szCs w:val="17"/>
          <w:i w:val="1"/>
          <w:iCs w:val="1"/>
          <w:color w:val="auto"/>
        </w:rPr>
        <w:t xml:space="preserve"> </w:t>
      </w:r>
      <w:r>
        <w:rPr>
          <w:rFonts w:ascii="Arial" w:cs="Arial" w:eastAsia="Arial" w:hAnsi="Arial"/>
          <w:sz w:val="17"/>
          <w:szCs w:val="17"/>
          <w:color w:val="auto"/>
        </w:rPr>
        <w:t>defense against any lawsuits or other proceedings that may be brought against us, may not costly and time-consuming and may not be successful in stopping the infringement of our patents.</w:t>
      </w:r>
    </w:p>
    <w:p>
      <w:pPr>
        <w:spacing w:after="0" w:line="74"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Litigation involving patent matters is frequently settled between the parties, rather than continuing to a court ruling, and we have settled patent litigation with all nine Xyrem ANDA filers.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and to call on legislators to pass stronger laws prohibiting such settlements. The U.S. Congress and state legislatures have also identified pharmaceutical patent settlements as potential impediments to generic competition and have suggested that they may introduce legislation to regulate them. Because there is currently no precise legal standard with respect to the lawfulness of such settlements, there could be extensive litigation over whether any settlement that we have entered into or might enter into in the future constitutes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reasonable and lawful patent settlement. Parties to such settlement agreements in the U.S. are required by law to file the agreements with the FTC and the U.S. Department of Justice, or DOJ, for review. Accordingly, we have submitted our ANDA litigation settlement agreements to the FTC and the DOJ for review. We may receive formal or informal requests from the FTC regarding our ANDA litigation settlements, and there is a risk that the FTC may commence a formal investigation or action against us, or a third party may initiate civil litigation regarding such settlements, which could divert the attention of management and cause us to incur significant costs, regardless of the outcome. Any claim or finding that we or our business partners have failed to comply with applicable laws and regulations could be costly to us and could have a material adverse effect on our business, financial condition, results of operations and growth prospects.</w:t>
      </w:r>
    </w:p>
    <w:p>
      <w:pPr>
        <w:spacing w:after="0" w:line="8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w:t>
      </w:r>
    </w:p>
    <w:p>
      <w:pPr>
        <w:spacing w:after="0" w:line="8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the pharmaceutical and life sciences industry, like other industries, it is not always clear to industry participants, including us, which patents cover various types of products or methods. The coverage of patents is subject to interpretation by the courts, and the interpretation is not always uniform.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7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Because some patent applications in the U.S. may be maintained in secrecy until the patents are issued, because patent applications in the U.S. and many non-U.S. jurisdictions are typically not published until 18 months after their priority date, and because publications in the scientific literature often lag behind actual discoveries, we cannot be certain that others have not filed patent applications for inventions covered by our or our licensors’ issued patents or pending applications, or that we or our licensors were the first inventors.</w:t>
      </w:r>
    </w:p>
    <w:p>
      <w:pPr>
        <w:spacing w:after="0" w:line="79"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Some of our competitors may be able to sustain the costs of complex patent and other intellectual property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For further discussion of our Xyrem-related patent matters, see the risk factors under the headings “Risks Related to Xyrem and Our Other Marketed Products” and “Risks Related to Our Intellectual Property.”</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Industry</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62"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We are headquartered in Dublin, Ireland and have multiple offices in the U.S., Canada, the UK, Italy and other countries in Europe. Our headcount has grown to approximately 1,580 as of November 2019. This includes employees in 18 countries in North America and Europe, a European commercial presence, a complex distribution network for products in Europe and additional territories, and manufacturing facilities in Italy and Ireland. We may further expand our international operations into other countries in the future, either organically or by acquisition. While we have management and other personnel with substantial international experience, conducting our business in multiple countries subjects us to a variety of risks and complexities that may materially and adversely affect our business, results of operations, financial condition and growth prospects. These risks and complexities include:</w:t>
      </w:r>
    </w:p>
    <w:p>
      <w:pPr>
        <w:spacing w:after="0" w:line="57" w:lineRule="exact"/>
        <w:rPr>
          <w:sz w:val="20"/>
          <w:szCs w:val="20"/>
          <w:color w:val="auto"/>
        </w:rPr>
      </w:pPr>
    </w:p>
    <w:p>
      <w:pPr>
        <w:jc w:val="both"/>
        <w:ind w:left="720" w:right="60" w:hanging="320"/>
        <w:spacing w:after="0" w:line="25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diverse regulatory, financial and legal requirements in the countries where we are located or do business, including those related to data security and the use of, or access to, commercial and personal information, taxation, trade laws, including tariffs, export quotas, custom duties or other trade restrictions, and any changes to those requirements;</w:t>
      </w:r>
    </w:p>
    <w:p>
      <w:pPr>
        <w:ind w:left="720" w:right="160" w:hanging="320"/>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employment law and other regulations, as well as maintaining positive interactions with our unionized employees;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and liabilities for, our international operations, products or product candidates;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rates.</w:t>
      </w:r>
    </w:p>
    <w:p>
      <w:pPr>
        <w:spacing w:after="0" w:line="10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addition, as a result of our international expansion, our business and corporate structure has become substantially more complex. Significant management time and effort is required to effectively manage the increased complexity of our company, and there can be no guarantee that we will effectively manage the increased complexity without experiencing operating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inefficiencies or control deficiencies. Our failure to do so could have a material adverse effect on our business, financial condition, results of operations and growth prospects.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UK’s planned withdrawal from the EU, commonly referred to as Brexit, may have a negative effect on global economic conditions, financial markets and our business.</w:t>
      </w:r>
    </w:p>
    <w:p>
      <w:pPr>
        <w:spacing w:after="0" w:line="6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Brexit has created significant uncertainty concerning the future relationship between the UK and the EU, particularly if the UK withdraws from the EU without a ratified withdrawal agreement in place. From a regulatory perspective, there is uncertainty about which laws and regulations will apply in the UK in the future. A significant portion of the regulatory framework in the UK is derived from EU laws. However, it is unclear which, if any, existing EU laws the UK will decide to replace or replicate following its withdrawal from the EU. In particular, the regulatory regime applicable to our operations, including with respect to the marketing authorization of our product candidates, may change, potentially significantly, and become inconsistent with the regime applicable in the EU. This may impact the process for obtaining or maintaining marketing authorization in the EU for pharmaceutical products manufactured or sold in the UK.</w:t>
      </w:r>
    </w:p>
    <w:p>
      <w:pPr>
        <w:spacing w:after="0" w:line="8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 basic requirement related to the grant of a marketing authorization for a medicinal product in the EU is the requirement that the applicant be established in the EU. Following withdrawal of the UK from the EU, marketing authorizations previously granted to applicants established in the UK through the centralized, mutual recognition or decentralized procedures may no longer be valid. Moreover, depending upon the exact terms of the UK's withdrawal, there is a risk that the scope of a marketing authorization for a medicinal product granted by the EC pursuant to the centralized procedure, or by the competent authorities of EU member states through the decentralized or mutual recognition procedures, would not encompass the UK. In these circumstances, a separate authorization granted by the UK competent authorities would be required to place medicinal products on the UK market.</w:t>
      </w:r>
    </w:p>
    <w:p>
      <w:pPr>
        <w:spacing w:after="0" w:line="5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addition, the laws and regulations that will apply after the UK withdraws from the EU may have implications for manufacturing sites that hold certifications issued by the UK competent authorities. Our capability to rely on these manufacturing sites for products intended for the EU market will depend on the terms of the UK's withdrawal and, potentially, on the ability to obtain relevant exemptions under EU law to supply the EU market with products manufactured at UK-certified sites. There is also the risk that if batch release and quality control testing sites for our products are located only in the UK, manufacturers will need to use sites in other EU member states to manufacture products for supply to the EU market. All of these changes, if they occur, could increase our costs and otherwise adversely affect our business.</w:t>
      </w:r>
    </w:p>
    <w:p>
      <w:pPr>
        <w:spacing w:after="0" w:line="8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Brexit has also given rise to calls for the governments of other EU member states to consider withdrawal from the EU. These developments, or the perception that they could occur, have had and may continue to have a material adverse effect on global economic conditions and the stability of global financial markets, including by significantly reducing global market liquidity or restricting the ability of key market participants to operate in certain financial markets. In addition, currency exchange rates for the British Pound and the euro with respect to each other and to the U.S. dollar have already been negatively affected by Brexit. Should this foreign exchange volatility continue or be exacerbated by the UK’s withdrawal from the EU, it could cause volatility in our quarterly financial results.</w:t>
      </w:r>
    </w:p>
    <w:p>
      <w:pPr>
        <w:spacing w:after="0" w:line="8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have an office in Oxford, England which is focused on commercialization of our products outside of the U.S. We do not know to what extent, or when, the UK’s withdrawal from the EU or any other future changes to membership in the EU will impact our business, particularly our ability to conduct international business from a base of operations in the UK. The UK could lose the benefits of global trade agreements negotiated by the EU on behalf of its members, possibly resulting in increased trade barriers, which could make doing business in Europe more difficult and/or costly. Moreover, in the U.S., tariffs on certain U.S. imports have recently been imposed, and the EU and other countries have responded with retaliatory tariffs on certain U.S. exports. We cannot predict what effects these and potential additional tariffs will have on our business, including in the context of escalating global trade and political tensions. However, these tariffs and other trade restrictions, whether resulting from the UK’s withdrawal from the EU or otherwise, could increase our cost of doing business, reduce our gross margins or otherwise negatively impact our financial results.</w:t>
      </w:r>
    </w:p>
    <w:p>
      <w:pPr>
        <w:spacing w:after="0" w:line="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62"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Our success and our ability to grow depend in part on our continued ability to attract, retain and motivate highly qualified personnel. We are highly dependent upon our executive management team and other critical personnel, all of whom work on many complex matters that are essential to our success. We do not carry “key person” insurance. The loss of services of one or more members of our executive management team or other key personnel could delay or prevent the successful completion of some of our vital activities. Any employee may terminate his or her employment at any time without notice or with only short notice and without cause or good reason. The resulting loss of institutional knowledge may negatively impact our operations and future growth. If there are delays in the selection of new members of management, or if we do not successfully manage these transitions, our business, financial condition, results of operations and growth prospects could be adversely affected.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In addition, to grow our company we will need additional personnel. Competition for qualified personnel in the pharmaceutical industry is intense. If we are unable to attract, retain and motivate quality individuals, including in our research and development operations, which are continuing to expand, our business, financial condition, results of operations and growth prospects could be adversely affected.</w:t>
      </w:r>
    </w:p>
    <w:p>
      <w:pPr>
        <w:spacing w:after="0" w:line="73"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We also depend on the unique abilities, industry experience and institutional knowledge of the members of our board of directors to efficiently set company strategy and effectively guide our executive management team. We cannot be certain that future board turnover will not negatively affect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data security breaches could adversely affect our business.</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are increasingly dependent on information technology systems and infrastructure to operate our business. In the ordinary course of our business, we collect, store, process and transmit large amounts of confidential information, including intellectual property, proprietary business information and personal information. It is critical that we do so in a secure manner to maintain the confidentiality, integrity and availability of such information. We have also outsourced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w:t>
      </w:r>
    </w:p>
    <w:p>
      <w:pPr>
        <w:spacing w:after="0" w:line="8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information technology systems, and those of our vendors, are large and complex and store large amounts of confidential information. The size and complexity of these systems make them potentially vulnerable to service interruptions or to security breaches from inadvertent or intentional actions by our employees, third party vendors and/or business partners, or from cyber-attacks by malicious third parties. Attacks of this nature are increasing in frequency,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Although the aggregate impact on our operations and financial condition has not been material to date, we and our vendors have been the target of events of this nature and expect them to continue.</w:t>
      </w:r>
    </w:p>
    <w:p>
      <w:pPr>
        <w:spacing w:after="0" w:line="74"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Significant disruptions of our, our third party vendors’ and/or business partners’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Any such event that leads to unauthorized access, use or disclosure of personal information, including personal information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information, which could disrupt our business, result in increased costs or loss of revenue, and/or result in significant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In addition to those specifically described in other risk factors, we are subject to significant ongoing regulatory obligations and oversight, which may result in significant additional expense and limit our ability to commercialize our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and Equivalent Non-U.S. Regulatory Authorities</w:t>
      </w:r>
    </w:p>
    <w:p>
      <w:pPr>
        <w:spacing w:after="0" w:line="117" w:lineRule="exact"/>
        <w:rPr>
          <w:sz w:val="20"/>
          <w:szCs w:val="20"/>
          <w:color w:val="auto"/>
        </w:rPr>
      </w:pPr>
    </w:p>
    <w:p>
      <w:pPr>
        <w:ind w:right="200" w:firstLine="432"/>
        <w:spacing w:after="0" w:line="253" w:lineRule="auto"/>
        <w:rPr>
          <w:sz w:val="20"/>
          <w:szCs w:val="20"/>
          <w:color w:val="auto"/>
        </w:rPr>
      </w:pPr>
      <w:r>
        <w:rPr>
          <w:rFonts w:ascii="Arial" w:cs="Arial" w:eastAsia="Arial" w:hAnsi="Arial"/>
          <w:sz w:val="18"/>
          <w:szCs w:val="18"/>
          <w:color w:val="auto"/>
        </w:rPr>
        <w:t>Our activities are subject to extensive regulation encompassing the entire life cycle of our products, from research and development activities to marketing approval (including specific post-marketing obligations), manufacturing, labeling, packaging, adverse event and safety reporting, storage, advertising, promotion, sale, pricing and reimbursement, recordkeeping, distribution, importing and exporting. These requirements apply both to us and to third parties we contract with to perform services and supply us with products. The failure by us or any of our third party partners, including our corporate development and collaboration partners, clinical trial sites, suppliers, distributors and our central pharmacy for Xyrem,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125"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production or distribution, interruption of manufacturing or clinical trials, operating restrictions, injunctions, suspension of licenses,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73"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monitor adverse events resulting from the use of our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or conduct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The FDA and the competent authorities of the EU member states on behalf of the EMA also periodically inspect our records related to safety reporting. Following such inspections, the FDA may issue notices on FDA Form 483 and warning letters that could cause us to modify certain activities. The EMA’s Pharmacovigilance Risk Assessment Committee may propose to the Committee for Medicinal Products for Human Use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 The failure to adequately address and promptly correct any matters identified by the FDA or other foreign regulatory authorities could have a material adverse effect on our business, financial condition, results of operations and growth prospects.</w:t>
      </w:r>
    </w:p>
    <w:p>
      <w:pPr>
        <w:spacing w:after="0" w:line="8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Erwinaze, defibrotide and Vyxeos are available on a named patient basis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Moreover, any failure to maintain revenues from sales of Erwinaze, defibrotide and/or Vyxeos on a named patient basis and/or to generate revenues from commercial sales of these products exceeding historical sales on a named patient basis could have a material adverse effect on our business, financial condition, results of operations and growth prospects.</w:t>
      </w:r>
    </w:p>
    <w:p>
      <w:pPr>
        <w:spacing w:after="0" w:line="8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FDA, the competent authorities of the EU member states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If we are found to have promoted an approved product for off-label uses, we may be subject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that could affect our ability to commercialize our products and could harm or prevent sales of the affected products, or could substantially increase the costs and expenses of commercializing and marketing our products.</w:t>
      </w:r>
    </w:p>
    <w:p>
      <w:pPr>
        <w:spacing w:after="0" w:line="75"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In the EU, the advertising and promotion of our products are also subject to EU member states’ laws and industry codes of practice governing promotion of medicinal products, including limitations on our promotional activities with health care professionals, prohibition of the advertising and promotion of our products to the general public, misleading and comparative advertising and unfair commercial practices. Violations of the rules governing the promotion of medicinal products in the EU could be penalized by administrative measures, limitations on promotional activities, fines and imprisonment. These laws may also impose limitations on our promotional activities with health care professionals.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11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are also subject to regulation by other regional, national, state and local agencies, including the DEA, the DOJ, the FTC, the United States Department of Commerce, the Office of Inspector General, or OIG, of the HHS and other regulatory bodies, as well as similar governmental authorities in those non-U.S. countries in which we commercialize our products.</w:t>
      </w:r>
    </w:p>
    <w:p>
      <w:pPr>
        <w:spacing w:after="0" w:line="7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are subject to numerous anti-fraud and abuse laws and regulations globally and our sales, marketing, patient support and medical activities may be subject to scrutiny under these laws and regulations. For example, the U.S. federal anti-kickback statute is broad and activities that involve providing anything of value to those who prescribe, purchase, or recommend pharmaceutical products that are directly or indirectly reimbursed by federal health care programs like Medicare or Medicaid may be subject to scrutiny. Although there are a number of statutory exemptions and regulatory safe harbors protecting certain common manufacturer business arrangements and activities, the exemptions and safe harbors are drawn narrowly, and practices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or arrangements that involve remuneration may be subject to scrutiny if they do not clearly qualify for an exemption or safe harbor. While we maintain a comprehensive compliance program to try to ensure that our practices and the activities of our third-party contractors and employees fall within the scope of such exceptions and safe harbors, regulators and enforcement agencies may disagree with our assessment or find fault with the conduct of our employees or contractors. In addition, existing regulations are subject to regulatory revision or changes in interpretation by the DOJ or OIG. Violations of the federal anti-kickback statute may be punished by civil and criminal fines, imprisonment, and/or exclusion from participation in federal healthcare programs.</w:t>
      </w:r>
    </w:p>
    <w:p>
      <w:pPr>
        <w:spacing w:after="0" w:line="5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 xml:space="preserve">The U.S. federal False Claims Act, or False Claims Act, prohibits, among other things, making a fraudulent claim for payment of federal funds, causing such a fraudulent claim to be made, or making a false statement to get a false claim paid. The government may assert that a claim resulting from a violation of the federal anti-kickback statute constitutes a false or fraudulent claim under the False Claims Act. Many companies have faced government investigations or lawsuits by whistleblowers who bring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the government and private whistleblowers have pursued False Claims Act cases against pharmaceutical companies for causing false claims to be submitted as a result of the marketing of their products for unapproved uses. Pharmaceutical and other healthcare companies also are subject to other federal false claim laws, including federal criminal healthcare fraud and false statement statutes that extend to non-government health benefit programs. If we become the subject of a government False Claims Act or other investigation or whistleblower suit, we could incur substantial legal costs (including settlement costs) and business disruption responding to such investigation or suit, regardless of the outcome. Violations of the False Claims Act may result in significant financial penalties (on a per claim or statement basis), treble damages and exclusion from participation in federal health care programs.</w:t>
      </w:r>
    </w:p>
    <w:p>
      <w:pPr>
        <w:spacing w:after="0" w:line="67"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The majority of individual states also have statutes or regulations similar to the federal anti-kickback law and the False Claims Act, which apply to items and services reimbursed under Medicaid and other state programs, or, in several states, apply regardless of the payor. Certain states and cities require identification or licensing of our sales representatives. Other states restrict our ability to offer co-pay support to patients for certain prescription drugs. We must comply with these state laws to avoid being subject to civil or criminal penalties.</w:t>
      </w:r>
    </w:p>
    <w:p>
      <w:pPr>
        <w:spacing w:after="0" w:line="79"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The Physician Payment Sunshine Act, or Sunshine provisions, requires us to track and report to the federal government payments and transfers of value that we make to physicians and teaching hospitals (and to certain additional covered recipients beginning in 2022) and ownership interests held by physicians and their families, and provides for public disclosures of these data. Public reporting under the Sunshine provisions has resulted in increased scrutiny of the financial relationships between industry, teaching hospitals and physicians. Such scrutiny may negatively impact our ability to engage with physicians on matters of importance to us. In addition, government agencies and private entities may inquire about our marketing practices or pursue other enforcement activities based on the disclosures in those public reports. Moreover, certain states require pharmaceutical companies to report expenses relating to the marketing and promotion of pharmaceutical products and gifts and payments to individual physicians, and/or restrict when and to what extent pharmaceutical companies may provide meals to prescribers or engage in other marketing related activities. If the data reflected in our reports are found to be in violation of any of the Sunshine provisions or any other U.S. federal, state or local laws or regulations that may apply, or if we otherwise fail to comply with the Sunshine provisions or similar requirements of state or local regulators, we may be subject to significant civil, criminal and administrative penalties, damages or fines.</w:t>
      </w:r>
    </w:p>
    <w:p>
      <w:pPr>
        <w:spacing w:after="0" w:line="61"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Outside the U.S., interactions between pharmaceutical companies and physicians are also governed by strict laws, regulations, industry self-regulation codes of conduct and physicians’ codes of professional conduct. The provision of benefits or advantages to physicians to induce or encourage the prescription, recommendation, endorsement, purchase, supply, order or use of medicinal products, which is prohibited in the EU, is governed by the national anti-bribery laws of the EU member states, as described below and by industry codes of practice. Violation of these laws could result in substantial fines and imprisonment. The national laws of certain EU member states and industry codes of practice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 member states. Failure to comply with these requirements could result in reputational risk, public reprimands, administrative penalties, fines or imprisonment.</w:t>
      </w:r>
    </w:p>
    <w:p>
      <w:pPr>
        <w:spacing w:after="0" w:line="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Xyrem and Sunosi are controlled substances under the Controlled Substances Act. Our suppliers, distributors, clinical sites and prescribers, as well as retail pharmacies for Sunosi and the central pharmacy for Xyrem, are subject to DEA and state regulations relating to manufacturing, storage, distribution and physician prescription procedures, including limitations on prescription refills, and are required to maintain DEA registration and state licenses, when handling these drugs and their APIs. The DEA periodically inspects facilities for compliance with its rules and regulations. Failure to comply with current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future regulations of the DEA, relevant state authorities or any comparable international requirements could lead to a variety of sanctions, including revocation or denial of renewal of DEA registrations, fines, injunctions, or civil or criminal penalties, could result in, among other things, additional operating costs to us or delays in shipments outside or into the U.S. and could have an adverse effect on our business and financial condition. DEA quotas are required for any U.S. supplier to manufacture sodium oxybate or Xyrem. New oxybate market entrants, including generic products, may impact the amount of quota available in the U.S., and if, our suppliers cannot obtain the quotas that are needed on a timely basis, or at all, our business, financial condition, results of operations and growth prospects could be materially and adversely affected.</w:t>
      </w:r>
    </w:p>
    <w:p>
      <w:pPr>
        <w:spacing w:after="0" w:line="7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have various programs to help patients access our products, including patient assistance programs, which include co-pay coupons for certain of our products, assistance to help patients determine their insurance coverage for our products, and a free product program. Co-pay coupon programs for commercially insured patients, including our program for Xyrem, have received negative publicity related to allegations regarding their use to promote branded pharmaceutical products over other less costly alternatives. In the past, payors brought class action lawsuits challenging the legality of manufacturer co-pay programs under a variety of federal and state laws and insurers have taken actions through their network pharmacies and PBMs to restrict manufacturer co-pay programs.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7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 xml:space="preserve">We have established programs to consider grant applications submitted by independent charitable organizations, including organizations that provide co-pay support to patients who suffer from the diseases treated by our drugs. The OIG has established guidelines that suggest that it is lawful for pharmaceutical manufacturers to make donations to charitable organizations who provide co-pay assistance to Medicare patients, provided that such organizations, among other things, are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charities, are entirely independent of and not controlled by the manufacturer, provide aid to applicants on a first-come basis according to consistent financial criteria, and do not link aid to use of a donor’s product.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w:t>
      </w:r>
    </w:p>
    <w:p>
      <w:pPr>
        <w:spacing w:after="0" w:line="5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 2016 and 2017, we received subpoenas from the U.S. Attorney’s Office for the District of Massachusetts requesting documents related to our support of charitable organizations that provide financial assistance to Medicare patients. On April 4, 2019, we finalized our civil settlement agreement with the DOJ and OIG in the amount of $57.0 million plus interest. In connection with the settlement agreement, we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In the event of a breach of the corporate integrity agreement, we could become liable for payment of certain stipulated penalties or could be excluded from participation in federal health care programs, which would have a material adverse effect on our sales, business and financial condition.</w:t>
      </w:r>
    </w:p>
    <w:p>
      <w:pPr>
        <w:spacing w:after="0" w:line="7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may also become subject to similar investigations by other state or federal governmental agencies or offices. Any additional investigations of our patient assistance programs or other business practices may result in damages, fines, penalties or other criminal, civil or administrative sanctions or enforcement actions. Such investigations may also result in negative publicity or other negative actions that could harm our reputation, impact our business practices, reduce demand for, or patient access to, our products and/or reduce coverage of our products, including by federal and state health care programs. If any or all of these events occur, our business, financial condition, results of operations and stock price could be materially and adversely affected.</w:t>
      </w:r>
    </w:p>
    <w:p>
      <w:pPr>
        <w:spacing w:after="0" w:line="50"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Our business activities outside of the U.S. are subject to the U.S. Foreign Corrupt Practices Act, or FCPA, and similar anti-bribery or anti-corruption laws, regulations or rules of other countries in which we operate, including the UK Bribery Act of 2010, or the UK Bribery Act. Our heavily regulated business involves significant interaction with public officials, including officials of non-U.S. governments. Additionally, in certain countries, the health care providers who prescribe pharmaceuticals are employed by their government and the purchasers of pharmaceuticals are government entities; therefore, our dealings with these prescribers and purchasers may be subject to regulation under the FCPA and the UK Bribery Act. Recently the U.S. Securities and Exchange Commission, or SEC, and the DOJ have increased their FCPA enforcement activities with respect to pharmaceutical companies. In addition, under the Dodd-Frank Wall Street Reform and Consumer Protection Act, private individuals who report original information to the SEC that leads to successful enforcement actions may be eligible for a monetary award. There is no certainty that all employees and third party business partners (including our distributors, wholesalers, agents, contractors, and other partners) will comply with anti-bribery laws. In particular, we do not control the actions of suppliers and other third party agents, although we may be liable for their actions. Violation of these laws may result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civil or criminal sanctions, which could include monetary fines, criminal penalties, and disgorgement of past profits, which could have a material adverse impact on our business and financial condition.</w:t>
      </w:r>
    </w:p>
    <w:p>
      <w:pPr>
        <w:spacing w:after="0" w:line="62" w:lineRule="exact"/>
        <w:rPr>
          <w:sz w:val="20"/>
          <w:szCs w:val="20"/>
          <w:color w:val="auto"/>
        </w:rPr>
      </w:pPr>
    </w:p>
    <w:p>
      <w:pPr>
        <w:ind w:right="100" w:firstLine="432"/>
        <w:spacing w:after="0" w:line="286" w:lineRule="auto"/>
        <w:rPr>
          <w:sz w:val="20"/>
          <w:szCs w:val="20"/>
          <w:color w:val="auto"/>
        </w:rPr>
      </w:pPr>
      <w:r>
        <w:rPr>
          <w:rFonts w:ascii="Arial" w:cs="Arial" w:eastAsia="Arial" w:hAnsi="Arial"/>
          <w:sz w:val="16"/>
          <w:szCs w:val="16"/>
          <w:color w:val="auto"/>
        </w:rPr>
        <w:t>We are also subject to data protection and privacy laws and regulations governing the processing of personal data. The legislative and regulatory landscape for privacy and data security continues to evolve, and there has been an increasing focus on privacy and data security issues which may affect our business. Failure to comply with current and future laws and regulations, such as the EU General Data Protection Regulation that became effective in May 2018 and the California Consumer Privacy Act of 2018 that will become effective beginning January 2020, could result in government enforcement actions (including the imposition of significant penalties), criminal and civil liability for us and our officers and directors, private litigation and/or adverse publicity that negatively affects our business. If we or our vendors fail to comply with applicable data privacy laws, or if the legal mechanisms we or our vendors rely upon for the transfer of personal data are ever deemed inadequate, or if we or our vendors experience a data breach resulting in exposure of personal data subject to the applicable laws, we could be subject to government enforcement actions and significant penalties against us, and our business could be adversely impacted if our ability to transfer personal data outside of the European Economic Area or Switzerland is restricted, which could adversely impact our operating results. In addition, although we are not directly subject to privacy and security requirements under the Health Insurance Portability and Accountability Act of 1996, as amended by the Health Information Technology for Economic and Clinical Health Act, or HIPAA, other than with respect to providing certain employee benefits, we potentially could be subject to criminal penalties if we, our affiliates or our agents knowingly obtain or disclose individually identifiable health information maintained by a HIPAA-covered entity in a manner that is not authorized or permitted by HIPAA.</w:t>
      </w:r>
    </w:p>
    <w:p>
      <w:pPr>
        <w:spacing w:after="0" w:line="6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Under the Medicare Prescription Drug, Improvement, and Modernization Act of 2003, agreements between branded pharmaceutical companies and potential generic competitors settling patent litigation must be submitted to the FTC and the DOJ for review. The FTC has publicly stated that, in its view, certain brand-generic settlement agreements violate the antitrust laws and has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and to call on legislators to pass stronger laws prohibiting such settlements. Because there is currently no precise legal standard with respect to the lawfulness of such settlements, there could be extensive litigation over whether any settlement that we have entered into or might enter into in the future constitutes a reasonable and lawful patent settlement. We may receive formal or informal requests from the FTC regarding our Xyrem patent settlements, and there is a risk that the FTC may commence a formal investigation or action against us, or a third party may initiate civil litigation regarding such settlements, which could divert the attention of management and cause us to incur significant costs, regardless of the outcome. We cannot predict the outcome of any potential government investigation of any antitrust claims, including those described above, or the impact of any such claims.</w:t>
      </w:r>
    </w:p>
    <w:p>
      <w:pPr>
        <w:spacing w:after="0" w:line="7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In addition to those described in this and other risk factors, numerous federal, state and non-U.S. statutes and regulations govern the research, development, manufacturing and commercial activities relating to prescription pharmaceutical products, including preclinical testing, approval, production, labeling, sale, distribution, import, export, post-market surveillance, advertising, dissemination of information, promotion, marketing, and pricing to government purchasers and government healthcare programs. Such laws and regulations are subject to change as activities relating to prescription pharmaceutical products have become the subject of active legislative activity. Any claim or finding that we or our business partners have failed to comply with applicable laws and regulations could be costly to us and could have a material adverse effect on our business, financial condition, results of operations and growth prospects.</w:t>
      </w:r>
    </w:p>
    <w:p>
      <w:pPr>
        <w:spacing w:after="0" w:line="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3"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Our reporting and payment obligations under the Medicaid Drug Rebate program and other governmental programs are described under the heading “Business—Pharmaceutical Pricing, Reimbursement by Government and Private Payors and Patient Access” in Part I, Item 1 of our Annual Report on Form 10-K for the year ended December 31, 2018. Our failure to comply with these obligations could negatively impact our financial results.</w:t>
      </w:r>
    </w:p>
    <w:p>
      <w:pPr>
        <w:spacing w:after="0" w:line="57"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CMS issued a final regulation, which became effective on April 1, 2016, to implement the changes to the Medicaid Drug Rebate program under the Healthcare Reform Act. The issuance of the final regulation, as well as any other regulations and coverage expansion by various governmental agencies relating to the Medicaid Drug Rebate program,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5"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also participate in the 340B program, which is described in more detail under the heading “Business—Pharmaceutical Pricing, Reimbursement by Government and Private Payors and Patient Access” in Part I, Item 1A of our Annual Report on Form 10-K for the year ended December 31, 2018. The Health Resources and Services Administration, or HRSA,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Implementation of this regulation could affect our obligations and potential liability under the 340B program in ways we cannot anticipate. Any charge by HRSA that we have violated the requirements of the program or the regulation could negatively impact our financial results. We are also required to report the 340B ceiling prices for our covered outpatient drugs to HRSA, which then publishes them to 340B covered entities. There is no guarantee that our submissions will not be found by HRSA to be incomplete or incorrect. Further, any additional future changes to the definition of average manufacturer price and the Medicaid rebate amount under the Healthcare Reform Act or otherwise could affect our 340B ceiling price calculations and negatively impact our results of operations.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7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7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8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Civil monetary penalties can be applied if we are found to have knowingly submitted any false price or product information to the government, if we are found to have made a misrepresentation in the reporting of our average sales price, or if we fail to submit the required price data on a timely basis, or if we are found to have charged 340B covered entities more than the statutorily mandated ceiling price. Such conduct also could be grounds for CMS to terminate our Medicaid drug rebate agreement, in which case federal payments may not be available under Medicaid or Medicare Part B for our covered outpatient drugs. There is no guarantee that our submissions will not be found by CMS to be incomplete or incorrect.</w:t>
      </w:r>
    </w:p>
    <w:p>
      <w:pPr>
        <w:spacing w:after="0" w:line="6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participate in the U.S. Department of Veterans Affairs, Federal Supply Schedule, or FSS, pricing program and the Tricare Retail Pharmacy program, as described in more detail under the heading “Business—Pharmaceutical Pricing, Reimbursement by Government and Private Payors and Patient Access” in Part I, Item 1A of our Annual Report on Form 10-K for the year ended December 31, 2018. Pursuant to applicable law, knowing provision of false information in connection with price reporting under these programs can subject a manufacturer to civil monetary penalties. These program obligations also contain extensive disclosure and certification requirements.</w:t>
      </w:r>
    </w:p>
    <w:p>
      <w:pPr>
        <w:spacing w:after="0" w:line="8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shareholder activism, which could cause us to incur significant expense, hinder execution of our business strategy and impact our stock price.</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Shareholder activism, which takes many forms and arises in a variety of situations, has been increasingly prevalent. If we become the subject of certain forms of shareholder activism, such as proxy contests,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11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development, manufacture, testing, marketing and sale of pharmaceutical products are associated with significant risks of product liability claims or recalls. Side effects or adverse events known or reported to be associated with,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7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In addition, we may not continue to be able to obtain insurance on satisfactory terms or in adequate amounts.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 In addition, defending a product liability lawsuit is expensive and can divert the attention of key employees from operating our business.</w:t>
      </w:r>
    </w:p>
    <w:p>
      <w:pPr>
        <w:spacing w:after="0" w:line="8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the FDA, the EMA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the FDA, the EC or the competent authorities of the EU member states could lead to product liability lawsuits as well.</w:t>
      </w:r>
    </w:p>
    <w:p>
      <w:pPr>
        <w:spacing w:after="0" w:line="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62"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operations are subject to complex and increasingly stringent environmental, health and safety laws and regulations in the countries where we operate and, in particular, in Italy and Ireland where we have manufacturing facilities. Environmental and health and safety authorities in Italy and Ireland administer laws governing,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Our manufacturing facilities are involved in the controlled storage, use and disposal of chemicals and solvents. Even if our safety procedures for handling and disposing of these hazardous materials comply with the standards prescribed by EU laws, we cannot completely eliminate the risk of contamination or injury from hazardous materials. If an accident occurs, an injured party could seek to hold us liable for any damages that result and any liability could exceed the limits or fall outside the coverage of our insurance. We may not be able to maintain insurance on acceptable terms, or at all. In certain cases, laws may impose strict liability for pollution of the environment and contamination resulting from spills, disposals or other releases of hazardous substances or waste or any migration of such hazardous substances or waste.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incur significant costs to comply with current or future EU environmental laws.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w:t>
      </w:r>
    </w:p>
    <w:p>
      <w:pPr>
        <w:spacing w:after="0" w:line="11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As of September 30, 2019, we had total indebtedness of approximately $1.8 billion, which included $626.0 million in outstanding term loan indebtedness under a secured credit agreement that we entered into in June 2015 and subsequently amended in July 2016 and in June 2018, which we refer to as the amended credit agreement, $575.0 million of outstanding indebtedness under our 1.875% exchangeable senior notes due 2021, or the 2021 Notes, which were issued in August 2014, and $575.0 million of outstanding indebtedness under our 1.50% exchangeable senior notes due 2024, or the 2024 Notes, which were issued in August 2017 and which we refer to, together with the 2021 Notes, as the Exchangeable Senior Notes.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debt may:</w:t>
      </w:r>
    </w:p>
    <w:p>
      <w:pPr>
        <w:spacing w:after="0" w:line="117" w:lineRule="exact"/>
        <w:rPr>
          <w:sz w:val="20"/>
          <w:szCs w:val="20"/>
          <w:color w:val="auto"/>
        </w:rPr>
      </w:pPr>
    </w:p>
    <w:p>
      <w:pPr>
        <w:jc w:val="center"/>
        <w:ind w:left="5620" w:right="1100" w:hanging="5220"/>
        <w:spacing w:after="0" w:line="559"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 72</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20" w:right="120" w:hanging="320"/>
        <w:spacing w:after="0" w:line="258"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working capital, capital expenditures, acquisitions or other general business purposes;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result in dilution to our existing shareholders in the event exchanges of the Exchangeable Senior Notes are settled in our ordinary shares;</w:t>
      </w:r>
    </w:p>
    <w:p>
      <w:pPr>
        <w:spacing w:after="0" w:line="20" w:lineRule="exact"/>
        <w:rPr>
          <w:rFonts w:ascii="Arial" w:cs="Arial" w:eastAsia="Arial" w:hAnsi="Arial"/>
          <w:sz w:val="17"/>
          <w:szCs w:val="17"/>
          <w:color w:val="auto"/>
        </w:rPr>
      </w:pPr>
    </w:p>
    <w:p>
      <w:pPr>
        <w:ind w:left="720" w:hanging="32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10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ability to meet our debt service obligations will depend on our future performance, which will be subject to financial, business and other factors affecting our operations, many of which are beyond our control. If we do not have sufficient funds to meet our debt service obligations, we may be required to refinance or restructure all or part of our existing debt, sell assets, borrow more money or sell securities, none of which we can assure you that we would be able to do in a timely manner, or at all.</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Covenants in our amended credit agreement restrict our business and operations in many ways and if we do not effectively manage our covenants, our financial conditions and results of operations could be adversely affected.</w:t>
      </w:r>
    </w:p>
    <w:p>
      <w:pPr>
        <w:spacing w:after="0" w:line="62"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The amended credit agreement provides for a $667.7 million principal amount term loan due in June 2023 and a $1.6 billion revolving credit facility, with any loans under such revolving credit facility due in June 2023, subject to early mandatory repayments under certain circumstances. The amended credit agreement contains various covenants that, among other things, limit our ability and/or our restricted subsidiaries’ ability to:</w:t>
      </w:r>
    </w:p>
    <w:p>
      <w:pPr>
        <w:spacing w:after="0" w:line="57" w:lineRule="exact"/>
        <w:rPr>
          <w:sz w:val="20"/>
          <w:szCs w:val="20"/>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23"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redeemable preferred stock;</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loans, investments, acquisitions (including acquisitions of exclusive licenses) and capital expenditures;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03"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The amended credit agreement also includes financial covenants that require us to maintain a maximum secured leverage ratio and a minimum interest coverage ratio. Our ability to comply with these financial covenants may be affected by events beyond our control. In addition, the covenants under the amended credit agreement could restrict our operations, particularly our ability to respond to changes in our business or to take specified actions to take advantage of certain business opportunities that may be presented to us. Our failure to comply with any of the covenants could result in a default under the amended credit agreement, which could permit the lenders to declare all or part of any outstanding borrowings to be immediately due and payable, or to refuse to permit additional borrowings under the revolving credit facility. A default under the amended credit agreement could also lead to a default under other debt agreements or obligations, including the indentures governing the Exchangeable Senior Notes.</w:t>
      </w:r>
    </w:p>
    <w:p>
      <w:pPr>
        <w:spacing w:after="0" w:line="5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addition, the holders of the Exchangeable Senior Notes have the ability to require us to repurchase their notes for cash if we undergo certain fundamental changes, such as specified change of control transactions, our liquidation or dissolution, or the delisting of our ordinary shares from The Nasdaq Global Select Market. Moreover, upon exchange of the Exchangeable Senior Notes, unless we elect to deliver only our ordinary shares to settle such exchange, we will be required to make cash payments in respect of the Exchangeable Senior Notes. It is our intent and policy to settle the principal amount of the Exchangeable Senior Notes in cash upon exchange. However, we may not have enough available cash or be able to obtain financing at the time we are required to make any required repurchases of surrendered Exchangeable Senior Notes or to pay cash upon exchanges of the Exchangeable Senior Notes. Our failure to repurchase the Exchangeable Senior Notes at a time when the repurchase is required by the indentures governing the Exchangeable Senior Notes or to pay any cash payable on future exchanges of the Exchangeable Senior Notes as required by the indentures governing the Exchangeable Senior Notes would constitute a default under that indenture. A default under those indentures could also lead to a default under other debt agreements or obligations, including the amended credit agreement. If the repayment of the related indebtedness were to be accelerated, we may not have sufficient funds to repay the related indebtedness, which could have a material adverse effect on our financial condition and our business. In this regard, if we are unable to repay amounts under the amended credit agreement, the lenders under the amended credit agreement could proceed against the collateral granted to them to secure that debt, which would seriously harm our business.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w:t>
      </w:r>
    </w:p>
    <w:p>
      <w:pPr>
        <w:spacing w:after="0" w:line="11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Our ability to make payments on and to refinance our debt will depend on our future financial and operating performance, which is subject to prevailing economic and competitive conditions and to certain financial, business and other factors beyond our control. We may be unable to maintain a level of positive cash flows from operating activities sufficient to permit us to pay the principal and interest on our debt.</w:t>
      </w:r>
    </w:p>
    <w:p>
      <w:pPr>
        <w:spacing w:after="0" w:line="7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scheduled debt service obligations. In the absence of such cash flows and resources, we could face substantial liquidity problems and might be required to dispose of material assets or operations to meet our debt service and other obligations. The amended credit agreement restricts our ability to dispose of assets, use the proceeds from any disposition of assets and refinance our indebtedness. We may not be able to consummate or obtain proceeds from such dispositions, and any such proceeds may not be adequate to meet any debt service obligations then due.</w:t>
      </w:r>
    </w:p>
    <w:p>
      <w:pPr>
        <w:spacing w:after="0" w:line="70"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In addition, our borrowings under the amended credit agreement are, and are expected to continue to be, at variable rates of interest and expose us to interest rate risk. If interest rates increase, our debt service obligations on the variable rate indebtedness would increase even if the amount borrowed remained the same, and our net income would decrease.</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our business.</w:t>
      </w:r>
    </w:p>
    <w:p>
      <w:pPr>
        <w:spacing w:after="0" w:line="62"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scope of our business and operations has grown substantially since 2012 through a series of transactions, including the business combination between Jazz Pharmaceuticals, Inc. and Azur Pharma Public Limited Company, which we refer to as the Azur Merger, and our acquisitions of EUSA Pharma Inc., Gentium S.r.l., Celator Pharmaceuticals, Inc. and Cavion, Inc., or Cavion. To continue to grow our business over the longer term, we will need to commit substantial additional resources to our business and execution of our strategy. Our ongoing capital requirements will depend on many factors, including:</w:t>
      </w:r>
    </w:p>
    <w:p>
      <w:pPr>
        <w:spacing w:after="0" w:line="46" w:lineRule="exact"/>
        <w:rPr>
          <w:sz w:val="20"/>
          <w:szCs w:val="20"/>
          <w:color w:val="auto"/>
        </w:rPr>
      </w:pPr>
    </w:p>
    <w:p>
      <w:pPr>
        <w:ind w:left="720" w:right="320" w:hanging="320"/>
        <w:spacing w:after="0" w:line="258"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revenues from our commercial products, which may be affected by many factors, including the extent of competition for Xyrem or our other products;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acquiring and/or in-licensing any new products and product candidates;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our commercial operations, including the costs related to the launch and commercialization of new products;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rate of progress, results and costs of our development and clinical activities;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and timing of obtaining regulatory approvals and of compliance with laws and regulations;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preparing, filing, prosecuting, defending and enforcing patent claims and other intellectual property rights;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investigations, litigation and/or settlements related to regulatory oversight and third party claims;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integration activities related to any future strategic transactions we may engage in;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arising from changes in laws and regulations, including, for example, healthcare reform legislation.</w:t>
      </w:r>
    </w:p>
    <w:p>
      <w:pPr>
        <w:spacing w:after="0" w:line="103"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Our strategy includes the expansion of our business through acquiring or in-licensing, and developing, additional products and product candidates that we believe are highly differentiated and have significant commercial potential. See the risk factor under the heading “</w:t>
      </w:r>
      <w:r>
        <w:rPr>
          <w:rFonts w:ascii="Arial" w:cs="Arial" w:eastAsia="Arial" w:hAnsi="Arial"/>
          <w:sz w:val="16"/>
          <w:szCs w:val="16"/>
          <w:i w:val="1"/>
          <w:iCs w:val="1"/>
          <w:color w:val="auto"/>
        </w:rPr>
        <w:t>We may not be able to successfully</w:t>
      </w:r>
      <w:r>
        <w:rPr>
          <w:rFonts w:ascii="Arial" w:cs="Arial" w:eastAsia="Arial" w:hAnsi="Arial"/>
          <w:sz w:val="16"/>
          <w:szCs w:val="16"/>
          <w:color w:val="auto"/>
        </w:rPr>
        <w:t xml:space="preserve"> </w:t>
      </w:r>
      <w:r>
        <w:rPr>
          <w:rFonts w:ascii="Arial" w:cs="Arial" w:eastAsia="Arial" w:hAnsi="Arial"/>
          <w:sz w:val="16"/>
          <w:szCs w:val="16"/>
          <w:i w:val="1"/>
          <w:iCs w:val="1"/>
          <w:color w:val="auto"/>
        </w:rPr>
        <w:t>identify and acquire or in-license additional products or product candidates to grow our business, and, even if we are able to do so, we may otherwise fail to realize the anticipated benefits of these acquisitions</w:t>
      </w:r>
      <w:r>
        <w:rPr>
          <w:rFonts w:ascii="Arial" w:cs="Arial" w:eastAsia="Arial" w:hAnsi="Arial"/>
          <w:sz w:val="16"/>
          <w:szCs w:val="16"/>
          <w:color w:val="auto"/>
        </w:rPr>
        <w:t>” in this Part II, Item 1A. We may be unable to expand our business if we do not have sufficient capital or</w:t>
      </w:r>
      <w:r>
        <w:rPr>
          <w:rFonts w:ascii="Arial" w:cs="Arial" w:eastAsia="Arial" w:hAnsi="Arial"/>
          <w:sz w:val="16"/>
          <w:szCs w:val="16"/>
          <w:i w:val="1"/>
          <w:iCs w:val="1"/>
          <w:color w:val="auto"/>
        </w:rPr>
        <w:t xml:space="preserve"> </w:t>
      </w:r>
      <w:r>
        <w:rPr>
          <w:rFonts w:ascii="Arial" w:cs="Arial" w:eastAsia="Arial" w:hAnsi="Arial"/>
          <w:sz w:val="16"/>
          <w:szCs w:val="16"/>
          <w:color w:val="auto"/>
        </w:rPr>
        <w:t>cannot borrow or raise additional capital on attractive terms. Our substantial indebtedness may limit our ability to borrow additional funds for acquisitions or to use our cash flow or obtain additional financing for future acquisitions. In addition, if we use a substantial amount of our funds to acquire or in-license products or product candidates, we may not have sufficient additional funds to conduct all of our operations in the manner we would otherwise choose.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access the capital and credit markets on terms that are favorable to us, or at all.</w:t>
      </w:r>
    </w:p>
    <w:p>
      <w:pPr>
        <w:spacing w:after="0" w:line="117"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During the past several years, domestic and international financial markets have experienced extreme disruption from time to time, including, among other things, high volatility and significant variability in stock prices, which has caused uncertainty with regard to credit availability for many borrowers. We expect to opportunistically seek access to the capital and credit markets to supplement our existing cash balances, cash we expect to generate from operations and funds available under our revolving credit facility to satisfy our needs for working capital, capital expenditures and debt service requirements or to continue to grow our business over the longer term through product acquisition and in-licensing, product development and clinical trials of product candidates, and expansion of our commercial operations. In the event of adverse capital and credit market conditions, including as a result of the UK’s withdrawal from the EU or as a result of tariffs and other trade restrictions potentially contributing to instability in the global financial markets, we may not be able to obtain capital market financing or credit on favorable terms, or at all, which could have a material adverse effect on our business and growth prospects. Changes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our credit ratings issued by nationally recognized credit rating agencies could also adversely affect our cost of financing and have an adverse effect on the market price of our securities.</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35" w:lineRule="exact"/>
        <w:rPr>
          <w:sz w:val="20"/>
          <w:szCs w:val="20"/>
          <w:color w:val="auto"/>
        </w:rPr>
      </w:pPr>
    </w:p>
    <w:p>
      <w:pPr>
        <w:ind w:right="80" w:firstLine="432"/>
        <w:spacing w:after="0" w:line="237" w:lineRule="auto"/>
        <w:rPr>
          <w:sz w:val="20"/>
          <w:szCs w:val="20"/>
          <w:color w:val="auto"/>
        </w:rPr>
      </w:pPr>
      <w:r>
        <w:rPr>
          <w:rFonts w:ascii="Arial" w:cs="Arial" w:eastAsia="Arial" w:hAnsi="Arial"/>
          <w:sz w:val="18"/>
          <w:szCs w:val="18"/>
          <w:color w:val="auto"/>
        </w:rPr>
        <w:t>Our intangible assets and goodwill are significant. As of September 30, 2019, we had recorded $3.5 billion of intangible assets and goodwill related to our past acquisitions. Intangible assets and goodwill are subject to an impairment analysis whenever events or changes in circumstances indicate the carrying amount of the asset may not be recoverable. For example, in connection with entry into an asset purchase agreement in June 2018 to sell substantially all of the assets held by us related to Prialt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(ziconotide) intrathecal infusion, we recognized an impairment charge of $42.9 million in our consolidated statements of income in 2018, primarily related to the carrying balances of intangible assets. Additionally, goodwill and indefinite-lived assets are subject to an impairment test at least annually.</w:t>
      </w:r>
    </w:p>
    <w:p>
      <w:pPr>
        <w:spacing w:after="0" w:line="72"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Events giving rise to impairment are an inherent risk in the pharmaceutical industry and cannot be predicted. Our results of operations and financial position in future periods could be negatively impacted should future impairments of intangible assets or goodwill occur.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affected by foreign currency exchange rate fluctuations.</w:t>
      </w:r>
    </w:p>
    <w:p>
      <w:pPr>
        <w:spacing w:after="0" w:line="90" w:lineRule="exact"/>
        <w:rPr>
          <w:sz w:val="20"/>
          <w:szCs w:val="20"/>
          <w:color w:val="auto"/>
        </w:rPr>
      </w:pPr>
    </w:p>
    <w:p>
      <w:pPr>
        <w:ind w:right="100" w:firstLine="432"/>
        <w:spacing w:after="0" w:line="268" w:lineRule="auto"/>
        <w:rPr>
          <w:sz w:val="20"/>
          <w:szCs w:val="20"/>
          <w:color w:val="auto"/>
        </w:rPr>
      </w:pPr>
      <w:r>
        <w:rPr>
          <w:rFonts w:ascii="Arial" w:cs="Arial" w:eastAsia="Arial" w:hAnsi="Arial"/>
          <w:sz w:val="17"/>
          <w:szCs w:val="17"/>
          <w:color w:val="auto"/>
        </w:rPr>
        <w:t>We have significant operations in Europe as well as in the U.S., but we report revenues, costs and earnings in U.S. dollars. Our primary currency translation exposure relates to our subsidiaries that have functional currencies denominated in the euro. Exchange rates between the U.S. dollar and the euro have fluctuated and are likely to continue to fluctuate from period to period. 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Defitelio, Erwinase and Vyxeos product sales outside of the U.S. are primarily denominated in the euro, our sales of those products have been and may continue to be adversely affected by fluctuations in foreign currency exchange rates. In this regard, when the U.S. dollar strengthens against a foreign currency, the relative value of sales made in the foreign currency decreases. Conversely, when the U.S. dollar weakens against a foreign currency, the relative value of such sales increases. Accordingly, increases in the value of the U.S. dollar relative to foreign currencies, primarily the euro, could adversely affect our foreign revenues, perhaps significantly. In addition, as we continue to expand our international operations, we will conduct more transactions in currencies other than the U.S. dollar, which could increase our foreign currency exchange risk. Given the volatility of exchange rates, as well as our expanding operations, there is no guarantee that we will be able to effectively manage currency transaction and/or translation risks. We use foreign exchange forward contracts to manage currency risk primarily related to certain intercompany balances denominated in non-functional currencies. These foreign exchange forward contracts are not designated as hedges. Gains and losses on these derivative instruments are designed to offset gains and losses on the underlying balance sheet exposures. Fluctuations in foreign currency exchange rates could have a material adverse effect on our results of operations and financial condition.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maintain our tax rates, which could adversely affect our business and financial condition, results of operations and growth prospects.</w:t>
      </w:r>
    </w:p>
    <w:p>
      <w:pPr>
        <w:spacing w:after="0" w:line="62"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are incorporated in Ireland and maintain subsidiaries in North America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 distribution of our profits or losses between the jurisdictions where we operate and differences in interpretation of tax laws. In addition, the tax laws of any jurisdiction in which we operate may change in the future, which could impact our effective tax rate. We are subject to reviews and audits by the U.S. Internal Revenue Services, or IRS, and other taxing authorities from time to time, and the IRS or other taxing authority may challenge our structure, transfer pricing arrangements and tax positions through an audit or lawsuit. Responding to or defending against challenges from taxing authorities could be expensive and consume time and other resources. If we are unsuccessful, we may be required to pay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7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December 2015, we received proposed tax assessment notices, and, in October 2018, we received revised tax assessment notices from the French tax authorities for 2012 and 2013 and in December 2018 and September 2019, we received proposed tax assessment notices for 2015, 2016 and 2017, relating to certain transfer pricing adjustments. The notices provide for additional French tax of approximately $41 million for 2012 and 2013 and approximately $12 million for 2015, 2016 and 2017 including interest and penalties through the respective dates of the proposed assessments, translated at the foreign exchange rate at September 30, 2019. We disagree with the assessments and are contesting them vigorously.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December 22, 2017, the U.S. Tax Act was signed into law. The U.S. Tax Act made broad and complex changes to the U.S. tax code. The U.S. Department of Treasury has issued limited regulations and other interpretive guidance under the U.S. Tax Act, and is expected to issue additional guidance, the impact of which is uncertain but could change the financial impacts that were previously recorded or are expected to be recorded in future periods. Furthermore, the impact of this tax reform on certain holders of our ordinary shares could be adverse. Among other things, changes to the rules for determining a foreign corporation’s status as a controlled foreign corporation could have an adverse effect on U.S. persons who are treated as owning (directly or indirectly) at least 10% of the value or voting power of our ordinary shares. Investors should consult their own advisers regarding the potential application of these rules to their investments.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117"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Although we are incorporated in Ireland, the IRS may assert that we should be treated as a U.S. corporation (and, therefore, a U.S. tax resident) for U.S. federal tax purposes pursuant to Section 7874 of the U.S. Internal Revenue Code, or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in the Azur Merger, the IRS could assert that we should be treated as a U.S. corporation for U.S. federal tax purposes under Section 7874. The IRS continues to scrutinize transactions that are potentially subject to Section 7874, and has issued several sets of final and temporary regulations under Section 7874 since 2012. We do not expect these regulations to affect the U.S. tax consequences of the Azur Merger. Nevertheless, new statutory and/or regulatory provisions under Section 7874 of the Code or otherwise could be enacted that adversely affect our status as a foreign corporation for U.S. federal tax purposes, and any such provisions could have prospective or retroactive application to us, our shareholders, Jazz Pharmaceuticals, Inc. and/or the Azur Merger.</w:t>
      </w:r>
    </w:p>
    <w:p>
      <w:pPr>
        <w:spacing w:after="0" w:line="65"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b w:val="1"/>
          <w:bCs w:val="1"/>
          <w:i w:val="1"/>
          <w:iCs w:val="1"/>
          <w:color w:val="auto"/>
        </w:rPr>
        <w:t>Our U.S. affiliates’ ability to use their net operating losses to offset potential taxable income and related income taxes that would otherwise be due is limited under Section 7874 of the Code and could be subject to further limitations if we do not generate taxable income in a timely manner or if the “ownership change” provisions of Sections 382 and 383 of the Code result in further annual limitations.</w:t>
      </w:r>
    </w:p>
    <w:p>
      <w:pPr>
        <w:spacing w:after="0" w:line="39"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Following certain acquisitions of a U.S. corporation by a foreign corporation, Section 7874 of the Code can limit the ability of the acquired U.S. corporation and its U.S. affiliates to utilize U.S. tax attributes such as net operating losses, or NOLs, to offset U.S. taxable income resulting from certain transactions. Based on the limited guidance available, this limitation applies to us. Our U.S. affiliates have a significant amount of NOLs. As a result of Section 7874 of the Code, after the Azur Merger, our U.S. affiliates have not been able and will continue to be unable, for a period of time, to utilize their U.S. tax attributes to offset their U.S. taxable income, if any, resulting from certain taxable transactions. While we expect to be able to fully utilize our U.S. affiliates’ U.S. NOLs prior to their expiration, as a result of this limitation, it may take our U.S. affiliates longer to use their NOLs.</w:t>
      </w:r>
    </w:p>
    <w:p>
      <w:pPr>
        <w:spacing w:after="0" w:line="7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ability to use these NOLs to offset potential future taxable income and related income taxes that would otherwise be due is also dependent upon our generation of future taxable income before the expiration dates of the NOLs, and we cannot predict with certainty when, or whether, our U.S. affiliates will generate sufficient taxable income to use all of the NOLs. In addition, the use of NOLs to offset potential future taxable income and related income taxes that would otherwise be due is subject to annual limitations under the “ownership change” provisions of Sections 382 and 383 of the Code and similar state provisions, which may result in the expiration of additional NOLs before future utilization.</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Future changes to the tax laws under which we expect to be treated as a foreign corporation for U.S. federal tax purposes or to other tax laws relating to multinational corporations could adversely affect us.</w:t>
      </w:r>
    </w:p>
    <w:p>
      <w:pPr>
        <w:spacing w:after="0" w:line="6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The U.S. Congress, the EU, the Organization for Economic Co-operation and Development, or OECD, and other government agencies in jurisdictions where we and our affiliates do business have had an extended focus on issues related to the taxation of multinational corporations. One example is the OECD’s initiative in the area of “base erosion and profit shifting,” where payments are made between affiliates from a jurisdiction with high tax rates to a jurisdiction with lower tax rates. Some countries are beginning to implement legislation and other guidance to align their international tax rules with the OECD’s recommendation.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80"/>
        <w:spacing w:after="0" w:line="340" w:lineRule="auto"/>
        <w:rPr>
          <w:sz w:val="20"/>
          <w:szCs w:val="20"/>
          <w:color w:val="auto"/>
        </w:rPr>
      </w:pPr>
      <w:r>
        <w:rPr>
          <w:rFonts w:ascii="Arial" w:cs="Arial" w:eastAsia="Arial" w:hAnsi="Arial"/>
          <w:sz w:val="15"/>
          <w:szCs w:val="15"/>
          <w:b w:val="1"/>
          <w:bCs w:val="1"/>
          <w:i w:val="1"/>
          <w:iCs w:val="1"/>
          <w:color w:val="auto"/>
        </w:rPr>
        <w:t>A substantial portion of our indebtedness bears interest at variable interest rates based on USD LIBOR and certain of our financial contracts are also indexed to USD LIBOR. Changes in the method of determining LIBOR, or the replacement of LIBOR with an alternative reference rate, may adversely affect interest rates on our current or future indebtedness and may otherwise adversely affect our financial condition and results of operations.</w:t>
      </w:r>
    </w:p>
    <w:p>
      <w:pPr>
        <w:spacing w:after="0" w:line="2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July 2017, the Financial Conduct Authority, the authority that regulates the London Inter-bank Offered Rate, or LIBOR, announced that it intended to stop compelling banks to submit rates for the calculation of LIBOR after 2021. The Alternative Reference Rates Committee, or ARRC, in the U.S. has proposed that the Secured Overnight Financing Rate, or SOFR, is the rate that represents best practice as the alternative to the U.S. dollar, or USD, LIBOR for use in derivatives and other financial contracts that are currently indexed to USD LIBOR. ARRC has proposed a paced market transition plan to SOFR from USD LIBOR and organizations are currently working on industry-wide and company-specific transition plans as relating to derivatives and cash markets exposed to USD LIBOR. We have certain financial contracts, including the amended credit agreement and our interest rate swaps, that are indexed to USD LIBOR. Changes in the method of determining LIBOR, or the replacement of LIBOR with an alternative reference rate, may adversely affect interest rates on our current or future indebtedness. Any transition process may involve, among other things, increased volatility or illiquidity in markets for instruments that rely on LIBOR, reductions in the value of certain instruments or the effectiveness of related transactions such as hedges, increased borrowing costs, uncertainty under applicable documentation, or difficult and costly consent processes. We are monitoring this activity and evaluating the related risks, and any such effects of the transition away from LIBOR may result in increased expenses, may impair our ability to refinance our indebtedness or hedge our exposure to floating rate instruments, or may result in difficulties, complications or delays in connection with future financing efforts, any of which could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may continue to be volatile in the future, and the value of your investment could decline significantly.</w:t>
      </w:r>
    </w:p>
    <w:p>
      <w:pPr>
        <w:spacing w:after="0" w:line="62"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 market price for our ordinary shares has fluctuated significantly from time to time, for example, varying between a high of $169.82 on October 1, 2018 and a low of $113.52 on December 24, 2018 during the period from September 30, 2018 through September 30, 2019. The market price of our ordinary shares is likely to continue to be volatile and subject to significant price and volume fluctuations in response to market, industry and other factors, including the risk factors described above. The stock market in general, including the market for life sciences companies, has experienced extreme price and trading volume fluctuations that have often been unrelated or disproportionate to the operating performance of those companies. In particular, negative publicity regarding pricing and price increases by pharmaceutical companies has negatively impacted, and may continue to negatively impact, the market for life sciences companies. These broad market and industry factors have harmed, and in the future may seriously harm, the market price of our ordinary shares, regardless of our operating performance.</w:t>
      </w:r>
    </w:p>
    <w:p>
      <w:pPr>
        <w:spacing w:after="0" w:line="71" w:lineRule="exact"/>
        <w:rPr>
          <w:sz w:val="20"/>
          <w:szCs w:val="20"/>
          <w:color w:val="auto"/>
        </w:rPr>
      </w:pPr>
    </w:p>
    <w:p>
      <w:pPr>
        <w:jc w:val="both"/>
        <w:ind w:right="100" w:firstLine="432"/>
        <w:spacing w:after="0" w:line="291" w:lineRule="auto"/>
        <w:rPr>
          <w:sz w:val="20"/>
          <w:szCs w:val="20"/>
          <w:color w:val="auto"/>
        </w:rPr>
      </w:pPr>
      <w:r>
        <w:rPr>
          <w:rFonts w:ascii="Arial" w:cs="Arial" w:eastAsia="Arial" w:hAnsi="Arial"/>
          <w:sz w:val="16"/>
          <w:szCs w:val="16"/>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 The risks and uncertainties associated with our ability to maintain or increase sales of our products include those discussed elsewhere in these risk factors. In the past, following periods of volatility in the market or significant price decline,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5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addition, the market price of our ordinary shares may decline if the effects of our transactions, including our acquisition of Cavion and/or potential future acquisitions, on our financial or operating results are not consistent with the expectations of financial analysts or investors. The market price of our ordinary shares could also be affected by possible sales of our ordinary shares by holders of the Exchangeable Senior Notes who may view the Exchangeable Senior Notes as a more attractive means of equity participation in our company and by hedging or arbitrage trading activity involving our ordinary shares by the holders of the Exchangeable Senior Notes.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Irish law, which differs from the laws in effect in the U.S. and may afford less protection to holders of our securities.</w:t>
      </w:r>
    </w:p>
    <w:p>
      <w:pPr>
        <w:spacing w:after="0" w:line="129"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the U.S. federal or state securities laws or hear actions against us or those persons based on those laws. We have been advised that the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currently does not have a treaty with Ireland providing for the reciprocal recognition and enforcement of judgments in civil and commercial matters.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Therefore, a final judgment for the payment of money rendered by any U.S. federal or state court based on civil liability, whether or not based solely on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federal or state securities laws, would not automatically be enforceable in Ireland.</w:t>
      </w:r>
    </w:p>
    <w:p>
      <w:pPr>
        <w:spacing w:after="0" w:line="10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are generally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articles of association, Irish law and the indentures governing the Exchangeable Senior Notes contain provisions that could delay or prevent a takeover of us by a third party.</w:t>
      </w:r>
    </w:p>
    <w:p>
      <w:pPr>
        <w:spacing w:after="0" w:line="62"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Our articles of association could delay, defer or prevent a third party from acquiring us, despite the possible benefit to our shareholders, or otherwise adversely affect the price of our ordinary shares. For example, our articles of association:</w:t>
      </w:r>
    </w:p>
    <w:p>
      <w:pPr>
        <w:spacing w:after="0" w:line="62" w:lineRule="exact"/>
        <w:rPr>
          <w:sz w:val="20"/>
          <w:szCs w:val="20"/>
          <w:color w:val="auto"/>
        </w:rPr>
      </w:pPr>
    </w:p>
    <w:p>
      <w:pPr>
        <w:ind w:left="720" w:hanging="320"/>
        <w:spacing w:after="0"/>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impose advance notice requirements for shareholder proposals and nominations of directors to be considered at shareholder meetings;</w:t>
      </w:r>
    </w:p>
    <w:p>
      <w:pPr>
        <w:spacing w:after="0" w:line="34" w:lineRule="exact"/>
        <w:rPr>
          <w:rFonts w:ascii="Arial" w:cs="Arial" w:eastAsia="Arial" w:hAnsi="Arial"/>
          <w:sz w:val="17"/>
          <w:szCs w:val="17"/>
          <w:color w:val="auto"/>
        </w:rPr>
      </w:pPr>
    </w:p>
    <w:p>
      <w:pPr>
        <w:ind w:left="720" w:hanging="320"/>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stagger the terms of our board of directors into three classes;</w:t>
      </w:r>
    </w:p>
    <w:p>
      <w:pPr>
        <w:spacing w:after="0" w:line="9" w:lineRule="exact"/>
        <w:rPr>
          <w:rFonts w:ascii="Arial" w:cs="Arial" w:eastAsia="Arial" w:hAnsi="Arial"/>
          <w:sz w:val="18"/>
          <w:szCs w:val="18"/>
          <w:color w:val="auto"/>
        </w:rPr>
      </w:pPr>
    </w:p>
    <w:p>
      <w:pPr>
        <w:ind w:left="720" w:right="120" w:hanging="320"/>
        <w:spacing w:after="0" w:line="250"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the approval of a supermajority of the voting power of the shares of our share capital entitled to vote generally at a meeting of shareholders to amend our articles of association; and</w:t>
      </w:r>
    </w:p>
    <w:p>
      <w:pPr>
        <w:ind w:left="720" w:right="440" w:hanging="320"/>
        <w:spacing w:after="0" w:line="261"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 our board of directors to issue one or more series of preferred shares with rights and preferences, as our shareholders may determine by ordinary resolution.</w:t>
      </w:r>
    </w:p>
    <w:p>
      <w:pPr>
        <w:spacing w:after="0" w:line="76" w:lineRule="exact"/>
        <w:rPr>
          <w:sz w:val="20"/>
          <w:szCs w:val="20"/>
          <w:color w:val="auto"/>
        </w:rPr>
      </w:pPr>
    </w:p>
    <w:p>
      <w:pPr>
        <w:ind w:right="180" w:firstLine="432"/>
        <w:spacing w:after="0" w:line="270" w:lineRule="auto"/>
        <w:rPr>
          <w:sz w:val="20"/>
          <w:szCs w:val="20"/>
          <w:color w:val="auto"/>
        </w:rPr>
      </w:pPr>
      <w:r>
        <w:rPr>
          <w:rFonts w:ascii="Arial" w:cs="Arial" w:eastAsia="Arial" w:hAnsi="Arial"/>
          <w:sz w:val="17"/>
          <w:szCs w:val="17"/>
          <w:color w:val="auto"/>
        </w:rPr>
        <w:t>In addition to our articles of association, several mandatory provisions of Irish law could prevent or delay an acquisition of us. For example, Irish law does not permit shareholders of an Irish public limited company to take action by written consent with less than unanimous consent, and the shareholder approval requirements for certain types of transactions differ from those in the U.S., and in some cases are greater, under Irish law.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 Furthermore, the indentures governing the Exchangeable Senior Notes require us to repurchase the Exchangeable Senior Notes for cash if we undergo certain fundamental changes and, in certain circumstances, to increase the exchange rate for a holder of 2021 Notes or 2024 Notes. A takeover of us may trigger the requirement that we purchase the Exchangeable Senior Notes and/or increase the exchange rate, which could make it more costly for a potential acquiror to engage in a business combination transaction with us.</w:t>
      </w:r>
    </w:p>
    <w:p>
      <w:pPr>
        <w:spacing w:after="0" w:line="7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These provisions, whether alone or together, may discourage potential takeover attempts, discourage bids for our ordinary shares at a premium over the market price or adversely affect the market price of, and the voting and other rights of the holders of, our ordinary shares. These provisions, whether alone or together, could also discourage proxy contests and make it more difficult for our shareholders to elect directors other than the candidates nominated by our board.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11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Other than funds we have allocated for the purposes of supporting our share repurchase program, we anticipate that we will retain all earnings, if any, to support our operations and our proprietary drug development programs, acquire or in-license additional products and product candidates, and pursue other opportunities. If we propose to pay dividends in the future, we must do so in accordance with Irish law, which provides that distributions including dividend payments, share repurchases and redemptions be funded from “distributable reserves.” In addition, our ability to pay cash dividends on or repurchase our ordinary shares is restricted under the terms of the amended credit agreement. Any future determination as to the payment of dividends will, subject to Irish legal requirements, be at the sole discretion of our board of directors and will depend on our financial condition, results of operations, capital requirements, compliance with the terms of the amended credit agreement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transfer of our ordinary shares may be subject to Irish stamp duty.</w:t>
      </w:r>
    </w:p>
    <w:p>
      <w:pPr>
        <w:spacing w:after="0" w:line="11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our ordinary shares are traded on a recognized stock exchange in the U.S., an exemption from this stamp duty is available in respect of transfers by shareholders who hold our ordinary shares beneficially through brokers which in turn hold those shares through the Depository Trust Company, or DTC, to holders who also hold through DTC. However, a transfer by or to a record holder who holds our ordinary shares directly in his, her or its own name could be subject to this stamp duty. We, in our absolute discretion and insofar as the Irish Companies Act 2014 or any other applicable law permits, may, or may provide that a subsidiary of ours will, pay Irish stamp duty arising on a transfer of our ordinary shares on behalf of the transferee of such ordinary shares. If stamp duty resulting from the transfer of our ordinary shares which would otherwise be payable by the transferee is paid by us or any of our subsidiaries on behalf of the transferee, then in those circumstances, we will, on our behalf or on behalf of our subsidiary (as the case may be), be entitled to (i) seek reimbursement of the stamp duty from the transferee, (ii) set-off the stamp duty against any dividends payable to the transferee of those ordinary shares and (iii) claim a first and permanent lien on the ordinary shares on which stamp duty has been paid by us or our subsidiary for the amount of stamp duty paid. Our lien shall extend to all dividends paid on those ordinary shares.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purchases of our ordinary shares made by or on behalf of us or any of our “affiliated purchasers” as defined in Rule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10b-18(a)(3) under the Securities Exchange Act of 1934, as amended, during each fiscal month during the three-month period ended September 30, 2019:</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Share (2)</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or Programs (4)</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1 - July 31, 2019</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46,900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138.13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46,900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201,567,632</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August 1 - August 31, 2019</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53,500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134.94</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53,500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194,349,529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1 - September 30, 2019</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48,670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129.43</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48,670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188,051,191</w:t>
            </w:r>
          </w:p>
        </w:tc>
        <w:tc>
          <w:tcPr>
            <w:tcW w:w="0" w:type="dxa"/>
            <w:vAlign w:val="bottom"/>
          </w:tcPr>
          <w:p>
            <w:pPr>
              <w:spacing w:after="0"/>
              <w:rPr>
                <w:sz w:val="1"/>
                <w:szCs w:val="1"/>
                <w:color w:val="auto"/>
              </w:rPr>
            </w:pPr>
          </w:p>
        </w:tc>
      </w:tr>
      <w:tr>
        <w:trPr>
          <w:trHeight w:val="257"/>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149,070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134.14</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149,070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40"/>
              <w:spacing w:after="0"/>
              <w:rPr>
                <w:sz w:val="20"/>
                <w:szCs w:val="20"/>
                <w:color w:val="auto"/>
              </w:rPr>
            </w:pPr>
            <w:r>
              <w:rPr>
                <w:rFonts w:ascii="Arial" w:cs="Arial" w:eastAsia="Arial" w:hAnsi="Arial"/>
                <w:sz w:val="18"/>
                <w:szCs w:val="18"/>
                <w:color w:val="auto"/>
              </w:rPr>
              <w:t>_________________________</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180" w:hanging="316"/>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column includes ordinary shares that we reacquired in satisfaction of the exercise price of employee stock options upon exercise, but does not include ordinary shares that we withheld in order to satisfy minimum tax withholding requirements in connection with the vesting of restricted stock units.</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Average price paid per ordinary share includes brokerage commissions.</w:t>
      </w:r>
    </w:p>
    <w:p>
      <w:pPr>
        <w:spacing w:after="0" w:line="9" w:lineRule="exact"/>
        <w:rPr>
          <w:rFonts w:ascii="Arial" w:cs="Arial" w:eastAsia="Arial" w:hAnsi="Arial"/>
          <w:sz w:val="18"/>
          <w:szCs w:val="18"/>
          <w:color w:val="auto"/>
        </w:rPr>
      </w:pPr>
    </w:p>
    <w:p>
      <w:pPr>
        <w:ind w:left="540" w:right="40" w:hanging="316"/>
        <w:spacing w:after="0" w:line="281"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ordinary shares reported in this column above were purchased pursuant to our publicly announced share repurchase program. In November 2016, we announced that our board of directors authorized the use of up to $300 million to repurchase our ordinary shares. In November and December 2018, our board of directors increased the existing share repurchase program authorization by $320.0 million and $400.0 million, respectively, thereby increasing the total amount authorized for repurchase to $1.02 billion. In October 2019, our board of directors authorized the additional repurchase of shares having an aggregate purchase price of up to $500.0 million, exclusive of any brokerage commissions. This authorization has no expiration date.</w:t>
      </w:r>
    </w:p>
    <w:p>
      <w:pPr>
        <w:spacing w:after="0" w:line="3" w:lineRule="exact"/>
        <w:rPr>
          <w:rFonts w:ascii="Arial" w:cs="Arial" w:eastAsia="Arial" w:hAnsi="Arial"/>
          <w:sz w:val="16"/>
          <w:szCs w:val="16"/>
          <w:color w:val="auto"/>
        </w:rPr>
      </w:pPr>
    </w:p>
    <w:p>
      <w:pPr>
        <w:ind w:left="540" w:right="40" w:hanging="316"/>
        <w:spacing w:after="0" w:line="253"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dollar amount shown represents, as of the end of each fiscal month, the approximate dollar value of ordinary shares that may yet be purchased under our publicly announced share repurchase program, exclusive of any brokerage commissions. The timing and amount of repurchases will depend on a variety of factors, including the price of our ordinary shares, alternative investment opportunities, restrictions under our credit agreement, corporate and regulatory requirements and market conditions, and may be modified, suspended or otherwise discontinued at any time without prior notice.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25"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On October 30, 2019, 2019, Michael P. Miller, our Executive Vice President, U.S. Commercial, notified us of his decision to retire from his role as Executive Vice President, U.S. Commercial, effective March 31, 2020, or such other date as may be mutually agreed, or the Effective Date.</w:t>
      </w:r>
    </w:p>
    <w:p>
      <w:pPr>
        <w:spacing w:after="0" w:line="83" w:lineRule="exact"/>
        <w:rPr>
          <w:sz w:val="20"/>
          <w:szCs w:val="20"/>
          <w:color w:val="auto"/>
        </w:rPr>
      </w:pPr>
    </w:p>
    <w:p>
      <w:pPr>
        <w:ind w:right="60" w:firstLine="405"/>
        <w:spacing w:after="0" w:line="284" w:lineRule="auto"/>
        <w:rPr>
          <w:sz w:val="20"/>
          <w:szCs w:val="20"/>
          <w:color w:val="auto"/>
        </w:rPr>
      </w:pPr>
      <w:r>
        <w:rPr>
          <w:rFonts w:ascii="Arial" w:cs="Arial" w:eastAsia="Arial" w:hAnsi="Arial"/>
          <w:sz w:val="16"/>
          <w:szCs w:val="16"/>
          <w:color w:val="auto"/>
        </w:rPr>
        <w:t>On November 2, 2019, Mr. Miller and Jazz Pharmaceuticals, Inc. entered into a transition and termination agreement, or the Termination Agreement, in connection with Mr. Miller’s retirement from his role as Executive Vice President, U.S. Commercial with us. Pursuant to the Termination Agreement, Mr. Miller will continue in his position as Executive Vice President, U.S. Commercial through the Effective Date, and then immediately thereafter, move into a project-based role until June 30, 2020, or the Termination Date, as a non-executive, full-time employee with the title of Executive Vice President, Special Projects, with full-time base salary and benefits, including the continued vesting of existing equity awards. In addition, subject to full compliance with the terms of the Termination Agreement, Mr. Miller will receive: (i) a cash payment equal to six months’ of his base salary to be paid in a lump sum shortly following the Termination Date; (ii) full payment of his monthly COBRA premiums for a period of six months, including for his enrolled dependents; and</w:t>
      </w:r>
    </w:p>
    <w:p>
      <w:pPr>
        <w:spacing w:after="0" w:line="3" w:lineRule="exact"/>
        <w:rPr>
          <w:sz w:val="20"/>
          <w:szCs w:val="20"/>
          <w:color w:val="auto"/>
        </w:rPr>
      </w:pPr>
    </w:p>
    <w:p>
      <w:pPr>
        <w:ind w:firstLine="8"/>
        <w:spacing w:after="0" w:line="277" w:lineRule="auto"/>
        <w:tabs>
          <w:tab w:leader="none" w:pos="3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cash payment equal to his at target bonus, as prorated for the period of time that Mr. Miller serves as Executive Vice President, U.S. Commercial during fiscal year 2020, to be paid in a lump sum shortly following the Termination Date. Mr. Miller’s outstanding equity awards will be treated in accordance with their existing terms. The Termination Agreement contains customary terms including a release of claims by Mr. Miller.</w:t>
      </w:r>
    </w:p>
    <w:p>
      <w:pPr>
        <w:spacing w:after="0" w:line="17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foregoing description of the terms of the Termination Agreement does not purport to be complete and is qualified in its entirety by reference to the Termination Agreement, which is filed as an exhibit to this Quarterly Report on Form 10-Q.</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15"/>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10200" w:type="dxa"/>
            <w:vAlign w:val="bottom"/>
            <w:gridSpan w:val="14"/>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3"/>
                <w:szCs w:val="13"/>
                <w:color w:val="auto"/>
              </w:rPr>
            </w:pPr>
          </w:p>
        </w:tc>
        <w:tc>
          <w:tcPr>
            <w:tcW w:w="10200" w:type="dxa"/>
            <w:vAlign w:val="bottom"/>
            <w:gridSpan w:val="1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4"/>
            <w:shd w:val="clear" w:color="auto" w:fill="CCEEFF"/>
          </w:tcPr>
          <w:p>
            <w:pPr>
              <w:spacing w:after="0" w:line="196" w:lineRule="exact"/>
              <w:rPr>
                <w:rFonts w:ascii="Arial" w:cs="Arial" w:eastAsia="Arial" w:hAnsi="Arial"/>
                <w:sz w:val="18"/>
                <w:szCs w:val="18"/>
                <w:color w:val="0000FF"/>
                <w:w w:val="96"/>
              </w:rPr>
            </w:pPr>
            <w:hyperlink r:id="rId14">
              <w:r>
                <w:rPr>
                  <w:rFonts w:ascii="Arial" w:cs="Arial" w:eastAsia="Arial" w:hAnsi="Arial"/>
                  <w:sz w:val="18"/>
                  <w:szCs w:val="18"/>
                  <w:color w:val="0000FF"/>
                  <w:w w:val="96"/>
                </w:rPr>
                <w:t>Agreement and Plan of Merger and Reorganization, dated as of September 19, 2011, by and among Azur Pharma Limited (now Jazz</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4"/>
            <w:shd w:val="clear" w:color="auto" w:fill="CCEEFF"/>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Pharmaceuticals plc), Jaguar Merger Sub Inc., Jazz Pharmaceuticals, Inc. and Seamus Mulligan, solely in his capacity as the Indemnitors’</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10140" w:type="dxa"/>
            <w:vAlign w:val="bottom"/>
            <w:tcBorders>
              <w:bottom w:val="single" w:sz="8" w:color="0000FF"/>
              <w:right w:val="single" w:sz="8" w:color="CCEEFF"/>
            </w:tcBorders>
            <w:gridSpan w:val="13"/>
            <w:shd w:val="clear" w:color="auto" w:fill="CCEEFF"/>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Representative (incorporated herein by reference to Exhibit 2.1 in Jazz Pharmaceuticals, Inc.’s Current Report on Form 8-K (File No. 001-</w:t>
              </w:r>
            </w:hyperlink>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right w:val="single" w:sz="8" w:color="CCEEFF"/>
            </w:tcBorders>
            <w:shd w:val="clear" w:color="auto" w:fill="CCEEFF"/>
          </w:tcPr>
          <w:p>
            <w:pPr>
              <w:spacing w:after="0"/>
              <w:rPr>
                <w:sz w:val="21"/>
                <w:szCs w:val="21"/>
                <w:color w:val="auto"/>
              </w:rPr>
            </w:pPr>
          </w:p>
        </w:tc>
        <w:tc>
          <w:tcPr>
            <w:tcW w:w="370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33500) filed with the SEC on September 19, 2011).</w:t>
              </w:r>
            </w:hyperlink>
          </w:p>
        </w:tc>
        <w:tc>
          <w:tcPr>
            <w:tcW w:w="6500" w:type="dxa"/>
            <w:vAlign w:val="bottom"/>
            <w:tcBorders>
              <w:bottom w:val="single" w:sz="8" w:color="CCEEFF"/>
            </w:tcBorders>
            <w:gridSpan w:val="1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bottom w:val="single" w:sz="8" w:color="0000FF"/>
            </w:tcBorders>
            <w:gridSpan w:val="13"/>
          </w:tcPr>
          <w:p>
            <w:pPr>
              <w:spacing w:after="0" w:line="202" w:lineRule="exact"/>
              <w:rPr>
                <w:rFonts w:ascii="Arial" w:cs="Arial" w:eastAsia="Arial" w:hAnsi="Arial"/>
                <w:sz w:val="18"/>
                <w:szCs w:val="18"/>
                <w:color w:val="0000FF"/>
                <w:w w:val="88"/>
              </w:rPr>
            </w:pPr>
            <w:hyperlink r:id="rId15">
              <w:r>
                <w:rPr>
                  <w:rFonts w:ascii="Arial" w:cs="Arial" w:eastAsia="Arial" w:hAnsi="Arial"/>
                  <w:sz w:val="18"/>
                  <w:szCs w:val="18"/>
                  <w:color w:val="0000FF"/>
                  <w:w w:val="88"/>
                </w:rPr>
                <w:t>Letter Agreement, dated as of January 17, 2012, by and among Jazz Pharmaceuticals plc, Jaguar Merger Sub Inc., Jazz Pharmaceuticals, Inc.</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0" w:type="dxa"/>
            <w:vAlign w:val="bottom"/>
            <w:gridSpan w:val="14"/>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and Seamus Mulligan, solely in his capacity as the Indemnitors’ Representative (incorporated by reference to Exhibit 2.2 in Jazz</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40" w:type="dxa"/>
            <w:vAlign w:val="bottom"/>
            <w:tcBorders>
              <w:top w:val="single" w:sz="8" w:color="0000FF"/>
            </w:tcBorders>
            <w:gridSpan w:val="8"/>
          </w:tcPr>
          <w:p>
            <w:pPr>
              <w:spacing w:after="0" w:line="196" w:lineRule="exact"/>
              <w:rPr>
                <w:rFonts w:ascii="Arial" w:cs="Arial" w:eastAsia="Arial" w:hAnsi="Arial"/>
                <w:sz w:val="18"/>
                <w:szCs w:val="18"/>
                <w:color w:val="0000FF"/>
                <w:w w:val="99"/>
              </w:rPr>
            </w:pPr>
            <w:hyperlink r:id="rId15">
              <w:r>
                <w:rPr>
                  <w:rFonts w:ascii="Arial" w:cs="Arial" w:eastAsia="Arial" w:hAnsi="Arial"/>
                  <w:sz w:val="18"/>
                  <w:szCs w:val="18"/>
                  <w:color w:val="0000FF"/>
                  <w:w w:val="99"/>
                </w:rPr>
                <w:t>Pharmaceuticals plc’s Current Report on Form 8-K (File No. 001-33500), as filed with the SEC on January 18, 2012).</w:t>
              </w:r>
            </w:hyperlink>
          </w:p>
        </w:tc>
        <w:tc>
          <w:tcPr>
            <w:tcW w:w="9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2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86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10140" w:type="dxa"/>
            <w:vAlign w:val="bottom"/>
            <w:tcBorders>
              <w:bottom w:val="single" w:sz="8" w:color="0000FF"/>
              <w:right w:val="single" w:sz="8" w:color="CCEEFF"/>
            </w:tcBorders>
            <w:gridSpan w:val="13"/>
            <w:shd w:val="clear" w:color="auto" w:fill="CCEEFF"/>
          </w:tcPr>
          <w:p>
            <w:pPr>
              <w:spacing w:after="0" w:line="202"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Agreement and Plan of Merger, dated as of April 26, 2012, by and among Jazz Pharmaceuticals plc, Jewel Merger Sub Inc., EUSA Pharma</w:t>
              </w:r>
            </w:hyperlink>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4"/>
            <w:shd w:val="clear" w:color="auto" w:fill="CCEEFF"/>
          </w:tcPr>
          <w:p>
            <w:pPr>
              <w:spacing w:after="0" w:line="196" w:lineRule="exact"/>
              <w:rPr>
                <w:rFonts w:ascii="Arial" w:cs="Arial" w:eastAsia="Arial" w:hAnsi="Arial"/>
                <w:sz w:val="18"/>
                <w:szCs w:val="18"/>
                <w:color w:val="0000FF"/>
                <w:w w:val="93"/>
              </w:rPr>
            </w:pPr>
            <w:hyperlink r:id="rId16">
              <w:r>
                <w:rPr>
                  <w:rFonts w:ascii="Arial" w:cs="Arial" w:eastAsia="Arial" w:hAnsi="Arial"/>
                  <w:sz w:val="18"/>
                  <w:szCs w:val="18"/>
                  <w:color w:val="0000FF"/>
                  <w:w w:val="93"/>
                </w:rPr>
                <w:t>Inc., and Essex Woodlands Health Ventures, Inc., Mayflower L.P., and Bryan Morton, in their capacity as the representatives of the equity</w:t>
              </w:r>
            </w:hyperlink>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140" w:type="dxa"/>
            <w:vAlign w:val="bottom"/>
            <w:tcBorders>
              <w:top w:val="single" w:sz="8" w:color="0000FF"/>
              <w:bottom w:val="single" w:sz="8" w:color="0000FF"/>
              <w:right w:val="single" w:sz="8" w:color="CCEEFF"/>
            </w:tcBorders>
            <w:gridSpan w:val="13"/>
            <w:shd w:val="clear" w:color="auto" w:fill="CCEEFF"/>
          </w:tcPr>
          <w:p>
            <w:pPr>
              <w:spacing w:after="0" w:line="196" w:lineRule="exact"/>
              <w:rPr>
                <w:rFonts w:ascii="Arial" w:cs="Arial" w:eastAsia="Arial" w:hAnsi="Arial"/>
                <w:sz w:val="18"/>
                <w:szCs w:val="18"/>
                <w:color w:val="0000FF"/>
                <w:w w:val="93"/>
              </w:rPr>
            </w:pPr>
            <w:hyperlink r:id="rId16">
              <w:r>
                <w:rPr>
                  <w:rFonts w:ascii="Arial" w:cs="Arial" w:eastAsia="Arial" w:hAnsi="Arial"/>
                  <w:sz w:val="18"/>
                  <w:szCs w:val="18"/>
                  <w:color w:val="0000FF"/>
                  <w:w w:val="93"/>
                </w:rPr>
                <w:t>holders of EUSA Pharma Inc. (incorporated herein by reference to Exhibit 2.1 in Jazz Pharmaceuticals plc’s Current Report on Form 8-K</w:t>
              </w:r>
            </w:hyperlink>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4"/>
            <w:shd w:val="clear" w:color="auto" w:fill="CCEEFF"/>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(File No. 001-33500), as filed with the SEC on April 27, 2012).</w:t>
              </w:r>
            </w:hyperlink>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24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8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line="202"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0" w:type="dxa"/>
            <w:vAlign w:val="bottom"/>
            <w:gridSpan w:val="14"/>
          </w:tcPr>
          <w:p>
            <w:pPr>
              <w:spacing w:after="0" w:line="202" w:lineRule="exact"/>
              <w:rPr>
                <w:rFonts w:ascii="Arial" w:cs="Arial" w:eastAsia="Arial" w:hAnsi="Arial"/>
                <w:sz w:val="18"/>
                <w:szCs w:val="18"/>
                <w:color w:val="0000FF"/>
                <w:w w:val="93"/>
              </w:rPr>
            </w:pPr>
            <w:hyperlink r:id="rId17">
              <w:r>
                <w:rPr>
                  <w:rFonts w:ascii="Arial" w:cs="Arial" w:eastAsia="Arial" w:hAnsi="Arial"/>
                  <w:sz w:val="18"/>
                  <w:szCs w:val="18"/>
                  <w:color w:val="0000FF"/>
                  <w:w w:val="93"/>
                </w:rPr>
                <w:t>Assignment, dated as of June 11, 2012, by and among Jazz Pharmaceuticals plc and Jazz Pharmaceuticals, Inc. (incorporated herein by</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3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8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0" w:type="dxa"/>
            <w:vAlign w:val="bottom"/>
            <w:gridSpan w:val="14"/>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reference to Exhibit 2.1B in Jazz Pharmaceuticals plc’s Current Report on Form 8-K (File No. 001-33500), as filed with the SEC on June 12,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3"/>
          </w:tcPr>
          <w:p>
            <w:pPr>
              <w:ind w:left="420"/>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2012).</w:t>
              </w:r>
            </w:hyperlink>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89"/>
              </w:rPr>
            </w:pPr>
            <w:hyperlink r:id="rId18">
              <w:r>
                <w:rPr>
                  <w:rFonts w:ascii="Arial" w:cs="Arial" w:eastAsia="Arial" w:hAnsi="Arial"/>
                  <w:sz w:val="18"/>
                  <w:szCs w:val="18"/>
                  <w:color w:val="0000FF"/>
                  <w:w w:val="89"/>
                </w:rPr>
                <w:t>Tender Offer Agreement, dated December 19, 2013, by and among Jazz Pharmaceuticals Public Limited Company, Jazz Pharmaceuticals</w:t>
              </w:r>
            </w:hyperlink>
          </w:p>
        </w:tc>
        <w:tc>
          <w:tcPr>
            <w:tcW w:w="32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4"/>
            <w:shd w:val="clear" w:color="auto" w:fill="CCEEFF"/>
          </w:tcPr>
          <w:p>
            <w:pPr>
              <w:spacing w:after="0" w:line="196"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Italy S.r.l. and Gentium S.p.A. (incorporated herein by reference to Exhibit 2.1 in Jazz Pharmaceuticals plc’s Current Report on Form 8-K/A</w:t>
              </w:r>
            </w:hyperlink>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right w:val="single" w:sz="8" w:color="CCEEFF"/>
            </w:tcBorders>
            <w:shd w:val="clear" w:color="auto" w:fill="CCEEFF"/>
          </w:tcPr>
          <w:p>
            <w:pPr>
              <w:spacing w:after="0"/>
              <w:rPr>
                <w:sz w:val="17"/>
                <w:szCs w:val="17"/>
                <w:color w:val="auto"/>
              </w:rPr>
            </w:pPr>
          </w:p>
        </w:tc>
        <w:tc>
          <w:tcPr>
            <w:tcW w:w="10140" w:type="dxa"/>
            <w:vAlign w:val="bottom"/>
            <w:tcBorders>
              <w:top w:val="single" w:sz="8" w:color="0000FF"/>
              <w:right w:val="single" w:sz="8" w:color="CCEEFF"/>
            </w:tcBorders>
            <w:gridSpan w:val="13"/>
            <w:shd w:val="clear" w:color="auto" w:fill="CCEEFF"/>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(File No. 001-33500), as filed with the SEC on December 20, 2013).</w:t>
              </w:r>
            </w:hyperlink>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24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8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2.6†</w:t>
            </w:r>
          </w:p>
        </w:tc>
        <w:tc>
          <w:tcPr>
            <w:tcW w:w="420" w:type="dxa"/>
            <w:vAlign w:val="bottom"/>
          </w:tcPr>
          <w:p>
            <w:pPr>
              <w:spacing w:after="0"/>
              <w:rPr>
                <w:sz w:val="17"/>
                <w:szCs w:val="17"/>
                <w:color w:val="auto"/>
              </w:rPr>
            </w:pPr>
          </w:p>
        </w:tc>
        <w:tc>
          <w:tcPr>
            <w:tcW w:w="10140" w:type="dxa"/>
            <w:vAlign w:val="bottom"/>
            <w:tcBorders>
              <w:bottom w:val="single" w:sz="8" w:color="0000FF"/>
            </w:tcBorders>
            <w:gridSpan w:val="13"/>
          </w:tcPr>
          <w:p>
            <w:pPr>
              <w:spacing w:after="0" w:line="202"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Asset Purchase Agreement, dated January 13, 2014, by and among Jazz Pharmaceuticals International III Limited, Aerial BioPharma, LLC</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0" w:type="dxa"/>
            <w:vAlign w:val="bottom"/>
            <w:gridSpan w:val="14"/>
          </w:tcPr>
          <w:p>
            <w:pPr>
              <w:spacing w:after="0" w:line="196"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and Jazz Pharmaceuticals plc (incorporated herein by reference to Exhibit 2.1 in Jazz Pharmaceuticals plc’s Current Report on Form 8-K</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(File No. 001-33500), as filed with the SEC on January 13, 2014).</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2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2.7†</w:t>
            </w: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10140" w:type="dxa"/>
            <w:vAlign w:val="bottom"/>
            <w:tcBorders>
              <w:bottom w:val="single" w:sz="8" w:color="0000FF"/>
              <w:right w:val="single" w:sz="8" w:color="CCEEFF"/>
            </w:tcBorders>
            <w:gridSpan w:val="13"/>
            <w:shd w:val="clear" w:color="auto" w:fill="CCEEFF"/>
          </w:tcPr>
          <w:p>
            <w:pPr>
              <w:spacing w:after="0" w:line="202"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Assignment Agreement, dated July 1, 2014, by and among Jazz Pharmaceuticals International II Limited, Sigma-Tau Pharmaceuticals, Inc.,</w:t>
              </w:r>
            </w:hyperlink>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shd w:val="clear" w:color="auto" w:fill="CCEEFF"/>
          </w:tcPr>
          <w:p>
            <w:pPr>
              <w:spacing w:after="0"/>
              <w:rPr>
                <w:sz w:val="17"/>
                <w:szCs w:val="17"/>
                <w:color w:val="auto"/>
              </w:rPr>
            </w:pPr>
          </w:p>
        </w:tc>
        <w:tc>
          <w:tcPr>
            <w:tcW w:w="10140" w:type="dxa"/>
            <w:vAlign w:val="bottom"/>
            <w:tcBorders>
              <w:bottom w:val="single" w:sz="8" w:color="0000FF"/>
              <w:right w:val="single" w:sz="8" w:color="CCEEFF"/>
            </w:tcBorders>
            <w:gridSpan w:val="13"/>
            <w:shd w:val="clear" w:color="auto" w:fill="CCEEFF"/>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Jazz Pharmaceuticals plc and Gentium S.p.A. (incorporated herein by reference to Exhibit 2.1 in Jazz Pharmaceuticals plc’s Current Report</w:t>
              </w:r>
            </w:hyperlink>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right w:val="single" w:sz="8" w:color="CCEEFF"/>
            </w:tcBorders>
            <w:shd w:val="clear" w:color="auto" w:fill="CCEEFF"/>
          </w:tcPr>
          <w:p>
            <w:pPr>
              <w:spacing w:after="0"/>
              <w:rPr>
                <w:sz w:val="21"/>
                <w:szCs w:val="21"/>
                <w:color w:val="auto"/>
              </w:rPr>
            </w:pPr>
          </w:p>
        </w:tc>
        <w:tc>
          <w:tcPr>
            <w:tcW w:w="562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on Form 8-K (File No. 001-33500), as filed with the SEC on August 5, 2014).</w:t>
              </w:r>
            </w:hyperlink>
          </w:p>
        </w:tc>
        <w:tc>
          <w:tcPr>
            <w:tcW w:w="4580" w:type="dxa"/>
            <w:vAlign w:val="bottom"/>
            <w:tcBorders>
              <w:bottom w:val="single" w:sz="8" w:color="CCEEFF"/>
            </w:tcBorders>
            <w:gridSpan w:val="8"/>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gridSpan w:val="5"/>
          </w:tcPr>
          <w:p>
            <w:pPr>
              <w:jc w:val="right"/>
              <w:ind w:right="16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Arial" w:cs="Arial" w:eastAsia="Arial" w:hAnsi="Arial"/>
                <w:sz w:val="18"/>
                <w:szCs w:val="18"/>
                <w:color w:val="auto"/>
              </w:rPr>
              <w:t>2.8</w:t>
            </w:r>
          </w:p>
        </w:tc>
        <w:tc>
          <w:tcPr>
            <w:tcW w:w="10200" w:type="dxa"/>
            <w:vAlign w:val="bottom"/>
            <w:gridSpan w:val="27"/>
          </w:tcPr>
          <w:p>
            <w:pPr>
              <w:spacing w:after="0"/>
              <w:rPr>
                <w:rFonts w:ascii="Arial" w:cs="Arial" w:eastAsia="Arial" w:hAnsi="Arial"/>
                <w:sz w:val="18"/>
                <w:szCs w:val="18"/>
                <w:color w:val="0000FF"/>
                <w:w w:val="92"/>
              </w:rPr>
            </w:pPr>
            <w:hyperlink r:id="rId21">
              <w:r>
                <w:rPr>
                  <w:rFonts w:ascii="Arial" w:cs="Arial" w:eastAsia="Arial" w:hAnsi="Arial"/>
                  <w:sz w:val="18"/>
                  <w:szCs w:val="18"/>
                  <w:color w:val="0000FF"/>
                  <w:w w:val="92"/>
                </w:rPr>
                <w:t>Amended and Restated Agreement for the Acquisition of the Topaz Portfolio Business of Jazz Pharmaceuticals plc, dated March 20, 2015,</w:t>
              </w:r>
            </w:hyperlink>
          </w:p>
        </w:tc>
      </w:tr>
      <w:tr>
        <w:trPr>
          <w:trHeight w:val="196"/>
        </w:trPr>
        <w:tc>
          <w:tcPr>
            <w:tcW w:w="1180" w:type="dxa"/>
            <w:vAlign w:val="bottom"/>
          </w:tcPr>
          <w:p>
            <w:pPr>
              <w:spacing w:after="0"/>
              <w:rPr>
                <w:sz w:val="17"/>
                <w:szCs w:val="17"/>
                <w:color w:val="auto"/>
              </w:rPr>
            </w:pPr>
          </w:p>
        </w:tc>
        <w:tc>
          <w:tcPr>
            <w:tcW w:w="9980" w:type="dxa"/>
            <w:vAlign w:val="bottom"/>
            <w:tcBorders>
              <w:top w:val="single" w:sz="8" w:color="0000FF"/>
            </w:tcBorders>
            <w:gridSpan w:val="22"/>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between Jazz Pharmaceuticals plc and Essex Bidco Limited (incorporated herein by reference to Exhibit 2.1 in Jazz Pharmaceuticals plc’s</w:t>
              </w:r>
            </w:hyperlink>
          </w:p>
        </w:tc>
        <w:tc>
          <w:tcPr>
            <w:tcW w:w="220" w:type="dxa"/>
            <w:vAlign w:val="bottom"/>
            <w:gridSpan w:val="5"/>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992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Current Report on Form 8-K (File No. 001-33500), as filed with the SEC on March 23, 2015).</w:t>
              </w:r>
            </w:hyperlink>
          </w:p>
        </w:tc>
        <w:tc>
          <w:tcPr>
            <w:tcW w:w="280" w:type="dxa"/>
            <w:vAlign w:val="bottom"/>
            <w:gridSpan w:val="8"/>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2.9</w:t>
            </w:r>
          </w:p>
        </w:tc>
        <w:tc>
          <w:tcPr>
            <w:tcW w:w="970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Agreement and Plan of Merger, dated as of May 27, 2016, by and among Jazz Pharmaceuticals plc, Plex Merger Sub, Inc., and Celator</w:t>
              </w:r>
            </w:hyperlink>
          </w:p>
        </w:tc>
        <w:tc>
          <w:tcPr>
            <w:tcW w:w="500" w:type="dxa"/>
            <w:vAlign w:val="bottom"/>
            <w:tcBorders>
              <w:bottom w:val="single" w:sz="8" w:color="CCEEFF"/>
            </w:tcBorders>
            <w:gridSpan w:val="9"/>
            <w:shd w:val="clear" w:color="auto" w:fill="CCEEFF"/>
          </w:tcPr>
          <w:p>
            <w:pPr>
              <w:spacing w:after="0"/>
              <w:rPr>
                <w:sz w:val="17"/>
                <w:szCs w:val="17"/>
                <w:color w:val="auto"/>
              </w:rPr>
            </w:pPr>
          </w:p>
        </w:tc>
      </w:tr>
      <w:tr>
        <w:trPr>
          <w:trHeight w:val="196"/>
        </w:trPr>
        <w:tc>
          <w:tcPr>
            <w:tcW w:w="1180" w:type="dxa"/>
            <w:vAlign w:val="bottom"/>
            <w:tcBorders>
              <w:bottom w:val="single" w:sz="8" w:color="CCEEFF"/>
            </w:tcBorders>
            <w:shd w:val="clear" w:color="auto" w:fill="CCEEFF"/>
          </w:tcPr>
          <w:p>
            <w:pPr>
              <w:spacing w:after="0"/>
              <w:rPr>
                <w:sz w:val="17"/>
                <w:szCs w:val="17"/>
                <w:color w:val="auto"/>
              </w:rPr>
            </w:pPr>
          </w:p>
        </w:tc>
        <w:tc>
          <w:tcPr>
            <w:tcW w:w="9980" w:type="dxa"/>
            <w:vAlign w:val="bottom"/>
            <w:tcBorders>
              <w:bottom w:val="single" w:sz="8" w:color="0000FF"/>
            </w:tcBorders>
            <w:gridSpan w:val="22"/>
            <w:shd w:val="clear" w:color="auto" w:fill="CCEEFF"/>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Pharmaceuticals, Inc. (incorporated herein by reference to Exhibit 2.1 in Jazz Pharmaceuticals plc’s Current Report on Form 8-K (File No.</w:t>
              </w:r>
            </w:hyperlink>
          </w:p>
        </w:tc>
        <w:tc>
          <w:tcPr>
            <w:tcW w:w="220" w:type="dxa"/>
            <w:vAlign w:val="bottom"/>
            <w:tcBorders>
              <w:bottom w:val="single" w:sz="8" w:color="CCEEFF"/>
            </w:tcBorders>
            <w:gridSpan w:val="5"/>
            <w:shd w:val="clear" w:color="auto" w:fill="CCEEFF"/>
          </w:tcPr>
          <w:p>
            <w:pPr>
              <w:spacing w:after="0"/>
              <w:rPr>
                <w:sz w:val="17"/>
                <w:szCs w:val="17"/>
                <w:color w:val="auto"/>
              </w:rPr>
            </w:pPr>
          </w:p>
        </w:tc>
      </w:tr>
      <w:tr>
        <w:trPr>
          <w:trHeight w:val="244"/>
        </w:trPr>
        <w:tc>
          <w:tcPr>
            <w:tcW w:w="118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001-33500), as filed with the SEC on May 31, 2016).</w:t>
              </w:r>
            </w:hyperlink>
          </w:p>
        </w:tc>
        <w:tc>
          <w:tcPr>
            <w:tcW w:w="6360" w:type="dxa"/>
            <w:vAlign w:val="bottom"/>
            <w:tcBorders>
              <w:bottom w:val="single" w:sz="8" w:color="CCEEFF"/>
            </w:tcBorders>
            <w:gridSpan w:val="22"/>
            <w:shd w:val="clear" w:color="auto" w:fill="CCEEFF"/>
          </w:tcPr>
          <w:p>
            <w:pPr>
              <w:spacing w:after="0"/>
              <w:rPr>
                <w:sz w:val="21"/>
                <w:szCs w:val="21"/>
                <w:color w:val="auto"/>
              </w:rPr>
            </w:pPr>
          </w:p>
        </w:tc>
      </w:tr>
      <w:tr>
        <w:trPr>
          <w:trHeight w:val="203"/>
        </w:trPr>
        <w:tc>
          <w:tcPr>
            <w:tcW w:w="1180" w:type="dxa"/>
            <w:vAlign w:val="bottom"/>
          </w:tcPr>
          <w:p>
            <w:pPr>
              <w:ind w:left="20"/>
              <w:spacing w:after="0" w:line="202" w:lineRule="exact"/>
              <w:rPr>
                <w:sz w:val="20"/>
                <w:szCs w:val="20"/>
                <w:color w:val="auto"/>
              </w:rPr>
            </w:pPr>
            <w:r>
              <w:rPr>
                <w:rFonts w:ascii="Arial" w:cs="Arial" w:eastAsia="Arial" w:hAnsi="Arial"/>
                <w:sz w:val="18"/>
                <w:szCs w:val="18"/>
                <w:color w:val="auto"/>
              </w:rPr>
              <w:t>3.1</w:t>
            </w:r>
          </w:p>
        </w:tc>
        <w:tc>
          <w:tcPr>
            <w:tcW w:w="10200" w:type="dxa"/>
            <w:vAlign w:val="bottom"/>
            <w:gridSpan w:val="27"/>
          </w:tcPr>
          <w:p>
            <w:pPr>
              <w:spacing w:after="0" w:line="202"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Amended and Restated Memorandum and Articles of Association of Jazz Pharmaceuticals plc, as amended on August 4, 2016 (incorporated</w:t>
              </w:r>
            </w:hyperlink>
          </w:p>
        </w:tc>
      </w:tr>
      <w:tr>
        <w:trPr>
          <w:trHeight w:val="196"/>
        </w:trPr>
        <w:tc>
          <w:tcPr>
            <w:tcW w:w="1180" w:type="dxa"/>
            <w:vAlign w:val="bottom"/>
          </w:tcPr>
          <w:p>
            <w:pPr>
              <w:spacing w:after="0"/>
              <w:rPr>
                <w:sz w:val="17"/>
                <w:szCs w:val="17"/>
                <w:color w:val="auto"/>
              </w:rPr>
            </w:pPr>
          </w:p>
        </w:tc>
        <w:tc>
          <w:tcPr>
            <w:tcW w:w="1000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herein by reference to Exhibit 3.1 in Jazz Pharmaceuticals plc’s Quarterly Report on Form 10-Q (File No. 001-33500) for the period ended</w:t>
              </w:r>
            </w:hyperlink>
          </w:p>
        </w:tc>
        <w:tc>
          <w:tcPr>
            <w:tcW w:w="100" w:type="dxa"/>
            <w:vAlign w:val="bottom"/>
            <w:tcBorders>
              <w:top w:val="single" w:sz="8" w:color="0000FF"/>
            </w:tcBorders>
            <w:gridSpan w:val="3"/>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00" w:type="dxa"/>
            <w:vAlign w:val="bottom"/>
            <w:gridSpan w:val="27"/>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June 30, 2016, as filed with the SEC on August 9, 2016).</w:t>
              </w:r>
            </w:hyperlink>
          </w:p>
        </w:tc>
      </w:tr>
      <w:tr>
        <w:trPr>
          <w:trHeight w:val="48"/>
        </w:trPr>
        <w:tc>
          <w:tcPr>
            <w:tcW w:w="11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4.1</w:t>
            </w:r>
          </w:p>
        </w:tc>
        <w:tc>
          <w:tcPr>
            <w:tcW w:w="10200" w:type="dxa"/>
            <w:vAlign w:val="bottom"/>
            <w:gridSpan w:val="27"/>
            <w:shd w:val="clear" w:color="auto" w:fill="CCEEFF"/>
          </w:tcPr>
          <w:p>
            <w:pPr>
              <w:spacing w:after="0" w:line="202" w:lineRule="exact"/>
              <w:rPr>
                <w:rFonts w:ascii="Arial" w:cs="Arial" w:eastAsia="Arial" w:hAnsi="Arial"/>
                <w:sz w:val="18"/>
                <w:szCs w:val="18"/>
                <w:color w:val="0000FF"/>
              </w:rPr>
            </w:pPr>
            <w:hyperlink r:id="rId23">
              <w:r>
                <w:rPr>
                  <w:rFonts w:ascii="Arial" w:cs="Arial" w:eastAsia="Arial" w:hAnsi="Arial"/>
                  <w:sz w:val="18"/>
                  <w:szCs w:val="18"/>
                  <w:color w:val="0000FF"/>
                </w:rPr>
                <w:t>Reference is made to Exhibit 3.1.</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20"/>
              <w:spacing w:after="0" w:line="202" w:lineRule="exact"/>
              <w:rPr>
                <w:sz w:val="20"/>
                <w:szCs w:val="20"/>
                <w:color w:val="auto"/>
              </w:rPr>
            </w:pPr>
            <w:r>
              <w:rPr>
                <w:rFonts w:ascii="Arial" w:cs="Arial" w:eastAsia="Arial" w:hAnsi="Arial"/>
                <w:sz w:val="18"/>
                <w:szCs w:val="18"/>
                <w:color w:val="auto"/>
              </w:rPr>
              <w:t>4.2A</w:t>
            </w:r>
          </w:p>
        </w:tc>
        <w:tc>
          <w:tcPr>
            <w:tcW w:w="10200" w:type="dxa"/>
            <w:vAlign w:val="bottom"/>
            <w:gridSpan w:val="27"/>
          </w:tcPr>
          <w:p>
            <w:pPr>
              <w:spacing w:after="0" w:line="202" w:lineRule="exact"/>
              <w:rPr>
                <w:rFonts w:ascii="Arial" w:cs="Arial" w:eastAsia="Arial" w:hAnsi="Arial"/>
                <w:sz w:val="18"/>
                <w:szCs w:val="18"/>
                <w:color w:val="0000FF"/>
                <w:w w:val="96"/>
              </w:rPr>
            </w:pPr>
            <w:hyperlink r:id="rId24">
              <w:r>
                <w:rPr>
                  <w:rFonts w:ascii="Arial" w:cs="Arial" w:eastAsia="Arial" w:hAnsi="Arial"/>
                  <w:sz w:val="18"/>
                  <w:szCs w:val="18"/>
                  <w:color w:val="0000FF"/>
                  <w:w w:val="96"/>
                </w:rPr>
                <w:t>Indenture, dated as of August 13, 2014, by and among Jazz Pharmaceuticals plc, Jazz Investments I Limited and U.S. Bank National</w:t>
              </w:r>
            </w:hyperlink>
          </w:p>
        </w:tc>
      </w:tr>
      <w:tr>
        <w:trPr>
          <w:trHeight w:val="20"/>
        </w:trPr>
        <w:tc>
          <w:tcPr>
            <w:tcW w:w="1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96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Association (incorporated herein by reference to Exhibit 4.1 in Jazz Pharmaceuticals plc’s Current Report on Form 8-K (File No. 001-</w:t>
              </w:r>
            </w:hyperlink>
          </w:p>
        </w:tc>
        <w:tc>
          <w:tcPr>
            <w:tcW w:w="540" w:type="dxa"/>
            <w:vAlign w:val="bottom"/>
            <w:gridSpan w:val="10"/>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00" w:type="dxa"/>
            <w:vAlign w:val="bottom"/>
            <w:gridSpan w:val="27"/>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33500)</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as filed with the SEC on August 13, 2014).</w:t>
              </w:r>
            </w:hyperlink>
          </w:p>
        </w:tc>
      </w:tr>
      <w:tr>
        <w:trPr>
          <w:trHeight w:val="48"/>
        </w:trPr>
        <w:tc>
          <w:tcPr>
            <w:tcW w:w="11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4.2B</w:t>
            </w:r>
          </w:p>
        </w:tc>
        <w:tc>
          <w:tcPr>
            <w:tcW w:w="10080" w:type="dxa"/>
            <w:vAlign w:val="bottom"/>
            <w:tcBorders>
              <w:bottom w:val="single" w:sz="8" w:color="0000FF"/>
            </w:tcBorders>
            <w:gridSpan w:val="25"/>
            <w:shd w:val="clear" w:color="auto" w:fill="CCEEFF"/>
          </w:tcPr>
          <w:p>
            <w:pPr>
              <w:spacing w:after="0" w:line="202"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Form of 1.875% Exchangeable Senior Note due 2021 (incorporated herein by reference to Exhibit 4.1 in Jazz Pharmaceuticals plc’s Current</w:t>
              </w:r>
            </w:hyperlink>
          </w:p>
        </w:tc>
        <w:tc>
          <w:tcPr>
            <w:tcW w:w="12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180" w:type="dxa"/>
            <w:vAlign w:val="bottom"/>
            <w:shd w:val="clear" w:color="auto" w:fill="CCEEFF"/>
          </w:tcPr>
          <w:p>
            <w:pPr>
              <w:spacing w:after="0"/>
              <w:rPr>
                <w:sz w:val="17"/>
                <w:szCs w:val="17"/>
                <w:color w:val="auto"/>
              </w:rPr>
            </w:pPr>
          </w:p>
        </w:tc>
        <w:tc>
          <w:tcPr>
            <w:tcW w:w="10200" w:type="dxa"/>
            <w:vAlign w:val="bottom"/>
            <w:gridSpan w:val="27"/>
            <w:shd w:val="clear" w:color="auto" w:fill="CCEEFF"/>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Report on Form 8-K (File No. 001-33500), as filed with the SEC on August 13, 2014).</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20"/>
              <w:spacing w:after="0" w:line="202" w:lineRule="exact"/>
              <w:rPr>
                <w:sz w:val="20"/>
                <w:szCs w:val="20"/>
                <w:color w:val="auto"/>
              </w:rPr>
            </w:pPr>
            <w:r>
              <w:rPr>
                <w:rFonts w:ascii="Arial" w:cs="Arial" w:eastAsia="Arial" w:hAnsi="Arial"/>
                <w:sz w:val="18"/>
                <w:szCs w:val="18"/>
                <w:color w:val="auto"/>
              </w:rPr>
              <w:t>4.3A</w:t>
            </w:r>
          </w:p>
        </w:tc>
        <w:tc>
          <w:tcPr>
            <w:tcW w:w="9940" w:type="dxa"/>
            <w:vAlign w:val="bottom"/>
            <w:tcBorders>
              <w:bottom w:val="single" w:sz="8" w:color="0000FF"/>
            </w:tcBorders>
            <w:gridSpan w:val="20"/>
          </w:tcPr>
          <w:p>
            <w:pPr>
              <w:spacing w:after="0" w:line="202"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Indenture, dated as of August 23, 2017, among Jazz Pharmaceuticals Public Limited Company, Jazz Investments I Limited and U.S. Bank</w:t>
              </w:r>
            </w:hyperlink>
          </w:p>
        </w:tc>
        <w:tc>
          <w:tcPr>
            <w:tcW w:w="260" w:type="dxa"/>
            <w:vAlign w:val="bottom"/>
            <w:gridSpan w:val="7"/>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996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National Association (incorporated herein by reference to Exhibit 4.1 in Jazz Pharmaceuticals plc’s Current Report on Form 8-K (File No.</w:t>
              </w:r>
            </w:hyperlink>
          </w:p>
        </w:tc>
        <w:tc>
          <w:tcPr>
            <w:tcW w:w="240" w:type="dxa"/>
            <w:vAlign w:val="bottom"/>
            <w:gridSpan w:val="6"/>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00" w:type="dxa"/>
            <w:vAlign w:val="bottom"/>
            <w:gridSpan w:val="27"/>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001-033500), as filed with the SEC on August 23, 2017).</w:t>
              </w:r>
            </w:hyperlink>
          </w:p>
        </w:tc>
      </w:tr>
      <w:tr>
        <w:trPr>
          <w:trHeight w:val="48"/>
        </w:trPr>
        <w:tc>
          <w:tcPr>
            <w:tcW w:w="11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4.3B</w:t>
            </w:r>
          </w:p>
        </w:tc>
        <w:tc>
          <w:tcPr>
            <w:tcW w:w="10200" w:type="dxa"/>
            <w:vAlign w:val="bottom"/>
            <w:gridSpan w:val="27"/>
            <w:shd w:val="clear" w:color="auto" w:fill="CCEEFF"/>
          </w:tcPr>
          <w:p>
            <w:pPr>
              <w:spacing w:after="0" w:line="202"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Form of 1.50% Exchangeable Senior Note due 2024 (incorporated herein by reference to Exhibit 4.2 in Jazz Pharmaceuticals plc’s Current</w:t>
              </w:r>
            </w:hyperlink>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Report on Form 8-K (File No. 001-033500), as filed with the SEC on August 23, 2017)</w:t>
              </w:r>
              <w:r>
                <w:rPr>
                  <w:rFonts w:ascii="Arial" w:cs="Arial" w:eastAsia="Arial" w:hAnsi="Arial"/>
                  <w:sz w:val="18"/>
                  <w:szCs w:val="18"/>
                  <w:color w:val="000000"/>
                </w:rPr>
                <w:t>.</w:t>
              </w:r>
            </w:hyperlink>
          </w:p>
        </w:tc>
        <w:tc>
          <w:tcPr>
            <w:tcW w:w="220" w:type="dxa"/>
            <w:vAlign w:val="bottom"/>
            <w:tcBorders>
              <w:top w:val="single" w:sz="8" w:color="CCEEFF"/>
            </w:tcBorders>
            <w:gridSpan w:val="5"/>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20"/>
              <w:spacing w:after="0" w:line="202" w:lineRule="exact"/>
              <w:rPr>
                <w:sz w:val="20"/>
                <w:szCs w:val="20"/>
                <w:color w:val="auto"/>
              </w:rPr>
            </w:pPr>
            <w:r>
              <w:rPr>
                <w:rFonts w:ascii="Arial" w:cs="Arial" w:eastAsia="Arial" w:hAnsi="Arial"/>
                <w:sz w:val="18"/>
                <w:szCs w:val="18"/>
                <w:color w:val="auto"/>
              </w:rPr>
              <w:t>10.1+</w:t>
            </w:r>
          </w:p>
        </w:tc>
        <w:tc>
          <w:tcPr>
            <w:tcW w:w="10200" w:type="dxa"/>
            <w:vAlign w:val="bottom"/>
            <w:gridSpan w:val="27"/>
          </w:tcPr>
          <w:p>
            <w:pPr>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Employment Agreement, dated as of May 16, 2012 by and between Patricia Carr and Jazz Pharmaceuticals plc.</w:t>
              </w:r>
            </w:hyperlink>
          </w:p>
        </w:tc>
      </w:tr>
      <w:tr>
        <w:trPr>
          <w:trHeight w:val="48"/>
        </w:trPr>
        <w:tc>
          <w:tcPr>
            <w:tcW w:w="11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11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10.2+</w:t>
            </w:r>
          </w:p>
        </w:tc>
        <w:tc>
          <w:tcPr>
            <w:tcW w:w="9540" w:type="dxa"/>
            <w:vAlign w:val="bottom"/>
            <w:tcBorders>
              <w:bottom w:val="single" w:sz="8" w:color="0000FF"/>
              <w:right w:val="single" w:sz="8" w:color="CCEEFF"/>
            </w:tcBorders>
            <w:gridSpan w:val="16"/>
            <w:shd w:val="clear" w:color="auto" w:fill="CCEEFF"/>
          </w:tcPr>
          <w:p>
            <w:pPr>
              <w:spacing w:after="0" w:line="202"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Change in Control Severance Terms, dated as of May 15, 2016, by and between Jazz Pharmaceuticals Ireland Ltd. and Patricia Carr.</w:t>
              </w:r>
            </w:hyperlink>
          </w:p>
        </w:tc>
        <w:tc>
          <w:tcPr>
            <w:tcW w:w="660" w:type="dxa"/>
            <w:vAlign w:val="bottom"/>
            <w:tcBorders>
              <w:bottom w:val="single" w:sz="8" w:color="CCEEFF"/>
            </w:tcBorders>
            <w:gridSpan w:val="11"/>
            <w:shd w:val="clear" w:color="auto" w:fill="CCEEFF"/>
          </w:tcPr>
          <w:p>
            <w:pPr>
              <w:spacing w:after="0"/>
              <w:rPr>
                <w:sz w:val="21"/>
                <w:szCs w:val="21"/>
                <w:color w:val="auto"/>
              </w:rPr>
            </w:pPr>
          </w:p>
        </w:tc>
      </w:tr>
      <w:tr>
        <w:trPr>
          <w:trHeight w:val="203"/>
        </w:trPr>
        <w:tc>
          <w:tcPr>
            <w:tcW w:w="1180" w:type="dxa"/>
            <w:vAlign w:val="bottom"/>
          </w:tcPr>
          <w:p>
            <w:pPr>
              <w:ind w:left="20"/>
              <w:spacing w:after="0" w:line="202" w:lineRule="exact"/>
              <w:rPr>
                <w:sz w:val="20"/>
                <w:szCs w:val="20"/>
                <w:color w:val="auto"/>
              </w:rPr>
            </w:pPr>
            <w:r>
              <w:rPr>
                <w:rFonts w:ascii="Arial" w:cs="Arial" w:eastAsia="Arial" w:hAnsi="Arial"/>
                <w:sz w:val="18"/>
                <w:szCs w:val="18"/>
                <w:color w:val="auto"/>
              </w:rPr>
              <w:t>10.3+</w:t>
            </w:r>
          </w:p>
        </w:tc>
        <w:tc>
          <w:tcPr>
            <w:tcW w:w="10200" w:type="dxa"/>
            <w:vAlign w:val="bottom"/>
            <w:gridSpan w:val="27"/>
          </w:tcPr>
          <w:p>
            <w:pPr>
              <w:spacing w:after="0" w:line="202" w:lineRule="exact"/>
              <w:rPr>
                <w:rFonts w:ascii="Arial" w:cs="Arial" w:eastAsia="Arial" w:hAnsi="Arial"/>
                <w:sz w:val="18"/>
                <w:szCs w:val="18"/>
                <w:color w:val="0000FF"/>
                <w:w w:val="92"/>
              </w:rPr>
            </w:pPr>
            <w:hyperlink w:anchor="page99">
              <w:r>
                <w:rPr>
                  <w:rFonts w:ascii="Arial" w:cs="Arial" w:eastAsia="Arial" w:hAnsi="Arial"/>
                  <w:sz w:val="18"/>
                  <w:szCs w:val="18"/>
                  <w:color w:val="0000FF"/>
                  <w:w w:val="92"/>
                </w:rPr>
                <w:t>Change in Control Stock Award Acceleration Agreement, dated as of May 15, 2016 by and between Jazz Pharmaceuticals plc and Patricia</w:t>
              </w:r>
            </w:hyperlink>
          </w:p>
        </w:tc>
      </w:tr>
      <w:tr>
        <w:trPr>
          <w:trHeight w:val="196"/>
        </w:trPr>
        <w:tc>
          <w:tcPr>
            <w:tcW w:w="1180" w:type="dxa"/>
            <w:vAlign w:val="bottom"/>
          </w:tcPr>
          <w:p>
            <w:pPr>
              <w:spacing w:after="0"/>
              <w:rPr>
                <w:sz w:val="17"/>
                <w:szCs w:val="17"/>
                <w:color w:val="auto"/>
              </w:rPr>
            </w:pPr>
          </w:p>
        </w:tc>
        <w:tc>
          <w:tcPr>
            <w:tcW w:w="99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w:anchor="page99">
              <w:r>
                <w:rPr>
                  <w:rFonts w:ascii="Arial" w:cs="Arial" w:eastAsia="Arial" w:hAnsi="Arial"/>
                  <w:sz w:val="18"/>
                  <w:szCs w:val="18"/>
                  <w:color w:val="0000FF"/>
                </w:rPr>
                <w:t>Carr.</w:t>
              </w:r>
            </w:hyperlink>
          </w:p>
        </w:tc>
        <w:tc>
          <w:tcPr>
            <w:tcW w:w="260" w:type="dxa"/>
            <w:vAlign w:val="bottom"/>
            <w:gridSpan w:val="7"/>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10.4+</w:t>
            </w:r>
          </w:p>
        </w:tc>
        <w:tc>
          <w:tcPr>
            <w:tcW w:w="10200" w:type="dxa"/>
            <w:vAlign w:val="bottom"/>
            <w:gridSpan w:val="27"/>
            <w:shd w:val="clear" w:color="auto" w:fill="CCEEFF"/>
          </w:tcPr>
          <w:p>
            <w:pPr>
              <w:spacing w:after="0" w:line="202" w:lineRule="exact"/>
              <w:rPr>
                <w:rFonts w:ascii="Arial" w:cs="Arial" w:eastAsia="Arial" w:hAnsi="Arial"/>
                <w:sz w:val="18"/>
                <w:szCs w:val="18"/>
                <w:color w:val="0000FF"/>
              </w:rPr>
            </w:pPr>
            <w:hyperlink w:anchor="page101">
              <w:r>
                <w:rPr>
                  <w:rFonts w:ascii="Arial" w:cs="Arial" w:eastAsia="Arial" w:hAnsi="Arial"/>
                  <w:sz w:val="18"/>
                  <w:szCs w:val="18"/>
                  <w:color w:val="0000FF"/>
                </w:rPr>
                <w:t>Offer Letter, dated as of July 5, 2019 by and between Jazz Pharmaceuticals, Inc. and Neena M. Patil.</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20"/>
              <w:spacing w:after="0" w:line="202" w:lineRule="exact"/>
              <w:rPr>
                <w:sz w:val="20"/>
                <w:szCs w:val="20"/>
                <w:color w:val="auto"/>
              </w:rPr>
            </w:pPr>
            <w:r>
              <w:rPr>
                <w:rFonts w:ascii="Arial" w:cs="Arial" w:eastAsia="Arial" w:hAnsi="Arial"/>
                <w:sz w:val="18"/>
                <w:szCs w:val="18"/>
                <w:color w:val="auto"/>
              </w:rPr>
              <w:t>10.5+</w:t>
            </w:r>
          </w:p>
        </w:tc>
        <w:tc>
          <w:tcPr>
            <w:tcW w:w="10200" w:type="dxa"/>
            <w:vAlign w:val="bottom"/>
            <w:gridSpan w:val="27"/>
          </w:tcPr>
          <w:p>
            <w:pPr>
              <w:spacing w:after="0" w:line="202" w:lineRule="exact"/>
              <w:rPr>
                <w:rFonts w:ascii="Arial" w:cs="Arial" w:eastAsia="Arial" w:hAnsi="Arial"/>
                <w:sz w:val="18"/>
                <w:szCs w:val="18"/>
                <w:color w:val="0000FF"/>
              </w:rPr>
            </w:pPr>
            <w:hyperlink w:anchor="page106">
              <w:r>
                <w:rPr>
                  <w:rFonts w:ascii="Arial" w:cs="Arial" w:eastAsia="Arial" w:hAnsi="Arial"/>
                  <w:sz w:val="18"/>
                  <w:szCs w:val="18"/>
                  <w:color w:val="0000FF"/>
                </w:rPr>
                <w:t>Amended and Restated Executive Change in Control and Severance Benefit Plan, dated as of July 31, 2019.</w:t>
              </w:r>
            </w:hyperlink>
          </w:p>
        </w:tc>
      </w:tr>
      <w:tr>
        <w:trPr>
          <w:trHeight w:val="48"/>
        </w:trPr>
        <w:tc>
          <w:tcPr>
            <w:tcW w:w="11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10.6+</w:t>
            </w:r>
          </w:p>
        </w:tc>
        <w:tc>
          <w:tcPr>
            <w:tcW w:w="10200" w:type="dxa"/>
            <w:vAlign w:val="bottom"/>
            <w:gridSpan w:val="27"/>
            <w:shd w:val="clear" w:color="auto" w:fill="CCEEFF"/>
          </w:tcPr>
          <w:p>
            <w:pPr>
              <w:spacing w:after="0" w:line="202" w:lineRule="exact"/>
              <w:rPr>
                <w:rFonts w:ascii="Arial" w:cs="Arial" w:eastAsia="Arial" w:hAnsi="Arial"/>
                <w:sz w:val="18"/>
                <w:szCs w:val="18"/>
                <w:color w:val="0000FF"/>
                <w:w w:val="97"/>
              </w:rPr>
            </w:pPr>
            <w:hyperlink w:anchor="page140">
              <w:r>
                <w:rPr>
                  <w:rFonts w:ascii="Arial" w:cs="Arial" w:eastAsia="Arial" w:hAnsi="Arial"/>
                  <w:sz w:val="18"/>
                  <w:szCs w:val="18"/>
                  <w:color w:val="0000FF"/>
                  <w:w w:val="97"/>
                </w:rPr>
                <w:t>Transition and Termination Agreement, dated as of November 2, 2019, by and between Jazz Pharmaceuticals, Inc. and Mike Miller.</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20"/>
              <w:spacing w:after="0" w:line="202" w:lineRule="exact"/>
              <w:rPr>
                <w:sz w:val="20"/>
                <w:szCs w:val="20"/>
                <w:color w:val="auto"/>
              </w:rPr>
            </w:pPr>
            <w:r>
              <w:rPr>
                <w:rFonts w:ascii="Arial" w:cs="Arial" w:eastAsia="Arial" w:hAnsi="Arial"/>
                <w:sz w:val="18"/>
                <w:szCs w:val="18"/>
                <w:color w:val="auto"/>
              </w:rPr>
              <w:t>31.1</w:t>
            </w:r>
          </w:p>
        </w:tc>
        <w:tc>
          <w:tcPr>
            <w:tcW w:w="10040" w:type="dxa"/>
            <w:vAlign w:val="bottom"/>
            <w:tcBorders>
              <w:bottom w:val="single" w:sz="8" w:color="0000FF"/>
            </w:tcBorders>
            <w:gridSpan w:val="24"/>
          </w:tcPr>
          <w:p>
            <w:pPr>
              <w:spacing w:after="0" w:line="202" w:lineRule="exact"/>
              <w:rPr>
                <w:rFonts w:ascii="Arial" w:cs="Arial" w:eastAsia="Arial" w:hAnsi="Arial"/>
                <w:sz w:val="18"/>
                <w:szCs w:val="18"/>
                <w:color w:val="0000FF"/>
                <w:w w:val="92"/>
              </w:rPr>
            </w:pPr>
            <w:hyperlink w:anchor="page148">
              <w:r>
                <w:rPr>
                  <w:rFonts w:ascii="Arial" w:cs="Arial" w:eastAsia="Arial" w:hAnsi="Arial"/>
                  <w:sz w:val="18"/>
                  <w:szCs w:val="18"/>
                  <w:color w:val="0000FF"/>
                  <w:w w:val="92"/>
                </w:rPr>
                <w:t>Certification of Principal Executive Officer and Interim Principal Financial Officer pursuant to Rules 13a-14(a) and 15d-14(a) promulgated</w:t>
              </w:r>
            </w:hyperlink>
          </w:p>
        </w:tc>
        <w:tc>
          <w:tcPr>
            <w:tcW w:w="16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00" w:type="dxa"/>
            <w:vAlign w:val="bottom"/>
            <w:gridSpan w:val="27"/>
          </w:tcPr>
          <w:p>
            <w:pPr>
              <w:spacing w:after="0" w:line="196" w:lineRule="exact"/>
              <w:rPr>
                <w:rFonts w:ascii="Arial" w:cs="Arial" w:eastAsia="Arial" w:hAnsi="Arial"/>
                <w:sz w:val="18"/>
                <w:szCs w:val="18"/>
                <w:color w:val="0000FF"/>
              </w:rPr>
            </w:pPr>
            <w:hyperlink w:anchor="page148">
              <w:r>
                <w:rPr>
                  <w:rFonts w:ascii="Arial" w:cs="Arial" w:eastAsia="Arial" w:hAnsi="Arial"/>
                  <w:sz w:val="18"/>
                  <w:szCs w:val="18"/>
                  <w:color w:val="0000FF"/>
                </w:rPr>
                <w:t>under the Securities Exchange Act of 1934, as amended.</w:t>
              </w:r>
            </w:hyperlink>
          </w:p>
        </w:tc>
      </w:tr>
      <w:tr>
        <w:trPr>
          <w:trHeight w:val="48"/>
        </w:trPr>
        <w:tc>
          <w:tcPr>
            <w:tcW w:w="11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32.1*</w:t>
            </w:r>
          </w:p>
        </w:tc>
        <w:tc>
          <w:tcPr>
            <w:tcW w:w="10200" w:type="dxa"/>
            <w:vAlign w:val="bottom"/>
            <w:gridSpan w:val="27"/>
            <w:shd w:val="clear" w:color="auto" w:fill="CCEEFF"/>
          </w:tcPr>
          <w:p>
            <w:pPr>
              <w:spacing w:after="0" w:line="202" w:lineRule="exact"/>
              <w:rPr>
                <w:rFonts w:ascii="Arial" w:cs="Arial" w:eastAsia="Arial" w:hAnsi="Arial"/>
                <w:sz w:val="18"/>
                <w:szCs w:val="18"/>
                <w:color w:val="0000FF"/>
                <w:w w:val="92"/>
              </w:rPr>
            </w:pPr>
            <w:hyperlink w:anchor="page149">
              <w:r>
                <w:rPr>
                  <w:rFonts w:ascii="Arial" w:cs="Arial" w:eastAsia="Arial" w:hAnsi="Arial"/>
                  <w:sz w:val="18"/>
                  <w:szCs w:val="18"/>
                  <w:color w:val="0000FF"/>
                  <w:w w:val="92"/>
                </w:rPr>
                <w:t>Certification of Principal Executive Officer and Interim Principal Financial Officer pursuant to 18 U.S.C. Section 1350, as adopted pursuant</w:t>
              </w:r>
            </w:hyperlink>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FF"/>
            </w:tcBorders>
            <w:gridSpan w:val="25"/>
            <w:shd w:val="clear" w:color="auto" w:fill="CCEEFF"/>
          </w:tcPr>
          <w:p>
            <w:pPr>
              <w:spacing w:after="0" w:line="196" w:lineRule="exact"/>
              <w:rPr>
                <w:rFonts w:ascii="Arial" w:cs="Arial" w:eastAsia="Arial" w:hAnsi="Arial"/>
                <w:sz w:val="18"/>
                <w:szCs w:val="18"/>
                <w:color w:val="0000FF"/>
              </w:rPr>
            </w:pPr>
            <w:hyperlink w:anchor="page149">
              <w:r>
                <w:rPr>
                  <w:rFonts w:ascii="Arial" w:cs="Arial" w:eastAsia="Arial" w:hAnsi="Arial"/>
                  <w:sz w:val="18"/>
                  <w:szCs w:val="18"/>
                  <w:color w:val="0000FF"/>
                </w:rPr>
                <w:t>to Section 906 of the Sarbanes-Oxley Act of 2002.</w:t>
              </w:r>
            </w:hyperlink>
          </w:p>
        </w:tc>
        <w:tc>
          <w:tcPr>
            <w:tcW w:w="12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101.INS</w:t>
            </w:r>
          </w:p>
        </w:tc>
        <w:tc>
          <w:tcPr>
            <w:tcW w:w="10200" w:type="dxa"/>
            <w:vAlign w:val="bottom"/>
            <w:gridSpan w:val="27"/>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 within</w:t>
            </w:r>
          </w:p>
        </w:tc>
      </w:tr>
      <w:tr>
        <w:trPr>
          <w:trHeight w:val="230"/>
        </w:trPr>
        <w:tc>
          <w:tcPr>
            <w:tcW w:w="1180" w:type="dxa"/>
            <w:vAlign w:val="bottom"/>
          </w:tcPr>
          <w:p>
            <w:pPr>
              <w:spacing w:after="0"/>
              <w:rPr>
                <w:sz w:val="20"/>
                <w:szCs w:val="20"/>
                <w:color w:val="auto"/>
              </w:rPr>
            </w:pPr>
          </w:p>
        </w:tc>
        <w:tc>
          <w:tcPr>
            <w:tcW w:w="10200" w:type="dxa"/>
            <w:vAlign w:val="bottom"/>
            <w:gridSpan w:val="27"/>
          </w:tcPr>
          <w:p>
            <w:pPr>
              <w:spacing w:after="0"/>
              <w:rPr>
                <w:sz w:val="20"/>
                <w:szCs w:val="20"/>
                <w:color w:val="auto"/>
              </w:rPr>
            </w:pPr>
            <w:r>
              <w:rPr>
                <w:rFonts w:ascii="Arial" w:cs="Arial" w:eastAsia="Arial" w:hAnsi="Arial"/>
                <w:sz w:val="18"/>
                <w:szCs w:val="18"/>
                <w:color w:val="auto"/>
              </w:rPr>
              <w:t>the Inline XBRL document</w:t>
            </w:r>
          </w:p>
        </w:tc>
      </w:tr>
      <w:tr>
        <w:trPr>
          <w:trHeight w:val="27"/>
        </w:trPr>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200" w:type="dxa"/>
            <w:vAlign w:val="bottom"/>
            <w:tcBorders>
              <w:bottom w:val="single" w:sz="8" w:color="CCEEFF"/>
            </w:tcBorders>
            <w:gridSpan w:val="27"/>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101.CAL</w:t>
            </w:r>
          </w:p>
        </w:tc>
        <w:tc>
          <w:tcPr>
            <w:tcW w:w="10200" w:type="dxa"/>
            <w:vAlign w:val="bottom"/>
            <w:gridSpan w:val="2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
        </w:trPr>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200" w:type="dxa"/>
            <w:vAlign w:val="bottom"/>
            <w:tcBorders>
              <w:bottom w:val="single" w:sz="8" w:color="CCEEFF"/>
            </w:tcBorders>
            <w:gridSpan w:val="27"/>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101.LAB</w:t>
            </w:r>
          </w:p>
        </w:tc>
        <w:tc>
          <w:tcPr>
            <w:tcW w:w="10200" w:type="dxa"/>
            <w:vAlign w:val="bottom"/>
            <w:gridSpan w:val="27"/>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7"/>
        </w:trPr>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200" w:type="dxa"/>
            <w:vAlign w:val="bottom"/>
            <w:gridSpan w:val="27"/>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
        </w:trPr>
        <w:tc>
          <w:tcPr>
            <w:tcW w:w="1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1200" w:hanging="1151"/>
        <w:spacing w:after="0"/>
        <w:tabs>
          <w:tab w:leader="none" w:pos="12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w:t>
      </w:r>
    </w:p>
    <w:p>
      <w:pPr>
        <w:spacing w:after="0" w:line="9" w:lineRule="exact"/>
        <w:rPr>
          <w:sz w:val="20"/>
          <w:szCs w:val="20"/>
          <w:color w:val="auto"/>
        </w:rPr>
      </w:pPr>
    </w:p>
    <w:p>
      <w:pPr>
        <w:ind w:left="500" w:right="20" w:hanging="492"/>
        <w:spacing w:after="0" w:line="255"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certification attached as Exhibit 32.1 accompanies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35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JAZZ PHARMACEUTICALS PUBLIC LIMITED COMPANY</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31750</wp:posOffset>
            </wp:positionV>
            <wp:extent cx="4004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Bruce C. Cozadd</w:t>
      </w:r>
    </w:p>
    <w:p>
      <w:pPr>
        <w:spacing w:after="0" w:line="6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Chairman, Chief Executive Officer and Director</w:t>
      </w:r>
    </w:p>
    <w:p>
      <w:pPr>
        <w:spacing w:after="0" w:line="23" w:lineRule="exact"/>
        <w:rPr>
          <w:sz w:val="20"/>
          <w:szCs w:val="20"/>
          <w:color w:val="auto"/>
        </w:rPr>
      </w:pPr>
    </w:p>
    <w:p>
      <w:pPr>
        <w:ind w:left="5140"/>
        <w:spacing w:after="0" w:line="261" w:lineRule="auto"/>
        <w:rPr>
          <w:sz w:val="20"/>
          <w:szCs w:val="20"/>
          <w:color w:val="auto"/>
        </w:rPr>
      </w:pPr>
      <w:r>
        <w:rPr>
          <w:rFonts w:ascii="Arial" w:cs="Arial" w:eastAsia="Arial" w:hAnsi="Arial"/>
          <w:sz w:val="18"/>
          <w:szCs w:val="18"/>
          <w:b w:val="1"/>
          <w:bCs w:val="1"/>
          <w:i w:val="1"/>
          <w:iCs w:val="1"/>
          <w:color w:val="auto"/>
        </w:rPr>
        <w:t>(Duly Authorized Officer, Principal Executive Officer and Interim Principal Financial Officer)</w:t>
      </w:r>
    </w:p>
    <w:p>
      <w:pPr>
        <w:spacing w:after="0" w:line="34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31750</wp:posOffset>
            </wp:positionV>
            <wp:extent cx="4004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Patricia Carr</w:t>
      </w:r>
    </w:p>
    <w:p>
      <w:pPr>
        <w:spacing w:after="0" w:line="6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Vice President, Finance</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780"/>
          </w:cols>
          <w:pgMar w:left="240" w:top="125" w:right="879" w:bottom="1440" w:gutter="0" w:footer="0" w:header="0"/>
        </w:sectPr>
      </w:pPr>
    </w:p>
    <w:bookmarkStart w:id="84" w:name="page85"/>
    <w:bookmarkEnd w:id="84"/>
    <w:p>
      <w:pPr>
        <w:spacing w:after="0" w:line="26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[Jazz Pharmaceuticals Letterhead]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PERSONAL, PRIVATE AND CONFIDENTIAL</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14 May 2012</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Patricia Carr</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 of Employment</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Dear Pat,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On behalf of Jazz Pharmaceuticals PLC (the “</w:t>
      </w:r>
      <w:r>
        <w:rPr>
          <w:rFonts w:ascii="Arial" w:cs="Arial" w:eastAsia="Arial" w:hAnsi="Arial"/>
          <w:sz w:val="20"/>
          <w:szCs w:val="20"/>
          <w:b w:val="1"/>
          <w:bCs w:val="1"/>
          <w:color w:val="auto"/>
        </w:rPr>
        <w:t>Company</w:t>
      </w:r>
      <w:r>
        <w:rPr>
          <w:rFonts w:ascii="Arial" w:cs="Arial" w:eastAsia="Arial" w:hAnsi="Arial"/>
          <w:sz w:val="20"/>
          <w:szCs w:val="20"/>
          <w:color w:val="auto"/>
        </w:rPr>
        <w:t>”), I am very pleased to offer you employment with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Your employment will be subject to the following terms and conditions.</w:t>
      </w:r>
    </w:p>
    <w:p>
      <w:pPr>
        <w:spacing w:after="0" w:line="23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POSITION</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Your position with the Company will be as Vice President, International Finance.</w:t>
      </w:r>
    </w:p>
    <w:p>
      <w:pPr>
        <w:spacing w:after="0" w:line="232"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COMMENCEMENT DATE</w:t>
      </w:r>
    </w:p>
    <w:p>
      <w:pPr>
        <w:spacing w:after="0" w:line="82"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Your employment will be deemed to have commenced on 9 July 2012 and the terms and conditions set out in this letter will take effect from such date.</w:t>
      </w:r>
    </w:p>
    <w:p>
      <w:pPr>
        <w:spacing w:after="0" w:line="165"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PLACE OF WORK</w:t>
      </w:r>
    </w:p>
    <w:p>
      <w:pPr>
        <w:spacing w:after="0" w:line="8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You will be normally based at the Company’s offices at 45 Fitzwilliam Square, Dublin 2, but will be required to travel within Ireland and abroad in carrying out your responsibilities. For up to an initial period of 6 months, your primary location shall be the offices of Jazz Pharmaceuticals in Palo Alto, CA, USA. Thereafter, you will be required to travel to the United States of America and other locations from time to time.</w:t>
      </w:r>
    </w:p>
    <w:p>
      <w:pPr>
        <w:spacing w:after="0" w:line="182"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HOURS OF WORK</w:t>
      </w:r>
    </w:p>
    <w:p>
      <w:pPr>
        <w:spacing w:after="0" w:line="82"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You will determine your own hours of work and will be required to work the requisite hours and days in order to best perform your duties and to this end a degree of flexibility will be required on your part. You shall work a minimum of 37.5 hours per week from 9:00 am to 5:30 pm Monday to Friday, with a break of one hour for lunch each day. Your salary reflects the flexibility required of you. No extra remuneration will be paid for additional hours worked or where work is required to be performed on a weekend.</w:t>
      </w:r>
    </w:p>
    <w:p>
      <w:pPr>
        <w:spacing w:after="0" w:line="182"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REPORTING STRUCTURE</w:t>
      </w:r>
    </w:p>
    <w:p>
      <w:pPr>
        <w:spacing w:after="0" w:line="82"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auto"/>
        </w:rPr>
        <w:t>You will report directly to the SVP, Finance, David Brabazon. However the reporting structure may change from time to time, at the discretion of the Chief Financial Officer, the Chief Executive Officer or the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w:t>
      </w:r>
    </w:p>
    <w:p>
      <w:pPr>
        <w:sectPr>
          <w:pgSz w:w="11900" w:h="16838" w:orient="portrait"/>
          <w:cols w:equalWidth="0" w:num="1">
            <w:col w:w="11420"/>
          </w:cols>
          <w:pgMar w:left="240" w:top="1440" w:right="239" w:bottom="1440" w:gutter="0" w:footer="0" w:header="0"/>
        </w:sectPr>
      </w:pPr>
    </w:p>
    <w:bookmarkStart w:id="85" w:name="page86"/>
    <w:bookmarkEnd w:id="85"/>
    <w:p>
      <w:pPr>
        <w:ind w:left="660" w:hanging="652"/>
        <w:spacing w:after="0"/>
        <w:tabs>
          <w:tab w:leader="none" w:pos="66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SALARY</w:t>
      </w:r>
    </w:p>
    <w:p>
      <w:pPr>
        <w:spacing w:after="0" w:line="6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Your initial salary will be €200,000 per annum. This will be paid to you monthly in arrears on the last day of each month by credit transfer directly to your bank account. Your salary will be subject to annual review each year on the anniversary of the date of this letter.</w:t>
      </w:r>
    </w:p>
    <w:p>
      <w:pPr>
        <w:spacing w:after="0" w:line="18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All payments to you will be subject to deductions of tax, PRSI, Universal Social Charge and any other deductions required by law or provided for in this letter. You will be notified each month by the Company of the amount of your gross and net remuneration and of the nature and amount of all deductions.</w:t>
      </w:r>
    </w:p>
    <w:p>
      <w:pPr>
        <w:spacing w:after="0" w:line="186"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color w:val="auto"/>
        </w:rPr>
        <w:t>For the purposes of the National Minimum Wage Act, 2000, the pay reference period shall be a month. In accordance with section 23 of the Act, you may request from the Company a written statement of your average hourly rate of pay for any pay reference period (other than a current pay reference period) falling within the twelve month period immediately preceding the request.</w:t>
      </w:r>
    </w:p>
    <w:p>
      <w:pPr>
        <w:spacing w:after="0" w:line="155"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SIGNING BONUS</w:t>
      </w:r>
    </w:p>
    <w:p>
      <w:pPr>
        <w:spacing w:after="0" w:line="6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You will be entitled to a one time signing bonus of €16,000 to be paid in coordination with the first possible regular payroll processing, subject to the usual deductions of tax, PRSI, Universal Social Charge and any other deductions required by law or provided for in this letter.</w:t>
      </w:r>
    </w:p>
    <w:p>
      <w:pPr>
        <w:spacing w:after="0" w:line="189"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BONUS</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You will be entitled to be considered for a bonus based on your performance. Any bonus payment will be at the sole discretion of the Board. You will not be entitled to a bonus if your employment has been terminated, or notice of such termination has been given by either you or the Company, prior to the date the bonus is paid.</w:t>
      </w:r>
    </w:p>
    <w:p>
      <w:pPr>
        <w:spacing w:after="0" w:line="176"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EQUITY</w:t>
      </w:r>
    </w:p>
    <w:p>
      <w:pPr>
        <w:spacing w:after="0" w:line="82"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Subject to approval by the Board of Director, your offer includes a grant of options to purchase 20,000 Jazz Pharmaceuticals ordinary shares and a grant of 10,000 restricted stock units (RSUs) giving you a right to receive Jazz Pharmaceuticals ordinary shares at a future date. Subject to the plan as in effect and your continued employment on each vesting date as per the Company equity plan.</w:t>
      </w:r>
    </w:p>
    <w:p>
      <w:pPr>
        <w:spacing w:after="0" w:line="159"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EXPENSES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All properly vouched and authorised expenses incurred by you on Company business will be reimbursed by the Company.</w:t>
      </w:r>
    </w:p>
    <w:p>
      <w:pPr>
        <w:spacing w:after="0" w:line="232"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HOLIDAYS</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You will be entitled to 21 working days holidays (exclusive of all Irish bank and other public holidays in accordance with the Organisation of Working Time Act 1997) in each year. Your holidays are to be taken by arrangement with the Company, at such time or times that the Company considers to be most convenient having regard to the requirements of your position.</w:t>
      </w:r>
    </w:p>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The Company’s holiday year runs from 1 January to 31 December. Holidays from the previous year may not be carried over to the following year except with the Company’s consent. Upon notice of termination of employment being served by either party, the Company may, subject to the provisions of the Organisation of Working Time Act 1997, require you to take any unused holidays accrued at that time during any notice period. Alternatively, the Company may, at its discretion, on termination of the employment, make a payment in lieu of accrued contractual holiday entitlement.</w:t>
      </w:r>
    </w:p>
    <w:p>
      <w:pPr>
        <w:sectPr>
          <w:pgSz w:w="11900" w:h="16838" w:orient="portrait"/>
          <w:cols w:equalWidth="0" w:num="1">
            <w:col w:w="11420"/>
          </w:cols>
          <w:pgMar w:left="240" w:top="1152" w:right="239" w:bottom="1440" w:gutter="0" w:footer="0" w:header="0"/>
        </w:sectPr>
      </w:pPr>
    </w:p>
    <w:bookmarkStart w:id="86" w:name="page87"/>
    <w:bookmarkEnd w:id="86"/>
    <w:p>
      <w:pPr>
        <w:ind w:left="660" w:hanging="652"/>
        <w:spacing w:after="0"/>
        <w:tabs>
          <w:tab w:leader="none" w:pos="6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BENEFIT SCHEMES</w:t>
      </w:r>
    </w:p>
    <w:p>
      <w:pPr>
        <w:spacing w:after="0" w:line="81"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0"/>
          <w:szCs w:val="20"/>
          <w:u w:val="single" w:color="auto"/>
          <w:color w:val="auto"/>
        </w:rPr>
        <w:t>Pension Scheme:</w:t>
      </w:r>
    </w:p>
    <w:p>
      <w:pPr>
        <w:spacing w:after="0" w:line="81"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auto"/>
        </w:rPr>
        <w:t>The Company has no pension scheme. The Company does provide access to a personal retirement savings account (PRSA). If you wish to begin making contributions to a PRSA, please contact Bridget O’Brien.</w:t>
      </w:r>
    </w:p>
    <w:p>
      <w:pPr>
        <w:spacing w:after="0" w:line="165"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DUTIES</w:t>
      </w:r>
    </w:p>
    <w:p>
      <w:pPr>
        <w:spacing w:after="0" w:line="82"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You will carry out duties as assigned to you from time to time by the Company. Your area of work and/or specific responsibilities may be altered from time to time by the Company as the circumstances of the business dictate.</w:t>
      </w:r>
    </w:p>
    <w:p>
      <w:pPr>
        <w:spacing w:after="0" w:line="16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PERIOD OF EMPLOYMENT</w:t>
      </w:r>
    </w:p>
    <w:p>
      <w:pPr>
        <w:spacing w:after="0" w:line="82"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auto"/>
        </w:rPr>
        <w:t>Subject to the provisions of Clauses 16, 17, 16 and 21, your employment will continue until terminated by you or the Company giving the other at least 2 months’ written notice of termination (or, if longer, the period required by law).</w:t>
      </w:r>
    </w:p>
    <w:p>
      <w:pPr>
        <w:spacing w:after="0" w:line="165"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PAYMENT IN LIEU OF NOTICE/ GARDEN LEAVE</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Where notice of termination of your employment is given, whether by you or the Company, the Company will have the right to:</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8"/>
          <w:szCs w:val="18"/>
          <w:color w:val="auto"/>
        </w:rPr>
        <w:t>pay you in lieu of notice the amount of your entitlement to salary in respect of such notice period; or</w:t>
      </w:r>
    </w:p>
    <w:p>
      <w:pPr>
        <w:spacing w:after="0" w:line="216" w:lineRule="exact"/>
        <w:rPr>
          <w:sz w:val="20"/>
          <w:szCs w:val="20"/>
          <w:color w:val="auto"/>
        </w:rPr>
      </w:pPr>
    </w:p>
    <w:p>
      <w:pPr>
        <w:ind w:left="660" w:hanging="647"/>
        <w:spacing w:after="0" w:line="316" w:lineRule="auto"/>
        <w:tabs>
          <w:tab w:leader="none" w:pos="6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8"/>
          <w:szCs w:val="18"/>
          <w:color w:val="auto"/>
        </w:rPr>
        <w:t>require you to cease performing or exercising during some or all of the remainder of any notice period some or all of the powers, authorities and discretions delegated to you in your employment and/or to cease attending your place of work during such period.</w:t>
      </w:r>
    </w:p>
    <w:p>
      <w:pPr>
        <w:spacing w:after="0" w:line="133"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Your employment may be terminated without prior notice if, at any time after the date of this letter, you:</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8"/>
          <w:szCs w:val="18"/>
          <w:color w:val="auto"/>
        </w:rPr>
        <w:t>are guilty of any material breach or non-observance of the provisions contained in this letter;</w:t>
      </w:r>
    </w:p>
    <w:p>
      <w:pPr>
        <w:spacing w:after="0" w:line="108"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16.2.</w:t>
        <w:tab/>
        <w:t>are guilty of any serious misconduct in the discharge of the duties of your employment or in connection with or affecting the business of the Company;</w:t>
      </w:r>
    </w:p>
    <w:p>
      <w:pPr>
        <w:spacing w:after="0" w:line="6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6"/>
          <w:szCs w:val="16"/>
          <w:color w:val="auto"/>
        </w:rPr>
        <w:t>commit any serious act of dishonesty or repeated acts of dishonesty;</w:t>
      </w:r>
    </w:p>
    <w:p>
      <w:pPr>
        <w:spacing w:after="0" w:line="10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6"/>
          <w:szCs w:val="16"/>
          <w:color w:val="auto"/>
        </w:rPr>
        <w:t>become of unsound mind; or</w:t>
      </w:r>
    </w:p>
    <w:p>
      <w:pPr>
        <w:spacing w:after="0" w:line="108"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16.5.</w:t>
        <w:tab/>
        <w:t>are convicted of any offence (other than minor traffic offences or any other offence which in the opinion of the Board does not affect your position with the Company).</w:t>
      </w:r>
    </w:p>
    <w:p>
      <w:pPr>
        <w:spacing w:after="0" w:line="180"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NORMAL RETIREMENT AGE</w:t>
      </w:r>
    </w:p>
    <w:p>
      <w:pPr>
        <w:spacing w:after="0" w:line="82"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auto"/>
        </w:rPr>
        <w:t>The Company’s normal retirement age is 65. Your employment will end automatically on your 65th birthday if it has not terminated before then in accordance with the provisions of this contract.</w:t>
      </w:r>
    </w:p>
    <w:p>
      <w:pPr>
        <w:spacing w:after="0" w:line="165"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ILLNESS</w:t>
      </w:r>
    </w:p>
    <w:p>
      <w:pPr>
        <w:spacing w:after="0" w:line="6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Absences from work for whatever reason must be notified to your Manager as soon as possible on the first day of absence. Payment of salary for any absences attributable to illness will be at the sole discretion of the Company.</w:t>
      </w:r>
    </w:p>
    <w:p>
      <w:pPr>
        <w:sectPr>
          <w:pgSz w:w="11900" w:h="16838" w:orient="portrait"/>
          <w:cols w:equalWidth="0" w:num="1">
            <w:col w:w="11420"/>
          </w:cols>
          <w:pgMar w:left="240" w:top="1152" w:right="239" w:bottom="1440" w:gutter="0" w:footer="0" w:header="0"/>
        </w:sectPr>
      </w:pPr>
    </w:p>
    <w:bookmarkStart w:id="87" w:name="page88"/>
    <w:bookmarkEnd w:id="87"/>
    <w:p>
      <w:pPr>
        <w:spacing w:after="0" w:line="260" w:lineRule="auto"/>
        <w:rPr>
          <w:sz w:val="20"/>
          <w:szCs w:val="20"/>
          <w:color w:val="auto"/>
        </w:rPr>
      </w:pPr>
      <w:r>
        <w:rPr>
          <w:rFonts w:ascii="Arial" w:cs="Arial" w:eastAsia="Arial" w:hAnsi="Arial"/>
          <w:sz w:val="20"/>
          <w:szCs w:val="20"/>
          <w:color w:val="auto"/>
        </w:rPr>
        <w:t>If you are at any time prevented by illness, injury, accident or any other circumstances from discharging all your duties for a period of three consecutive days, then a satisfactory certificate will be required from your doctor in respect of such absence.</w:t>
      </w:r>
    </w:p>
    <w:p>
      <w:pPr>
        <w:spacing w:after="0" w:line="6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Company reserves the right, at any time, to require you to undergo a medical examination by a Doctor or Consultant nominated by the Company, in which event the Company will bear the cost of such examination.</w:t>
      </w:r>
    </w:p>
    <w:p>
      <w:pPr>
        <w:spacing w:after="0" w:line="180"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DISCIPLINARY RULES AND PROCEDURE</w:t>
      </w:r>
    </w:p>
    <w:p>
      <w:pPr>
        <w:spacing w:after="0" w:line="68"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19.1.</w:t>
        <w:tab/>
        <w:t>You will conduct yourself with propriety at all times and with due regard for the Company and each of its associated companies and the clients and employees of each such company.</w:t>
      </w:r>
    </w:p>
    <w:p>
      <w:pPr>
        <w:spacing w:after="0" w:line="69"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19.2.</w:t>
        <w:tab/>
        <w:t>In the event that your conduct or performance falls short of the standards required by the Company or the Board in any respect, (other than cases of misconduct) you will receive at first instance, a verbal warning, followed, if necessary in the event of a repetition, by a written warning which, in appropriate circumstances, may be deemed to be a final written warning. In the event of further breach of conduct or poor performance, and following due investigation during which you will be afforded an opportunity to make whatever representations you consider appropriate, your employment may be terminated by the Company, with or without notice as is deemed appropriate. Where appropriate, because of the gravity of your conduct or performance, the Company reserves the right to commence this procedure at any stage.</w:t>
      </w:r>
    </w:p>
    <w:p>
      <w:pPr>
        <w:spacing w:after="0" w:line="85"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19.3.</w:t>
        <w:tab/>
        <w:t>In order to investigate a complaint against you, the Company may suspend you on full pay for as long as may be necessary to carry out an investigation and hold a disciplinary hearing.</w:t>
      </w:r>
    </w:p>
    <w:p>
      <w:pPr>
        <w:spacing w:after="0" w:line="180"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p>
    <w:p>
      <w:pPr>
        <w:spacing w:after="0" w:line="68"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9"/>
          <w:szCs w:val="19"/>
          <w:color w:val="auto"/>
        </w:rPr>
        <w:t>You will not, except as authorised or required by your duties, reveal to any person, persons or company any information of a confidential or proprietary nature, including any trade secrets, secret or confidential operations, processes or dealings or any information concerning the organisation, business, finances, transactions or affairs of the Company, its subsidiary or associated companies or their existing or potential customers which may come to your knowledge during the period of your employment with the Company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You will keep all Confidential Information entrusted to you completely secret and will not use or attempt to use any Confidential Information in any manner which may injure or cause loss either directly or indirectly to the Company or any of its subsidiary or associated companies or their existing or potential customers or its or their business or businesses, or may be likely so to do. This restriction will continue to apply after the termination of your employment without limit in point of time but will cease to apply to information or knowledge which may reasonably be said to have come into the public domain other than by reason of breach of the provisions of this letter.</w:t>
      </w:r>
    </w:p>
    <w:p>
      <w:pPr>
        <w:spacing w:after="0" w:line="73"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color w:val="auto"/>
        </w:rPr>
        <w:t>You will not during the term of your employment with the Company make otherwise than for the benefit of the Company any notes or memoranda relating to any matter within the scope of the business of the Company, its subsidiary or associated companies or their existing or potential customers or concerning any of the dealings or affairs of any such company nor will you either during the term of your employment with the Company or afterwards use or permit to be used any such notes or memoranda otherwise than for the benefit of the Company, it being the intention of the parties that all such notes or memoranda made by you will be the property of the Company and left at its offices upon the termination of your employment with the Company.</w:t>
      </w:r>
    </w:p>
    <w:p>
      <w:pPr>
        <w:sectPr>
          <w:pgSz w:w="11900" w:h="16838" w:orient="portrait"/>
          <w:cols w:equalWidth="0" w:num="1">
            <w:col w:w="11420"/>
          </w:cols>
          <w:pgMar w:left="240" w:top="1149" w:right="239" w:bottom="1440" w:gutter="0" w:footer="0" w:header="0"/>
        </w:sectPr>
      </w:pPr>
    </w:p>
    <w:bookmarkStart w:id="88" w:name="page89"/>
    <w:bookmarkEnd w:id="88"/>
    <w:p>
      <w:pPr>
        <w:ind w:left="652" w:hanging="652"/>
        <w:spacing w:after="0"/>
        <w:tabs>
          <w:tab w:leader="none" w:pos="652"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PROPRIETARY RIGHTS</w:t>
      </w:r>
    </w:p>
    <w:p>
      <w:pPr>
        <w:spacing w:after="0" w:line="62" w:lineRule="exact"/>
        <w:rPr>
          <w:sz w:val="20"/>
          <w:szCs w:val="20"/>
          <w:color w:val="auto"/>
        </w:rPr>
      </w:pPr>
    </w:p>
    <w:p>
      <w:pPr>
        <w:jc w:val="both"/>
        <w:ind w:left="652" w:hanging="647"/>
        <w:spacing w:after="0" w:line="266" w:lineRule="auto"/>
        <w:tabs>
          <w:tab w:leader="none" w:pos="632"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color w:val="auto"/>
        </w:rPr>
        <w:t>In this Clause 21, “</w:t>
      </w:r>
      <w:r>
        <w:rPr>
          <w:rFonts w:ascii="Arial" w:cs="Arial" w:eastAsia="Arial" w:hAnsi="Arial"/>
          <w:sz w:val="19"/>
          <w:szCs w:val="19"/>
          <w:b w:val="1"/>
          <w:bCs w:val="1"/>
          <w:color w:val="auto"/>
        </w:rPr>
        <w:t>IP</w:t>
      </w:r>
      <w:r>
        <w:rPr>
          <w:rFonts w:ascii="Arial" w:cs="Arial" w:eastAsia="Arial" w:hAnsi="Arial"/>
          <w:sz w:val="19"/>
          <w:szCs w:val="19"/>
          <w:color w:val="auto"/>
        </w:rPr>
        <w:t>” means all intellectual property rights of whatever nature, including copyright (present and future), moral rights, patents, trade marks, design rights and database rights (whether or not any of these is registered and including any applications for registration of any such rights), know-how, Confidential Information and trade secrets and all rights or forms of protection of a similar nature or having similar effect to any of these which may exist anywhere in the world.</w:t>
      </w:r>
    </w:p>
    <w:p>
      <w:pPr>
        <w:spacing w:after="0" w:line="64" w:lineRule="exact"/>
        <w:rPr>
          <w:sz w:val="20"/>
          <w:szCs w:val="20"/>
          <w:color w:val="auto"/>
        </w:rPr>
      </w:pPr>
    </w:p>
    <w:p>
      <w:pPr>
        <w:jc w:val="both"/>
        <w:ind w:left="652" w:hanging="647"/>
        <w:spacing w:after="0" w:line="258" w:lineRule="auto"/>
        <w:tabs>
          <w:tab w:leader="none" w:pos="632"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9"/>
          <w:szCs w:val="19"/>
          <w:color w:val="auto"/>
        </w:rPr>
        <w:t>You will immediately disclose to the Company any discovery or invention or process or improvement in procedure made or discovered by you (whether or not in conjunction with any other person or persons) while in the employment of the Company in connection with or in any way affecting or relating to the business of the Company, its subsidiary or associated companies or capable of being used or adapted for use therein or in connection therewith (“</w:t>
      </w:r>
      <w:r>
        <w:rPr>
          <w:rFonts w:ascii="Arial" w:cs="Arial" w:eastAsia="Arial" w:hAnsi="Arial"/>
          <w:sz w:val="19"/>
          <w:szCs w:val="19"/>
          <w:b w:val="1"/>
          <w:bCs w:val="1"/>
          <w:color w:val="auto"/>
        </w:rPr>
        <w:t>Inventions</w:t>
      </w:r>
      <w:r>
        <w:rPr>
          <w:rFonts w:ascii="Arial" w:cs="Arial" w:eastAsia="Arial" w:hAnsi="Arial"/>
          <w:sz w:val="19"/>
          <w:szCs w:val="19"/>
          <w:color w:val="auto"/>
        </w:rPr>
        <w:t>”) will forthwith be disclosed to the Company. All Inventions will belong solely to the Company or such other person, persons or company as the Company may nominate for the purpose. Any IP developed in whole or in part by you in connection with your employment with the Company will immediately vest in the Company (or a nominee of the Company where the Company requires) absolutely.</w:t>
      </w:r>
    </w:p>
    <w:p>
      <w:pPr>
        <w:spacing w:after="0" w:line="71" w:lineRule="exact"/>
        <w:rPr>
          <w:sz w:val="20"/>
          <w:szCs w:val="20"/>
          <w:color w:val="auto"/>
        </w:rPr>
      </w:pPr>
    </w:p>
    <w:p>
      <w:pPr>
        <w:jc w:val="both"/>
        <w:ind w:left="652" w:hanging="647"/>
        <w:spacing w:after="0" w:line="244" w:lineRule="auto"/>
        <w:tabs>
          <w:tab w:leader="none" w:pos="632" w:val="left"/>
        </w:tabs>
        <w:rPr>
          <w:sz w:val="20"/>
          <w:szCs w:val="20"/>
          <w:color w:val="auto"/>
        </w:rPr>
      </w:pPr>
      <w:r>
        <w:rPr>
          <w:rFonts w:ascii="Arial" w:cs="Arial" w:eastAsia="Arial" w:hAnsi="Arial"/>
          <w:sz w:val="20"/>
          <w:szCs w:val="20"/>
          <w:color w:val="auto"/>
        </w:rPr>
        <w:t>21.3.</w:t>
        <w:tab/>
        <w:t>If and whenever required so to do (whether during or after the termination of your employment) you will without charge and at the expense of the Company or its nominee apply or join in applying for letters patent or other form of protection for any IP referred to in this Clause 21 and execute all instruments and do all things considered necessary in the absolute discretion of the Company in relation to the said IP including vesting all right and title to such IP when obtained in the Company (or its nominee) as sole beneficial owner, or in such other person as the Company may require.</w:t>
      </w:r>
    </w:p>
    <w:p>
      <w:pPr>
        <w:spacing w:after="0" w:line="87" w:lineRule="exact"/>
        <w:rPr>
          <w:sz w:val="20"/>
          <w:szCs w:val="20"/>
          <w:color w:val="auto"/>
        </w:rPr>
      </w:pPr>
    </w:p>
    <w:p>
      <w:pPr>
        <w:jc w:val="both"/>
        <w:ind w:left="652" w:hanging="647"/>
        <w:spacing w:after="0" w:line="282" w:lineRule="auto"/>
        <w:tabs>
          <w:tab w:leader="none" w:pos="632"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color w:val="auto"/>
        </w:rPr>
        <w:t>You irrevocably appoint the Company to be your attorney in your name and on your behalf to execute and do any such instruments or things and generally to use your name for the purpose of giving to the Company (or its nominee) the full benefit of the provisions of this Clause 21. A certificate in writing signed by any executive or the Secretary of the Company that any instrument or act falls within the authority conferred in this Clause 21.4 will be conclusive evidence that such is the case in favour of a third party.</w:t>
      </w:r>
    </w:p>
    <w:p>
      <w:pPr>
        <w:spacing w:after="0" w:line="54" w:lineRule="exact"/>
        <w:rPr>
          <w:sz w:val="20"/>
          <w:szCs w:val="20"/>
          <w:color w:val="auto"/>
        </w:rPr>
      </w:pPr>
    </w:p>
    <w:p>
      <w:pPr>
        <w:jc w:val="both"/>
        <w:ind w:left="652" w:hanging="647"/>
        <w:spacing w:after="0" w:line="291" w:lineRule="auto"/>
        <w:tabs>
          <w:tab w:leader="none" w:pos="632"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color w:val="auto"/>
        </w:rPr>
        <w:t>To the extent that you cannot assign any IP to the Company (or its nominee), it is agreed that any such right (including, where applicable, any moral right, such as a right of paternity or integrity) will be waived as against the Company. You may not under any circumstances exercise any IP against the Company or any of its subsidiary or associated companies or any nominee of any of them.</w:t>
      </w:r>
    </w:p>
    <w:p>
      <w:pPr>
        <w:spacing w:after="0" w:line="155" w:lineRule="exact"/>
        <w:rPr>
          <w:sz w:val="20"/>
          <w:szCs w:val="20"/>
          <w:color w:val="auto"/>
        </w:rPr>
      </w:pPr>
    </w:p>
    <w:p>
      <w:pPr>
        <w:ind w:left="652" w:hanging="652"/>
        <w:spacing w:after="0"/>
        <w:tabs>
          <w:tab w:leader="none" w:pos="652"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w:t>
      </w:r>
    </w:p>
    <w:p>
      <w:pPr>
        <w:spacing w:after="0" w:line="68"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0"/>
          <w:szCs w:val="20"/>
          <w:color w:val="auto"/>
        </w:rPr>
        <w:t>22.1.</w:t>
        <w:tab/>
        <w:t>You may not during the period of your employment with the Company, without prior written consent of the Company, engage, whether directly or indirectly, in any business or employment which is similar to or competitive with the business of the Company or its subsidiary or associated companies or which may in the Company’s opinion impair your ability to act at all times in the best interest of the Company.</w:t>
      </w:r>
    </w:p>
    <w:p>
      <w:pPr>
        <w:spacing w:after="0" w:line="83"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0"/>
          <w:szCs w:val="20"/>
          <w:color w:val="auto"/>
        </w:rPr>
        <w:t>22.2.</w:t>
        <w:tab/>
        <w:t>You undertake that for a period of 12 months after the date of the termination of your employment, in the Republic of Ireland, you will not, directly or indirectly, be employed, engaged, concerned or interested, in any business directly competing with the products sold by the Company or its subsidiary or associated companies at that time, whether on your own account or in partnership or as an employee, director or manager for any other person.</w:t>
      </w:r>
    </w:p>
    <w:p>
      <w:pPr>
        <w:sectPr>
          <w:pgSz w:w="11900" w:h="16838" w:orient="portrait"/>
          <w:cols w:equalWidth="0" w:num="1">
            <w:col w:w="11412"/>
          </w:cols>
          <w:pgMar w:left="248" w:top="1152" w:right="239" w:bottom="1440" w:gutter="0" w:footer="0" w:header="0"/>
        </w:sectPr>
      </w:pPr>
    </w:p>
    <w:bookmarkStart w:id="89" w:name="page90"/>
    <w:bookmarkEnd w:id="89"/>
    <w:p>
      <w:pPr>
        <w:jc w:val="both"/>
        <w:ind w:left="652" w:hanging="647"/>
        <w:spacing w:after="0" w:line="260" w:lineRule="auto"/>
        <w:tabs>
          <w:tab w:leader="none" w:pos="632"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9"/>
          <w:szCs w:val="19"/>
          <w:color w:val="auto"/>
        </w:rPr>
        <w:t>You also undertake that for a period of 12 months after the termination of your employment, you will not, in competition with the Company or its subsidiary or associated companies, solicit or entice or endeavour to solicit or entice away from the Company any person who was at any time in the twelve months prior to the termination of your employment with the Company employed or engaged by the Company or its subsidiary or associated companies and who, by means of such employment, is or is likely to be in possession of confidential information relating to the Company or its subsidiary or associated companies.</w:t>
      </w:r>
    </w:p>
    <w:p>
      <w:pPr>
        <w:spacing w:after="0" w:line="73" w:lineRule="exact"/>
        <w:rPr>
          <w:sz w:val="20"/>
          <w:szCs w:val="20"/>
          <w:color w:val="auto"/>
        </w:rPr>
      </w:pPr>
    </w:p>
    <w:p>
      <w:pPr>
        <w:jc w:val="both"/>
        <w:ind w:left="652" w:hanging="647"/>
        <w:spacing w:after="0" w:line="250" w:lineRule="auto"/>
        <w:tabs>
          <w:tab w:leader="none" w:pos="632" w:val="left"/>
        </w:tabs>
        <w:rPr>
          <w:sz w:val="20"/>
          <w:szCs w:val="20"/>
          <w:color w:val="auto"/>
        </w:rPr>
      </w:pPr>
      <w:r>
        <w:rPr>
          <w:rFonts w:ascii="Arial" w:cs="Arial" w:eastAsia="Arial" w:hAnsi="Arial"/>
          <w:sz w:val="20"/>
          <w:szCs w:val="20"/>
          <w:color w:val="auto"/>
        </w:rPr>
        <w:t>22.4.</w:t>
        <w:tab/>
        <w:t>You acknowledge and agree that all of the restrictions contained in this letter are reasonable and necessary to protect the interests of the Company and its subsidiary and associated companies and you agree that the Company may seek equitable remedies to enforce them in addition to any other legal remedies it has.</w:t>
      </w:r>
    </w:p>
    <w:p>
      <w:pPr>
        <w:spacing w:after="0" w:line="78" w:lineRule="exact"/>
        <w:rPr>
          <w:sz w:val="20"/>
          <w:szCs w:val="20"/>
          <w:color w:val="auto"/>
        </w:rPr>
      </w:pPr>
    </w:p>
    <w:p>
      <w:pPr>
        <w:jc w:val="both"/>
        <w:ind w:left="652" w:hanging="647"/>
        <w:spacing w:after="0" w:line="260" w:lineRule="auto"/>
        <w:tabs>
          <w:tab w:leader="none" w:pos="632"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9"/>
          <w:szCs w:val="19"/>
          <w:color w:val="auto"/>
        </w:rPr>
        <w:t>If any provision in this Clause 22 is deemed to be, or becomes invalid, illegal, void or unenforceable under applicable laws, such provision will be deemed amended to conform to applicable laws so as to be valid and enforceable (including, by way of example, by restricting the area, duration and/or scope of the covenants in to such area, duration and/or scope as would be held reasonable), or if it cannot be so amended without materially altering the intention of the parties, it will be deleted, but the validity, legality and enforceability of the remaining provisions of this letter shall not be impaired or affected in any way.</w:t>
      </w:r>
    </w:p>
    <w:p>
      <w:pPr>
        <w:spacing w:after="0" w:line="183" w:lineRule="exact"/>
        <w:rPr>
          <w:sz w:val="20"/>
          <w:szCs w:val="20"/>
          <w:color w:val="auto"/>
        </w:rPr>
      </w:pPr>
    </w:p>
    <w:p>
      <w:pPr>
        <w:ind w:left="652" w:hanging="652"/>
        <w:spacing w:after="0"/>
        <w:tabs>
          <w:tab w:leader="none" w:pos="652"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PROTECTION ACTS 1988 AND 2003</w:t>
      </w:r>
    </w:p>
    <w:p>
      <w:pPr>
        <w:spacing w:after="0" w:line="68" w:lineRule="exact"/>
        <w:rPr>
          <w:sz w:val="20"/>
          <w:szCs w:val="20"/>
          <w:color w:val="auto"/>
        </w:rPr>
      </w:pPr>
    </w:p>
    <w:p>
      <w:pPr>
        <w:jc w:val="both"/>
        <w:ind w:left="652" w:hanging="647"/>
        <w:spacing w:after="0" w:line="276" w:lineRule="auto"/>
        <w:tabs>
          <w:tab w:leader="none" w:pos="632"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8"/>
          <w:szCs w:val="18"/>
          <w:color w:val="auto"/>
        </w:rPr>
        <w:t>You hereby acknowledge that during the course of your employment with the Company, the Company will keep personal data and sensitive personal data (e.g. doctor’s certificates or medical reports) relating to you on computer and in manual files/paper files. You hereby acknowledge and agree that the Company is permitted to hold and process personal information about you as part of its personnel and other business records and may use such information in the course of the Company’s business. You further agree that the Company may disclose such information to third parties in the event that such disclosure is in the Company’s view required by the proper conduct of the Company’s business. This clause applies to information held, used or disclosed in any medium.</w:t>
      </w:r>
    </w:p>
    <w:p>
      <w:pPr>
        <w:spacing w:after="0" w:line="57"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0"/>
          <w:szCs w:val="20"/>
          <w:color w:val="auto"/>
        </w:rPr>
        <w:t>23.2.</w:t>
        <w:tab/>
        <w:t>You acknowledge and give your consent and authorisation to the Company’s monitoring of its communication and electronic equipment where it has a reasonable suspicion of inappropriate use including, without limitation, the Company’s telephone, facsimile, and internet and e-mail systems, and information stored on the Company’s telephone equipment (including floppy disks that are the property of the Company).</w:t>
      </w:r>
    </w:p>
    <w:p>
      <w:pPr>
        <w:spacing w:after="0" w:line="194" w:lineRule="exact"/>
        <w:rPr>
          <w:sz w:val="20"/>
          <w:szCs w:val="20"/>
          <w:color w:val="auto"/>
        </w:rPr>
      </w:pPr>
    </w:p>
    <w:p>
      <w:pPr>
        <w:ind w:left="652" w:hanging="652"/>
        <w:spacing w:after="0"/>
        <w:tabs>
          <w:tab w:leader="none" w:pos="652"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HEALTH &amp; SAFETY</w:t>
      </w:r>
    </w:p>
    <w:p>
      <w:pPr>
        <w:spacing w:after="0" w:line="68" w:lineRule="exact"/>
        <w:rPr>
          <w:sz w:val="20"/>
          <w:szCs w:val="20"/>
          <w:color w:val="auto"/>
        </w:rPr>
      </w:pPr>
    </w:p>
    <w:p>
      <w:pPr>
        <w:jc w:val="both"/>
        <w:ind w:left="652" w:hanging="647"/>
        <w:spacing w:after="0" w:line="260" w:lineRule="auto"/>
        <w:tabs>
          <w:tab w:leader="none" w:pos="632" w:val="left"/>
        </w:tabs>
        <w:rPr>
          <w:sz w:val="20"/>
          <w:szCs w:val="20"/>
          <w:color w:val="auto"/>
        </w:rPr>
      </w:pPr>
      <w:r>
        <w:rPr>
          <w:rFonts w:ascii="Arial" w:cs="Arial" w:eastAsia="Arial" w:hAnsi="Arial"/>
          <w:sz w:val="20"/>
          <w:szCs w:val="20"/>
          <w:color w:val="auto"/>
        </w:rPr>
        <w:t>24.1.</w:t>
      </w:r>
      <w:r>
        <w:rPr>
          <w:sz w:val="20"/>
          <w:szCs w:val="20"/>
          <w:color w:val="auto"/>
        </w:rPr>
        <w:tab/>
      </w:r>
      <w:r>
        <w:rPr>
          <w:rFonts w:ascii="Arial" w:cs="Arial" w:eastAsia="Arial" w:hAnsi="Arial"/>
          <w:sz w:val="19"/>
          <w:szCs w:val="19"/>
          <w:color w:val="auto"/>
        </w:rPr>
        <w:t>The Company takes seriously its obligations regarding the safety, health and welfare of its employees and in that regard your attention is drawn to the Company safety statement (which is available for viewing on the intranet). By signing this letter, you agree to take reasonable care of your own safety and health and that of any other persons who may be affected by your acts or admissions while at work. You also agree to cooperate with the Company and any other person to enable compliance with any provision of the Safety, Health and Welfare at Work Acts 1989 and 2005 and any Regulation made thereunder.</w:t>
      </w:r>
    </w:p>
    <w:p>
      <w:pPr>
        <w:sectPr>
          <w:pgSz w:w="11900" w:h="16838" w:orient="portrait"/>
          <w:cols w:equalWidth="0" w:num="1">
            <w:col w:w="11412"/>
          </w:cols>
          <w:pgMar w:left="248" w:top="1149" w:right="239" w:bottom="1440" w:gutter="0" w:footer="0" w:header="0"/>
        </w:sectPr>
      </w:pPr>
    </w:p>
    <w:bookmarkStart w:id="90" w:name="page91"/>
    <w:bookmarkEnd w:id="90"/>
    <w:p>
      <w:pPr>
        <w:ind w:left="660" w:hanging="652"/>
        <w:spacing w:after="0"/>
        <w:tabs>
          <w:tab w:leader="none" w:pos="6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 PROVISIONS</w:t>
      </w:r>
    </w:p>
    <w:p>
      <w:pPr>
        <w:spacing w:after="0" w:line="6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25.1.</w:t>
      </w:r>
      <w:r>
        <w:rPr>
          <w:sz w:val="20"/>
          <w:szCs w:val="20"/>
          <w:color w:val="auto"/>
        </w:rPr>
        <w:tab/>
      </w:r>
      <w:r>
        <w:rPr>
          <w:rFonts w:ascii="Arial" w:cs="Arial" w:eastAsia="Arial" w:hAnsi="Arial"/>
          <w:sz w:val="20"/>
          <w:szCs w:val="20"/>
          <w:u w:val="single" w:color="auto"/>
          <w:color w:val="auto"/>
        </w:rPr>
        <w:t>Notices</w:t>
      </w:r>
      <w:r>
        <w:rPr>
          <w:rFonts w:ascii="Arial" w:cs="Arial" w:eastAsia="Arial" w:hAnsi="Arial"/>
          <w:sz w:val="20"/>
          <w:szCs w:val="20"/>
          <w:color w:val="auto"/>
        </w:rPr>
        <w:t>. Any notice under this letter will be given in writing and will be deemed to have been duly given if delivered personally to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addressee or the duly authorised agent of the addressee or sent by prepaid registered post to the last known address of the party to whom such notice is given. Any such notice will be deemed to have been duly given at the time of delivery if delivered personally, or two working days after posting if sent by prepaid registered post.</w:t>
      </w:r>
    </w:p>
    <w:p>
      <w:pPr>
        <w:spacing w:after="0" w:line="8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25.2.</w:t>
      </w:r>
      <w:r>
        <w:rPr>
          <w:sz w:val="20"/>
          <w:szCs w:val="20"/>
          <w:color w:val="auto"/>
        </w:rPr>
        <w:tab/>
      </w:r>
      <w:r>
        <w:rPr>
          <w:rFonts w:ascii="Arial" w:cs="Arial" w:eastAsia="Arial" w:hAnsi="Arial"/>
          <w:sz w:val="20"/>
          <w:szCs w:val="20"/>
          <w:u w:val="single" w:color="auto"/>
          <w:color w:val="auto"/>
        </w:rPr>
        <w:t>Entire Agreement</w:t>
      </w:r>
      <w:r>
        <w:rPr>
          <w:rFonts w:ascii="Arial" w:cs="Arial" w:eastAsia="Arial" w:hAnsi="Arial"/>
          <w:sz w:val="20"/>
          <w:szCs w:val="20"/>
          <w:color w:val="auto"/>
        </w:rPr>
        <w:t>. This letter is in substitution for all previous agreements and undertakings (if any) either written or verbal between</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Company and you, and all such agreements and undertakings will be deemed to have been terminated by mutual consent as from the date of your execution of this letter.</w:t>
      </w:r>
    </w:p>
    <w:p>
      <w:pPr>
        <w:spacing w:after="0" w:line="78"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25.3.</w:t>
      </w:r>
      <w:r>
        <w:rPr>
          <w:sz w:val="20"/>
          <w:szCs w:val="20"/>
          <w:color w:val="auto"/>
        </w:rPr>
        <w:tab/>
      </w:r>
      <w:r>
        <w:rPr>
          <w:rFonts w:ascii="Arial" w:cs="Arial" w:eastAsia="Arial" w:hAnsi="Arial"/>
          <w:sz w:val="20"/>
          <w:szCs w:val="20"/>
          <w:u w:val="single" w:color="auto"/>
          <w:color w:val="auto"/>
        </w:rPr>
        <w:t>Governing Law and Jurisdiction</w:t>
      </w:r>
      <w:r>
        <w:rPr>
          <w:rFonts w:ascii="Arial" w:cs="Arial" w:eastAsia="Arial" w:hAnsi="Arial"/>
          <w:sz w:val="20"/>
          <w:szCs w:val="20"/>
          <w:color w:val="auto"/>
        </w:rPr>
        <w:t>. This Agreement shall be governed by and construed in accordance with the laws of Ireland, and shall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be subject to the exclusive jurisdiction of the Irish courts.</w:t>
      </w:r>
    </w:p>
    <w:p>
      <w:pPr>
        <w:spacing w:after="0" w:line="69"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25.4.</w:t>
        <w:tab/>
        <w:t>The information contained in this letter constitutes a written statement of particulars of your employment with the Company in accordance with the requirements of section 3 of the Terms of Employment Act 1994.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4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If you choose to accept the terms and conditions of employment set out in this letter, please sign the enclosed copy of the letter and return it to me.</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Yours sincerely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tabs>
          <w:tab w:leader="none" w:pos="1860" w:val="left"/>
        </w:tabs>
        <w:rPr>
          <w:sz w:val="20"/>
          <w:szCs w:val="20"/>
          <w:color w:val="auto"/>
        </w:rPr>
      </w:pPr>
      <w:r>
        <w:rPr>
          <w:rFonts w:ascii="Arial" w:cs="Arial" w:eastAsia="Arial" w:hAnsi="Arial"/>
          <w:sz w:val="20"/>
          <w:szCs w:val="20"/>
          <w:color w:val="auto"/>
        </w:rPr>
        <w:t>/s/ David Brabazon</w:t>
      </w:r>
      <w:r>
        <w:rPr>
          <w:sz w:val="20"/>
          <w:szCs w:val="20"/>
          <w:color w:val="auto"/>
        </w:rPr>
        <w:tab/>
      </w:r>
      <w:r>
        <w:rPr>
          <w:rFonts w:ascii="Arial" w:cs="Arial" w:eastAsia="Arial" w:hAnsi="Arial"/>
          <w:sz w:val="16"/>
          <w:szCs w:val="16"/>
          <w:color w:val="auto"/>
        </w:rPr>
        <w:t>14/5/2012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256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David Brabazon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Duly authorised for and on behalf of</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Jazz Pharmaceuticals PLC</w:t>
      </w:r>
    </w:p>
    <w:p>
      <w:pPr>
        <w:spacing w:after="0" w:line="249" w:lineRule="exact"/>
        <w:rPr>
          <w:sz w:val="20"/>
          <w:szCs w:val="20"/>
          <w:color w:val="auto"/>
        </w:rPr>
      </w:pPr>
    </w:p>
    <w:p>
      <w:pPr>
        <w:ind w:left="3900"/>
        <w:spacing w:after="0" w:line="289" w:lineRule="auto"/>
        <w:rPr>
          <w:sz w:val="20"/>
          <w:szCs w:val="20"/>
          <w:color w:val="auto"/>
        </w:rPr>
      </w:pPr>
      <w:r>
        <w:rPr>
          <w:rFonts w:ascii="Arial" w:cs="Arial" w:eastAsia="Arial" w:hAnsi="Arial"/>
          <w:sz w:val="20"/>
          <w:szCs w:val="20"/>
          <w:b w:val="1"/>
          <w:bCs w:val="1"/>
          <w:i w:val="1"/>
          <w:iCs w:val="1"/>
          <w:color w:val="auto"/>
        </w:rPr>
        <w:t>I accept employment with the Company on the terms and conditions as set out in the Company’s letter of which this is a copy.</w:t>
      </w:r>
    </w:p>
    <w:p>
      <w:pPr>
        <w:spacing w:after="0" w:line="386" w:lineRule="exact"/>
        <w:rPr>
          <w:sz w:val="20"/>
          <w:szCs w:val="20"/>
          <w:color w:val="auto"/>
        </w:rPr>
      </w:pPr>
    </w:p>
    <w:p>
      <w:pPr>
        <w:ind w:left="3900"/>
        <w:spacing w:after="0"/>
        <w:tabs>
          <w:tab w:leader="none" w:pos="4860" w:val="left"/>
        </w:tabs>
        <w:rPr>
          <w:sz w:val="20"/>
          <w:szCs w:val="20"/>
          <w:color w:val="auto"/>
        </w:rPr>
      </w:pPr>
      <w:r>
        <w:rPr>
          <w:rFonts w:ascii="Arial" w:cs="Arial" w:eastAsia="Arial" w:hAnsi="Arial"/>
          <w:sz w:val="20"/>
          <w:szCs w:val="20"/>
          <w:b w:val="1"/>
          <w:bCs w:val="1"/>
          <w:color w:val="auto"/>
        </w:rPr>
        <w:t>Signed:</w:t>
      </w:r>
      <w:r>
        <w:rPr>
          <w:sz w:val="20"/>
          <w:szCs w:val="20"/>
          <w:color w:val="auto"/>
        </w:rPr>
        <w:tab/>
      </w:r>
      <w:r>
        <w:rPr>
          <w:rFonts w:ascii="Arial" w:cs="Arial" w:eastAsia="Arial" w:hAnsi="Arial"/>
          <w:sz w:val="20"/>
          <w:szCs w:val="20"/>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-10795</wp:posOffset>
            </wp:positionV>
            <wp:extent cx="1009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1009015" cy="8890"/>
                    </a:xfrm>
                    <a:prstGeom prst="rect">
                      <a:avLst/>
                    </a:prstGeom>
                    <a:noFill/>
                  </pic:spPr>
                </pic:pic>
              </a:graphicData>
            </a:graphic>
          </wp:anchor>
        </w:drawing>
      </w:r>
    </w:p>
    <w:p>
      <w:pPr>
        <w:spacing w:after="0" w:line="115" w:lineRule="exact"/>
        <w:rPr>
          <w:sz w:val="20"/>
          <w:szCs w:val="20"/>
          <w:color w:val="auto"/>
        </w:rPr>
      </w:pPr>
    </w:p>
    <w:p>
      <w:pPr>
        <w:ind w:left="3900"/>
        <w:spacing w:after="0"/>
        <w:tabs>
          <w:tab w:leader="none" w:pos="4800" w:val="left"/>
        </w:tabs>
        <w:rPr>
          <w:sz w:val="20"/>
          <w:szCs w:val="20"/>
          <w:color w:val="auto"/>
        </w:rPr>
      </w:pPr>
      <w:r>
        <w:rPr>
          <w:rFonts w:ascii="Arial" w:cs="Arial" w:eastAsia="Arial" w:hAnsi="Arial"/>
          <w:sz w:val="20"/>
          <w:szCs w:val="20"/>
          <w:b w:val="1"/>
          <w:bCs w:val="1"/>
          <w:color w:val="auto"/>
        </w:rPr>
        <w:t>Dated:</w:t>
      </w:r>
      <w:r>
        <w:rPr>
          <w:sz w:val="20"/>
          <w:szCs w:val="20"/>
          <w:color w:val="auto"/>
        </w:rPr>
        <w:tab/>
      </w:r>
      <w:r>
        <w:rPr>
          <w:rFonts w:ascii="Arial" w:cs="Arial" w:eastAsia="Arial" w:hAnsi="Arial"/>
          <w:sz w:val="20"/>
          <w:szCs w:val="20"/>
          <w:color w:val="auto"/>
        </w:rPr>
        <w:t>16/05/2012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-10795</wp:posOffset>
            </wp:positionV>
            <wp:extent cx="7924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9248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10.2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[Jazz Pharmaceuticals Letterhead]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PERSONAL, PRIVATE AND CONFIDENTIAL</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2 May 2016</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Patricia Carr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Amended and Restated Change in Control Severance Terms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Dear Patricia:</w:t>
      </w:r>
    </w:p>
    <w:p>
      <w:pPr>
        <w:spacing w:after="0" w:line="264"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As was discussed with you, this letter agreement (the “</w:t>
      </w:r>
      <w:r>
        <w:rPr>
          <w:rFonts w:ascii="Arial" w:cs="Arial" w:eastAsia="Arial" w:hAnsi="Arial"/>
          <w:sz w:val="19"/>
          <w:szCs w:val="19"/>
          <w:b w:val="1"/>
          <w:bCs w:val="1"/>
          <w:color w:val="auto"/>
        </w:rPr>
        <w:t>Amendment</w:t>
      </w:r>
      <w:r>
        <w:rPr>
          <w:rFonts w:ascii="Arial" w:cs="Arial" w:eastAsia="Arial" w:hAnsi="Arial"/>
          <w:sz w:val="19"/>
          <w:szCs w:val="19"/>
          <w:color w:val="auto"/>
        </w:rPr>
        <w:t>”) provides the amended and restated terms covering your eligibility for cash severance benefits under certain circumstances related to a Change in Control. This Amendment is effective as of 15 May 2016, provided that it is signed by both you and Jazz Pharmaceuticals Ireland Limited by this date. This Amendment amends your contract of employment dated 14 May 2012 (the “</w:t>
      </w:r>
      <w:r>
        <w:rPr>
          <w:rFonts w:ascii="Arial" w:cs="Arial" w:eastAsia="Arial" w:hAnsi="Arial"/>
          <w:sz w:val="19"/>
          <w:szCs w:val="19"/>
          <w:b w:val="1"/>
          <w:bCs w:val="1"/>
          <w:color w:val="auto"/>
        </w:rPr>
        <w:t>Employment Contract</w:t>
      </w:r>
      <w:r>
        <w:rPr>
          <w:rFonts w:ascii="Arial" w:cs="Arial" w:eastAsia="Arial" w:hAnsi="Arial"/>
          <w:sz w:val="19"/>
          <w:szCs w:val="19"/>
          <w:color w:val="auto"/>
        </w:rPr>
        <w:t>”), and it supersedes and replaces the previous letter agreement dated 17 September 2012 which covered your eligibility for severance benefits. For purposes of this Amendment, you are referred to as the “</w:t>
      </w:r>
      <w:r>
        <w:rPr>
          <w:rFonts w:ascii="Arial" w:cs="Arial" w:eastAsia="Arial" w:hAnsi="Arial"/>
          <w:sz w:val="19"/>
          <w:szCs w:val="19"/>
          <w:b w:val="1"/>
          <w:bCs w:val="1"/>
          <w:color w:val="auto"/>
        </w:rPr>
        <w:t>Executive.</w:t>
      </w:r>
      <w:r>
        <w:rPr>
          <w:rFonts w:ascii="Arial" w:cs="Arial" w:eastAsia="Arial" w:hAnsi="Arial"/>
          <w:sz w:val="19"/>
          <w:szCs w:val="19"/>
          <w:color w:val="auto"/>
        </w:rPr>
        <w:t>” Your amended and restated severance benefits terms are set forth below.</w:t>
      </w:r>
    </w:p>
    <w:p>
      <w:pPr>
        <w:spacing w:after="0" w:line="175" w:lineRule="exact"/>
        <w:rPr>
          <w:sz w:val="20"/>
          <w:szCs w:val="20"/>
          <w:color w:val="auto"/>
        </w:rPr>
      </w:pPr>
    </w:p>
    <w:p>
      <w:pPr>
        <w:jc w:val="both"/>
        <w:ind w:left="660" w:hanging="328"/>
        <w:spacing w:after="0" w:line="309"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 xml:space="preserve">Covered Termination: </w:t>
      </w:r>
      <w:r>
        <w:rPr>
          <w:rFonts w:ascii="Arial" w:cs="Arial" w:eastAsia="Arial" w:hAnsi="Arial"/>
          <w:sz w:val="20"/>
          <w:szCs w:val="20"/>
          <w:color w:val="auto"/>
        </w:rPr>
        <w:t>The Executive will be eligible for the severance benefits (the “</w:t>
      </w:r>
      <w:r>
        <w:rPr>
          <w:rFonts w:ascii="Arial" w:cs="Arial" w:eastAsia="Arial" w:hAnsi="Arial"/>
          <w:sz w:val="20"/>
          <w:szCs w:val="20"/>
          <w:b w:val="1"/>
          <w:bCs w:val="1"/>
          <w:color w:val="auto"/>
        </w:rPr>
        <w:t>Severance Benefits</w:t>
      </w:r>
      <w:r>
        <w:rPr>
          <w:rFonts w:ascii="Arial" w:cs="Arial" w:eastAsia="Arial" w:hAnsi="Arial"/>
          <w:sz w:val="20"/>
          <w:szCs w:val="20"/>
          <w:color w:val="auto"/>
        </w:rPr>
        <w:t>”) set forth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in the event of a Covered Termination which is effective on or within twelve (12) months following a Change in Control, subject to the requirements set forth herein.</w:t>
      </w:r>
    </w:p>
    <w:p>
      <w:pPr>
        <w:spacing w:after="0" w:line="232" w:lineRule="exact"/>
        <w:rPr>
          <w:rFonts w:ascii="Arial" w:cs="Arial" w:eastAsia="Arial" w:hAnsi="Arial"/>
          <w:sz w:val="20"/>
          <w:szCs w:val="20"/>
          <w:color w:val="auto"/>
        </w:rPr>
      </w:pPr>
    </w:p>
    <w:p>
      <w:pPr>
        <w:ind w:left="660" w:hanging="328"/>
        <w:spacing w:after="0" w:line="323"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 xml:space="preserve">Severance Benefits: </w:t>
      </w:r>
      <w:r>
        <w:rPr>
          <w:rFonts w:ascii="Arial" w:cs="Arial" w:eastAsia="Arial" w:hAnsi="Arial"/>
          <w:sz w:val="20"/>
          <w:szCs w:val="20"/>
          <w:color w:val="auto"/>
        </w:rPr>
        <w:t>The Severance Benefits will consist of a cash severance payment and payments for continued health care</w:t>
      </w:r>
      <w:r>
        <w:rPr>
          <w:rFonts w:ascii="Arial" w:cs="Arial" w:eastAsia="Arial" w:hAnsi="Arial"/>
          <w:sz w:val="20"/>
          <w:szCs w:val="20"/>
          <w:b w:val="1"/>
          <w:bCs w:val="1"/>
          <w:color w:val="auto"/>
        </w:rPr>
        <w:t xml:space="preserve"> </w:t>
      </w:r>
      <w:r>
        <w:rPr>
          <w:rFonts w:ascii="Arial" w:cs="Arial" w:eastAsia="Arial" w:hAnsi="Arial"/>
          <w:sz w:val="20"/>
          <w:szCs w:val="20"/>
          <w:color w:val="auto"/>
        </w:rPr>
        <w:t>insurance coverage, as follows:</w:t>
      </w:r>
    </w:p>
    <w:p>
      <w:pPr>
        <w:spacing w:after="0" w:line="231" w:lineRule="exact"/>
        <w:rPr>
          <w:rFonts w:ascii="Arial" w:cs="Arial" w:eastAsia="Arial" w:hAnsi="Arial"/>
          <w:sz w:val="20"/>
          <w:szCs w:val="20"/>
          <w:color w:val="auto"/>
        </w:rPr>
      </w:pPr>
    </w:p>
    <w:p>
      <w:pPr>
        <w:jc w:val="both"/>
        <w:ind w:left="980"/>
        <w:spacing w:after="0" w:line="349" w:lineRule="auto"/>
        <w:tabs>
          <w:tab w:leader="none" w:pos="1441" w:val="left"/>
        </w:tabs>
        <w:numPr>
          <w:ilvl w:val="1"/>
          <w:numId w:val="57"/>
        </w:numPr>
        <w:rPr>
          <w:rFonts w:ascii="Arial" w:cs="Arial" w:eastAsia="Arial" w:hAnsi="Arial"/>
          <w:sz w:val="19"/>
          <w:szCs w:val="19"/>
          <w:color w:val="auto"/>
        </w:rPr>
      </w:pPr>
      <w:r>
        <w:rPr>
          <w:rFonts w:ascii="Arial" w:cs="Arial" w:eastAsia="Arial" w:hAnsi="Arial"/>
          <w:sz w:val="19"/>
          <w:szCs w:val="19"/>
          <w:b w:val="1"/>
          <w:bCs w:val="1"/>
          <w:color w:val="auto"/>
        </w:rPr>
        <w:t xml:space="preserve">Cash Severance Benefits: </w:t>
      </w:r>
      <w:r>
        <w:rPr>
          <w:rFonts w:ascii="Arial" w:cs="Arial" w:eastAsia="Arial" w:hAnsi="Arial"/>
          <w:sz w:val="19"/>
          <w:szCs w:val="19"/>
          <w:color w:val="auto"/>
        </w:rPr>
        <w:t>A lump sum cash severance payment will be paid to the Executive in an amount equal to the sum</w:t>
      </w:r>
      <w:r>
        <w:rPr>
          <w:rFonts w:ascii="Arial" w:cs="Arial" w:eastAsia="Arial" w:hAnsi="Arial"/>
          <w:sz w:val="19"/>
          <w:szCs w:val="19"/>
          <w:b w:val="1"/>
          <w:bCs w:val="1"/>
          <w:color w:val="auto"/>
        </w:rPr>
        <w:t xml:space="preserve"> </w:t>
      </w:r>
      <w:r>
        <w:rPr>
          <w:rFonts w:ascii="Arial" w:cs="Arial" w:eastAsia="Arial" w:hAnsi="Arial"/>
          <w:sz w:val="19"/>
          <w:szCs w:val="19"/>
          <w:color w:val="auto"/>
        </w:rPr>
        <w:t>of the following three components (the “</w:t>
      </w:r>
      <w:r>
        <w:rPr>
          <w:rFonts w:ascii="Arial" w:cs="Arial" w:eastAsia="Arial" w:hAnsi="Arial"/>
          <w:sz w:val="19"/>
          <w:szCs w:val="19"/>
          <w:b w:val="1"/>
          <w:bCs w:val="1"/>
          <w:color w:val="auto"/>
        </w:rPr>
        <w:t>Severance Payment</w:t>
      </w:r>
      <w:r>
        <w:rPr>
          <w:rFonts w:ascii="Arial" w:cs="Arial" w:eastAsia="Arial" w:hAnsi="Arial"/>
          <w:sz w:val="19"/>
          <w:szCs w:val="19"/>
          <w:color w:val="auto"/>
        </w:rPr>
        <w:t>”): (1) Executive’s Final Basic Salary multiplied by 100%; (2) the product of the Final Basic Salary multiplied by the Bonus Percentage multiplied by 100%; and (3) the product of the Final Basic Salary multiplied by the Bonus Percentage multiplied by the Bonus Multiplier. Notwithstanding the foregoing, to the extent applicable, the Severance Payment shall be reduced by any amounts paid to Executive (i) for performance for the calendar year in which the Covered Termination occurs under any bonus plan maintained</w:t>
      </w:r>
    </w:p>
    <w:p>
      <w:pPr>
        <w:sectPr>
          <w:pgSz w:w="11900" w:h="16838" w:orient="portrait"/>
          <w:cols w:equalWidth="0" w:num="1">
            <w:col w:w="11420"/>
          </w:cols>
          <w:pgMar w:left="240" w:top="1206" w:right="239" w:bottom="1440" w:gutter="0" w:footer="0" w:header="0"/>
        </w:sectPr>
      </w:pPr>
    </w:p>
    <w:bookmarkStart w:id="92" w:name="page93"/>
    <w:bookmarkEnd w:id="92"/>
    <w:p>
      <w:pPr>
        <w:jc w:val="both"/>
        <w:ind w:left="648"/>
        <w:spacing w:after="0" w:line="328" w:lineRule="auto"/>
        <w:rPr>
          <w:sz w:val="20"/>
          <w:szCs w:val="20"/>
          <w:color w:val="auto"/>
        </w:rPr>
      </w:pPr>
      <w:r>
        <w:rPr>
          <w:rFonts w:ascii="Arial" w:cs="Arial" w:eastAsia="Arial" w:hAnsi="Arial"/>
          <w:sz w:val="20"/>
          <w:szCs w:val="20"/>
          <w:color w:val="auto"/>
        </w:rPr>
        <w:t>by the Company or an Affiliate (which shall not include any one-time or extraordinary bonus payments provided outside of a plan for performance); (ii) during any period of garden leave immediately preceding the Covered Termination, (iii) qualifying as pay-in-lieu of notice, or (iv) any other severance benefits whether contractual or statutory (including but not limited to any statutory redundancy pay) or other similar benefits payable to the Executive in connection with the Executive’s termination of employment. The Severance Payment shall be paid to the Executive in a single lump sum payment on the sixtieth (60th) day following the date of the Covered Termination.</w:t>
      </w:r>
    </w:p>
    <w:p>
      <w:pPr>
        <w:spacing w:after="0" w:line="235" w:lineRule="exact"/>
        <w:rPr>
          <w:sz w:val="20"/>
          <w:szCs w:val="20"/>
          <w:color w:val="auto"/>
        </w:rPr>
      </w:pPr>
    </w:p>
    <w:p>
      <w:pPr>
        <w:jc w:val="both"/>
        <w:ind w:left="648"/>
        <w:spacing w:after="0" w:line="303" w:lineRule="auto"/>
        <w:rPr>
          <w:sz w:val="20"/>
          <w:szCs w:val="20"/>
          <w:color w:val="auto"/>
        </w:rPr>
      </w:pPr>
      <w:r>
        <w:rPr>
          <w:rFonts w:ascii="Arial" w:cs="Arial" w:eastAsia="Arial" w:hAnsi="Arial"/>
          <w:sz w:val="20"/>
          <w:szCs w:val="20"/>
          <w:color w:val="auto"/>
        </w:rPr>
        <w:t>By way of example, if the effective date of the Covered Termination is 30 June, Executive’s Final Basic Salary is €100,000, and her target bonus is 30% of basic salary (and Executive has not received any higher annual bonus (i) in either of the last two calendar years prior to the Covered Termination, or (ii) in either of the last two calendar years prior to the Change in Control), the Severance Payment shall be calculated as follows:</w:t>
      </w:r>
    </w:p>
    <w:p>
      <w:pPr>
        <w:spacing w:after="0" w:line="243" w:lineRule="exact"/>
        <w:rPr>
          <w:sz w:val="20"/>
          <w:szCs w:val="20"/>
          <w:color w:val="auto"/>
        </w:rPr>
      </w:pPr>
    </w:p>
    <w:p>
      <w:pPr>
        <w:ind w:left="1068" w:hanging="420"/>
        <w:spacing w:after="0"/>
        <w:tabs>
          <w:tab w:leader="none" w:pos="1068" w:val="left"/>
        </w:tabs>
        <w:numPr>
          <w:ilvl w:val="0"/>
          <w:numId w:val="58"/>
        </w:numPr>
        <w:rPr>
          <w:rFonts w:ascii="Arial" w:cs="Arial" w:eastAsia="Arial" w:hAnsi="Arial"/>
          <w:sz w:val="20"/>
          <w:szCs w:val="20"/>
          <w:color w:val="auto"/>
        </w:rPr>
      </w:pPr>
      <w:r>
        <w:rPr>
          <w:rFonts w:ascii="Arial" w:cs="Arial" w:eastAsia="Arial" w:hAnsi="Arial"/>
          <w:sz w:val="20"/>
          <w:szCs w:val="20"/>
          <w:color w:val="auto"/>
        </w:rPr>
        <w:t>€100,000 x 100% (1.0) = €100,000</w:t>
      </w:r>
    </w:p>
    <w:p>
      <w:pPr>
        <w:spacing w:after="0" w:line="53" w:lineRule="exact"/>
        <w:rPr>
          <w:rFonts w:ascii="Arial" w:cs="Arial" w:eastAsia="Arial" w:hAnsi="Arial"/>
          <w:sz w:val="20"/>
          <w:szCs w:val="20"/>
          <w:color w:val="auto"/>
        </w:rPr>
      </w:pPr>
    </w:p>
    <w:p>
      <w:pPr>
        <w:ind w:left="1068" w:hanging="420"/>
        <w:spacing w:after="0"/>
        <w:tabs>
          <w:tab w:leader="none" w:pos="1068" w:val="left"/>
        </w:tabs>
        <w:numPr>
          <w:ilvl w:val="0"/>
          <w:numId w:val="58"/>
        </w:numPr>
        <w:rPr>
          <w:rFonts w:ascii="Arial" w:cs="Arial" w:eastAsia="Arial" w:hAnsi="Arial"/>
          <w:sz w:val="20"/>
          <w:szCs w:val="20"/>
          <w:color w:val="auto"/>
        </w:rPr>
      </w:pPr>
      <w:r>
        <w:rPr>
          <w:rFonts w:ascii="Arial" w:cs="Arial" w:eastAsia="Arial" w:hAnsi="Arial"/>
          <w:sz w:val="20"/>
          <w:szCs w:val="20"/>
          <w:color w:val="auto"/>
        </w:rPr>
        <w:t>€100,000 x bonus percentage (.3) x 100% (1.0) = €30,000</w:t>
      </w:r>
    </w:p>
    <w:p>
      <w:pPr>
        <w:spacing w:after="0" w:line="53" w:lineRule="exact"/>
        <w:rPr>
          <w:rFonts w:ascii="Arial" w:cs="Arial" w:eastAsia="Arial" w:hAnsi="Arial"/>
          <w:sz w:val="20"/>
          <w:szCs w:val="20"/>
          <w:color w:val="auto"/>
        </w:rPr>
      </w:pPr>
    </w:p>
    <w:p>
      <w:pPr>
        <w:ind w:left="1068" w:hanging="420"/>
        <w:spacing w:after="0"/>
        <w:tabs>
          <w:tab w:leader="none" w:pos="1068" w:val="left"/>
        </w:tabs>
        <w:numPr>
          <w:ilvl w:val="0"/>
          <w:numId w:val="58"/>
        </w:numPr>
        <w:rPr>
          <w:rFonts w:ascii="Arial" w:cs="Arial" w:eastAsia="Arial" w:hAnsi="Arial"/>
          <w:sz w:val="20"/>
          <w:szCs w:val="20"/>
          <w:color w:val="auto"/>
        </w:rPr>
      </w:pPr>
      <w:r>
        <w:rPr>
          <w:rFonts w:ascii="Arial" w:cs="Arial" w:eastAsia="Arial" w:hAnsi="Arial"/>
          <w:sz w:val="20"/>
          <w:szCs w:val="20"/>
          <w:color w:val="auto"/>
        </w:rPr>
        <w:t>€100,000 x bonus percentage (.3) x 6/12 = €15,000</w:t>
      </w:r>
    </w:p>
    <w:p>
      <w:pPr>
        <w:spacing w:after="0" w:line="318" w:lineRule="exact"/>
        <w:rPr>
          <w:sz w:val="20"/>
          <w:szCs w:val="20"/>
          <w:color w:val="auto"/>
        </w:rPr>
      </w:pPr>
    </w:p>
    <w:p>
      <w:pPr>
        <w:ind w:left="648"/>
        <w:spacing w:after="0"/>
        <w:rPr>
          <w:sz w:val="20"/>
          <w:szCs w:val="20"/>
          <w:color w:val="auto"/>
        </w:rPr>
      </w:pPr>
      <w:r>
        <w:rPr>
          <w:rFonts w:ascii="Arial" w:cs="Arial" w:eastAsia="Arial" w:hAnsi="Arial"/>
          <w:sz w:val="20"/>
          <w:szCs w:val="20"/>
          <w:b w:val="1"/>
          <w:bCs w:val="1"/>
          <w:color w:val="auto"/>
        </w:rPr>
        <w:t>Total Severance Payment: €100,000 + €30,000 + €15,000 = €145,000</w:t>
      </w:r>
    </w:p>
    <w:p>
      <w:pPr>
        <w:spacing w:after="0" w:line="337" w:lineRule="exact"/>
        <w:rPr>
          <w:sz w:val="20"/>
          <w:szCs w:val="20"/>
          <w:color w:val="auto"/>
        </w:rPr>
      </w:pPr>
    </w:p>
    <w:p>
      <w:pPr>
        <w:jc w:val="both"/>
        <w:ind w:left="648" w:firstLine="325"/>
        <w:spacing w:after="0" w:line="365" w:lineRule="auto"/>
        <w:tabs>
          <w:tab w:leader="none" w:pos="1769"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Health Continuation Coverage Benefits: </w:t>
      </w:r>
      <w:r>
        <w:rPr>
          <w:rFonts w:ascii="Arial" w:cs="Arial" w:eastAsia="Arial" w:hAnsi="Arial"/>
          <w:sz w:val="18"/>
          <w:szCs w:val="18"/>
          <w:color w:val="auto"/>
        </w:rPr>
        <w:t>To the extent that Executive elects continued private health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coverage following the Covered Termination at a level equivalent to the private health insurance coverage available to Executive during her employment, the Employer shall pay the applicable premiums (inclusive of premiums for the Executive’s participating dependents, if any) for such plan coverage for a period of twelve (12) months following the date of the Covered Termination (or such earlier date if the Executive dies, if Executive and/or her dependents are no longer eligible for coverage, or if Executive obtains new employment which includes eligibility for health plan coverage). The provision of these benefits is subject to health insurance coverage being obtained on normal terms and subject to medical and other underwriting requirements and other terms and conditions. The Executive shall be required to notify the Employer immediately if the Executive becomes covered by a health insurance plan of a subsequent employer or if the Executive or her participating dependents otherwise cease to be eligible for coverage during the period provided above. Upon the conclusion of such period of insurance premium payments made by the Employer, the Executive will be responsible for the entire payment of premiums.</w:t>
      </w:r>
    </w:p>
    <w:p>
      <w:pPr>
        <w:spacing w:after="0" w:line="210" w:lineRule="exact"/>
        <w:rPr>
          <w:rFonts w:ascii="Arial" w:cs="Arial" w:eastAsia="Arial" w:hAnsi="Arial"/>
          <w:sz w:val="18"/>
          <w:szCs w:val="18"/>
          <w:color w:val="auto"/>
        </w:rPr>
      </w:pPr>
    </w:p>
    <w:p>
      <w:pPr>
        <w:ind w:left="328" w:hanging="328"/>
        <w:spacing w:after="0"/>
        <w:tabs>
          <w:tab w:leader="none" w:pos="328"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Certain Definitions:</w:t>
      </w:r>
    </w:p>
    <w:p>
      <w:pPr>
        <w:spacing w:after="0" w:line="337" w:lineRule="exact"/>
        <w:rPr>
          <w:rFonts w:ascii="Arial" w:cs="Arial" w:eastAsia="Arial" w:hAnsi="Arial"/>
          <w:sz w:val="20"/>
          <w:szCs w:val="20"/>
          <w:color w:val="auto"/>
        </w:rPr>
      </w:pPr>
    </w:p>
    <w:p>
      <w:pPr>
        <w:ind w:left="648" w:right="20" w:firstLine="325"/>
        <w:spacing w:after="0" w:line="351" w:lineRule="auto"/>
        <w:tabs>
          <w:tab w:leader="none" w:pos="1757" w:val="left"/>
        </w:tabs>
        <w:numPr>
          <w:ilvl w:val="1"/>
          <w:numId w:val="60"/>
        </w:numPr>
        <w:rPr>
          <w:rFonts w:ascii="Arial" w:cs="Arial" w:eastAsia="Arial" w:hAnsi="Arial"/>
          <w:sz w:val="20"/>
          <w:szCs w:val="20"/>
          <w:color w:val="auto"/>
        </w:rPr>
      </w:pPr>
      <w:r>
        <w:rPr>
          <w:rFonts w:ascii="Arial" w:cs="Arial" w:eastAsia="Arial" w:hAnsi="Arial"/>
          <w:sz w:val="20"/>
          <w:szCs w:val="20"/>
          <w:b w:val="1"/>
          <w:bCs w:val="1"/>
          <w:color w:val="auto"/>
        </w:rPr>
        <w:t>“Affiliate</w:t>
      </w:r>
      <w:r>
        <w:rPr>
          <w:rFonts w:ascii="Arial" w:cs="Arial" w:eastAsia="Arial" w:hAnsi="Arial"/>
          <w:sz w:val="20"/>
          <w:szCs w:val="20"/>
          <w:color w:val="auto"/>
        </w:rPr>
        <w:t>” means any “parent” or “subsidiary” of the Company as such terms are defined in Rule 405 of the United</w:t>
      </w:r>
      <w:r>
        <w:rPr>
          <w:rFonts w:ascii="Arial" w:cs="Arial" w:eastAsia="Arial" w:hAnsi="Arial"/>
          <w:sz w:val="20"/>
          <w:szCs w:val="20"/>
          <w:b w:val="1"/>
          <w:bCs w:val="1"/>
          <w:color w:val="auto"/>
        </w:rPr>
        <w:t xml:space="preserve"> </w:t>
      </w:r>
      <w:r>
        <w:rPr>
          <w:rFonts w:ascii="Arial" w:cs="Arial" w:eastAsia="Arial" w:hAnsi="Arial"/>
          <w:sz w:val="20"/>
          <w:szCs w:val="20"/>
          <w:color w:val="auto"/>
        </w:rPr>
        <w:t>States Securities Act of 1933, as amended.</w:t>
      </w:r>
    </w:p>
    <w:p>
      <w:pPr>
        <w:sectPr>
          <w:pgSz w:w="11900" w:h="16838" w:orient="portrait"/>
          <w:cols w:equalWidth="0" w:num="1">
            <w:col w:w="11088"/>
          </w:cols>
          <w:pgMar w:left="572" w:top="636" w:right="239" w:bottom="1440" w:gutter="0" w:footer="0" w:header="0"/>
        </w:sectPr>
      </w:pPr>
    </w:p>
    <w:bookmarkStart w:id="93" w:name="page94"/>
    <w:bookmarkEnd w:id="93"/>
    <w:p>
      <w:pPr>
        <w:ind w:firstLine="325"/>
        <w:spacing w:after="0" w:line="351" w:lineRule="auto"/>
        <w:tabs>
          <w:tab w:leader="none" w:pos="1120" w:val="left"/>
        </w:tabs>
        <w:numPr>
          <w:ilvl w:val="1"/>
          <w:numId w:val="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Basic Salary</w:t>
      </w:r>
      <w:r>
        <w:rPr>
          <w:rFonts w:ascii="Arial" w:cs="Arial" w:eastAsia="Arial" w:hAnsi="Arial"/>
          <w:sz w:val="20"/>
          <w:szCs w:val="20"/>
          <w:color w:val="auto"/>
        </w:rPr>
        <w:t>” means Executive’s annual base pay (excluding incentive pay, premium pay, commissions, overtime, bonuses and other forms of variable compensation).</w:t>
      </w:r>
    </w:p>
    <w:p>
      <w:pPr>
        <w:spacing w:after="0" w:line="218" w:lineRule="exact"/>
        <w:rPr>
          <w:rFonts w:ascii="Arial" w:cs="Arial" w:eastAsia="Arial" w:hAnsi="Arial"/>
          <w:sz w:val="20"/>
          <w:szCs w:val="20"/>
          <w:color w:val="auto"/>
        </w:rPr>
      </w:pPr>
    </w:p>
    <w:p>
      <w:pPr>
        <w:ind w:left="1120" w:hanging="795"/>
        <w:spacing w:after="0"/>
        <w:tabs>
          <w:tab w:leader="none" w:pos="1120" w:val="left"/>
        </w:tabs>
        <w:numPr>
          <w:ilvl w:val="1"/>
          <w:numId w:val="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w:t>
      </w:r>
    </w:p>
    <w:p>
      <w:pPr>
        <w:spacing w:after="0" w:line="350" w:lineRule="exact"/>
        <w:rPr>
          <w:rFonts w:ascii="Arial" w:cs="Arial" w:eastAsia="Arial" w:hAnsi="Arial"/>
          <w:sz w:val="20"/>
          <w:szCs w:val="20"/>
          <w:color w:val="auto"/>
        </w:rPr>
      </w:pPr>
    </w:p>
    <w:p>
      <w:pPr>
        <w:ind w:right="20" w:firstLine="325"/>
        <w:spacing w:after="0" w:line="351" w:lineRule="auto"/>
        <w:tabs>
          <w:tab w:leader="none" w:pos="1120" w:val="left"/>
        </w:tabs>
        <w:numPr>
          <w:ilvl w:val="1"/>
          <w:numId w:val="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Bonus Multiplier</w:t>
      </w:r>
      <w:r>
        <w:rPr>
          <w:rFonts w:ascii="Arial" w:cs="Arial" w:eastAsia="Arial" w:hAnsi="Arial"/>
          <w:sz w:val="20"/>
          <w:szCs w:val="20"/>
          <w:color w:val="auto"/>
        </w:rPr>
        <w:t>” means the quotient obtained by dividing the number of full months that the Executive is employed by the Company or an Affiliate in the year of a Covered Termination by twelve (12).</w:t>
      </w:r>
    </w:p>
    <w:p>
      <w:pPr>
        <w:spacing w:after="0" w:line="218" w:lineRule="exact"/>
        <w:rPr>
          <w:rFonts w:ascii="Arial" w:cs="Arial" w:eastAsia="Arial" w:hAnsi="Arial"/>
          <w:sz w:val="20"/>
          <w:szCs w:val="20"/>
          <w:color w:val="auto"/>
        </w:rPr>
      </w:pPr>
    </w:p>
    <w:p>
      <w:pPr>
        <w:jc w:val="both"/>
        <w:ind w:firstLine="325"/>
        <w:spacing w:after="0" w:line="363" w:lineRule="auto"/>
        <w:tabs>
          <w:tab w:leader="none" w:pos="1109"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Bonus Percentage</w:t>
      </w:r>
      <w:r>
        <w:rPr>
          <w:rFonts w:ascii="Arial" w:cs="Arial" w:eastAsia="Arial" w:hAnsi="Arial"/>
          <w:sz w:val="18"/>
          <w:szCs w:val="18"/>
          <w:color w:val="auto"/>
        </w:rPr>
        <w:t>” means the greater of (i) the highest amount of any annual bonus paid to the Executive by the Company or an Affiliate for (x) either of the last two (2) calendar years prior to the date of the Executive’s Covered Termination or</w:t>
      </w:r>
    </w:p>
    <w:p>
      <w:pPr>
        <w:spacing w:after="0" w:line="1" w:lineRule="exact"/>
        <w:rPr>
          <w:rFonts w:ascii="Arial" w:cs="Arial" w:eastAsia="Arial" w:hAnsi="Arial"/>
          <w:sz w:val="18"/>
          <w:szCs w:val="18"/>
          <w:color w:val="auto"/>
        </w:rPr>
      </w:pPr>
    </w:p>
    <w:p>
      <w:pPr>
        <w:jc w:val="both"/>
        <w:spacing w:after="0" w:line="367" w:lineRule="auto"/>
        <w:tabs>
          <w:tab w:leader="none" w:pos="292" w:val="left"/>
        </w:tabs>
        <w:numPr>
          <w:ilvl w:val="0"/>
          <w:numId w:val="62"/>
        </w:numPr>
        <w:rPr>
          <w:rFonts w:ascii="Arial" w:cs="Arial" w:eastAsia="Arial" w:hAnsi="Arial"/>
          <w:sz w:val="18"/>
          <w:szCs w:val="18"/>
          <w:color w:val="auto"/>
        </w:rPr>
      </w:pPr>
      <w:r>
        <w:rPr>
          <w:rFonts w:ascii="Arial" w:cs="Arial" w:eastAsia="Arial" w:hAnsi="Arial"/>
          <w:sz w:val="18"/>
          <w:szCs w:val="18"/>
          <w:color w:val="auto"/>
        </w:rPr>
        <w:t>either of the last two (2) calendar years prior to the Change in Control, in each case expressed as a percentage of Executive’s annual basic salary paid in the applicable year; or (ii) the higher of the Executive’s target bonus for (x) the calendar year in which the Executive’s Covered Termination occurs or (y) the calendar year in which the Change in Control occurs, in each case expressed as a percentage of Executive’s annual basic salary paid in the applicable year. For purposes of the foregoing and this Amendment, if the Executive has a title of Vice President on the date of her Covered Termination, the Executive’s target bonus for the calendar year in which the Covered Termination occurs or for the calendar year in which the Change in Control occurs shall mean, in each case, thirty percent (30%) of the Executive’s Basic Salary for such year, notwithstanding any contrary provision set forth in any bonus or other plan maintained by the Company or an Affiliate.</w:t>
      </w:r>
    </w:p>
    <w:p>
      <w:pPr>
        <w:spacing w:after="0" w:line="216" w:lineRule="exact"/>
        <w:rPr>
          <w:rFonts w:ascii="Arial" w:cs="Arial" w:eastAsia="Arial" w:hAnsi="Arial"/>
          <w:sz w:val="18"/>
          <w:szCs w:val="18"/>
          <w:color w:val="auto"/>
        </w:rPr>
      </w:pPr>
    </w:p>
    <w:p>
      <w:pPr>
        <w:ind w:left="1080" w:hanging="755"/>
        <w:spacing w:after="0"/>
        <w:tabs>
          <w:tab w:leader="none" w:pos="1080" w:val="left"/>
        </w:tabs>
        <w:numPr>
          <w:ilvl w:val="1"/>
          <w:numId w:val="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Cause</w:t>
      </w:r>
      <w:r>
        <w:rPr>
          <w:rFonts w:ascii="Arial" w:cs="Arial" w:eastAsia="Arial" w:hAnsi="Arial"/>
          <w:sz w:val="20"/>
          <w:szCs w:val="20"/>
          <w:color w:val="auto"/>
        </w:rPr>
        <w:t>” means the occurrence of any one or more of the following:</w:t>
      </w:r>
    </w:p>
    <w:p>
      <w:pPr>
        <w:spacing w:after="0" w:line="343" w:lineRule="exact"/>
        <w:rPr>
          <w:rFonts w:ascii="Arial" w:cs="Arial" w:eastAsia="Arial" w:hAnsi="Arial"/>
          <w:sz w:val="20"/>
          <w:szCs w:val="20"/>
          <w:color w:val="auto"/>
        </w:rPr>
      </w:pPr>
    </w:p>
    <w:p>
      <w:pPr>
        <w:ind w:left="1780" w:right="20" w:hanging="483"/>
        <w:spacing w:after="0" w:line="311" w:lineRule="auto"/>
        <w:tabs>
          <w:tab w:leader="none" w:pos="1780" w:val="left"/>
        </w:tabs>
        <w:numPr>
          <w:ilvl w:val="2"/>
          <w:numId w:val="62"/>
        </w:numPr>
        <w:rPr>
          <w:rFonts w:ascii="Arial" w:cs="Arial" w:eastAsia="Arial" w:hAnsi="Arial"/>
          <w:sz w:val="19"/>
          <w:szCs w:val="19"/>
          <w:color w:val="auto"/>
        </w:rPr>
      </w:pPr>
      <w:r>
        <w:rPr>
          <w:rFonts w:ascii="Arial" w:cs="Arial" w:eastAsia="Arial" w:hAnsi="Arial"/>
          <w:sz w:val="19"/>
          <w:szCs w:val="19"/>
          <w:color w:val="auto"/>
        </w:rPr>
        <w:t>the Executive’s unauthorised use or disclosure of the confidential information or trade secrets of the Company or its Affiliates which use or disclosure causes material harm to the Company or an Affiliate;</w:t>
      </w:r>
    </w:p>
    <w:p>
      <w:pPr>
        <w:jc w:val="both"/>
        <w:ind w:left="1780" w:hanging="483"/>
        <w:spacing w:after="0" w:line="295" w:lineRule="auto"/>
        <w:tabs>
          <w:tab w:leader="none" w:pos="1780" w:val="left"/>
        </w:tabs>
        <w:numPr>
          <w:ilvl w:val="2"/>
          <w:numId w:val="62"/>
        </w:numPr>
        <w:rPr>
          <w:rFonts w:ascii="Arial" w:cs="Arial" w:eastAsia="Arial" w:hAnsi="Arial"/>
          <w:sz w:val="20"/>
          <w:szCs w:val="20"/>
          <w:color w:val="auto"/>
        </w:rPr>
      </w:pPr>
      <w:r>
        <w:rPr>
          <w:rFonts w:ascii="Arial" w:cs="Arial" w:eastAsia="Arial" w:hAnsi="Arial"/>
          <w:sz w:val="20"/>
          <w:szCs w:val="20"/>
          <w:color w:val="auto"/>
        </w:rPr>
        <w:t>the Executive’s material breach of any written agreement between the Executive and the Company or an Affiliate, or the Executive’s material violation of any statutory duty owed to the Company or an Affiliate, in either case which remains uncured for ten (10) business days after receiving written notification of the breach or violation from the Board or its designee;</w:t>
      </w:r>
    </w:p>
    <w:p>
      <w:pPr>
        <w:spacing w:after="0" w:line="3" w:lineRule="exact"/>
        <w:rPr>
          <w:rFonts w:ascii="Arial" w:cs="Arial" w:eastAsia="Arial" w:hAnsi="Arial"/>
          <w:sz w:val="20"/>
          <w:szCs w:val="20"/>
          <w:color w:val="auto"/>
        </w:rPr>
      </w:pPr>
    </w:p>
    <w:p>
      <w:pPr>
        <w:jc w:val="both"/>
        <w:ind w:left="1780" w:hanging="483"/>
        <w:spacing w:after="0" w:line="295" w:lineRule="auto"/>
        <w:tabs>
          <w:tab w:leader="none" w:pos="1780" w:val="left"/>
        </w:tabs>
        <w:numPr>
          <w:ilvl w:val="2"/>
          <w:numId w:val="62"/>
        </w:numPr>
        <w:rPr>
          <w:rFonts w:ascii="Arial" w:cs="Arial" w:eastAsia="Arial" w:hAnsi="Arial"/>
          <w:sz w:val="20"/>
          <w:szCs w:val="20"/>
          <w:color w:val="auto"/>
        </w:rPr>
      </w:pPr>
      <w:r>
        <w:rPr>
          <w:rFonts w:ascii="Arial" w:cs="Arial" w:eastAsia="Arial" w:hAnsi="Arial"/>
          <w:sz w:val="20"/>
          <w:szCs w:val="20"/>
          <w:color w:val="auto"/>
        </w:rPr>
        <w:t>the Executive’s material failure to comply with the written policies or rules of the Company or an Affiliate which remains uncured for ten (10) business days after receiving written notification of the breach from the Board or its designee;</w:t>
      </w:r>
    </w:p>
    <w:p>
      <w:pPr>
        <w:spacing w:after="0" w:line="2" w:lineRule="exact"/>
        <w:rPr>
          <w:rFonts w:ascii="Arial" w:cs="Arial" w:eastAsia="Arial" w:hAnsi="Arial"/>
          <w:sz w:val="20"/>
          <w:szCs w:val="20"/>
          <w:color w:val="auto"/>
        </w:rPr>
      </w:pPr>
    </w:p>
    <w:p>
      <w:pPr>
        <w:ind w:left="1780" w:hanging="483"/>
        <w:spacing w:after="0" w:line="317" w:lineRule="auto"/>
        <w:tabs>
          <w:tab w:leader="none" w:pos="1780" w:val="left"/>
        </w:tabs>
        <w:numPr>
          <w:ilvl w:val="2"/>
          <w:numId w:val="62"/>
        </w:numPr>
        <w:rPr>
          <w:rFonts w:ascii="Arial" w:cs="Arial" w:eastAsia="Arial" w:hAnsi="Arial"/>
          <w:sz w:val="20"/>
          <w:szCs w:val="20"/>
          <w:color w:val="auto"/>
        </w:rPr>
      </w:pPr>
      <w:r>
        <w:rPr>
          <w:rFonts w:ascii="Arial" w:cs="Arial" w:eastAsia="Arial" w:hAnsi="Arial"/>
          <w:sz w:val="20"/>
          <w:szCs w:val="20"/>
          <w:color w:val="auto"/>
        </w:rPr>
        <w:t>the Executive’s conviction of, or plea of “guilty” or “no contest” to, any crime involving fraud, dishonesty, or moral turpitude under the</w:t>
      </w:r>
    </w:p>
    <w:p>
      <w:pPr>
        <w:sectPr>
          <w:pgSz w:w="11900" w:h="16838" w:orient="portrait"/>
          <w:cols w:equalWidth="0" w:num="1">
            <w:col w:w="10440"/>
          </w:cols>
          <w:pgMar w:left="1220" w:top="630" w:right="239" w:bottom="1440" w:gutter="0" w:footer="0" w:header="0"/>
        </w:sectPr>
      </w:pPr>
    </w:p>
    <w:bookmarkStart w:id="94" w:name="page95"/>
    <w:bookmarkEnd w:id="94"/>
    <w:p>
      <w:pPr>
        <w:ind w:left="1560"/>
        <w:spacing w:after="0"/>
        <w:rPr>
          <w:sz w:val="20"/>
          <w:szCs w:val="20"/>
          <w:color w:val="auto"/>
        </w:rPr>
      </w:pPr>
      <w:r>
        <w:rPr>
          <w:rFonts w:ascii="Arial" w:cs="Arial" w:eastAsia="Arial" w:hAnsi="Arial"/>
          <w:sz w:val="18"/>
          <w:szCs w:val="18"/>
          <w:color w:val="auto"/>
        </w:rPr>
        <w:t>laws of any United States or Irish federal, state, or local authority, or any foreign governmental authority;</w:t>
      </w:r>
    </w:p>
    <w:p>
      <w:pPr>
        <w:spacing w:after="0" w:line="90" w:lineRule="exact"/>
        <w:rPr>
          <w:sz w:val="20"/>
          <w:szCs w:val="20"/>
          <w:color w:val="auto"/>
        </w:rPr>
      </w:pPr>
    </w:p>
    <w:p>
      <w:pPr>
        <w:ind w:left="1560" w:right="20" w:hanging="483"/>
        <w:spacing w:after="0" w:line="295" w:lineRule="auto"/>
        <w:tabs>
          <w:tab w:leader="none" w:pos="1560"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Executive’s gross misconduct, including but not limited to an attempted or actual commission of, participation or cooperation in, fraud or act of dishonesty against the Company or an Affiliate;</w:t>
      </w:r>
    </w:p>
    <w:p>
      <w:pPr>
        <w:spacing w:after="0" w:line="1" w:lineRule="exact"/>
        <w:rPr>
          <w:rFonts w:ascii="Arial" w:cs="Arial" w:eastAsia="Arial" w:hAnsi="Arial"/>
          <w:sz w:val="20"/>
          <w:szCs w:val="20"/>
          <w:color w:val="auto"/>
        </w:rPr>
      </w:pPr>
    </w:p>
    <w:p>
      <w:pPr>
        <w:ind w:left="1560" w:hanging="483"/>
        <w:spacing w:after="0" w:line="295" w:lineRule="auto"/>
        <w:tabs>
          <w:tab w:leader="none" w:pos="1560"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Executive’s continuing failure to perform assigned duties after receiving written notification of the failure from the Board or its designee;</w:t>
      </w:r>
    </w:p>
    <w:p>
      <w:pPr>
        <w:spacing w:after="0" w:line="1" w:lineRule="exact"/>
        <w:rPr>
          <w:rFonts w:ascii="Arial" w:cs="Arial" w:eastAsia="Arial" w:hAnsi="Arial"/>
          <w:sz w:val="20"/>
          <w:szCs w:val="20"/>
          <w:color w:val="auto"/>
        </w:rPr>
      </w:pPr>
    </w:p>
    <w:p>
      <w:pPr>
        <w:jc w:val="both"/>
        <w:ind w:left="1560" w:hanging="483"/>
        <w:spacing w:after="0" w:line="295" w:lineRule="auto"/>
        <w:tabs>
          <w:tab w:leader="none" w:pos="1560"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Executive’s failure to reasonably cooperate in good faith with a governmental or internal investigation of the Company, or any of its Affiliates, directors, officers, or employees, if the Board or its designee has requested the Executive’s cooperation; or</w:t>
      </w:r>
    </w:p>
    <w:p>
      <w:pPr>
        <w:spacing w:after="0" w:line="2" w:lineRule="exact"/>
        <w:rPr>
          <w:rFonts w:ascii="Arial" w:cs="Arial" w:eastAsia="Arial" w:hAnsi="Arial"/>
          <w:sz w:val="20"/>
          <w:szCs w:val="20"/>
          <w:color w:val="auto"/>
        </w:rPr>
      </w:pPr>
    </w:p>
    <w:p>
      <w:pPr>
        <w:jc w:val="both"/>
        <w:ind w:left="1560" w:hanging="483"/>
        <w:spacing w:after="0" w:line="298" w:lineRule="auto"/>
        <w:tabs>
          <w:tab w:leader="none" w:pos="1560" w:val="left"/>
        </w:tabs>
        <w:numPr>
          <w:ilvl w:val="1"/>
          <w:numId w:val="63"/>
        </w:numPr>
        <w:rPr>
          <w:rFonts w:ascii="Arial" w:cs="Arial" w:eastAsia="Arial" w:hAnsi="Arial"/>
          <w:sz w:val="20"/>
          <w:szCs w:val="20"/>
          <w:color w:val="auto"/>
        </w:rPr>
      </w:pPr>
      <w:r>
        <w:rPr>
          <w:rFonts w:ascii="Arial" w:cs="Arial" w:eastAsia="Arial" w:hAnsi="Arial"/>
          <w:sz w:val="20"/>
          <w:szCs w:val="20"/>
          <w:color w:val="auto"/>
        </w:rPr>
        <w:t>any action of Executive warranting summary dismissal or termination without prior notice under Executive’s Employment Contract or such other employment agreement of Executive as in effect on the Covered Termination or under applicable employment laws.</w:t>
      </w:r>
    </w:p>
    <w:p>
      <w:pPr>
        <w:spacing w:after="0" w:line="1" w:lineRule="exact"/>
        <w:rPr>
          <w:rFonts w:ascii="Arial" w:cs="Arial" w:eastAsia="Arial" w:hAnsi="Arial"/>
          <w:sz w:val="20"/>
          <w:szCs w:val="20"/>
          <w:color w:val="auto"/>
        </w:rPr>
      </w:pPr>
    </w:p>
    <w:p>
      <w:pPr>
        <w:ind w:left="-220" w:right="20" w:firstLine="325"/>
        <w:spacing w:after="0" w:line="351" w:lineRule="auto"/>
        <w:tabs>
          <w:tab w:leader="none" w:pos="901" w:val="left"/>
        </w:tabs>
        <w:numPr>
          <w:ilvl w:val="0"/>
          <w:numId w:val="6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means “Change in Control” as defined in the Jazz Pharmaceuticals plc Amended and Restated Executive Change in Control and Severance Benefit Plan (“</w:t>
      </w:r>
      <w:r>
        <w:rPr>
          <w:rFonts w:ascii="Arial" w:cs="Arial" w:eastAsia="Arial" w:hAnsi="Arial"/>
          <w:sz w:val="20"/>
          <w:szCs w:val="20"/>
          <w:b w:val="1"/>
          <w:bCs w:val="1"/>
          <w:color w:val="auto"/>
        </w:rPr>
        <w:t>Executive CIC Plan</w:t>
      </w:r>
      <w:r>
        <w:rPr>
          <w:rFonts w:ascii="Arial" w:cs="Arial" w:eastAsia="Arial" w:hAnsi="Arial"/>
          <w:sz w:val="20"/>
          <w:szCs w:val="20"/>
          <w:color w:val="auto"/>
        </w:rPr>
        <w:t>”).</w:t>
      </w:r>
    </w:p>
    <w:p>
      <w:pPr>
        <w:spacing w:after="0" w:line="218" w:lineRule="exact"/>
        <w:rPr>
          <w:rFonts w:ascii="Arial" w:cs="Arial" w:eastAsia="Arial" w:hAnsi="Arial"/>
          <w:sz w:val="20"/>
          <w:szCs w:val="20"/>
          <w:color w:val="auto"/>
        </w:rPr>
      </w:pPr>
    </w:p>
    <w:p>
      <w:pPr>
        <w:jc w:val="both"/>
        <w:ind w:left="-220" w:firstLine="325"/>
        <w:spacing w:after="0" w:line="388" w:lineRule="auto"/>
        <w:tabs>
          <w:tab w:leader="none" w:pos="901"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 means the Companies Act 2014 of Ireland, together with all statutory modifications and re-enactments thereof and all statutes and statutory instruments which are to be read as one with, or construed or read together as one with, the aforementioned enactments and every statutory modification and re-enactment thereof for the time being in force.</w:t>
      </w:r>
    </w:p>
    <w:p>
      <w:pPr>
        <w:spacing w:after="0" w:line="198" w:lineRule="exact"/>
        <w:rPr>
          <w:rFonts w:ascii="Arial" w:cs="Arial" w:eastAsia="Arial" w:hAnsi="Arial"/>
          <w:sz w:val="18"/>
          <w:szCs w:val="18"/>
          <w:color w:val="auto"/>
        </w:rPr>
      </w:pPr>
    </w:p>
    <w:p>
      <w:pPr>
        <w:ind w:left="860" w:hanging="755"/>
        <w:spacing w:after="0"/>
        <w:tabs>
          <w:tab w:leader="none" w:pos="8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means “Company” as defined in the Executive CIC Plan.</w:t>
      </w:r>
    </w:p>
    <w:p>
      <w:pPr>
        <w:spacing w:after="0" w:line="350" w:lineRule="exact"/>
        <w:rPr>
          <w:rFonts w:ascii="Arial" w:cs="Arial" w:eastAsia="Arial" w:hAnsi="Arial"/>
          <w:sz w:val="20"/>
          <w:szCs w:val="20"/>
          <w:color w:val="auto"/>
        </w:rPr>
      </w:pPr>
    </w:p>
    <w:p>
      <w:pPr>
        <w:jc w:val="both"/>
        <w:ind w:left="-220" w:firstLine="325"/>
        <w:spacing w:after="0" w:line="347" w:lineRule="auto"/>
        <w:tabs>
          <w:tab w:leader="none" w:pos="857"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Constructive Termination</w:t>
      </w:r>
      <w:r>
        <w:rPr>
          <w:rFonts w:ascii="Arial" w:cs="Arial" w:eastAsia="Arial" w:hAnsi="Arial"/>
          <w:sz w:val="19"/>
          <w:szCs w:val="19"/>
          <w:color w:val="auto"/>
        </w:rPr>
        <w:t>” means a resignation of employment by Executive after an action or event which constitutes Good Reason is undertaken by the Company or an Affiliate, or otherwise occurs, provided such action or event is not agreed to by Executive in writing; provided, however, that in order for Executive’s resignation to constitute a Constructive Termination, Executive must (i) provide written notice to the Company’s General Counsel within thirty (30) days after the first occurrence of the action or event giving rise to Good Reason setting forth the basis for such resignation, (ii) allow the Company at least thirty (30) days from receipt of such written notice to cure such action or event, and (iii) if such action or event is not reasonably cured within such period, resign from all positions Executive then holds with the Company and any Affiliate effective not later than ninety (90) days after the expiration of the cure period.</w:t>
      </w:r>
    </w:p>
    <w:p>
      <w:pPr>
        <w:sectPr>
          <w:pgSz w:w="11900" w:h="16838" w:orient="portrait"/>
          <w:cols w:equalWidth="0" w:num="1">
            <w:col w:w="10220"/>
          </w:cols>
          <w:pgMar w:left="1440" w:top="636" w:right="239" w:bottom="1440" w:gutter="0" w:footer="0" w:header="0"/>
        </w:sectPr>
      </w:pPr>
    </w:p>
    <w:bookmarkStart w:id="95" w:name="page96"/>
    <w:bookmarkEnd w:id="95"/>
    <w:p>
      <w:pPr>
        <w:ind w:firstLine="325"/>
        <w:spacing w:after="0" w:line="351" w:lineRule="auto"/>
        <w:tabs>
          <w:tab w:leader="none" w:pos="1120" w:val="left"/>
        </w:tabs>
        <w:numPr>
          <w:ilvl w:val="1"/>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Covered Termination</w:t>
      </w:r>
      <w:r>
        <w:rPr>
          <w:rFonts w:ascii="Arial" w:cs="Arial" w:eastAsia="Arial" w:hAnsi="Arial"/>
          <w:sz w:val="20"/>
          <w:szCs w:val="20"/>
          <w:color w:val="auto"/>
        </w:rPr>
        <w:t>” means either (i) an Involuntary Termination Without Cause, or (ii) a Constructive Termination, in each case effective upon or within twelve (12) months following a Change in Control.</w:t>
      </w:r>
    </w:p>
    <w:p>
      <w:pPr>
        <w:spacing w:after="0" w:line="218" w:lineRule="exact"/>
        <w:rPr>
          <w:rFonts w:ascii="Arial" w:cs="Arial" w:eastAsia="Arial" w:hAnsi="Arial"/>
          <w:sz w:val="20"/>
          <w:szCs w:val="20"/>
          <w:color w:val="auto"/>
        </w:rPr>
      </w:pPr>
    </w:p>
    <w:p>
      <w:pPr>
        <w:jc w:val="both"/>
        <w:ind w:firstLine="325"/>
        <w:spacing w:after="0" w:line="379" w:lineRule="auto"/>
        <w:tabs>
          <w:tab w:leader="none" w:pos="1076" w:val="left"/>
        </w:tabs>
        <w:numPr>
          <w:ilvl w:val="1"/>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Executive’s inability to engage in any substantial gainful activity by reason of any medically determinable physical or mental impairment which can be expected to result in death or which has lasted or can be expected to last for a continuous period of not less than twelve (12) months, and shall be reasonably determined by the Board or its designee on the basis of such medical evidence as the Board or its designee deems warranted under the circumstances.</w:t>
      </w:r>
    </w:p>
    <w:p>
      <w:pPr>
        <w:spacing w:after="0" w:line="205" w:lineRule="exact"/>
        <w:rPr>
          <w:rFonts w:ascii="Arial" w:cs="Arial" w:eastAsia="Arial" w:hAnsi="Arial"/>
          <w:sz w:val="18"/>
          <w:szCs w:val="18"/>
          <w:color w:val="auto"/>
        </w:rPr>
      </w:pPr>
    </w:p>
    <w:p>
      <w:pPr>
        <w:ind w:left="1180" w:hanging="855"/>
        <w:spacing w:after="0"/>
        <w:tabs>
          <w:tab w:leader="none" w:pos="1180" w:val="left"/>
        </w:tabs>
        <w:numPr>
          <w:ilvl w:val="1"/>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Employer</w:t>
      </w:r>
      <w:r>
        <w:rPr>
          <w:rFonts w:ascii="Arial" w:cs="Arial" w:eastAsia="Arial" w:hAnsi="Arial"/>
          <w:sz w:val="20"/>
          <w:szCs w:val="20"/>
          <w:color w:val="auto"/>
        </w:rPr>
        <w:t>” means the entity which employs Executive.</w:t>
      </w:r>
    </w:p>
    <w:p>
      <w:pPr>
        <w:spacing w:after="0" w:line="350" w:lineRule="exact"/>
        <w:rPr>
          <w:rFonts w:ascii="Arial" w:cs="Arial" w:eastAsia="Arial" w:hAnsi="Arial"/>
          <w:sz w:val="20"/>
          <w:szCs w:val="20"/>
          <w:color w:val="auto"/>
        </w:rPr>
      </w:pPr>
    </w:p>
    <w:p>
      <w:pPr>
        <w:ind w:left="1120" w:hanging="795"/>
        <w:spacing w:after="0"/>
        <w:tabs>
          <w:tab w:leader="none" w:pos="1120" w:val="left"/>
        </w:tabs>
        <w:numPr>
          <w:ilvl w:val="1"/>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Executive</w:t>
      </w:r>
      <w:r>
        <w:rPr>
          <w:rFonts w:ascii="Arial" w:cs="Arial" w:eastAsia="Arial" w:hAnsi="Arial"/>
          <w:sz w:val="20"/>
          <w:szCs w:val="20"/>
          <w:color w:val="auto"/>
        </w:rPr>
        <w:t>” means Patricia Carr.</w:t>
      </w:r>
    </w:p>
    <w:p>
      <w:pPr>
        <w:spacing w:after="0" w:line="350" w:lineRule="exact"/>
        <w:rPr>
          <w:rFonts w:ascii="Arial" w:cs="Arial" w:eastAsia="Arial" w:hAnsi="Arial"/>
          <w:sz w:val="20"/>
          <w:szCs w:val="20"/>
          <w:color w:val="auto"/>
        </w:rPr>
      </w:pPr>
    </w:p>
    <w:p>
      <w:pPr>
        <w:jc w:val="both"/>
        <w:ind w:firstLine="325"/>
        <w:spacing w:after="0" w:line="362" w:lineRule="auto"/>
        <w:tabs>
          <w:tab w:leader="none" w:pos="11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Basic Salary</w:t>
      </w:r>
      <w:r>
        <w:rPr>
          <w:rFonts w:ascii="Arial" w:cs="Arial" w:eastAsia="Arial" w:hAnsi="Arial"/>
          <w:sz w:val="18"/>
          <w:szCs w:val="18"/>
          <w:color w:val="auto"/>
        </w:rPr>
        <w:t>” means the higher of Executive’s Basic Salary in effect (x) on the date of her Covered Termination (without giving effect to any reduction in Basic Salary that would constitute Good Reason for Constructive Termination) or (y) immediately prior to the Change in Control; provided, however, that if the Executive has, during the twelve</w:t>
      </w:r>
    </w:p>
    <w:p>
      <w:pPr>
        <w:spacing w:after="0" w:line="1" w:lineRule="exact"/>
        <w:rPr>
          <w:rFonts w:ascii="Arial" w:cs="Arial" w:eastAsia="Arial" w:hAnsi="Arial"/>
          <w:sz w:val="18"/>
          <w:szCs w:val="18"/>
          <w:color w:val="auto"/>
        </w:rPr>
      </w:pPr>
    </w:p>
    <w:p>
      <w:pPr>
        <w:ind w:right="20"/>
        <w:spacing w:after="0" w:line="345" w:lineRule="auto"/>
        <w:tabs>
          <w:tab w:leader="none" w:pos="384" w:val="left"/>
        </w:tabs>
        <w:numPr>
          <w:ilvl w:val="0"/>
          <w:numId w:val="66"/>
        </w:numPr>
        <w:rPr>
          <w:rFonts w:ascii="Arial" w:cs="Arial" w:eastAsia="Arial" w:hAnsi="Arial"/>
          <w:sz w:val="20"/>
          <w:szCs w:val="20"/>
          <w:color w:val="auto"/>
        </w:rPr>
      </w:pPr>
      <w:r>
        <w:rPr>
          <w:rFonts w:ascii="Arial" w:cs="Arial" w:eastAsia="Arial" w:hAnsi="Arial"/>
          <w:sz w:val="20"/>
          <w:szCs w:val="20"/>
          <w:color w:val="auto"/>
        </w:rPr>
        <w:t>months prior to the date of her Covered Termination or the Change in Control, as applicable, taken a voluntary pay reduction, then Executive’s Final Basic Salary will be determined without regard to such voluntary pay reduction.</w:t>
      </w:r>
    </w:p>
    <w:p>
      <w:pPr>
        <w:spacing w:after="0" w:line="224" w:lineRule="exact"/>
        <w:rPr>
          <w:rFonts w:ascii="Arial" w:cs="Arial" w:eastAsia="Arial" w:hAnsi="Arial"/>
          <w:sz w:val="20"/>
          <w:szCs w:val="20"/>
          <w:color w:val="auto"/>
        </w:rPr>
      </w:pPr>
    </w:p>
    <w:p>
      <w:pPr>
        <w:ind w:firstLine="325"/>
        <w:spacing w:after="0" w:line="351" w:lineRule="auto"/>
        <w:tabs>
          <w:tab w:leader="none" w:pos="1120" w:val="left"/>
        </w:tabs>
        <w:numPr>
          <w:ilvl w:val="1"/>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 Reason</w:t>
      </w:r>
      <w:r>
        <w:rPr>
          <w:rFonts w:ascii="Arial" w:cs="Arial" w:eastAsia="Arial" w:hAnsi="Arial"/>
          <w:sz w:val="20"/>
          <w:szCs w:val="20"/>
          <w:color w:val="auto"/>
        </w:rPr>
        <w:t>” means the occurrence of any one or more of the following actions or events without Executive’s written consent:</w:t>
      </w:r>
    </w:p>
    <w:p>
      <w:pPr>
        <w:spacing w:after="0" w:line="211" w:lineRule="exact"/>
        <w:rPr>
          <w:rFonts w:ascii="Arial" w:cs="Arial" w:eastAsia="Arial" w:hAnsi="Arial"/>
          <w:sz w:val="20"/>
          <w:szCs w:val="20"/>
          <w:color w:val="auto"/>
        </w:rPr>
      </w:pPr>
    </w:p>
    <w:p>
      <w:pPr>
        <w:jc w:val="both"/>
        <w:ind w:left="1780" w:hanging="483"/>
        <w:spacing w:after="0" w:line="295" w:lineRule="auto"/>
        <w:tabs>
          <w:tab w:leader="none" w:pos="1780" w:val="left"/>
        </w:tabs>
        <w:numPr>
          <w:ilvl w:val="2"/>
          <w:numId w:val="66"/>
        </w:numPr>
        <w:rPr>
          <w:rFonts w:ascii="Arial" w:cs="Arial" w:eastAsia="Arial" w:hAnsi="Arial"/>
          <w:sz w:val="20"/>
          <w:szCs w:val="20"/>
          <w:color w:val="auto"/>
        </w:rPr>
      </w:pPr>
      <w:r>
        <w:rPr>
          <w:rFonts w:ascii="Arial" w:cs="Arial" w:eastAsia="Arial" w:hAnsi="Arial"/>
          <w:sz w:val="20"/>
          <w:szCs w:val="20"/>
          <w:color w:val="auto"/>
        </w:rPr>
        <w:t>one or more reductions in Executive’s Basic Salary that results in a total reduction in Executive’s Basic Salary, as in effect immediately prior to the Change in Control or any higher Basic Salary in effect following the Change in Control, by more than ten percent (10%);</w:t>
      </w:r>
    </w:p>
    <w:p>
      <w:pPr>
        <w:spacing w:after="0" w:line="2" w:lineRule="exact"/>
        <w:rPr>
          <w:rFonts w:ascii="Arial" w:cs="Arial" w:eastAsia="Arial" w:hAnsi="Arial"/>
          <w:sz w:val="20"/>
          <w:szCs w:val="20"/>
          <w:color w:val="auto"/>
        </w:rPr>
      </w:pPr>
    </w:p>
    <w:p>
      <w:pPr>
        <w:ind w:left="1780" w:hanging="483"/>
        <w:spacing w:after="0" w:line="317" w:lineRule="auto"/>
        <w:tabs>
          <w:tab w:leader="none" w:pos="1780" w:val="left"/>
        </w:tabs>
        <w:numPr>
          <w:ilvl w:val="2"/>
          <w:numId w:val="66"/>
        </w:numPr>
        <w:rPr>
          <w:rFonts w:ascii="Arial" w:cs="Arial" w:eastAsia="Arial" w:hAnsi="Arial"/>
          <w:sz w:val="20"/>
          <w:szCs w:val="20"/>
          <w:color w:val="auto"/>
        </w:rPr>
      </w:pPr>
      <w:r>
        <w:rPr>
          <w:rFonts w:ascii="Arial" w:cs="Arial" w:eastAsia="Arial" w:hAnsi="Arial"/>
          <w:sz w:val="20"/>
          <w:szCs w:val="20"/>
          <w:color w:val="auto"/>
        </w:rPr>
        <w:t>a relocation of Executive’s principal place of employment that increases Executive’s one-way commute by more than thirty-five (35) miles;</w:t>
      </w:r>
    </w:p>
    <w:p>
      <w:pPr>
        <w:sectPr>
          <w:pgSz w:w="11900" w:h="16838" w:orient="portrait"/>
          <w:cols w:equalWidth="0" w:num="1">
            <w:col w:w="10440"/>
          </w:cols>
          <w:pgMar w:left="1220" w:top="630" w:right="239" w:bottom="1440" w:gutter="0" w:footer="0" w:header="0"/>
        </w:sectPr>
      </w:pPr>
    </w:p>
    <w:bookmarkStart w:id="96" w:name="page97"/>
    <w:bookmarkEnd w:id="96"/>
    <w:p>
      <w:pPr>
        <w:jc w:val="both"/>
        <w:ind w:left="2428" w:hanging="483"/>
        <w:spacing w:after="0" w:line="311" w:lineRule="auto"/>
        <w:tabs>
          <w:tab w:leader="none" w:pos="2428" w:val="left"/>
        </w:tabs>
        <w:numPr>
          <w:ilvl w:val="2"/>
          <w:numId w:val="67"/>
        </w:numPr>
        <w:rPr>
          <w:rFonts w:ascii="Arial" w:cs="Arial" w:eastAsia="Arial" w:hAnsi="Arial"/>
          <w:sz w:val="19"/>
          <w:szCs w:val="19"/>
          <w:color w:val="auto"/>
        </w:rPr>
      </w:pPr>
      <w:r>
        <w:rPr>
          <w:rFonts w:ascii="Arial" w:cs="Arial" w:eastAsia="Arial" w:hAnsi="Arial"/>
          <w:sz w:val="19"/>
          <w:szCs w:val="19"/>
          <w:color w:val="auto"/>
        </w:rPr>
        <w:t>a substantial reduction in Executive’s authority, duties, or responsibilities (and not simply a change in reporting relationships) as in effect immediately prior to the effective date of the Change in Control; provided that, if (i) Executive continues to hold the same position but the size of Executive’s employing entity (or the business unit to which Executive is assigned) has decreased significantly or (ii) neither the Company nor the Employer continues to be a publicly traded corporation, Executive’s authority, duties and responsibilities will be considered to be substantially reduced; or</w:t>
      </w:r>
    </w:p>
    <w:p>
      <w:pPr>
        <w:spacing w:after="0" w:line="2" w:lineRule="exact"/>
        <w:rPr>
          <w:rFonts w:ascii="Arial" w:cs="Arial" w:eastAsia="Arial" w:hAnsi="Arial"/>
          <w:sz w:val="19"/>
          <w:szCs w:val="19"/>
          <w:color w:val="auto"/>
        </w:rPr>
      </w:pPr>
    </w:p>
    <w:p>
      <w:pPr>
        <w:ind w:left="2428" w:hanging="483"/>
        <w:spacing w:after="0"/>
        <w:tabs>
          <w:tab w:leader="none" w:pos="2428" w:val="left"/>
        </w:tabs>
        <w:numPr>
          <w:ilvl w:val="2"/>
          <w:numId w:val="67"/>
        </w:numPr>
        <w:rPr>
          <w:rFonts w:ascii="Arial" w:cs="Arial" w:eastAsia="Arial" w:hAnsi="Arial"/>
          <w:sz w:val="20"/>
          <w:szCs w:val="20"/>
          <w:color w:val="auto"/>
        </w:rPr>
      </w:pPr>
      <w:r>
        <w:rPr>
          <w:rFonts w:ascii="Arial" w:cs="Arial" w:eastAsia="Arial" w:hAnsi="Arial"/>
          <w:sz w:val="20"/>
          <w:szCs w:val="20"/>
          <w:color w:val="auto"/>
        </w:rPr>
        <w:t>a reduction in the Executive’s title.</w:t>
      </w:r>
    </w:p>
    <w:p>
      <w:pPr>
        <w:spacing w:after="0" w:line="61" w:lineRule="exact"/>
        <w:rPr>
          <w:rFonts w:ascii="Arial" w:cs="Arial" w:eastAsia="Arial" w:hAnsi="Arial"/>
          <w:sz w:val="20"/>
          <w:szCs w:val="20"/>
          <w:color w:val="auto"/>
        </w:rPr>
      </w:pPr>
    </w:p>
    <w:p>
      <w:pPr>
        <w:jc w:val="both"/>
        <w:ind w:left="648" w:firstLine="325"/>
        <w:spacing w:after="0" w:line="362" w:lineRule="auto"/>
        <w:tabs>
          <w:tab w:leader="none" w:pos="1769" w:val="left"/>
        </w:tabs>
        <w:numPr>
          <w:ilvl w:val="1"/>
          <w:numId w:val="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Involuntary Termination Without Cause</w:t>
      </w:r>
      <w:r>
        <w:rPr>
          <w:rFonts w:ascii="Arial" w:cs="Arial" w:eastAsia="Arial" w:hAnsi="Arial"/>
          <w:sz w:val="19"/>
          <w:szCs w:val="19"/>
          <w:color w:val="auto"/>
        </w:rPr>
        <w:t>” means a termination by the Company or an Affiliate of Executive’s employment relationship for any reason other than for Cause. For purposes of the foregoing and this Amendment, a termination of employment due to Executive’s death or Disability shall constitute an Involuntary Termination Without Cause.</w:t>
      </w:r>
    </w:p>
    <w:p>
      <w:pPr>
        <w:spacing w:after="0" w:line="199" w:lineRule="exact"/>
        <w:rPr>
          <w:rFonts w:ascii="Arial" w:cs="Arial" w:eastAsia="Arial" w:hAnsi="Arial"/>
          <w:sz w:val="19"/>
          <w:szCs w:val="19"/>
          <w:color w:val="auto"/>
        </w:rPr>
      </w:pPr>
    </w:p>
    <w:p>
      <w:pPr>
        <w:ind w:left="328" w:hanging="328"/>
        <w:spacing w:after="0"/>
        <w:tabs>
          <w:tab w:leader="none" w:pos="328" w:val="left"/>
        </w:tabs>
        <w:numPr>
          <w:ilvl w:val="0"/>
          <w:numId w:val="69"/>
        </w:numPr>
        <w:rPr>
          <w:rFonts w:ascii="Arial" w:cs="Arial" w:eastAsia="Arial" w:hAnsi="Arial"/>
          <w:sz w:val="20"/>
          <w:szCs w:val="20"/>
          <w:color w:val="auto"/>
        </w:rPr>
      </w:pPr>
      <w:r>
        <w:rPr>
          <w:rFonts w:ascii="Arial" w:cs="Arial" w:eastAsia="Arial" w:hAnsi="Arial"/>
          <w:sz w:val="20"/>
          <w:szCs w:val="20"/>
          <w:b w:val="1"/>
          <w:bCs w:val="1"/>
          <w:color w:val="auto"/>
        </w:rPr>
        <w:t xml:space="preserve">Additional Terms: </w:t>
      </w:r>
      <w:r>
        <w:rPr>
          <w:rFonts w:ascii="Arial" w:cs="Arial" w:eastAsia="Arial" w:hAnsi="Arial"/>
          <w:sz w:val="20"/>
          <w:szCs w:val="20"/>
          <w:color w:val="auto"/>
        </w:rPr>
        <w:t>The following additional terms shall apply:</w:t>
      </w:r>
    </w:p>
    <w:p>
      <w:pPr>
        <w:spacing w:after="0" w:line="337" w:lineRule="exact"/>
        <w:rPr>
          <w:rFonts w:ascii="Arial" w:cs="Arial" w:eastAsia="Arial" w:hAnsi="Arial"/>
          <w:sz w:val="20"/>
          <w:szCs w:val="20"/>
          <w:color w:val="auto"/>
        </w:rPr>
      </w:pPr>
    </w:p>
    <w:p>
      <w:pPr>
        <w:jc w:val="both"/>
        <w:ind w:left="648" w:firstLine="325"/>
        <w:spacing w:after="0" w:line="419" w:lineRule="auto"/>
        <w:tabs>
          <w:tab w:leader="none" w:pos="1757" w:val="left"/>
        </w:tabs>
        <w:numPr>
          <w:ilvl w:val="1"/>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Release and Other Requirements for Receipt of Severance Benefits: </w:t>
      </w:r>
      <w:r>
        <w:rPr>
          <w:rFonts w:ascii="Arial" w:cs="Arial" w:eastAsia="Arial" w:hAnsi="Arial"/>
          <w:sz w:val="16"/>
          <w:szCs w:val="16"/>
          <w:color w:val="auto"/>
        </w:rPr>
        <w:t>In order to be eligible to receive, and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of any of the Severance Benefits, the Executive must execute a general waiver and release and return such release to the Company within the time period specified therein, but in no event more than forty-five (45) days following the date of the Covered Termination, and such release must become effective in accordance with its terms but in all cases not later than the sixtieth (60th) day following the Covered Termination. No release shall require the Executive to forego any unpaid salary, any accrued but unpaid vacation pay, or any vested or earned benefits payable pursuant to the Executive’s Employment Contract (or other employment agreement in effect as of the Covered Termination) or by law. The Company, in its sole discretion, may modify the form of the required release to comply with applicable law and shall determine the form of the required release. In addition to such release, Executive also must return all property of the Company or an Affiliate which Executive has in her possession or control.</w:t>
      </w:r>
    </w:p>
    <w:p>
      <w:pPr>
        <w:spacing w:after="0" w:line="200" w:lineRule="exact"/>
        <w:rPr>
          <w:rFonts w:ascii="Arial" w:cs="Arial" w:eastAsia="Arial" w:hAnsi="Arial"/>
          <w:sz w:val="16"/>
          <w:szCs w:val="16"/>
          <w:color w:val="auto"/>
        </w:rPr>
      </w:pPr>
    </w:p>
    <w:p>
      <w:pPr>
        <w:spacing w:after="0" w:line="296" w:lineRule="exact"/>
        <w:rPr>
          <w:rFonts w:ascii="Arial" w:cs="Arial" w:eastAsia="Arial" w:hAnsi="Arial"/>
          <w:sz w:val="16"/>
          <w:szCs w:val="16"/>
          <w:color w:val="auto"/>
        </w:rPr>
      </w:pPr>
    </w:p>
    <w:p>
      <w:pPr>
        <w:jc w:val="both"/>
        <w:ind w:left="648" w:firstLine="325"/>
        <w:spacing w:after="0" w:line="374" w:lineRule="auto"/>
        <w:tabs>
          <w:tab w:leader="none" w:pos="1769" w:val="left"/>
        </w:tabs>
        <w:numPr>
          <w:ilvl w:val="1"/>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Mitigation: </w:t>
      </w:r>
      <w:r>
        <w:rPr>
          <w:rFonts w:ascii="Arial" w:cs="Arial" w:eastAsia="Arial" w:hAnsi="Arial"/>
          <w:sz w:val="18"/>
          <w:szCs w:val="18"/>
          <w:color w:val="auto"/>
        </w:rPr>
        <w:t>The Executive shall not be required to mitigate damages as a condition of the Severance Benefits by</w:t>
      </w:r>
      <w:r>
        <w:rPr>
          <w:rFonts w:ascii="Arial" w:cs="Arial" w:eastAsia="Arial" w:hAnsi="Arial"/>
          <w:sz w:val="18"/>
          <w:szCs w:val="18"/>
          <w:b w:val="1"/>
          <w:bCs w:val="1"/>
          <w:color w:val="auto"/>
        </w:rPr>
        <w:t xml:space="preserve"> </w:t>
      </w:r>
      <w:r>
        <w:rPr>
          <w:rFonts w:ascii="Arial" w:cs="Arial" w:eastAsia="Arial" w:hAnsi="Arial"/>
          <w:sz w:val="18"/>
          <w:szCs w:val="18"/>
          <w:color w:val="auto"/>
        </w:rPr>
        <w:t>seeking other employment or otherwise. Similarly, no amount of the Severance Benefits shall be reduced by any compensation earned by the Executive as a result of employment by another employer or any retirement, death, or disability benefits received by such Executive (or her estate) after the date of the Executive’s termination of employment with the Company or an Affiliate, except for Severance Benefits relating to payments for health continuation coverage as provided above.</w:t>
      </w:r>
    </w:p>
    <w:p>
      <w:pPr>
        <w:spacing w:after="0" w:line="210" w:lineRule="exact"/>
        <w:rPr>
          <w:rFonts w:ascii="Arial" w:cs="Arial" w:eastAsia="Arial" w:hAnsi="Arial"/>
          <w:sz w:val="18"/>
          <w:szCs w:val="18"/>
          <w:color w:val="auto"/>
        </w:rPr>
      </w:pPr>
    </w:p>
    <w:p>
      <w:pPr>
        <w:ind w:left="648" w:firstLine="325"/>
        <w:spacing w:after="0" w:line="351" w:lineRule="auto"/>
        <w:tabs>
          <w:tab w:leader="none" w:pos="1757" w:val="left"/>
        </w:tabs>
        <w:numPr>
          <w:ilvl w:val="1"/>
          <w:numId w:val="69"/>
        </w:numPr>
        <w:rPr>
          <w:rFonts w:ascii="Arial" w:cs="Arial" w:eastAsia="Arial" w:hAnsi="Arial"/>
          <w:sz w:val="20"/>
          <w:szCs w:val="20"/>
          <w:color w:val="auto"/>
        </w:rPr>
      </w:pPr>
      <w:r>
        <w:rPr>
          <w:rFonts w:ascii="Arial" w:cs="Arial" w:eastAsia="Arial" w:hAnsi="Arial"/>
          <w:sz w:val="20"/>
          <w:szCs w:val="20"/>
          <w:b w:val="1"/>
          <w:bCs w:val="1"/>
          <w:color w:val="auto"/>
        </w:rPr>
        <w:t xml:space="preserve">Tax Withholding, Contributions: </w:t>
      </w:r>
      <w:r>
        <w:rPr>
          <w:rFonts w:ascii="Arial" w:cs="Arial" w:eastAsia="Arial" w:hAnsi="Arial"/>
          <w:sz w:val="20"/>
          <w:szCs w:val="20"/>
          <w:color w:val="auto"/>
        </w:rPr>
        <w:t>All payments under this Amendment will be subject to all applicable deductions</w:t>
      </w:r>
      <w:r>
        <w:rPr>
          <w:rFonts w:ascii="Arial" w:cs="Arial" w:eastAsia="Arial" w:hAnsi="Arial"/>
          <w:sz w:val="20"/>
          <w:szCs w:val="20"/>
          <w:b w:val="1"/>
          <w:bCs w:val="1"/>
          <w:color w:val="auto"/>
        </w:rPr>
        <w:t xml:space="preserve"> </w:t>
      </w:r>
      <w:r>
        <w:rPr>
          <w:rFonts w:ascii="Arial" w:cs="Arial" w:eastAsia="Arial" w:hAnsi="Arial"/>
          <w:sz w:val="20"/>
          <w:szCs w:val="20"/>
          <w:color w:val="auto"/>
        </w:rPr>
        <w:t>and withholdings of tax, PRSI, Universal Social</w:t>
      </w:r>
    </w:p>
    <w:p>
      <w:pPr>
        <w:sectPr>
          <w:pgSz w:w="11900" w:h="16838" w:orient="portrait"/>
          <w:cols w:equalWidth="0" w:num="1">
            <w:col w:w="11088"/>
          </w:cols>
          <w:pgMar w:left="572" w:top="622" w:right="239" w:bottom="1440" w:gutter="0" w:footer="0" w:header="0"/>
        </w:sectPr>
      </w:pPr>
    </w:p>
    <w:bookmarkStart w:id="97" w:name="page98"/>
    <w:bookmarkEnd w:id="97"/>
    <w:p>
      <w:pPr>
        <w:ind w:left="320"/>
        <w:spacing w:after="0" w:line="345" w:lineRule="auto"/>
        <w:rPr>
          <w:sz w:val="20"/>
          <w:szCs w:val="20"/>
          <w:color w:val="auto"/>
        </w:rPr>
      </w:pPr>
      <w:r>
        <w:rPr>
          <w:rFonts w:ascii="Arial" w:cs="Arial" w:eastAsia="Arial" w:hAnsi="Arial"/>
          <w:sz w:val="20"/>
          <w:szCs w:val="20"/>
          <w:color w:val="auto"/>
        </w:rPr>
        <w:t>Charge, and any other deductions which are required pursuant to the terms of the Executive’s employment or by law, or which are provided for in the Executive’s Employment Contract and/or this Amendment.</w:t>
      </w:r>
    </w:p>
    <w:p>
      <w:pPr>
        <w:spacing w:after="0" w:line="224" w:lineRule="exact"/>
        <w:rPr>
          <w:sz w:val="20"/>
          <w:szCs w:val="20"/>
          <w:color w:val="auto"/>
        </w:rPr>
      </w:pPr>
    </w:p>
    <w:p>
      <w:pPr>
        <w:jc w:val="both"/>
        <w:ind w:left="320" w:firstLine="325"/>
        <w:spacing w:after="0" w:line="329" w:lineRule="auto"/>
        <w:tabs>
          <w:tab w:leader="none" w:pos="1441" w:val="left"/>
        </w:tabs>
        <w:numPr>
          <w:ilvl w:val="0"/>
          <w:numId w:val="70"/>
        </w:numPr>
        <w:rPr>
          <w:rFonts w:ascii="Arial" w:cs="Arial" w:eastAsia="Arial" w:hAnsi="Arial"/>
          <w:sz w:val="20"/>
          <w:szCs w:val="20"/>
          <w:color w:val="auto"/>
        </w:rPr>
      </w:pPr>
      <w:r>
        <w:rPr>
          <w:rFonts w:ascii="Arial" w:cs="Arial" w:eastAsia="Arial" w:hAnsi="Arial"/>
          <w:sz w:val="20"/>
          <w:szCs w:val="20"/>
          <w:b w:val="1"/>
          <w:bCs w:val="1"/>
          <w:color w:val="auto"/>
        </w:rPr>
        <w:t xml:space="preserve">Application of Section 252 and 253 of the Companies Act: </w:t>
      </w:r>
      <w:r>
        <w:rPr>
          <w:rFonts w:ascii="Arial" w:cs="Arial" w:eastAsia="Arial" w:hAnsi="Arial"/>
          <w:sz w:val="20"/>
          <w:szCs w:val="20"/>
          <w:color w:val="auto"/>
        </w:rPr>
        <w:t>This Amendment is entered into for the benefit of</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in the ordinary course of her employment. It is not intended to provide for any payment by way of compensation for loss of office or consideration for or in connection with the retirement from office of a director of the Company in connection with the transfer of the whole or any part of the undertaking or property of the Company within the meaning of Section 252 of the Companies Act nor to provide for a payment giving rise to a duty of a director of the Company pursuant to Section 253 of the Companies Act.</w:t>
      </w:r>
    </w:p>
    <w:p>
      <w:pPr>
        <w:spacing w:after="0" w:line="358" w:lineRule="exact"/>
        <w:rPr>
          <w:sz w:val="20"/>
          <w:szCs w:val="20"/>
          <w:color w:val="auto"/>
        </w:rPr>
      </w:pPr>
    </w:p>
    <w:p>
      <w:pPr>
        <w:ind w:left="20"/>
        <w:spacing w:after="0"/>
        <w:tabs>
          <w:tab w:leader="none" w:pos="5380" w:val="left"/>
        </w:tabs>
        <w:rPr>
          <w:sz w:val="20"/>
          <w:szCs w:val="20"/>
          <w:color w:val="auto"/>
        </w:rPr>
      </w:pPr>
      <w:r>
        <w:rPr>
          <w:rFonts w:ascii="Arial" w:cs="Arial" w:eastAsia="Arial" w:hAnsi="Arial"/>
          <w:sz w:val="19"/>
          <w:szCs w:val="19"/>
          <w:b w:val="1"/>
          <w:bCs w:val="1"/>
          <w:color w:val="auto"/>
        </w:rPr>
        <w:t>JAZZ PHARMACEUTICALS IRELAND LTD.</w:t>
      </w:r>
      <w:r>
        <w:rPr>
          <w:sz w:val="20"/>
          <w:szCs w:val="20"/>
          <w:color w:val="auto"/>
        </w:rPr>
        <w:tab/>
      </w:r>
      <w:r>
        <w:rPr>
          <w:rFonts w:ascii="Arial" w:cs="Arial" w:eastAsia="Arial" w:hAnsi="Arial"/>
          <w:sz w:val="19"/>
          <w:szCs w:val="19"/>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380" w:type="dxa"/>
            <w:vAlign w:val="bottom"/>
            <w:gridSpan w:val="2"/>
          </w:tcPr>
          <w:p>
            <w:pPr>
              <w:ind w:left="20"/>
              <w:spacing w:after="0"/>
              <w:rPr>
                <w:sz w:val="20"/>
                <w:szCs w:val="20"/>
                <w:color w:val="auto"/>
              </w:rPr>
            </w:pPr>
            <w:r>
              <w:rPr>
                <w:rFonts w:ascii="Arial" w:cs="Arial" w:eastAsia="Arial" w:hAnsi="Arial"/>
                <w:sz w:val="20"/>
                <w:szCs w:val="20"/>
                <w:i w:val="1"/>
                <w:iCs w:val="1"/>
                <w:color w:val="auto"/>
              </w:rPr>
              <w:t>/s/ Shawn Mindus</w:t>
            </w:r>
          </w:p>
        </w:tc>
        <w:tc>
          <w:tcPr>
            <w:tcW w:w="4360" w:type="dxa"/>
            <w:vAlign w:val="bottom"/>
          </w:tcPr>
          <w:p>
            <w:pPr>
              <w:ind w:left="20"/>
              <w:spacing w:after="0"/>
              <w:rPr>
                <w:sz w:val="20"/>
                <w:szCs w:val="20"/>
                <w:color w:val="auto"/>
              </w:rPr>
            </w:pPr>
            <w:r>
              <w:rPr>
                <w:rFonts w:ascii="Arial" w:cs="Arial" w:eastAsia="Arial" w:hAnsi="Arial"/>
                <w:sz w:val="20"/>
                <w:szCs w:val="20"/>
                <w:i w:val="1"/>
                <w:iCs w:val="1"/>
                <w:color w:val="auto"/>
              </w:rPr>
              <w:t>/s/ Patricia Carr</w:t>
            </w:r>
          </w:p>
        </w:tc>
      </w:tr>
      <w:tr>
        <w:trPr>
          <w:trHeight w:val="23"/>
        </w:trPr>
        <w:tc>
          <w:tcPr>
            <w:tcW w:w="40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3"/>
        </w:trPr>
        <w:tc>
          <w:tcPr>
            <w:tcW w:w="5380" w:type="dxa"/>
            <w:vAlign w:val="bottom"/>
            <w:gridSpan w:val="2"/>
          </w:tcPr>
          <w:p>
            <w:pPr>
              <w:ind w:left="20"/>
              <w:spacing w:after="0"/>
              <w:rPr>
                <w:sz w:val="20"/>
                <w:szCs w:val="20"/>
                <w:color w:val="auto"/>
              </w:rPr>
            </w:pPr>
            <w:r>
              <w:rPr>
                <w:rFonts w:ascii="Arial" w:cs="Arial" w:eastAsia="Arial" w:hAnsi="Arial"/>
                <w:sz w:val="20"/>
                <w:szCs w:val="20"/>
                <w:b w:val="1"/>
                <w:bCs w:val="1"/>
                <w:color w:val="auto"/>
              </w:rPr>
              <w:t>Shawn Mindus</w:t>
            </w:r>
          </w:p>
        </w:tc>
        <w:tc>
          <w:tcPr>
            <w:tcW w:w="4360" w:type="dxa"/>
            <w:vAlign w:val="bottom"/>
          </w:tcPr>
          <w:p>
            <w:pPr>
              <w:ind w:left="20"/>
              <w:spacing w:after="0"/>
              <w:rPr>
                <w:sz w:val="20"/>
                <w:szCs w:val="20"/>
                <w:color w:val="auto"/>
              </w:rPr>
            </w:pPr>
            <w:r>
              <w:rPr>
                <w:rFonts w:ascii="Arial" w:cs="Arial" w:eastAsia="Arial" w:hAnsi="Arial"/>
                <w:sz w:val="20"/>
                <w:szCs w:val="20"/>
                <w:b w:val="1"/>
                <w:bCs w:val="1"/>
                <w:color w:val="auto"/>
              </w:rPr>
              <w:t>Patricia Carr</w:t>
            </w:r>
          </w:p>
        </w:tc>
      </w:tr>
      <w:tr>
        <w:trPr>
          <w:trHeight w:val="250"/>
        </w:trPr>
        <w:tc>
          <w:tcPr>
            <w:tcW w:w="538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4360" w:type="dxa"/>
            <w:vAlign w:val="bottom"/>
          </w:tcPr>
          <w:p>
            <w:pPr>
              <w:ind w:left="20"/>
              <w:spacing w:after="0"/>
              <w:rPr>
                <w:sz w:val="20"/>
                <w:szCs w:val="20"/>
                <w:color w:val="auto"/>
              </w:rPr>
            </w:pPr>
            <w:r>
              <w:rPr>
                <w:rFonts w:ascii="Arial" w:cs="Arial" w:eastAsia="Arial" w:hAnsi="Arial"/>
                <w:sz w:val="20"/>
                <w:szCs w:val="20"/>
                <w:color w:val="auto"/>
              </w:rPr>
              <w:t>Vice President, Finance</w:t>
            </w:r>
          </w:p>
        </w:tc>
      </w:tr>
      <w:tr>
        <w:trPr>
          <w:trHeight w:val="284"/>
        </w:trPr>
        <w:tc>
          <w:tcPr>
            <w:tcW w:w="5380" w:type="dxa"/>
            <w:vAlign w:val="bottom"/>
            <w:gridSpan w:val="2"/>
          </w:tcPr>
          <w:p>
            <w:pPr>
              <w:ind w:left="20"/>
              <w:spacing w:after="0"/>
              <w:rPr>
                <w:sz w:val="20"/>
                <w:szCs w:val="20"/>
                <w:color w:val="auto"/>
              </w:rPr>
            </w:pPr>
            <w:r>
              <w:rPr>
                <w:rFonts w:ascii="Arial" w:cs="Arial" w:eastAsia="Arial" w:hAnsi="Arial"/>
                <w:sz w:val="20"/>
                <w:szCs w:val="20"/>
                <w:color w:val="auto"/>
              </w:rPr>
              <w:t>Date:  4-May-2016</w:t>
            </w:r>
          </w:p>
        </w:tc>
        <w:tc>
          <w:tcPr>
            <w:tcW w:w="4360" w:type="dxa"/>
            <w:vAlign w:val="bottom"/>
          </w:tcPr>
          <w:p>
            <w:pPr>
              <w:ind w:left="20"/>
              <w:spacing w:after="0"/>
              <w:rPr>
                <w:sz w:val="20"/>
                <w:szCs w:val="20"/>
                <w:color w:val="auto"/>
              </w:rPr>
            </w:pPr>
            <w:r>
              <w:rPr>
                <w:rFonts w:ascii="Arial" w:cs="Arial" w:eastAsia="Arial" w:hAnsi="Arial"/>
                <w:sz w:val="20"/>
                <w:szCs w:val="20"/>
                <w:color w:val="auto"/>
              </w:rPr>
              <w:t>Date:  12 May 2016</w:t>
            </w:r>
          </w:p>
        </w:tc>
      </w:tr>
    </w:tbl>
    <w:p>
      <w:pPr>
        <w:sectPr>
          <w:pgSz w:w="11900" w:h="16838" w:orient="portrait"/>
          <w:cols w:equalWidth="0" w:num="1">
            <w:col w:w="10760"/>
          </w:cols>
          <w:pgMar w:left="900" w:top="636"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[Jazz Pharmaceuticals Letterhead]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PERSONAL, PRIVATE AND CONFIDENTIAL</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2 May 2016</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Patricia Carr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Change in Control Stock Award Acceleration</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Dear Patricia:</w:t>
      </w:r>
    </w:p>
    <w:p>
      <w:pPr>
        <w:spacing w:after="0" w:line="264"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This letter agreement (“</w:t>
      </w:r>
      <w:r>
        <w:rPr>
          <w:rFonts w:ascii="Arial" w:cs="Arial" w:eastAsia="Arial" w:hAnsi="Arial"/>
          <w:sz w:val="20"/>
          <w:szCs w:val="20"/>
          <w:b w:val="1"/>
          <w:bCs w:val="1"/>
          <w:color w:val="auto"/>
        </w:rPr>
        <w:t>Agreement</w:t>
      </w:r>
      <w:r>
        <w:rPr>
          <w:rFonts w:ascii="Arial" w:cs="Arial" w:eastAsia="Arial" w:hAnsi="Arial"/>
          <w:sz w:val="20"/>
          <w:szCs w:val="20"/>
          <w:color w:val="auto"/>
        </w:rPr>
        <w:t>”) sets forth the terms and conditions for accelerated vesting of your Stock Awards under certain circumstances. Terms not defined in this Agreement shall have the definitions set forth in your Amended and Restated Change in Control Severance Terms Agreement which is effective 15 May 2016 (the “</w:t>
      </w:r>
      <w:r>
        <w:rPr>
          <w:rFonts w:ascii="Arial" w:cs="Arial" w:eastAsia="Arial" w:hAnsi="Arial"/>
          <w:sz w:val="20"/>
          <w:szCs w:val="20"/>
          <w:b w:val="1"/>
          <w:bCs w:val="1"/>
          <w:color w:val="auto"/>
        </w:rPr>
        <w:t>CIC Severance Agreement</w:t>
      </w:r>
      <w:r>
        <w:rPr>
          <w:rFonts w:ascii="Arial" w:cs="Arial" w:eastAsia="Arial" w:hAnsi="Arial"/>
          <w:sz w:val="20"/>
          <w:szCs w:val="20"/>
          <w:color w:val="auto"/>
        </w:rPr>
        <w:t>”).</w:t>
      </w:r>
    </w:p>
    <w:p>
      <w:pPr>
        <w:spacing w:after="0" w:line="17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Accelerated Vesting of Stock Awards.</w:t>
      </w:r>
    </w:p>
    <w:p>
      <w:pPr>
        <w:spacing w:after="0" w:line="330" w:lineRule="exact"/>
        <w:rPr>
          <w:sz w:val="20"/>
          <w:szCs w:val="20"/>
          <w:color w:val="auto"/>
        </w:rPr>
      </w:pPr>
    </w:p>
    <w:p>
      <w:pPr>
        <w:jc w:val="both"/>
        <w:spacing w:after="0" w:line="338" w:lineRule="auto"/>
        <w:rPr>
          <w:sz w:val="20"/>
          <w:szCs w:val="20"/>
          <w:color w:val="auto"/>
        </w:rPr>
      </w:pPr>
      <w:r>
        <w:rPr>
          <w:rFonts w:ascii="Arial" w:cs="Arial" w:eastAsia="Arial" w:hAnsi="Arial"/>
          <w:sz w:val="18"/>
          <w:szCs w:val="18"/>
          <w:color w:val="auto"/>
        </w:rPr>
        <w:t>If you are subject to a Covered Termination which is effective on or within twelve (12) months following a Change in Control, and you meet all requirements for receipt of the Severance Benefits under the CIC Severance Agreement (including but not limited to the requirement to execute and return a release), the following shall apply: the vesting (and exercisability, if applicable) of all outstanding options to purchase the Company’s ordinary shares, stock appreciation rights or similar rights or other rights with respect to the Company’s ordinary shares, and any other stock awards granted to you pursuant to any equity incentive plan of the Company, including but not limited to restricted stock units (collectively, the “</w:t>
      </w:r>
      <w:r>
        <w:rPr>
          <w:rFonts w:ascii="Arial" w:cs="Arial" w:eastAsia="Arial" w:hAnsi="Arial"/>
          <w:sz w:val="18"/>
          <w:szCs w:val="18"/>
          <w:b w:val="1"/>
          <w:bCs w:val="1"/>
          <w:color w:val="auto"/>
        </w:rPr>
        <w:t>Stock Awards</w:t>
      </w:r>
      <w:r>
        <w:rPr>
          <w:rFonts w:ascii="Arial" w:cs="Arial" w:eastAsia="Arial" w:hAnsi="Arial"/>
          <w:sz w:val="18"/>
          <w:szCs w:val="18"/>
          <w:color w:val="auto"/>
        </w:rPr>
        <w:t>”), that are held by you on the date of your Covered Termination shall be accelerated in full.</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20"/>
          <w:szCs w:val="20"/>
          <w:color w:val="auto"/>
        </w:rPr>
        <w:t>The vesting (and exercisability, if applicable) of any Stock Award which shall be accelerated pursuant to this Agreement shall occur on the sixtieth (60th) day following the date of your Covered Termination. Notwithstanding anything to the contrary set forth in any applicable equity incentive plan of the Company or any agreement evidencing a Stock Award, in the event of your Covered Termination (and in order to give effect to the intent of this provision), in no event will any portion of your Stock Award be forfeited or terminate any earlier than the sixtieth (60th) day following the date of your Covered Termination.</w:t>
      </w:r>
    </w:p>
    <w:p>
      <w:pPr>
        <w:spacing w:after="0" w:line="186" w:lineRule="exact"/>
        <w:rPr>
          <w:sz w:val="20"/>
          <w:szCs w:val="20"/>
          <w:color w:val="auto"/>
        </w:rPr>
      </w:pPr>
    </w:p>
    <w:p>
      <w:pPr>
        <w:ind w:left="680" w:hanging="348"/>
        <w:spacing w:after="0"/>
        <w:tabs>
          <w:tab w:leader="none" w:pos="68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330" w:lineRule="exact"/>
        <w:rPr>
          <w:sz w:val="20"/>
          <w:szCs w:val="20"/>
          <w:color w:val="auto"/>
        </w:rPr>
      </w:pPr>
    </w:p>
    <w:p>
      <w:pPr>
        <w:ind w:right="20"/>
        <w:spacing w:after="0" w:line="317" w:lineRule="auto"/>
        <w:rPr>
          <w:sz w:val="20"/>
          <w:szCs w:val="20"/>
          <w:color w:val="auto"/>
        </w:rPr>
      </w:pPr>
      <w:r>
        <w:rPr>
          <w:rFonts w:ascii="Arial" w:cs="Arial" w:eastAsia="Arial" w:hAnsi="Arial"/>
          <w:sz w:val="20"/>
          <w:szCs w:val="20"/>
          <w:color w:val="auto"/>
        </w:rPr>
        <w:t>The Stock Award and the provisions of this Agreement are governed by, and subject to, the laws of the State of Delaware, without regard to the conflict of law provisions.</w:t>
      </w:r>
    </w:p>
    <w:p>
      <w:pPr>
        <w:sectPr>
          <w:pgSz w:w="11900" w:h="16838" w:orient="portrait"/>
          <w:cols w:equalWidth="0" w:num="1">
            <w:col w:w="11420"/>
          </w:cols>
          <w:pgMar w:left="240" w:top="1206" w:right="239" w:bottom="1440" w:gutter="0" w:footer="0" w:header="0"/>
        </w:sectPr>
      </w:pPr>
    </w:p>
    <w:bookmarkStart w:id="99" w:name="page100"/>
    <w:bookmarkEnd w:id="99"/>
    <w:p>
      <w:pPr>
        <w:jc w:val="both"/>
        <w:ind w:right="20"/>
        <w:spacing w:after="0" w:line="329" w:lineRule="auto"/>
        <w:rPr>
          <w:sz w:val="20"/>
          <w:szCs w:val="20"/>
          <w:color w:val="auto"/>
        </w:rPr>
      </w:pPr>
      <w:r>
        <w:rPr>
          <w:rFonts w:ascii="Arial" w:cs="Arial" w:eastAsia="Arial" w:hAnsi="Arial"/>
          <w:sz w:val="19"/>
          <w:szCs w:val="19"/>
          <w:color w:val="auto"/>
        </w:rPr>
        <w:t>For purposes of any action, lawsuit or other proceedings brought to enforce this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62" w:lineRule="exact"/>
        <w:rPr>
          <w:sz w:val="20"/>
          <w:szCs w:val="20"/>
          <w:color w:val="auto"/>
        </w:rPr>
      </w:pPr>
    </w:p>
    <w:p>
      <w:pPr>
        <w:ind w:left="680" w:hanging="348"/>
        <w:spacing w:after="0"/>
        <w:tabs>
          <w:tab w:leader="none" w:pos="680"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330"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The accelerated vesting provided under this Agreement is in addition to, and does not replace or otherwise affect any provision in any applicable equity incentive plan of the Company or any agreement evidencing a Stock Award that provides for the acceleration of vesting (and exercisability, if applicable) of such Stock Award. This Agreement, the applicable equity incentive plan, and award agreement under which each Stock Award is granted, are the complete and exclusive agreement of the parties concerning this subject matter, and any modifications to this Agreement must be memorialized in a written agreement signed by both parties.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is effective as of 15 May 2016, provided that it is fully signed by you and Jazz Pharmaceuticals plc as of such date.</w:t>
      </w:r>
    </w:p>
    <w:p>
      <w:pPr>
        <w:spacing w:after="0" w:line="281"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Please sign and date this Agreement in the space provided below no later than 13 May, and return it to me at your earliest convenience. If you have any questions, please let me know.</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20"/>
          <w:szCs w:val="20"/>
          <w:color w:val="auto"/>
        </w:rPr>
        <w:t>Sincerely,</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JAZZ PHARMACEUTICALS PLC</w:t>
      </w:r>
    </w:p>
    <w:p>
      <w:pPr>
        <w:spacing w:after="0" w:line="384" w:lineRule="exact"/>
        <w:rPr>
          <w:sz w:val="20"/>
          <w:szCs w:val="20"/>
          <w:color w:val="auto"/>
        </w:rPr>
      </w:pPr>
    </w:p>
    <w:p>
      <w:pPr>
        <w:ind w:left="40"/>
        <w:spacing w:after="0"/>
        <w:rPr>
          <w:sz w:val="20"/>
          <w:szCs w:val="20"/>
          <w:color w:val="auto"/>
        </w:rPr>
      </w:pPr>
      <w:r>
        <w:rPr>
          <w:rFonts w:ascii="Arial" w:cs="Arial" w:eastAsia="Arial" w:hAnsi="Arial"/>
          <w:sz w:val="20"/>
          <w:szCs w:val="20"/>
          <w:i w:val="1"/>
          <w:iCs w:val="1"/>
          <w:color w:val="auto"/>
        </w:rPr>
        <w:t>/s/ Heather P. McGaughey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009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Heather McGaughey</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Senior 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REVIEWED, UNDERSTOOD AND AGREED:</w:t>
      </w:r>
    </w:p>
    <w:p>
      <w:pPr>
        <w:spacing w:after="0" w:line="384" w:lineRule="exact"/>
        <w:rPr>
          <w:sz w:val="20"/>
          <w:szCs w:val="20"/>
          <w:color w:val="auto"/>
        </w:rPr>
      </w:pPr>
    </w:p>
    <w:p>
      <w:pPr>
        <w:ind w:left="40"/>
        <w:spacing w:after="0"/>
        <w:rPr>
          <w:sz w:val="20"/>
          <w:szCs w:val="20"/>
          <w:color w:val="auto"/>
        </w:rPr>
      </w:pPr>
      <w:r>
        <w:rPr>
          <w:rFonts w:ascii="Arial" w:cs="Arial" w:eastAsia="Arial" w:hAnsi="Arial"/>
          <w:sz w:val="20"/>
          <w:szCs w:val="20"/>
          <w:i w:val="1"/>
          <w:iCs w:val="1"/>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0099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Patricia Carr</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Vice President, Finance</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 12 May 2016</w:t>
      </w:r>
    </w:p>
    <w:p>
      <w:pPr>
        <w:sectPr>
          <w:pgSz w:w="11900" w:h="16838" w:orient="portrait"/>
          <w:cols w:equalWidth="0" w:num="1">
            <w:col w:w="11420"/>
          </w:cols>
          <w:pgMar w:left="240" w:top="622"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10.4</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[Jazz Pharmaceuticals Letterhead]</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03 July 2019</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Neena Patil</w:t>
      </w:r>
    </w:p>
    <w:p>
      <w:pPr>
        <w:spacing w:after="0" w:line="200" w:lineRule="exact"/>
        <w:rPr>
          <w:sz w:val="20"/>
          <w:szCs w:val="20"/>
          <w:color w:val="auto"/>
        </w:rPr>
      </w:pPr>
    </w:p>
    <w:p>
      <w:pPr>
        <w:spacing w:after="0" w:line="22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Re:</w:t>
        <w:tab/>
        <w:t>Offer of employment with Jazz Pharmaceuticals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Dear Neena,</w:t>
      </w:r>
    </w:p>
    <w:p>
      <w:pPr>
        <w:spacing w:after="0" w:line="233" w:lineRule="exact"/>
        <w:rPr>
          <w:sz w:val="20"/>
          <w:szCs w:val="20"/>
          <w:color w:val="auto"/>
        </w:rPr>
      </w:pPr>
    </w:p>
    <w:p>
      <w:pPr>
        <w:ind w:right="920" w:firstLine="648"/>
        <w:spacing w:after="0" w:line="262" w:lineRule="auto"/>
        <w:rPr>
          <w:sz w:val="20"/>
          <w:szCs w:val="20"/>
          <w:color w:val="auto"/>
        </w:rPr>
      </w:pPr>
      <w:r>
        <w:rPr>
          <w:rFonts w:ascii="Arial" w:cs="Arial" w:eastAsia="Arial" w:hAnsi="Arial"/>
          <w:sz w:val="22"/>
          <w:szCs w:val="22"/>
          <w:color w:val="auto"/>
        </w:rPr>
        <w:t>I am very pleased to invite you to join Jazz Pharmaceuticals. This letter sets out the basic terms of your employment with Jazz Pharmaceuticals.</w:t>
      </w:r>
    </w:p>
    <w:p>
      <w:pPr>
        <w:spacing w:after="0" w:line="178" w:lineRule="exact"/>
        <w:rPr>
          <w:sz w:val="20"/>
          <w:szCs w:val="20"/>
          <w:color w:val="auto"/>
        </w:rPr>
      </w:pPr>
    </w:p>
    <w:p>
      <w:pPr>
        <w:ind w:left="660" w:right="60" w:hanging="652"/>
        <w:spacing w:after="0" w:line="262" w:lineRule="auto"/>
        <w:tabs>
          <w:tab w:leader="none" w:pos="6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Duties and Responsibilities</w:t>
      </w:r>
      <w:r>
        <w:rPr>
          <w:rFonts w:ascii="Arial" w:cs="Arial" w:eastAsia="Arial" w:hAnsi="Arial"/>
          <w:sz w:val="22"/>
          <w:szCs w:val="22"/>
          <w:color w:val="auto"/>
        </w:rPr>
        <w:t>. Your initial assignment will be as SVP, General Counsel, reporting to me. This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offer is for a full time position, located at Jazz Pharmaceuticals’ offices in Philadelphia. The position may require you to travel from time to time to other locations as may be necessary to fulfill your responsibilities. As part of your employment relationship, you agree to comply with Jazz Pharmaceuticals’ policies and procedures in effect from time to time during your employment. As an exempt employee, you are expected to work the number of hours required to do your job well.</w:t>
      </w:r>
    </w:p>
    <w:p>
      <w:pPr>
        <w:spacing w:after="0" w:line="179" w:lineRule="exact"/>
        <w:rPr>
          <w:rFonts w:ascii="Arial" w:cs="Arial" w:eastAsia="Arial" w:hAnsi="Arial"/>
          <w:sz w:val="22"/>
          <w:szCs w:val="22"/>
          <w:b w:val="1"/>
          <w:bCs w:val="1"/>
          <w:color w:val="auto"/>
        </w:rPr>
      </w:pPr>
    </w:p>
    <w:p>
      <w:pPr>
        <w:ind w:left="660" w:right="40" w:hanging="652"/>
        <w:spacing w:after="0" w:line="259" w:lineRule="auto"/>
        <w:tabs>
          <w:tab w:leader="none" w:pos="6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Salary; Annual Bonus; Signing Bonus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Your initial annual base salary will be $510,000 payable in accordance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 Jazz Pharmaceuticals’ customary payroll practices, for all hours worked. Salary is subject to periodic review and adjustment by Jazz Pharmaceuticals, in accordance with its normal practices; we have a company-wide performance review process that takes place early in each calendar year. The Company has a cash bonus plan under which annual bonuses may be given based on the Company meeting its annual objectives, and each employee’s meeting of his or her objectives, subject to the terms and conditions of the cash bonus plan. Bonuses are not guaranteed, and whether there will be a bonus in any year, and the size of any bonus if there is one, is within the discretion of the Board of Directors. In this role, you will be eligible for an annual incentive bonus with a target currently set at 45% of your annual base salary, prorated for 2019 in accordance with your start date. In addition, Jazz Pharmaceuticals will pay you a signing bonus of $125,000, less all required withholdings, paid to you in two equal installments. The first payment of $62,500 is payable on the first regular pay date following your employment start date, and the</w:t>
      </w:r>
    </w:p>
    <w:p>
      <w:pPr>
        <w:sectPr>
          <w:pgSz w:w="11900" w:h="16838" w:orient="portrait"/>
          <w:cols w:equalWidth="0" w:num="1">
            <w:col w:w="11420"/>
          </w:cols>
          <w:pgMar w:left="240" w:top="120" w:right="239" w:bottom="1440" w:gutter="0" w:footer="0" w:header="0"/>
        </w:sectPr>
      </w:pPr>
    </w:p>
    <w:bookmarkStart w:id="101" w:name="page102"/>
    <w:bookmarkEnd w:id="101"/>
    <w:p>
      <w:pPr>
        <w:ind w:left="652" w:right="280"/>
        <w:spacing w:after="0" w:line="257" w:lineRule="auto"/>
        <w:rPr>
          <w:sz w:val="20"/>
          <w:szCs w:val="20"/>
          <w:color w:val="auto"/>
        </w:rPr>
      </w:pPr>
      <w:r>
        <w:rPr>
          <w:rFonts w:ascii="Arial" w:cs="Arial" w:eastAsia="Arial" w:hAnsi="Arial"/>
          <w:sz w:val="22"/>
          <w:szCs w:val="22"/>
          <w:color w:val="auto"/>
        </w:rPr>
        <w:t>second payment of $62,500 on the first regular pay date occurring 180 days after your employment start date, subject to your continued employment in good standing with Jazz Pharmaceuticals through each date. Should you voluntarily resign within one year of your employment start date, you will be expected to repay to Jazz Pharmaceuticals the full amount of the signing bonus paid to you on or within 30 days of the later of your resignation or termination date.</w:t>
      </w:r>
    </w:p>
    <w:p>
      <w:pPr>
        <w:spacing w:after="0" w:line="186" w:lineRule="exact"/>
        <w:rPr>
          <w:sz w:val="20"/>
          <w:szCs w:val="20"/>
          <w:color w:val="auto"/>
        </w:rPr>
      </w:pPr>
    </w:p>
    <w:p>
      <w:pPr>
        <w:ind w:left="652" w:right="480" w:hanging="652"/>
        <w:spacing w:after="0" w:line="263" w:lineRule="auto"/>
        <w:tabs>
          <w:tab w:leader="none" w:pos="652"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Benefits</w:t>
      </w:r>
      <w:r>
        <w:rPr>
          <w:rFonts w:ascii="Arial" w:cs="Arial" w:eastAsia="Arial" w:hAnsi="Arial"/>
          <w:sz w:val="22"/>
          <w:szCs w:val="22"/>
          <w:color w:val="auto"/>
        </w:rPr>
        <w:t>. You generally will be eligible to receive all benefits which are extended to other similarly-situated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employees at Jazz Pharmaceuticals, including medical and dental benefits, life insurance and other benefits offered to regular employees. You will be eligible for paid time off and holidays in accordance with Jazz Pharmaceuticals’ policies, and you will be a participant in the Company’s Amended and Restated Executive Change in Control and Severance Benefit Plan.</w:t>
      </w:r>
    </w:p>
    <w:p>
      <w:pPr>
        <w:spacing w:after="0" w:line="180" w:lineRule="exact"/>
        <w:rPr>
          <w:rFonts w:ascii="Arial" w:cs="Arial" w:eastAsia="Arial" w:hAnsi="Arial"/>
          <w:sz w:val="22"/>
          <w:szCs w:val="22"/>
          <w:b w:val="1"/>
          <w:bCs w:val="1"/>
          <w:color w:val="auto"/>
        </w:rPr>
      </w:pPr>
    </w:p>
    <w:p>
      <w:pPr>
        <w:ind w:left="652" w:hanging="652"/>
        <w:spacing w:after="0" w:line="246" w:lineRule="auto"/>
        <w:tabs>
          <w:tab w:leader="none" w:pos="652"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Equity</w:t>
      </w:r>
      <w:r>
        <w:rPr>
          <w:rFonts w:ascii="Arial" w:cs="Arial" w:eastAsia="Arial" w:hAnsi="Arial"/>
          <w:sz w:val="22"/>
          <w:szCs w:val="22"/>
          <w:color w:val="auto"/>
        </w:rPr>
        <w:t>. Your offer includes a grant of options to purchase 30,000 Jazz Pharmaceuticals plc ordinary shares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 grant of 12,000 restricted stock units (RSUs) giving you a right to receive Jazz Pharmaceuticals plc ordinary shares at a future date, subject to approval by the Compensation Committee, the terms and conditions of the Jazz Pharmaceuticals plc 2011 Equity Incentive Plan, and the terms and conditions of the applicable award agreements, which will be provided to you as soon as practicable after the grant date. Subject to your continued employment on each vesting date, the options will vest 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on the first annual anniversary of your start date and 1/48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total granted per month thereafter, and the RSUs will vest 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annually over four years. The options will have an exercise price that equals the fair market value of Jazz Pharmaceuticals plc ordinary shares on the date of grant. The RSUs will have no exercise price. The options and RSUs will be granted on the second trading day following the filing date of the Company’s next quarterly or annual report filed with the Securities and Exchange Commission following your start date in accordance with the Company’s Equity Incentive Grant Policy.</w:t>
      </w:r>
    </w:p>
    <w:p>
      <w:pPr>
        <w:sectPr>
          <w:pgSz w:w="11900" w:h="16838" w:orient="portrait"/>
          <w:cols w:equalWidth="0" w:num="1">
            <w:col w:w="11412"/>
          </w:cols>
          <w:pgMar w:left="248" w:top="390" w:right="239" w:bottom="1440" w:gutter="0" w:footer="0" w:header="0"/>
        </w:sectPr>
      </w:pPr>
    </w:p>
    <w:bookmarkStart w:id="102" w:name="page103"/>
    <w:bookmarkEnd w:id="102"/>
    <w:p>
      <w:pPr>
        <w:ind w:left="652" w:right="40" w:hanging="652"/>
        <w:spacing w:after="0" w:line="259" w:lineRule="auto"/>
        <w:tabs>
          <w:tab w:leader="none" w:pos="652"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Confidential Information; Employee Confidential Information and Inventions Agreement</w:t>
      </w:r>
      <w:r>
        <w:rPr>
          <w:rFonts w:ascii="Arial" w:cs="Arial" w:eastAsia="Arial" w:hAnsi="Arial"/>
          <w:sz w:val="22"/>
          <w:szCs w:val="22"/>
          <w:color w:val="auto"/>
        </w:rPr>
        <w:t>. To enable Jazz</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Pharmaceuticals to safeguard its proprietary and confidential information, it is a condition of employment that you sign Jazz Pharmaceuticals’ standard form of “Employee Confidential Information and Inventions Agreement.” We understand that you are likely to have signed similar agreements with prior employers, and wish to impress upon you that Jazz Pharmaceuticals does not want to receive the confidential or proprietary information of others, and will support you in respecting your lawful obligations to prior employers. By accepting this offer, you are representing to Jazz Pharmaceuticals that your performance of your duties will not violate any agreements you may have with, or trade secrets of, any third parties. You agree that, during your employment with Jazz Pharmaceuticals, you will not engage in any business activity that competes with Jazz Pharmaceuticals, and you will notify your supervisor if you are considering accepting outside work.</w:t>
      </w:r>
    </w:p>
    <w:p>
      <w:pPr>
        <w:spacing w:after="0" w:line="187" w:lineRule="exact"/>
        <w:rPr>
          <w:rFonts w:ascii="Arial" w:cs="Arial" w:eastAsia="Arial" w:hAnsi="Arial"/>
          <w:sz w:val="22"/>
          <w:szCs w:val="22"/>
          <w:b w:val="1"/>
          <w:bCs w:val="1"/>
          <w:color w:val="auto"/>
        </w:rPr>
      </w:pPr>
    </w:p>
    <w:p>
      <w:pPr>
        <w:ind w:left="652" w:right="20" w:hanging="652"/>
        <w:spacing w:after="0" w:line="261" w:lineRule="auto"/>
        <w:tabs>
          <w:tab w:leader="none" w:pos="652"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Code of Conduct</w:t>
      </w:r>
      <w:r>
        <w:rPr>
          <w:rFonts w:ascii="Arial" w:cs="Arial" w:eastAsia="Arial" w:hAnsi="Arial"/>
          <w:sz w:val="22"/>
          <w:szCs w:val="22"/>
          <w:color w:val="auto"/>
        </w:rPr>
        <w:t>. Jazz Pharmaceuticals is committed to integrity and the pursuit of excellence in all we do. We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fulfill these commitments while upholding a high level of ethical conduct. The Code of Conduct is one element of Jazz Pharmaceuticals’ efforts to ensure lawful and ethical conduct by the company and its subsidiaries and their employees, officers and directors. It is a condition of employment that you read, agree to and sign Jazz Pharmaceuticals’ Code of Conduct in the first week of employment. If you have questions about the Code of Conduct, please let Human Resources know and we will ensure that you receive answers to your inquiries as quickly as possible.</w:t>
      </w:r>
    </w:p>
    <w:p>
      <w:pPr>
        <w:spacing w:after="0" w:line="181" w:lineRule="exact"/>
        <w:rPr>
          <w:rFonts w:ascii="Arial" w:cs="Arial" w:eastAsia="Arial" w:hAnsi="Arial"/>
          <w:sz w:val="22"/>
          <w:szCs w:val="22"/>
          <w:b w:val="1"/>
          <w:bCs w:val="1"/>
          <w:color w:val="auto"/>
        </w:rPr>
      </w:pPr>
    </w:p>
    <w:p>
      <w:pPr>
        <w:ind w:left="652" w:hanging="652"/>
        <w:spacing w:after="0" w:line="266" w:lineRule="auto"/>
        <w:tabs>
          <w:tab w:leader="none" w:pos="652"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At-Will Employment</w:t>
      </w:r>
      <w:r>
        <w:rPr>
          <w:rFonts w:ascii="Arial" w:cs="Arial" w:eastAsia="Arial" w:hAnsi="Arial"/>
          <w:sz w:val="22"/>
          <w:szCs w:val="22"/>
          <w:color w:val="auto"/>
        </w:rPr>
        <w:t>. Should you decide to accept our offer, you will be an “at-will” employee of Jazz</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Pharmaceuticals. This means that either you or Jazz Pharmaceuticals may terminate the employment relationship with or without cause at any time. Participation in any benefit, compensation or bonus program does not change the nature of the employment relationship, which remains “at-will”.</w:t>
      </w:r>
    </w:p>
    <w:p>
      <w:pPr>
        <w:spacing w:after="0" w:line="175" w:lineRule="exact"/>
        <w:rPr>
          <w:rFonts w:ascii="Arial" w:cs="Arial" w:eastAsia="Arial" w:hAnsi="Arial"/>
          <w:sz w:val="22"/>
          <w:szCs w:val="22"/>
          <w:b w:val="1"/>
          <w:bCs w:val="1"/>
          <w:color w:val="auto"/>
        </w:rPr>
      </w:pPr>
    </w:p>
    <w:p>
      <w:pPr>
        <w:ind w:left="652" w:right="80" w:hanging="652"/>
        <w:spacing w:after="0" w:line="266" w:lineRule="auto"/>
        <w:tabs>
          <w:tab w:leader="none" w:pos="652"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Authorization to Work</w:t>
      </w:r>
      <w:r>
        <w:rPr>
          <w:rFonts w:ascii="Arial" w:cs="Arial" w:eastAsia="Arial" w:hAnsi="Arial"/>
          <w:sz w:val="22"/>
          <w:szCs w:val="22"/>
          <w:color w:val="auto"/>
        </w:rPr>
        <w:t>. Federal government regulations require that all prospective employees present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documentation verifying their identity and demonstrating that they are authorized to work in the United States. If you have any questions about this requirement, which applies to U.S. citizens and non-U.S. citizens alike, please</w:t>
      </w:r>
    </w:p>
    <w:p>
      <w:pPr>
        <w:sectPr>
          <w:pgSz w:w="11900" w:h="16838" w:orient="portrait"/>
          <w:cols w:equalWidth="0" w:num="1">
            <w:col w:w="11352"/>
          </w:cols>
          <w:pgMar w:left="248" w:top="364" w:right="299" w:bottom="1440" w:gutter="0" w:footer="0" w:header="0"/>
        </w:sectPr>
      </w:pPr>
    </w:p>
    <w:bookmarkStart w:id="103" w:name="page104"/>
    <w:bookmarkEnd w:id="103"/>
    <w:p>
      <w:pPr>
        <w:ind w:left="660" w:right="640"/>
        <w:spacing w:after="0" w:line="259" w:lineRule="auto"/>
        <w:rPr>
          <w:sz w:val="20"/>
          <w:szCs w:val="20"/>
          <w:color w:val="auto"/>
        </w:rPr>
      </w:pPr>
      <w:r>
        <w:rPr>
          <w:rFonts w:ascii="Arial" w:cs="Arial" w:eastAsia="Arial" w:hAnsi="Arial"/>
          <w:sz w:val="22"/>
          <w:szCs w:val="22"/>
          <w:color w:val="auto"/>
        </w:rPr>
        <w:t>contact Heidi Manna, our Senior Vice President and Chief Human Resources Officer. Your employment is contingent on your ability to prove your identity and authorization to work in the United States, and your complying with the government’s employment verification requirements.</w:t>
      </w:r>
    </w:p>
    <w:p>
      <w:pPr>
        <w:spacing w:after="0" w:line="181" w:lineRule="exact"/>
        <w:rPr>
          <w:sz w:val="20"/>
          <w:szCs w:val="20"/>
          <w:color w:val="auto"/>
        </w:rPr>
      </w:pPr>
    </w:p>
    <w:p>
      <w:pPr>
        <w:ind w:left="660" w:hanging="652"/>
        <w:spacing w:after="0" w:line="261" w:lineRule="auto"/>
        <w:tabs>
          <w:tab w:leader="none" w:pos="66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Complete Offer and Agreement</w:t>
      </w:r>
      <w:r>
        <w:rPr>
          <w:rFonts w:ascii="Arial" w:cs="Arial" w:eastAsia="Arial" w:hAnsi="Arial"/>
          <w:sz w:val="22"/>
          <w:szCs w:val="22"/>
          <w:color w:val="auto"/>
        </w:rPr>
        <w:t>. This letter contains our complete understanding and agreement regarding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terms of your employment by Jazz Pharmaceuticals. There are no other, different or prior agreements or understandings on this or related subjects. Changes to the terms of your employment can be made only in a writing signed by you and President of Jazz Pharmaceuticals, although it is understood that as part of the policy of employment at will, Jazz Pharmaceuticals may, from time to time, in its sole discretion, adjust your salary, incentive compensation and benefits, as well as your job title, location, duties, responsibilities, assignments and reporting relationships.</w:t>
      </w:r>
    </w:p>
    <w:p>
      <w:pPr>
        <w:spacing w:after="0" w:line="181" w:lineRule="exact"/>
        <w:rPr>
          <w:rFonts w:ascii="Arial" w:cs="Arial" w:eastAsia="Arial" w:hAnsi="Arial"/>
          <w:sz w:val="22"/>
          <w:szCs w:val="22"/>
          <w:b w:val="1"/>
          <w:bCs w:val="1"/>
          <w:color w:val="auto"/>
        </w:rPr>
      </w:pPr>
    </w:p>
    <w:p>
      <w:pPr>
        <w:ind w:left="660" w:right="520" w:hanging="652"/>
        <w:spacing w:after="0" w:line="271" w:lineRule="auto"/>
        <w:tabs>
          <w:tab w:leader="none" w:pos="66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Start Date; Acceptance of Offer</w:t>
      </w:r>
      <w:r>
        <w:rPr>
          <w:rFonts w:ascii="Arial" w:cs="Arial" w:eastAsia="Arial" w:hAnsi="Arial"/>
          <w:sz w:val="22"/>
          <w:szCs w:val="22"/>
          <w:color w:val="auto"/>
        </w:rPr>
        <w:t>. We hope that you will accept this offer promptly, and begin your full-time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employment at Jazz Pharmaceuticals by 5 August 2019. If our offer is acceptable to you, please sign the enclosed copy of this letter in the space indicated and return it to me by 5 July 2019.</w:t>
      </w:r>
    </w:p>
    <w:p>
      <w:pPr>
        <w:spacing w:after="0" w:line="169" w:lineRule="exact"/>
        <w:rPr>
          <w:rFonts w:ascii="Arial" w:cs="Arial" w:eastAsia="Arial" w:hAnsi="Arial"/>
          <w:sz w:val="22"/>
          <w:szCs w:val="22"/>
          <w:b w:val="1"/>
          <w:bCs w:val="1"/>
          <w:color w:val="auto"/>
        </w:rPr>
      </w:pPr>
    </w:p>
    <w:p>
      <w:pPr>
        <w:jc w:val="both"/>
        <w:ind w:left="660" w:right="580" w:hanging="652"/>
        <w:spacing w:after="0" w:line="271" w:lineRule="auto"/>
        <w:tabs>
          <w:tab w:leader="none" w:pos="66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Severability</w:t>
      </w:r>
      <w:r>
        <w:rPr>
          <w:rFonts w:ascii="Arial" w:cs="Arial" w:eastAsia="Arial" w:hAnsi="Arial"/>
          <w:sz w:val="22"/>
          <w:szCs w:val="22"/>
          <w:color w:val="auto"/>
        </w:rPr>
        <w:t>. If any provision of this offer is held to be invalid, void or unenforceable, the remainder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 set forth herein will remain unaffected, and you and Jazz Pharmaceuticals will work together to achieve the intent of the affected provisions.</w:t>
      </w:r>
    </w:p>
    <w:p>
      <w:pPr>
        <w:spacing w:after="0" w:line="195" w:lineRule="exact"/>
        <w:rPr>
          <w:sz w:val="20"/>
          <w:szCs w:val="20"/>
          <w:color w:val="auto"/>
        </w:rPr>
      </w:pPr>
    </w:p>
    <w:p>
      <w:pPr>
        <w:ind w:right="200"/>
        <w:spacing w:after="0" w:line="259" w:lineRule="auto"/>
        <w:rPr>
          <w:sz w:val="20"/>
          <w:szCs w:val="20"/>
          <w:color w:val="auto"/>
        </w:rPr>
      </w:pPr>
      <w:r>
        <w:rPr>
          <w:rFonts w:ascii="Arial" w:cs="Arial" w:eastAsia="Arial" w:hAnsi="Arial"/>
          <w:sz w:val="22"/>
          <w:szCs w:val="22"/>
          <w:color w:val="auto"/>
        </w:rPr>
        <w:t>Neena, we are impressed by your accomplishments and potential, and we are enthusiastic at the prospect of you joining us. I look forward to your early acceptance of this offer, and to your contributions to the growth and success of Jazz Pharmaceuticals.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i w:val="1"/>
          <w:iCs w:val="1"/>
          <w:color w:val="auto"/>
        </w:rPr>
        <w:t>Bruce Cozadd</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Bruce Cozadd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Chairman &amp; CEO</w:t>
      </w:r>
    </w:p>
    <w:p>
      <w:pPr>
        <w:sectPr>
          <w:pgSz w:w="11900" w:h="16838" w:orient="portrait"/>
          <w:cols w:equalWidth="0" w:num="1">
            <w:col w:w="11360"/>
          </w:cols>
          <w:pgMar w:left="240" w:top="795" w:right="29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auto"/>
        </w:rPr>
        <w:t>ACCEPTANCE OF EMPLOYMENT OFFER:</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I accept the offer of employment by Jazz Pharmaceuticals on the terms described in this letter.</w:t>
      </w:r>
    </w:p>
    <w:p>
      <w:pPr>
        <w:spacing w:after="0" w:line="360" w:lineRule="exact"/>
        <w:rPr>
          <w:sz w:val="20"/>
          <w:szCs w:val="20"/>
          <w:color w:val="auto"/>
        </w:rPr>
      </w:pPr>
    </w:p>
    <w:tbl>
      <w:tblPr>
        <w:tblLayout w:type="fixed"/>
        <w:tblInd w:w="440" w:type="dxa"/>
        <w:tblCellMar>
          <w:top w:w="0" w:type="dxa"/>
          <w:left w:w="0" w:type="dxa"/>
          <w:bottom w:w="0" w:type="dxa"/>
          <w:right w:w="0" w:type="dxa"/>
        </w:tblCellMar>
      </w:tblPr>
      <w:tr>
        <w:trPr>
          <w:trHeight w:val="292"/>
        </w:trPr>
        <w:tc>
          <w:tcPr>
            <w:tcW w:w="3260" w:type="dxa"/>
            <w:vAlign w:val="bottom"/>
          </w:tcPr>
          <w:p>
            <w:pPr>
              <w:spacing w:after="0"/>
              <w:rPr>
                <w:sz w:val="20"/>
                <w:szCs w:val="20"/>
                <w:color w:val="auto"/>
              </w:rPr>
            </w:pPr>
            <w:r>
              <w:rPr>
                <w:rFonts w:ascii="Arial" w:cs="Arial" w:eastAsia="Arial" w:hAnsi="Arial"/>
                <w:sz w:val="22"/>
                <w:szCs w:val="22"/>
                <w:color w:val="auto"/>
              </w:rPr>
              <w:t>Signature:</w:t>
            </w:r>
          </w:p>
        </w:tc>
        <w:tc>
          <w:tcPr>
            <w:tcW w:w="732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Neena M. Patil</w:t>
            </w:r>
          </w:p>
        </w:tc>
      </w:tr>
      <w:tr>
        <w:trPr>
          <w:trHeight w:val="291"/>
        </w:trPr>
        <w:tc>
          <w:tcPr>
            <w:tcW w:w="3260" w:type="dxa"/>
            <w:vAlign w:val="bottom"/>
          </w:tcPr>
          <w:p>
            <w:pPr>
              <w:spacing w:after="0"/>
              <w:rPr>
                <w:sz w:val="20"/>
                <w:szCs w:val="20"/>
                <w:color w:val="auto"/>
              </w:rPr>
            </w:pPr>
            <w:r>
              <w:rPr>
                <w:rFonts w:ascii="Arial" w:cs="Arial" w:eastAsia="Arial" w:hAnsi="Arial"/>
                <w:sz w:val="22"/>
                <w:szCs w:val="22"/>
                <w:color w:val="auto"/>
              </w:rPr>
              <w:t>Date:</w:t>
            </w:r>
          </w:p>
        </w:tc>
        <w:tc>
          <w:tcPr>
            <w:tcW w:w="73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5 July 2019</w:t>
            </w:r>
          </w:p>
        </w:tc>
      </w:tr>
      <w:tr>
        <w:trPr>
          <w:trHeight w:val="939"/>
        </w:trPr>
        <w:tc>
          <w:tcPr>
            <w:tcW w:w="3260" w:type="dxa"/>
            <w:vAlign w:val="bottom"/>
          </w:tcPr>
          <w:p>
            <w:pPr>
              <w:spacing w:after="0"/>
              <w:rPr>
                <w:sz w:val="20"/>
                <w:szCs w:val="20"/>
                <w:color w:val="auto"/>
              </w:rPr>
            </w:pPr>
            <w:r>
              <w:rPr>
                <w:rFonts w:ascii="Arial" w:cs="Arial" w:eastAsia="Arial" w:hAnsi="Arial"/>
                <w:sz w:val="22"/>
                <w:szCs w:val="22"/>
                <w:color w:val="auto"/>
              </w:rPr>
              <w:t>My start date will be</w:t>
            </w:r>
          </w:p>
        </w:tc>
        <w:tc>
          <w:tcPr>
            <w:tcW w:w="7320" w:type="dxa"/>
            <w:vAlign w:val="bottom"/>
            <w:tcBorders>
              <w:bottom w:val="single" w:sz="8" w:color="auto"/>
            </w:tcBorders>
          </w:tcPr>
          <w:p>
            <w:pPr>
              <w:ind w:left="680"/>
              <w:spacing w:after="0"/>
              <w:rPr>
                <w:sz w:val="20"/>
                <w:szCs w:val="20"/>
                <w:color w:val="auto"/>
              </w:rPr>
            </w:pPr>
            <w:r>
              <w:rPr>
                <w:rFonts w:ascii="Arial" w:cs="Arial" w:eastAsia="Arial" w:hAnsi="Arial"/>
                <w:sz w:val="22"/>
                <w:szCs w:val="22"/>
                <w:color w:val="auto"/>
              </w:rPr>
              <w:t>July 29, 2019* **</w:t>
            </w:r>
          </w:p>
        </w:tc>
      </w:tr>
      <w:tr>
        <w:trPr>
          <w:trHeight w:val="280"/>
        </w:trPr>
        <w:tc>
          <w:tcPr>
            <w:tcW w:w="3260" w:type="dxa"/>
            <w:vAlign w:val="bottom"/>
          </w:tcPr>
          <w:p>
            <w:pPr>
              <w:spacing w:after="0"/>
              <w:rPr>
                <w:sz w:val="24"/>
                <w:szCs w:val="24"/>
                <w:color w:val="auto"/>
              </w:rPr>
            </w:pPr>
          </w:p>
        </w:tc>
        <w:tc>
          <w:tcPr>
            <w:tcW w:w="7320" w:type="dxa"/>
            <w:vAlign w:val="bottom"/>
          </w:tcPr>
          <w:p>
            <w:pPr>
              <w:ind w:left="680"/>
              <w:spacing w:after="0"/>
              <w:rPr>
                <w:sz w:val="20"/>
                <w:szCs w:val="20"/>
                <w:color w:val="auto"/>
              </w:rPr>
            </w:pPr>
            <w:r>
              <w:rPr>
                <w:rFonts w:ascii="Arial" w:cs="Arial" w:eastAsia="Arial" w:hAnsi="Arial"/>
                <w:sz w:val="22"/>
                <w:szCs w:val="22"/>
                <w:color w:val="auto"/>
              </w:rPr>
              <w:t>* pending confirmation of transition plan with current employer</w:t>
            </w:r>
          </w:p>
        </w:tc>
      </w:tr>
      <w:tr>
        <w:trPr>
          <w:trHeight w:val="297"/>
        </w:trPr>
        <w:tc>
          <w:tcPr>
            <w:tcW w:w="3260" w:type="dxa"/>
            <w:vAlign w:val="bottom"/>
          </w:tcPr>
          <w:p>
            <w:pPr>
              <w:spacing w:after="0"/>
              <w:rPr>
                <w:sz w:val="24"/>
                <w:szCs w:val="24"/>
                <w:color w:val="auto"/>
              </w:rPr>
            </w:pPr>
          </w:p>
        </w:tc>
        <w:tc>
          <w:tcPr>
            <w:tcW w:w="7320" w:type="dxa"/>
            <w:vAlign w:val="bottom"/>
          </w:tcPr>
          <w:p>
            <w:pPr>
              <w:ind w:left="680"/>
              <w:spacing w:after="0"/>
              <w:rPr>
                <w:sz w:val="20"/>
                <w:szCs w:val="20"/>
                <w:color w:val="auto"/>
              </w:rPr>
            </w:pPr>
            <w:r>
              <w:rPr>
                <w:rFonts w:ascii="Arial" w:cs="Arial" w:eastAsia="Arial" w:hAnsi="Arial"/>
                <w:sz w:val="22"/>
                <w:szCs w:val="22"/>
                <w:color w:val="auto"/>
              </w:rPr>
              <w:t>** in office start date of 9 September 2019</w:t>
            </w:r>
          </w:p>
        </w:tc>
      </w:tr>
    </w:tbl>
    <w:p>
      <w:pPr>
        <w:sectPr>
          <w:pgSz w:w="11900" w:h="16838" w:orient="portrait"/>
          <w:cols w:equalWidth="0" w:num="1">
            <w:col w:w="11020"/>
          </w:cols>
          <w:pgMar w:left="240" w:top="1255" w:right="6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b w:val="1"/>
          <w:bCs w:val="1"/>
          <w:color w:val="auto"/>
        </w:rPr>
        <w:t>Exhibit 10.5</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JAZZ PHARMACEUTICALS PLC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CHANGE IN CONTROL AND SEVERANCE BENEFIT PLAN</w:t>
      </w:r>
    </w:p>
    <w:p>
      <w:pPr>
        <w:spacing w:after="0" w:line="200" w:lineRule="exact"/>
        <w:rPr>
          <w:sz w:val="20"/>
          <w:szCs w:val="20"/>
          <w:color w:val="auto"/>
        </w:rPr>
      </w:pPr>
    </w:p>
    <w:p>
      <w:pPr>
        <w:spacing w:after="0" w:line="27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w:t>
        <w:tab/>
        <w:t>INTRODUCTIONS.</w:t>
      </w:r>
    </w:p>
    <w:p>
      <w:pPr>
        <w:spacing w:after="0" w:line="262" w:lineRule="exact"/>
        <w:rPr>
          <w:sz w:val="20"/>
          <w:szCs w:val="20"/>
          <w:color w:val="auto"/>
        </w:rPr>
      </w:pPr>
    </w:p>
    <w:p>
      <w:pPr>
        <w:jc w:val="both"/>
        <w:ind w:right="340"/>
        <w:spacing w:after="0" w:line="314" w:lineRule="auto"/>
        <w:rPr>
          <w:sz w:val="20"/>
          <w:szCs w:val="20"/>
          <w:color w:val="auto"/>
        </w:rPr>
      </w:pPr>
      <w:r>
        <w:rPr>
          <w:rFonts w:ascii="Arial" w:cs="Arial" w:eastAsia="Arial" w:hAnsi="Arial"/>
          <w:sz w:val="19"/>
          <w:szCs w:val="19"/>
          <w:color w:val="auto"/>
        </w:rPr>
        <w:t>The Jazz Pharmaceuticals plc Amended and Restated Executive Change in Control and Severance Benefit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was originally established effective as of May 1, 2007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and was amended and restated effective as of February 17, 2009, October 24, 2011, February 14, 2012, April 24, 2012, July 31, 2013, February 10, 2016 and July 31, 2019.</w:t>
      </w:r>
    </w:p>
    <w:p>
      <w:pPr>
        <w:spacing w:after="0" w:line="169" w:lineRule="exact"/>
        <w:rPr>
          <w:sz w:val="20"/>
          <w:szCs w:val="20"/>
          <w:color w:val="auto"/>
        </w:rPr>
      </w:pPr>
    </w:p>
    <w:p>
      <w:pPr>
        <w:ind w:right="300"/>
        <w:spacing w:after="0" w:line="369" w:lineRule="auto"/>
        <w:rPr>
          <w:sz w:val="20"/>
          <w:szCs w:val="20"/>
          <w:color w:val="auto"/>
        </w:rPr>
      </w:pPr>
      <w:r>
        <w:rPr>
          <w:rFonts w:ascii="Arial" w:cs="Arial" w:eastAsia="Arial" w:hAnsi="Arial"/>
          <w:sz w:val="16"/>
          <w:szCs w:val="16"/>
          <w:color w:val="auto"/>
        </w:rPr>
        <w:t>The purpose of the Plan is to provide for the payment of severance benefits to certain eligible executive employees of U.S. Affiliates of Jazz Pharmaceuticals plc in the event that such employees are subject to a Covered Termination. Except as provided in Section 6(a)(iv), this Plan shall supersede any individual agreement between the Company or any Affiliate and a Participant, and any other plan, policy or practice, whether written or unwritten, maintained by the Company or any Affiliate with respect to a Participant (other than any such plan, policy or practice that provides for benefits upon the Participant’s death or Disability), in each case to the extent that such agreement, plan, policy or practice provides for benefits upon a Covered Termination. This Plan document also constitutes the Summary Plan Description for the Plan.</w:t>
      </w:r>
    </w:p>
    <w:p>
      <w:pPr>
        <w:spacing w:after="0" w:line="13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2.</w:t>
        <w:tab/>
        <w:t>DEFINITIONS.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the Plan, the following terms are defined as follows:</w:t>
      </w:r>
    </w:p>
    <w:p>
      <w:pPr>
        <w:spacing w:after="0" w:line="256" w:lineRule="exact"/>
        <w:rPr>
          <w:sz w:val="20"/>
          <w:szCs w:val="20"/>
          <w:color w:val="auto"/>
        </w:rPr>
      </w:pPr>
    </w:p>
    <w:p>
      <w:pPr>
        <w:ind w:right="280" w:firstLine="656"/>
        <w:spacing w:after="0" w:line="288" w:lineRule="auto"/>
        <w:tabs>
          <w:tab w:leader="none" w:pos="1077"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at the time of determination, any “parent” or “subsidiary” of the Company as such terms are defined in Rule 405 of the Securities Act of 1933, as amended, and any “holding company” or “subsidiary” of the Company as such terms are defined in Section 8 and 7 respectively of the Companies Act. The Plan Administrator shall have the authority to determine the time or times at which “parent” or “subsidiary” status is determined within the foregoing definition.</w:t>
      </w:r>
    </w:p>
    <w:p>
      <w:pPr>
        <w:spacing w:after="0" w:line="192" w:lineRule="exact"/>
        <w:rPr>
          <w:rFonts w:ascii="Arial" w:cs="Arial" w:eastAsia="Arial" w:hAnsi="Arial"/>
          <w:sz w:val="20"/>
          <w:szCs w:val="20"/>
          <w:b w:val="1"/>
          <w:bCs w:val="1"/>
          <w:color w:val="auto"/>
        </w:rPr>
      </w:pPr>
    </w:p>
    <w:p>
      <w:pPr>
        <w:ind w:right="320" w:firstLine="656"/>
        <w:spacing w:after="0" w:line="303" w:lineRule="auto"/>
        <w:tabs>
          <w:tab w:leader="none" w:pos="1088"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means a Participant’s annual base pay (excluding incentive pay, premium pay, commissions, overtime, bonuses and other forms of variable compensation).</w:t>
      </w:r>
    </w:p>
    <w:p>
      <w:pPr>
        <w:spacing w:after="0" w:line="175" w:lineRule="exact"/>
        <w:rPr>
          <w:rFonts w:ascii="Arial" w:cs="Arial" w:eastAsia="Arial" w:hAnsi="Arial"/>
          <w:sz w:val="20"/>
          <w:szCs w:val="20"/>
          <w:b w:val="1"/>
          <w:bCs w:val="1"/>
          <w:color w:val="auto"/>
        </w:rPr>
      </w:pPr>
    </w:p>
    <w:p>
      <w:pPr>
        <w:ind w:left="1080" w:hanging="424"/>
        <w:spacing w:after="0"/>
        <w:tabs>
          <w:tab w:leader="none" w:pos="1080"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the Company.</w:t>
      </w:r>
    </w:p>
    <w:p>
      <w:pPr>
        <w:spacing w:after="0" w:line="256" w:lineRule="exact"/>
        <w:rPr>
          <w:rFonts w:ascii="Arial" w:cs="Arial" w:eastAsia="Arial" w:hAnsi="Arial"/>
          <w:sz w:val="20"/>
          <w:szCs w:val="20"/>
          <w:b w:val="1"/>
          <w:bCs w:val="1"/>
          <w:color w:val="auto"/>
        </w:rPr>
      </w:pPr>
    </w:p>
    <w:p>
      <w:pPr>
        <w:ind w:right="460" w:firstLine="656"/>
        <w:spacing w:after="0" w:line="331" w:lineRule="auto"/>
        <w:tabs>
          <w:tab w:leader="none" w:pos="1088" w:val="left"/>
        </w:tabs>
        <w:numPr>
          <w:ilvl w:val="0"/>
          <w:numId w:val="77"/>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Bonus Multiplier</w:t>
      </w:r>
      <w:r>
        <w:rPr>
          <w:rFonts w:ascii="Arial" w:cs="Arial" w:eastAsia="Arial" w:hAnsi="Arial"/>
          <w:sz w:val="19"/>
          <w:szCs w:val="19"/>
          <w:color w:val="auto"/>
        </w:rPr>
        <w:t>” means the quotient obtained by dividing the number of full months that a Participant is employed by the Company or an Affiliate during the calendar year in which the Participant’s Covered Termination occurs by twelve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32" w:right="239" w:bottom="1440" w:gutter="0" w:footer="0" w:header="0"/>
        </w:sectPr>
      </w:pPr>
    </w:p>
    <w:bookmarkStart w:id="106" w:name="page107"/>
    <w:bookmarkEnd w:id="106"/>
    <w:p>
      <w:pPr>
        <w:ind w:left="1072" w:hanging="424"/>
        <w:spacing w:after="0"/>
        <w:tabs>
          <w:tab w:leader="none" w:pos="1072" w:val="left"/>
        </w:tabs>
        <w:numPr>
          <w:ilvl w:val="1"/>
          <w:numId w:val="78"/>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Bonus Percentage</w:t>
      </w:r>
      <w:r>
        <w:rPr>
          <w:rFonts w:ascii="Arial" w:cs="Arial" w:eastAsia="Arial" w:hAnsi="Arial"/>
          <w:sz w:val="20"/>
          <w:szCs w:val="20"/>
          <w:color w:val="auto"/>
        </w:rPr>
        <w:t>” means the greater of:</w:t>
      </w:r>
    </w:p>
    <w:p>
      <w:pPr>
        <w:spacing w:after="0" w:line="256" w:lineRule="exact"/>
        <w:rPr>
          <w:rFonts w:ascii="Arial" w:cs="Arial" w:eastAsia="Arial" w:hAnsi="Arial"/>
          <w:sz w:val="20"/>
          <w:szCs w:val="20"/>
          <w:b w:val="1"/>
          <w:bCs w:val="1"/>
          <w:color w:val="auto"/>
        </w:rPr>
      </w:pPr>
    </w:p>
    <w:p>
      <w:pPr>
        <w:ind w:left="-8" w:firstLine="1142"/>
        <w:spacing w:after="0" w:line="314" w:lineRule="auto"/>
        <w:tabs>
          <w:tab w:leader="none" w:pos="1511" w:val="left"/>
        </w:tabs>
        <w:numPr>
          <w:ilvl w:val="2"/>
          <w:numId w:val="78"/>
        </w:numPr>
        <w:rPr>
          <w:rFonts w:ascii="Arial" w:cs="Arial" w:eastAsia="Arial" w:hAnsi="Arial"/>
          <w:sz w:val="19"/>
          <w:szCs w:val="19"/>
          <w:b w:val="1"/>
          <w:bCs w:val="1"/>
          <w:color w:val="auto"/>
        </w:rPr>
      </w:pPr>
      <w:r>
        <w:rPr>
          <w:rFonts w:ascii="Arial" w:cs="Arial" w:eastAsia="Arial" w:hAnsi="Arial"/>
          <w:sz w:val="19"/>
          <w:szCs w:val="19"/>
          <w:color w:val="auto"/>
        </w:rPr>
        <w:t>the highest amount of any annual bonus paid to a Participant by the Company or an Affiliate for (x) either of the last two (2) calendar years prior to the date of the Participant’s Covered Termination or (y) either of the last two (2) calendar years prior to the Change in Control, in each case expressed as a percentage of the Participant’s Base Salary for the applicable year; or</w:t>
      </w:r>
    </w:p>
    <w:p>
      <w:pPr>
        <w:spacing w:after="0" w:line="168" w:lineRule="exact"/>
        <w:rPr>
          <w:rFonts w:ascii="Arial" w:cs="Arial" w:eastAsia="Arial" w:hAnsi="Arial"/>
          <w:sz w:val="19"/>
          <w:szCs w:val="19"/>
          <w:b w:val="1"/>
          <w:bCs w:val="1"/>
          <w:color w:val="auto"/>
        </w:rPr>
      </w:pPr>
    </w:p>
    <w:p>
      <w:pPr>
        <w:ind w:left="-8" w:right="20" w:firstLine="1142"/>
        <w:spacing w:after="0" w:line="323" w:lineRule="auto"/>
        <w:tabs>
          <w:tab w:leader="none" w:pos="1566" w:val="left"/>
        </w:tabs>
        <w:numPr>
          <w:ilvl w:val="2"/>
          <w:numId w:val="78"/>
        </w:numPr>
        <w:rPr>
          <w:rFonts w:ascii="Arial" w:cs="Arial" w:eastAsia="Arial" w:hAnsi="Arial"/>
          <w:sz w:val="18"/>
          <w:szCs w:val="18"/>
          <w:b w:val="1"/>
          <w:bCs w:val="1"/>
          <w:color w:val="auto"/>
        </w:rPr>
      </w:pPr>
      <w:r>
        <w:rPr>
          <w:rFonts w:ascii="Arial" w:cs="Arial" w:eastAsia="Arial" w:hAnsi="Arial"/>
          <w:sz w:val="18"/>
          <w:szCs w:val="18"/>
          <w:color w:val="auto"/>
        </w:rPr>
        <w:t>the higher of the Participant’s target bonus for (x) the calendar year in which the Participant’s Covered Termination occurs or (y) the calendar year in which the Change in Control occurs, in each case expressed as a percentage of the Participant’s Base Salary for such year. For purposes of the foregoing and this Plan, in the case of any Participant with a title of Vice President on the date of the Participant’s Covered Termination, the Participant’s target bonus for the calendar year in which the Participant’s Covered Termination occurs or for the calendar year in which the Change in Control occurs shall mean, in each case, thirty percent (30%) of the Participant’s Base Salary for such year, notwithstanding any contrary provision set forth in any bonus or other plan maintained by the Company or an Affiliate.</w:t>
      </w:r>
    </w:p>
    <w:p>
      <w:pPr>
        <w:spacing w:after="0" w:line="165" w:lineRule="exact"/>
        <w:rPr>
          <w:rFonts w:ascii="Arial" w:cs="Arial" w:eastAsia="Arial" w:hAnsi="Arial"/>
          <w:sz w:val="18"/>
          <w:szCs w:val="18"/>
          <w:b w:val="1"/>
          <w:bCs w:val="1"/>
          <w:color w:val="auto"/>
        </w:rPr>
      </w:pPr>
    </w:p>
    <w:p>
      <w:pPr>
        <w:ind w:left="-8" w:right="280" w:firstLine="656"/>
        <w:spacing w:after="0" w:line="313" w:lineRule="auto"/>
        <w:tabs>
          <w:tab w:leader="none" w:pos="1036"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the occurrence of any one or more of the following: (i) the Participant’s unauthorized use or disclosure of the confidential information or trade secrets of the Company or an Affiliate which use or disclosure causes material harm to the Company or an Affiliate; (ii) the Participant’s material breach of any written agreement between the Participant and the Company or an Affiliate, or the Participant’s material violation of any statutory duty owed to the Company or an Affiliate, in either case which remains uncured for ten</w:t>
      </w:r>
    </w:p>
    <w:p>
      <w:pPr>
        <w:ind w:left="-8" w:right="20" w:firstLine="8"/>
        <w:spacing w:after="0" w:line="301" w:lineRule="auto"/>
        <w:tabs>
          <w:tab w:leader="none" w:pos="371" w:val="left"/>
        </w:tabs>
        <w:numPr>
          <w:ilvl w:val="0"/>
          <w:numId w:val="79"/>
        </w:numPr>
        <w:rPr>
          <w:rFonts w:ascii="Arial" w:cs="Arial" w:eastAsia="Arial" w:hAnsi="Arial"/>
          <w:sz w:val="19"/>
          <w:szCs w:val="19"/>
          <w:color w:val="auto"/>
        </w:rPr>
      </w:pPr>
      <w:r>
        <w:rPr>
          <w:rFonts w:ascii="Arial" w:cs="Arial" w:eastAsia="Arial" w:hAnsi="Arial"/>
          <w:sz w:val="19"/>
          <w:szCs w:val="19"/>
          <w:color w:val="auto"/>
        </w:rPr>
        <w:t>business days after receiving written notification of the breach or violation from the Board or its designee; (iii) the Participant’s material failure to comply with the written policies or rules of the Company or an Affiliate which remains uncured for ten (10) business days after receiving written notification of the failure from the Board or its designee; (iv) the Participant’s conviction of, or plea of “guilty” or “no contest” to, any crime involving fraud, dishonesty or moral turpitude under the laws of any United States federal, state or local authority or any foreign governmental authority; (v) the Participant’s gross misconduct, including but not limited to attempted or actual commission of, participation or cooperation in, fraud or act of dishonesty against the Company or an Affiliate; (vi) the Participant’s continuing failure to perform assigned duties after receiving written notification of the failure from the Board or its designee; or (vii) the Participant’s failure to reasonably cooperate in good faith with a governmental or internal investigation of the Company or any of its Affiliates, directors, officers or employees, if the Board or its designee has requested the Participant’s cooperation.</w:t>
      </w:r>
    </w:p>
    <w:p>
      <w:pPr>
        <w:spacing w:after="0" w:line="180" w:lineRule="exact"/>
        <w:rPr>
          <w:rFonts w:ascii="Arial" w:cs="Arial" w:eastAsia="Arial" w:hAnsi="Arial"/>
          <w:sz w:val="19"/>
          <w:szCs w:val="19"/>
          <w:color w:val="auto"/>
        </w:rPr>
      </w:pPr>
    </w:p>
    <w:p>
      <w:pPr>
        <w:ind w:left="-8" w:right="20" w:firstLine="656"/>
        <w:spacing w:after="0" w:line="303" w:lineRule="auto"/>
        <w:tabs>
          <w:tab w:leader="none" w:pos="1069" w:val="left"/>
        </w:tabs>
        <w:numPr>
          <w:ilvl w:val="1"/>
          <w:numId w:val="79"/>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the occurrence, in a single transaction or in a series of related transactions, of any one or more of the following events:</w:t>
      </w:r>
    </w:p>
    <w:p>
      <w:pPr>
        <w:spacing w:after="0" w:line="175" w:lineRule="exact"/>
        <w:rPr>
          <w:rFonts w:ascii="Arial" w:cs="Arial" w:eastAsia="Arial" w:hAnsi="Arial"/>
          <w:sz w:val="20"/>
          <w:szCs w:val="20"/>
          <w:b w:val="1"/>
          <w:bCs w:val="1"/>
          <w:color w:val="auto"/>
        </w:rPr>
      </w:pPr>
    </w:p>
    <w:p>
      <w:pPr>
        <w:ind w:left="-8" w:right="120" w:firstLine="1142"/>
        <w:spacing w:after="0" w:line="338" w:lineRule="auto"/>
        <w:tabs>
          <w:tab w:leader="none" w:pos="1511" w:val="left"/>
        </w:tabs>
        <w:numPr>
          <w:ilvl w:val="2"/>
          <w:numId w:val="79"/>
        </w:numPr>
        <w:rPr>
          <w:rFonts w:ascii="Arial" w:cs="Arial" w:eastAsia="Arial" w:hAnsi="Arial"/>
          <w:sz w:val="18"/>
          <w:szCs w:val="18"/>
          <w:b w:val="1"/>
          <w:bCs w:val="1"/>
          <w:color w:val="auto"/>
        </w:rPr>
      </w:pPr>
      <w:r>
        <w:rPr>
          <w:rFonts w:ascii="Arial" w:cs="Arial" w:eastAsia="Arial" w:hAnsi="Arial"/>
          <w:sz w:val="18"/>
          <w:szCs w:val="18"/>
          <w:color w:val="auto"/>
        </w:rPr>
        <w:t>any Exchange Act Person becomes the Owner, directly or indirectly, of securities of the Company representing more than thirty percent (30%) of the combined voting power of the Company’s then outstanding securities. Notwithstanding the foregoing, a Change in Control shall not be deemed to occur on account of the acquisition of securities of the Company directly from the Company;</w:t>
      </w:r>
    </w:p>
    <w:p>
      <w:pPr>
        <w:spacing w:after="0" w:line="395"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52"/>
          </w:cols>
          <w:pgMar w:left="248" w:top="393" w:right="299" w:bottom="1440" w:gutter="0" w:footer="0" w:header="0"/>
        </w:sectPr>
      </w:pPr>
    </w:p>
    <w:bookmarkStart w:id="107" w:name="page108"/>
    <w:bookmarkEnd w:id="107"/>
    <w:p>
      <w:pPr>
        <w:ind w:left="-20" w:firstLine="1142"/>
        <w:spacing w:after="0" w:line="317" w:lineRule="auto"/>
        <w:tabs>
          <w:tab w:leader="none" w:pos="1554"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there is consummated a compromise or arrangement sanctioned by the Irish courts under the Companies Act, a scheme, contract or offer which has become binding on all shareholders of the Company pursuant to Section 457 of the Companies Act or a bid pursuant to Regulation 23 or 24 of the European Communities (Takeover Bids (Directive 2004/25/EC)) Regulations 2006 (as may be amended, updated or replaced from time to time), an offer or reverse takeover transaction which has been completed pursuant to the Irish Takeover Panel Act, 1997, Takeover Rules, 2013, or a reorganization, merger, statutory share exchange, consolidation or similar transaction involving (directly or indirectly) the Company (each,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and (A) immediately after the consummation of such Business Combination, the shareholders of the Company immediately prior thereto do not Own, directly or indirectly, either outstanding voting securities representing more than fifty percent (50%) of the combined outstanding voting power of the surviving Entity or ultimate parent of the surviving Entity in such Business Combination in substantially the same proportions as their Ownership of the outstanding voting securities of the Company immediately prior to such Business Combination, (B) an Exchange Act Person becomes the Owner, directly or indirectly, of securities representing more than thirty percent (30%) of the combined voting power of the surviving Entity or ultimate parent of the surviving Entity through the Business Combination, or (C) at least a majority of the members of the board of directors of the ultimate parent (or if there is no parent, the surviving Entity) immediately following such Business Combination were not Incumbent Board Members (as defined below) at the time the Board approved the execution of the definitive agreement providing for such Business Combination;</w:t>
      </w:r>
    </w:p>
    <w:p>
      <w:pPr>
        <w:spacing w:after="0" w:line="170" w:lineRule="exact"/>
        <w:rPr>
          <w:rFonts w:ascii="Arial" w:cs="Arial" w:eastAsia="Arial" w:hAnsi="Arial"/>
          <w:sz w:val="18"/>
          <w:szCs w:val="18"/>
          <w:b w:val="1"/>
          <w:bCs w:val="1"/>
          <w:color w:val="auto"/>
        </w:rPr>
      </w:pPr>
    </w:p>
    <w:p>
      <w:pPr>
        <w:ind w:left="-20" w:right="400" w:firstLine="1142"/>
        <w:spacing w:after="0" w:line="363" w:lineRule="auto"/>
        <w:tabs>
          <w:tab w:leader="none" w:pos="1609"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the shareholders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30" w:lineRule="exact"/>
        <w:rPr>
          <w:rFonts w:ascii="Arial" w:cs="Arial" w:eastAsia="Arial" w:hAnsi="Arial"/>
          <w:sz w:val="18"/>
          <w:szCs w:val="18"/>
          <w:b w:val="1"/>
          <w:bCs w:val="1"/>
          <w:color w:val="auto"/>
        </w:rPr>
      </w:pPr>
    </w:p>
    <w:p>
      <w:pPr>
        <w:ind w:left="-20" w:firstLine="1142"/>
        <w:spacing w:after="0" w:line="325" w:lineRule="auto"/>
        <w:tabs>
          <w:tab w:leader="none" w:pos="1598"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exclusive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outstanding voting securities of the Company immediately prior to such sale, lease, exclusive license or other disposition; or</w:t>
      </w:r>
    </w:p>
    <w:p>
      <w:pPr>
        <w:spacing w:after="0" w:line="165" w:lineRule="exact"/>
        <w:rPr>
          <w:rFonts w:ascii="Arial" w:cs="Arial" w:eastAsia="Arial" w:hAnsi="Arial"/>
          <w:sz w:val="18"/>
          <w:szCs w:val="18"/>
          <w:b w:val="1"/>
          <w:bCs w:val="1"/>
          <w:color w:val="auto"/>
        </w:rPr>
      </w:pPr>
    </w:p>
    <w:p>
      <w:pPr>
        <w:ind w:left="-20" w:right="40" w:firstLine="1142"/>
        <w:spacing w:after="0" w:line="323" w:lineRule="auto"/>
        <w:tabs>
          <w:tab w:leader="none" w:pos="1543"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individuals who, on February 10, 2016, are members of the Board (the “</w:t>
      </w:r>
      <w:r>
        <w:rPr>
          <w:rFonts w:ascii="Arial" w:cs="Arial" w:eastAsia="Arial" w:hAnsi="Arial"/>
          <w:sz w:val="18"/>
          <w:szCs w:val="18"/>
          <w:b w:val="1"/>
          <w:bCs w:val="1"/>
          <w:i w:val="1"/>
          <w:iCs w:val="1"/>
          <w:color w:val="auto"/>
        </w:rPr>
        <w:t>Incumbent Board Members</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appointment or election (or nomination for election) of any new Board member was approved or recommended by a majority vote of the Incumbent Board Members then still in office, such new member shall, for purposes of the Plan, be considered as an Incumbent Board Member, but excluding for purposes of the Plan any such individual whose initial assumption of office occurs as a result of either an actual or threatened election contest or other actual or threatened solicitation of proxies or consents by or on behalf of any person or Entity other than the Board.</w:t>
      </w:r>
    </w:p>
    <w:p>
      <w:pPr>
        <w:spacing w:after="0" w:line="165" w:lineRule="exact"/>
        <w:rPr>
          <w:rFonts w:ascii="Arial" w:cs="Arial" w:eastAsia="Arial" w:hAnsi="Arial"/>
          <w:sz w:val="18"/>
          <w:szCs w:val="18"/>
          <w:b w:val="1"/>
          <w:bCs w:val="1"/>
          <w:color w:val="auto"/>
        </w:rPr>
      </w:pPr>
    </w:p>
    <w:p>
      <w:pPr>
        <w:ind w:left="1080" w:hanging="444"/>
        <w:spacing w:after="0"/>
        <w:tabs>
          <w:tab w:leader="none" w:pos="1080"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COBRA</w:t>
      </w:r>
      <w:r>
        <w:rPr>
          <w:rFonts w:ascii="Arial" w:cs="Arial" w:eastAsia="Arial" w:hAnsi="Arial"/>
          <w:sz w:val="20"/>
          <w:szCs w:val="20"/>
          <w:color w:val="auto"/>
        </w:rPr>
        <w:t>” means the Consolidated Omnibus Budget Reconciliation Act of 1985, as amended.</w:t>
      </w:r>
    </w:p>
    <w:p>
      <w:pPr>
        <w:spacing w:after="0" w:line="256" w:lineRule="exact"/>
        <w:rPr>
          <w:rFonts w:ascii="Arial" w:cs="Arial" w:eastAsia="Arial" w:hAnsi="Arial"/>
          <w:sz w:val="20"/>
          <w:szCs w:val="20"/>
          <w:b w:val="1"/>
          <w:bCs w:val="1"/>
          <w:color w:val="auto"/>
        </w:rPr>
      </w:pPr>
    </w:p>
    <w:p>
      <w:pPr>
        <w:ind w:left="1020" w:hanging="384"/>
        <w:spacing w:after="0"/>
        <w:tabs>
          <w:tab w:leader="none" w:pos="1020"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00"/>
          </w:cols>
          <w:pgMar w:left="260" w:top="393" w:right="239" w:bottom="1440" w:gutter="0" w:footer="0" w:header="0"/>
        </w:sectPr>
      </w:pPr>
    </w:p>
    <w:bookmarkStart w:id="108" w:name="page109"/>
    <w:bookmarkEnd w:id="108"/>
    <w:p>
      <w:pPr>
        <w:ind w:right="180" w:firstLine="656"/>
        <w:spacing w:after="0" w:line="314" w:lineRule="auto"/>
        <w:tabs>
          <w:tab w:leader="none" w:pos="1044" w:val="left"/>
        </w:tabs>
        <w:numPr>
          <w:ilvl w:val="0"/>
          <w:numId w:val="8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Companies Act</w:t>
      </w:r>
      <w:r>
        <w:rPr>
          <w:rFonts w:ascii="Arial" w:cs="Arial" w:eastAsia="Arial" w:hAnsi="Arial"/>
          <w:sz w:val="19"/>
          <w:szCs w:val="19"/>
          <w:color w:val="auto"/>
        </w:rPr>
        <w:t>” means the Companies Act 2014 of Ireland, together with all statutory modifications and re-enactments thereof and all statutes and statutory instruments which are to be read as one with, or construed or read together as one with, the aforementioned enactments and every statutory modification and re-enactment thereof for the time being in force.</w:t>
      </w:r>
    </w:p>
    <w:p>
      <w:pPr>
        <w:spacing w:after="0" w:line="168" w:lineRule="exact"/>
        <w:rPr>
          <w:rFonts w:ascii="Arial" w:cs="Arial" w:eastAsia="Arial" w:hAnsi="Arial"/>
          <w:sz w:val="19"/>
          <w:szCs w:val="19"/>
          <w:b w:val="1"/>
          <w:bCs w:val="1"/>
          <w:color w:val="auto"/>
        </w:rPr>
      </w:pPr>
    </w:p>
    <w:p>
      <w:pPr>
        <w:ind w:left="1100" w:hanging="444"/>
        <w:spacing w:after="0"/>
        <w:tabs>
          <w:tab w:leader="none" w:pos="1100" w:val="left"/>
        </w:tabs>
        <w:numPr>
          <w:ilvl w:val="0"/>
          <w:numId w:val="8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means:</w:t>
      </w:r>
    </w:p>
    <w:p>
      <w:pPr>
        <w:spacing w:after="0" w:line="256" w:lineRule="exact"/>
        <w:rPr>
          <w:rFonts w:ascii="Arial" w:cs="Arial" w:eastAsia="Arial" w:hAnsi="Arial"/>
          <w:sz w:val="20"/>
          <w:szCs w:val="20"/>
          <w:b w:val="1"/>
          <w:bCs w:val="1"/>
          <w:color w:val="auto"/>
        </w:rPr>
      </w:pPr>
    </w:p>
    <w:p>
      <w:pPr>
        <w:ind w:left="1520" w:hanging="378"/>
        <w:spacing w:after="0"/>
        <w:tabs>
          <w:tab w:leader="none" w:pos="1520"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prior to a Change in Control, Jazz Pharmaceuticals plc; and</w:t>
      </w:r>
    </w:p>
    <w:p>
      <w:pPr>
        <w:spacing w:after="0" w:line="256" w:lineRule="exact"/>
        <w:rPr>
          <w:rFonts w:ascii="Arial" w:cs="Arial" w:eastAsia="Arial" w:hAnsi="Arial"/>
          <w:sz w:val="20"/>
          <w:szCs w:val="20"/>
          <w:b w:val="1"/>
          <w:bCs w:val="1"/>
          <w:color w:val="auto"/>
        </w:rPr>
      </w:pPr>
    </w:p>
    <w:p>
      <w:pPr>
        <w:ind w:firstLine="1142"/>
        <w:spacing w:after="0" w:line="287" w:lineRule="auto"/>
        <w:tabs>
          <w:tab w:leader="none" w:pos="1574"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on or after a Change in Control, (A) Jazz Pharmaceuticals plc in the event that the surviving Entity resulting from a Change in Control is Jazz Pharmaceuticals plc, (B) the surviving Entity resulting from a Change in Control in the event that such surviving Entity is not Jazz Pharmaceuticals plc, (C) any Entity to which the assets of Jazz Pharmaceuticals plc and its Subsidiaries are sold, leased, exclusively licensed or otherwise disposed of in the event of a Change in Control under Section 2(g)(iv), or (D) any other successor to Jazz Pharmaceuticals plc in the event of a Change in Control, as applicable;</w:t>
      </w:r>
    </w:p>
    <w:p>
      <w:pPr>
        <w:spacing w:after="0" w:line="192" w:lineRule="exact"/>
        <w:rPr>
          <w:sz w:val="20"/>
          <w:szCs w:val="20"/>
          <w:color w:val="auto"/>
        </w:rPr>
      </w:pPr>
    </w:p>
    <w:p>
      <w:pPr>
        <w:ind w:right="20"/>
        <w:spacing w:after="0" w:line="292" w:lineRule="auto"/>
        <w:rPr>
          <w:sz w:val="20"/>
          <w:szCs w:val="20"/>
          <w:color w:val="auto"/>
        </w:rPr>
      </w:pPr>
      <w:r>
        <w:rPr>
          <w:rFonts w:ascii="Arial" w:cs="Arial" w:eastAsia="Arial" w:hAnsi="Arial"/>
          <w:sz w:val="20"/>
          <w:szCs w:val="20"/>
          <w:i w:val="1"/>
          <w:iCs w:val="1"/>
          <w:color w:val="auto"/>
        </w:rPr>
        <w:t>provided, however</w:t>
      </w:r>
      <w:r>
        <w:rPr>
          <w:rFonts w:ascii="Arial" w:cs="Arial" w:eastAsia="Arial" w:hAnsi="Arial"/>
          <w:sz w:val="20"/>
          <w:szCs w:val="20"/>
          <w:color w:val="auto"/>
        </w:rPr>
        <w:t>, that in the event Jazz Pharmaceuticals plc completes a reorganization that is not in connection with a Change in Control that</w:t>
      </w:r>
      <w:r>
        <w:rPr>
          <w:rFonts w:ascii="Arial" w:cs="Arial" w:eastAsia="Arial" w:hAnsi="Arial"/>
          <w:sz w:val="20"/>
          <w:szCs w:val="20"/>
          <w:i w:val="1"/>
          <w:iCs w:val="1"/>
          <w:color w:val="auto"/>
        </w:rPr>
        <w:t xml:space="preserve"> </w:t>
      </w:r>
      <w:r>
        <w:rPr>
          <w:rFonts w:ascii="Arial" w:cs="Arial" w:eastAsia="Arial" w:hAnsi="Arial"/>
          <w:sz w:val="20"/>
          <w:szCs w:val="20"/>
          <w:color w:val="auto"/>
        </w:rPr>
        <w:t>results in Jazz Pharmaceuticals plc no longer being the ultimate parent company and reporting company under the Exchange Act, then “Company” means the ultimate parent that directly or indirectly holds Jazz Pharmaceuticals plc.</w:t>
      </w:r>
    </w:p>
    <w:p>
      <w:pPr>
        <w:spacing w:after="0" w:line="187" w:lineRule="exact"/>
        <w:rPr>
          <w:sz w:val="20"/>
          <w:szCs w:val="20"/>
          <w:color w:val="auto"/>
        </w:rPr>
      </w:pPr>
    </w:p>
    <w:p>
      <w:pPr>
        <w:ind w:firstLine="656"/>
        <w:spacing w:after="0" w:line="302" w:lineRule="auto"/>
        <w:tabs>
          <w:tab w:leader="none" w:pos="1033" w:val="left"/>
        </w:tabs>
        <w:numPr>
          <w:ilvl w:val="0"/>
          <w:numId w:val="8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Constructive Termination</w:t>
      </w:r>
      <w:r>
        <w:rPr>
          <w:rFonts w:ascii="Arial" w:cs="Arial" w:eastAsia="Arial" w:hAnsi="Arial"/>
          <w:sz w:val="19"/>
          <w:szCs w:val="19"/>
          <w:color w:val="auto"/>
        </w:rPr>
        <w:t xml:space="preserve">” means a termination of a Participant’s employment with the Company or an Affiliate as a result of the Participant’s resignation of such employment for Good Reason;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order for such termination to constitute a Constructive Termination, the Participant must (i) provide written notice to the Company’s General Counsel (or equivalent position) within thirty (30) days after the first occurrence of the action or event constituting Good Reason setting forth the basis for such resignation, (ii) allow the Company at least thirty (30) days from receipt of such written notice to cure such action or event, and (iii) if such action or event is not reasonably cured within such period, resign from all positions the Participant then holds with the Company and any Affiliate effective not later than ninety (90) days after the expiration of such cure period.</w:t>
      </w:r>
    </w:p>
    <w:p>
      <w:pPr>
        <w:spacing w:after="0" w:line="182" w:lineRule="exact"/>
        <w:rPr>
          <w:rFonts w:ascii="Arial" w:cs="Arial" w:eastAsia="Arial" w:hAnsi="Arial"/>
          <w:sz w:val="19"/>
          <w:szCs w:val="19"/>
          <w:b w:val="1"/>
          <w:bCs w:val="1"/>
          <w:color w:val="auto"/>
        </w:rPr>
      </w:pPr>
    </w:p>
    <w:p>
      <w:pPr>
        <w:ind w:right="200" w:firstLine="656"/>
        <w:spacing w:after="0" w:line="303" w:lineRule="auto"/>
        <w:tabs>
          <w:tab w:leader="none" w:pos="1143"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Covered Termination</w:t>
      </w:r>
      <w:r>
        <w:rPr>
          <w:rFonts w:ascii="Arial" w:cs="Arial" w:eastAsia="Arial" w:hAnsi="Arial"/>
          <w:sz w:val="20"/>
          <w:szCs w:val="20"/>
          <w:color w:val="auto"/>
        </w:rPr>
        <w:t>” means either (i) an Involuntary Termination Without Cause, or (ii) a Constructive Termination, in each case effective upon or within twelve (12) months following a Change in Control.</w:t>
      </w:r>
    </w:p>
    <w:p>
      <w:pPr>
        <w:spacing w:after="0" w:line="175" w:lineRule="exact"/>
        <w:rPr>
          <w:rFonts w:ascii="Arial" w:cs="Arial" w:eastAsia="Arial" w:hAnsi="Arial"/>
          <w:sz w:val="20"/>
          <w:szCs w:val="20"/>
          <w:b w:val="1"/>
          <w:bCs w:val="1"/>
          <w:color w:val="auto"/>
        </w:rPr>
      </w:pPr>
    </w:p>
    <w:p>
      <w:pPr>
        <w:ind w:right="100" w:firstLine="656"/>
        <w:spacing w:after="0" w:line="287" w:lineRule="auto"/>
        <w:tabs>
          <w:tab w:leader="none" w:pos="1088"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means, with respect to a Participant, the inability of the Participant to engage in any substantial gainful activity by reason of any medically determinable physical or mental impairment which can be expected to result in death or which has lasted or can be expected to last for a continuous period of not less than twelve (12) months, as provided in Sections 22(e)(3) and 409A(a)(2)(c)(i) of the Code, and shall be reasonably determined by the Board or its designee on the basis of such medical evidence as the Board or its designee deems warranted under the circumstances.</w:t>
      </w:r>
    </w:p>
    <w:p>
      <w:pPr>
        <w:spacing w:after="0" w:line="191" w:lineRule="exact"/>
        <w:rPr>
          <w:rFonts w:ascii="Arial" w:cs="Arial" w:eastAsia="Arial" w:hAnsi="Arial"/>
          <w:sz w:val="20"/>
          <w:szCs w:val="20"/>
          <w:b w:val="1"/>
          <w:bCs w:val="1"/>
          <w:color w:val="auto"/>
        </w:rPr>
      </w:pPr>
    </w:p>
    <w:p>
      <w:pPr>
        <w:ind w:left="1080" w:hanging="424"/>
        <w:spacing w:after="0"/>
        <w:tabs>
          <w:tab w:leader="none" w:pos="1080"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Entity</w:t>
      </w:r>
      <w:r>
        <w:rPr>
          <w:rFonts w:ascii="Arial" w:cs="Arial" w:eastAsia="Arial" w:hAnsi="Arial"/>
          <w:sz w:val="20"/>
          <w:szCs w:val="20"/>
          <w:color w:val="auto"/>
        </w:rPr>
        <w:t>” means a corporation, partnership, limited liability company, or other entity.</w:t>
      </w:r>
    </w:p>
    <w:p>
      <w:pPr>
        <w:spacing w:after="0" w:line="256" w:lineRule="exact"/>
        <w:rPr>
          <w:rFonts w:ascii="Arial" w:cs="Arial" w:eastAsia="Arial" w:hAnsi="Arial"/>
          <w:sz w:val="20"/>
          <w:szCs w:val="20"/>
          <w:b w:val="1"/>
          <w:bCs w:val="1"/>
          <w:color w:val="auto"/>
        </w:rPr>
      </w:pPr>
    </w:p>
    <w:p>
      <w:pPr>
        <w:ind w:left="1100" w:hanging="444"/>
        <w:spacing w:after="0"/>
        <w:tabs>
          <w:tab w:leader="none" w:pos="1100"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w:t>
      </w:r>
      <w:r>
        <w:rPr>
          <w:rFonts w:ascii="Arial" w:cs="Arial" w:eastAsia="Arial" w:hAnsi="Arial"/>
          <w:sz w:val="20"/>
          <w:szCs w:val="20"/>
          <w:color w:val="auto"/>
        </w:rPr>
        <w:t>” means the Employee Retirement Income Security Act of 1974, as amended.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93" w:right="239" w:bottom="1440" w:gutter="0" w:footer="0" w:header="0"/>
        </w:sectPr>
      </w:pPr>
    </w:p>
    <w:bookmarkStart w:id="109" w:name="page110"/>
    <w:bookmarkEnd w:id="109"/>
    <w:p>
      <w:pPr>
        <w:ind w:left="1080" w:hanging="444"/>
        <w:spacing w:after="0"/>
        <w:tabs>
          <w:tab w:leader="none" w:pos="1080"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Securities Exchange Act of 1934, as amended.</w:t>
      </w:r>
    </w:p>
    <w:p>
      <w:pPr>
        <w:spacing w:after="0" w:line="256" w:lineRule="exact"/>
        <w:rPr>
          <w:rFonts w:ascii="Arial" w:cs="Arial" w:eastAsia="Arial" w:hAnsi="Arial"/>
          <w:sz w:val="20"/>
          <w:szCs w:val="20"/>
          <w:b w:val="1"/>
          <w:bCs w:val="1"/>
          <w:color w:val="auto"/>
        </w:rPr>
      </w:pPr>
    </w:p>
    <w:p>
      <w:pPr>
        <w:ind w:left="-20" w:right="200" w:firstLine="656"/>
        <w:spacing w:after="0" w:line="286" w:lineRule="auto"/>
        <w:tabs>
          <w:tab w:leader="none" w:pos="1046"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 Person</w:t>
      </w:r>
      <w:r>
        <w:rPr>
          <w:rFonts w:ascii="Arial" w:cs="Arial" w:eastAsia="Arial" w:hAnsi="Arial"/>
          <w:sz w:val="20"/>
          <w:szCs w:val="20"/>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or (iv) an Entity Owned, directly or indirectly, by the shareholders of the Company in substantially the same proportions as their Ownership of shares of the Company.</w:t>
      </w:r>
    </w:p>
    <w:p>
      <w:pPr>
        <w:spacing w:after="0" w:line="192" w:lineRule="exact"/>
        <w:rPr>
          <w:rFonts w:ascii="Arial" w:cs="Arial" w:eastAsia="Arial" w:hAnsi="Arial"/>
          <w:sz w:val="20"/>
          <w:szCs w:val="20"/>
          <w:b w:val="1"/>
          <w:bCs w:val="1"/>
          <w:color w:val="auto"/>
        </w:rPr>
      </w:pPr>
    </w:p>
    <w:p>
      <w:pPr>
        <w:ind w:left="-20" w:right="20" w:firstLine="656"/>
        <w:spacing w:after="0" w:line="287" w:lineRule="auto"/>
        <w:tabs>
          <w:tab w:leader="none" w:pos="1035"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Final Base Salary</w:t>
      </w:r>
      <w:r>
        <w:rPr>
          <w:rFonts w:ascii="Arial" w:cs="Arial" w:eastAsia="Arial" w:hAnsi="Arial"/>
          <w:sz w:val="20"/>
          <w:szCs w:val="20"/>
          <w:color w:val="auto"/>
        </w:rPr>
        <w:t xml:space="preserve">” means the higher of a Participant’s Base Salary in effect (x) on the date of the Participant’s Covered Termination (without giving effect to any reduction in Base Salary that would constitute Good Reason for Constructive Termination) or (y) immediately prior to the Change in Control; </w:t>
      </w:r>
      <w:r>
        <w:rPr>
          <w:rFonts w:ascii="Arial" w:cs="Arial" w:eastAsia="Arial" w:hAnsi="Arial"/>
          <w:sz w:val="20"/>
          <w:szCs w:val="20"/>
          <w:i w:val="1"/>
          <w:iCs w:val="1"/>
          <w:color w:val="auto"/>
        </w:rPr>
        <w:t>provided, however</w:t>
      </w:r>
      <w:r>
        <w:rPr>
          <w:rFonts w:ascii="Arial" w:cs="Arial" w:eastAsia="Arial" w:hAnsi="Arial"/>
          <w:sz w:val="20"/>
          <w:szCs w:val="20"/>
          <w:color w:val="auto"/>
        </w:rPr>
        <w:t>, that if the Participant has, during the twelve (12) months prior to the date of the Participant’s Covered Termination or the Change in Control, as applicable, taken a voluntary pay reduction, then the Participant’s Final Base Salary will be determined without regard to such voluntary pay reduction.</w:t>
      </w:r>
    </w:p>
    <w:p>
      <w:pPr>
        <w:spacing w:after="0" w:line="191" w:lineRule="exact"/>
        <w:rPr>
          <w:rFonts w:ascii="Arial" w:cs="Arial" w:eastAsia="Arial" w:hAnsi="Arial"/>
          <w:sz w:val="20"/>
          <w:szCs w:val="20"/>
          <w:b w:val="1"/>
          <w:bCs w:val="1"/>
          <w:color w:val="auto"/>
        </w:rPr>
      </w:pPr>
    </w:p>
    <w:p>
      <w:pPr>
        <w:ind w:left="-20" w:right="560" w:firstLine="656"/>
        <w:spacing w:after="0" w:line="303" w:lineRule="auto"/>
        <w:tabs>
          <w:tab w:leader="none" w:pos="1024"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means the occurrence of any one or more of the following actions or events effected without a Participant’s written consent:</w:t>
      </w:r>
    </w:p>
    <w:p>
      <w:pPr>
        <w:spacing w:after="0" w:line="175" w:lineRule="exact"/>
        <w:rPr>
          <w:rFonts w:ascii="Arial" w:cs="Arial" w:eastAsia="Arial" w:hAnsi="Arial"/>
          <w:sz w:val="20"/>
          <w:szCs w:val="20"/>
          <w:b w:val="1"/>
          <w:bCs w:val="1"/>
          <w:color w:val="auto"/>
        </w:rPr>
      </w:pPr>
    </w:p>
    <w:p>
      <w:pPr>
        <w:ind w:left="-20" w:firstLine="1142"/>
        <w:spacing w:after="0" w:line="292" w:lineRule="auto"/>
        <w:tabs>
          <w:tab w:leader="none" w:pos="1499"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one or more reductions in the Participant’s Base Salary that results in a total reduction in the Participant’s Base Salary, as in effect immediately prior to the Change in Control or any higher Base Salary in effect following the Change in Control, by more than ten percent (10%);</w:t>
      </w:r>
    </w:p>
    <w:p>
      <w:pPr>
        <w:spacing w:after="0" w:line="186" w:lineRule="exact"/>
        <w:rPr>
          <w:rFonts w:ascii="Arial" w:cs="Arial" w:eastAsia="Arial" w:hAnsi="Arial"/>
          <w:sz w:val="20"/>
          <w:szCs w:val="20"/>
          <w:b w:val="1"/>
          <w:bCs w:val="1"/>
          <w:color w:val="auto"/>
        </w:rPr>
      </w:pPr>
    </w:p>
    <w:p>
      <w:pPr>
        <w:ind w:left="-20" w:right="220" w:firstLine="1142"/>
        <w:spacing w:after="0" w:line="303" w:lineRule="auto"/>
        <w:tabs>
          <w:tab w:leader="none" w:pos="1554"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a relocation of the Participant’s principal place of employment that increases the Participant’s one-way commute by more than thirty-five (35) miles;</w:t>
      </w:r>
    </w:p>
    <w:p>
      <w:pPr>
        <w:spacing w:after="0" w:line="175" w:lineRule="exact"/>
        <w:rPr>
          <w:rFonts w:ascii="Arial" w:cs="Arial" w:eastAsia="Arial" w:hAnsi="Arial"/>
          <w:sz w:val="20"/>
          <w:szCs w:val="20"/>
          <w:b w:val="1"/>
          <w:bCs w:val="1"/>
          <w:color w:val="auto"/>
        </w:rPr>
      </w:pPr>
    </w:p>
    <w:p>
      <w:pPr>
        <w:ind w:left="-20" w:right="40" w:firstLine="1142"/>
        <w:spacing w:after="0" w:line="287" w:lineRule="auto"/>
        <w:tabs>
          <w:tab w:leader="none" w:pos="1609"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a substantial reduction in the Participant’s authority, duties or responsibilities (and not simply a change in reporting relationships) as in effect immediately prior to the Change in Control; provided that if (i) the Participant continues to hold the same position but the size of the Participant’s employing Entity (or the business unit to which the Participant is assigned) has decreased significantly or (ii) neither the Company nor the Participant’s employing Entity continues to be a publicly-traded corporation, the Participant’s authority, duties and responsibilities will be considered to be substantially reduced;</w:t>
      </w:r>
    </w:p>
    <w:p>
      <w:pPr>
        <w:spacing w:after="0" w:line="191" w:lineRule="exact"/>
        <w:rPr>
          <w:rFonts w:ascii="Arial" w:cs="Arial" w:eastAsia="Arial" w:hAnsi="Arial"/>
          <w:sz w:val="20"/>
          <w:szCs w:val="20"/>
          <w:b w:val="1"/>
          <w:bCs w:val="1"/>
          <w:color w:val="auto"/>
        </w:rPr>
      </w:pPr>
    </w:p>
    <w:p>
      <w:pPr>
        <w:jc w:val="both"/>
        <w:ind w:left="-20" w:right="740" w:firstLine="1142"/>
        <w:spacing w:after="0" w:line="363" w:lineRule="auto"/>
        <w:tabs>
          <w:tab w:leader="none" w:pos="1598" w:val="left"/>
        </w:tabs>
        <w:numPr>
          <w:ilvl w:val="1"/>
          <w:numId w:val="84"/>
        </w:numPr>
        <w:rPr>
          <w:rFonts w:ascii="Arial" w:cs="Arial" w:eastAsia="Arial" w:hAnsi="Arial"/>
          <w:sz w:val="18"/>
          <w:szCs w:val="18"/>
          <w:b w:val="1"/>
          <w:bCs w:val="1"/>
          <w:color w:val="auto"/>
        </w:rPr>
      </w:pPr>
      <w:r>
        <w:rPr>
          <w:rFonts w:ascii="Arial" w:cs="Arial" w:eastAsia="Arial" w:hAnsi="Arial"/>
          <w:sz w:val="18"/>
          <w:szCs w:val="18"/>
          <w:color w:val="auto"/>
        </w:rPr>
        <w:t>a reduction in the Participant’s title (</w:t>
      </w:r>
      <w:r>
        <w:rPr>
          <w:rFonts w:ascii="Arial" w:cs="Arial" w:eastAsia="Arial" w:hAnsi="Arial"/>
          <w:sz w:val="18"/>
          <w:szCs w:val="18"/>
          <w:i w:val="1"/>
          <w:iCs w:val="1"/>
          <w:color w:val="auto"/>
        </w:rPr>
        <w:t>i.e.</w:t>
      </w:r>
      <w:r>
        <w:rPr>
          <w:rFonts w:ascii="Arial" w:cs="Arial" w:eastAsia="Arial" w:hAnsi="Arial"/>
          <w:sz w:val="18"/>
          <w:szCs w:val="18"/>
          <w:color w:val="auto"/>
        </w:rPr>
        <w:t>, the Participant no longer has a “Vice President,” “Senior Vice President,” “Executive Vice President,” “Chief Executive Officer”, “Executive Chairman” or “President” title, as applicable to the Participant); or</w:t>
      </w:r>
    </w:p>
    <w:p>
      <w:pPr>
        <w:spacing w:after="0" w:line="130" w:lineRule="exact"/>
        <w:rPr>
          <w:rFonts w:ascii="Arial" w:cs="Arial" w:eastAsia="Arial" w:hAnsi="Arial"/>
          <w:sz w:val="18"/>
          <w:szCs w:val="18"/>
          <w:b w:val="1"/>
          <w:bCs w:val="1"/>
          <w:color w:val="auto"/>
        </w:rPr>
      </w:pPr>
    </w:p>
    <w:p>
      <w:pPr>
        <w:ind w:left="-20" w:right="180" w:firstLine="1142"/>
        <w:spacing w:after="0" w:line="303" w:lineRule="auto"/>
        <w:tabs>
          <w:tab w:leader="none" w:pos="1543"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required travel by the Participant on the Company’s or an Affiliate’s business is substantially increased compared with the Participant’s business travel obligations prior to the Change in Control.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00"/>
          </w:cols>
          <w:pgMar w:left="260" w:top="393" w:right="239" w:bottom="1440" w:gutter="0" w:footer="0" w:header="0"/>
        </w:sectPr>
      </w:pPr>
    </w:p>
    <w:bookmarkStart w:id="110" w:name="page111"/>
    <w:bookmarkEnd w:id="110"/>
    <w:p>
      <w:pPr>
        <w:ind w:right="260" w:firstLine="656"/>
        <w:spacing w:after="0" w:line="292" w:lineRule="auto"/>
        <w:tabs>
          <w:tab w:leader="none" w:pos="1088" w:val="left"/>
        </w:tabs>
        <w:numPr>
          <w:ilvl w:val="0"/>
          <w:numId w:val="8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Involuntary Termination Without Cause</w:t>
      </w:r>
      <w:r>
        <w:rPr>
          <w:rFonts w:ascii="Arial" w:cs="Arial" w:eastAsia="Arial" w:hAnsi="Arial"/>
          <w:sz w:val="20"/>
          <w:szCs w:val="20"/>
          <w:color w:val="auto"/>
        </w:rPr>
        <w:t>” means a termination by the Company or an Affiliate of a Participant’s employment for any reason other than for Cause. For purposes of the foregoing and the Plan, a termination of employment of a Participant due to the Participant’s death or Disability shall constitute an Involuntary Termination Without Cause.</w:t>
      </w:r>
    </w:p>
    <w:p>
      <w:pPr>
        <w:spacing w:after="0" w:line="186" w:lineRule="exact"/>
        <w:rPr>
          <w:rFonts w:ascii="Arial" w:cs="Arial" w:eastAsia="Arial" w:hAnsi="Arial"/>
          <w:sz w:val="20"/>
          <w:szCs w:val="20"/>
          <w:b w:val="1"/>
          <w:bCs w:val="1"/>
          <w:color w:val="auto"/>
        </w:rPr>
      </w:pPr>
    </w:p>
    <w:p>
      <w:pPr>
        <w:ind w:firstLine="656"/>
        <w:spacing w:after="0" w:line="338" w:lineRule="auto"/>
        <w:tabs>
          <w:tab w:leader="none" w:pos="1077"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w:t>
      </w:r>
      <w:r>
        <w:rPr>
          <w:rFonts w:ascii="Arial" w:cs="Arial" w:eastAsia="Arial" w:hAnsi="Arial"/>
          <w:sz w:val="18"/>
          <w:szCs w:val="18"/>
          <w:color w:val="auto"/>
        </w:rPr>
        <w:t>,”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Ownership</w:t>
      </w:r>
      <w:r>
        <w:rPr>
          <w:rFonts w:ascii="Arial" w:cs="Arial" w:eastAsia="Arial" w:hAnsi="Arial"/>
          <w:sz w:val="18"/>
          <w:szCs w:val="18"/>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51" w:lineRule="exact"/>
        <w:rPr>
          <w:rFonts w:ascii="Arial" w:cs="Arial" w:eastAsia="Arial" w:hAnsi="Arial"/>
          <w:sz w:val="18"/>
          <w:szCs w:val="18"/>
          <w:b w:val="1"/>
          <w:bCs w:val="1"/>
          <w:color w:val="auto"/>
        </w:rPr>
      </w:pPr>
    </w:p>
    <w:p>
      <w:pPr>
        <w:ind w:right="280" w:firstLine="656"/>
        <w:spacing w:after="0" w:line="292" w:lineRule="auto"/>
        <w:tabs>
          <w:tab w:leader="none" w:pos="1121" w:val="left"/>
        </w:tabs>
        <w:numPr>
          <w:ilvl w:val="1"/>
          <w:numId w:val="8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means an individual who is an employee of a U.S. Affiliate and who has been designated a “Participant” by the Plan Administrator in its sole discretion (either by a specific written designation or by virtue of being a member of a class of employees who have been so designated).</w:t>
      </w:r>
    </w:p>
    <w:p>
      <w:pPr>
        <w:spacing w:after="0" w:line="186" w:lineRule="exact"/>
        <w:rPr>
          <w:rFonts w:ascii="Arial" w:cs="Arial" w:eastAsia="Arial" w:hAnsi="Arial"/>
          <w:sz w:val="20"/>
          <w:szCs w:val="20"/>
          <w:b w:val="1"/>
          <w:bCs w:val="1"/>
          <w:color w:val="auto"/>
        </w:rPr>
      </w:pPr>
    </w:p>
    <w:p>
      <w:pPr>
        <w:ind w:right="340" w:firstLine="656"/>
        <w:spacing w:after="0" w:line="338" w:lineRule="auto"/>
        <w:tabs>
          <w:tab w:leader="none" w:pos="1077"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Board or any committee duly authorized by the Board to administer the Plan. The Plan Administrator may, but is not required to be, the Compensation Committee of the Board. The Board may at any time administer the Plan, in whole or in part, notwithstanding that the Board has previously appointed a committee to act as the Plan Administrator.</w:t>
      </w:r>
    </w:p>
    <w:p>
      <w:pPr>
        <w:spacing w:after="0" w:line="151" w:lineRule="exact"/>
        <w:rPr>
          <w:rFonts w:ascii="Arial" w:cs="Arial" w:eastAsia="Arial" w:hAnsi="Arial"/>
          <w:sz w:val="18"/>
          <w:szCs w:val="18"/>
          <w:b w:val="1"/>
          <w:bCs w:val="1"/>
          <w:color w:val="auto"/>
        </w:rPr>
      </w:pPr>
    </w:p>
    <w:p>
      <w:pPr>
        <w:ind w:left="1080" w:hanging="424"/>
        <w:spacing w:after="0"/>
        <w:tabs>
          <w:tab w:leader="none" w:pos="1080" w:val="left"/>
        </w:tabs>
        <w:numPr>
          <w:ilvl w:val="1"/>
          <w:numId w:val="8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Release</w:t>
      </w:r>
      <w:r>
        <w:rPr>
          <w:rFonts w:ascii="Arial" w:cs="Arial" w:eastAsia="Arial" w:hAnsi="Arial"/>
          <w:sz w:val="20"/>
          <w:szCs w:val="20"/>
          <w:color w:val="auto"/>
        </w:rPr>
        <w:t>” has the meaning set forth in Section 5(a).</w:t>
      </w:r>
    </w:p>
    <w:p>
      <w:pPr>
        <w:spacing w:after="0" w:line="256" w:lineRule="exact"/>
        <w:rPr>
          <w:rFonts w:ascii="Arial" w:cs="Arial" w:eastAsia="Arial" w:hAnsi="Arial"/>
          <w:sz w:val="20"/>
          <w:szCs w:val="20"/>
          <w:b w:val="1"/>
          <w:bCs w:val="1"/>
          <w:color w:val="auto"/>
        </w:rPr>
      </w:pPr>
    </w:p>
    <w:p>
      <w:pPr>
        <w:ind w:left="1080" w:hanging="424"/>
        <w:spacing w:after="0"/>
        <w:tabs>
          <w:tab w:leader="none" w:pos="1080" w:val="left"/>
        </w:tabs>
        <w:numPr>
          <w:ilvl w:val="1"/>
          <w:numId w:val="8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Stock Award</w:t>
      </w:r>
      <w:r>
        <w:rPr>
          <w:rFonts w:ascii="Arial" w:cs="Arial" w:eastAsia="Arial" w:hAnsi="Arial"/>
          <w:sz w:val="20"/>
          <w:szCs w:val="20"/>
          <w:color w:val="auto"/>
        </w:rPr>
        <w:t>” means any option, right or other stock award described in Section 4(c).</w:t>
      </w:r>
    </w:p>
    <w:p>
      <w:pPr>
        <w:spacing w:after="0" w:line="256" w:lineRule="exact"/>
        <w:rPr>
          <w:rFonts w:ascii="Arial" w:cs="Arial" w:eastAsia="Arial" w:hAnsi="Arial"/>
          <w:sz w:val="20"/>
          <w:szCs w:val="20"/>
          <w:b w:val="1"/>
          <w:bCs w:val="1"/>
          <w:color w:val="auto"/>
        </w:rPr>
      </w:pPr>
    </w:p>
    <w:p>
      <w:pPr>
        <w:ind w:right="60" w:firstLine="575"/>
        <w:spacing w:after="0" w:line="286" w:lineRule="auto"/>
        <w:tabs>
          <w:tab w:leader="none" w:pos="1095" w:val="left"/>
        </w:tabs>
        <w:numPr>
          <w:ilvl w:val="0"/>
          <w:numId w:val="8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spacing w:after="0" w:line="192" w:lineRule="exact"/>
        <w:rPr>
          <w:rFonts w:ascii="Arial" w:cs="Arial" w:eastAsia="Arial" w:hAnsi="Arial"/>
          <w:sz w:val="20"/>
          <w:szCs w:val="20"/>
          <w:b w:val="1"/>
          <w:bCs w:val="1"/>
          <w:color w:val="auto"/>
        </w:rPr>
      </w:pPr>
    </w:p>
    <w:p>
      <w:pPr>
        <w:ind w:left="1200" w:hanging="544"/>
        <w:spacing w:after="0"/>
        <w:tabs>
          <w:tab w:leader="none" w:pos="1200" w:val="left"/>
        </w:tabs>
        <w:numPr>
          <w:ilvl w:val="1"/>
          <w:numId w:val="8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Affiliate</w:t>
      </w:r>
      <w:r>
        <w:rPr>
          <w:rFonts w:ascii="Arial" w:cs="Arial" w:eastAsia="Arial" w:hAnsi="Arial"/>
          <w:sz w:val="20"/>
          <w:szCs w:val="20"/>
          <w:color w:val="auto"/>
        </w:rPr>
        <w:t>” means any Affiliate incorporated in the United States of America.</w:t>
      </w: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3.</w:t>
        <w:tab/>
        <w:t>ELIGIBILITY FOR BENEFITS.</w:t>
      </w:r>
    </w:p>
    <w:p>
      <w:pPr>
        <w:spacing w:after="0" w:line="256" w:lineRule="exact"/>
        <w:rPr>
          <w:sz w:val="20"/>
          <w:szCs w:val="20"/>
          <w:color w:val="auto"/>
        </w:rPr>
      </w:pPr>
    </w:p>
    <w:p>
      <w:pPr>
        <w:ind w:right="640" w:firstLine="656"/>
        <w:spacing w:after="0" w:line="370" w:lineRule="auto"/>
        <w:tabs>
          <w:tab w:leader="none" w:pos="1077"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Rules. </w:t>
      </w:r>
      <w:r>
        <w:rPr>
          <w:rFonts w:ascii="Arial" w:cs="Arial" w:eastAsia="Arial" w:hAnsi="Arial"/>
          <w:sz w:val="18"/>
          <w:szCs w:val="18"/>
          <w:color w:val="auto"/>
        </w:rPr>
        <w:t>Subject to the limitations set forth in this Section 3, Section 5 and Section 6, in the event of a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Termination, the Company shall provide the benefits described in Sections 4(a), 4(b) and 4(c) to the Participant.</w:t>
      </w:r>
    </w:p>
    <w:p>
      <w:pPr>
        <w:spacing w:after="0" w:line="118" w:lineRule="exact"/>
        <w:rPr>
          <w:rFonts w:ascii="Arial" w:cs="Arial" w:eastAsia="Arial" w:hAnsi="Arial"/>
          <w:sz w:val="18"/>
          <w:szCs w:val="18"/>
          <w:b w:val="1"/>
          <w:bCs w:val="1"/>
          <w:color w:val="auto"/>
        </w:rPr>
      </w:pPr>
    </w:p>
    <w:p>
      <w:pPr>
        <w:ind w:right="80" w:firstLine="656"/>
        <w:spacing w:after="0" w:line="309" w:lineRule="auto"/>
        <w:tabs>
          <w:tab w:leader="none" w:pos="1088"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Exceptions to Benefit Entitlement. </w:t>
      </w:r>
      <w:r>
        <w:rPr>
          <w:rFonts w:ascii="Arial" w:cs="Arial" w:eastAsia="Arial" w:hAnsi="Arial"/>
          <w:sz w:val="20"/>
          <w:szCs w:val="20"/>
          <w:color w:val="auto"/>
        </w:rPr>
        <w:t>A Participant will not receive benefits under the Plan (or will receive reduced benefits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in the following circumstances, as determined by the Plan Administrator in its sole discretion:</w:t>
      </w:r>
    </w:p>
    <w:p>
      <w:pPr>
        <w:spacing w:after="0" w:line="170" w:lineRule="exact"/>
        <w:rPr>
          <w:rFonts w:ascii="Arial" w:cs="Arial" w:eastAsia="Arial" w:hAnsi="Arial"/>
          <w:sz w:val="20"/>
          <w:szCs w:val="20"/>
          <w:b w:val="1"/>
          <w:bCs w:val="1"/>
          <w:color w:val="auto"/>
        </w:rPr>
      </w:pPr>
    </w:p>
    <w:p>
      <w:pPr>
        <w:ind w:right="500" w:firstLine="1142"/>
        <w:spacing w:after="0" w:line="303" w:lineRule="auto"/>
        <w:tabs>
          <w:tab w:leader="none" w:pos="1516" w:val="left"/>
        </w:tabs>
        <w:numPr>
          <w:ilvl w:val="1"/>
          <w:numId w:val="87"/>
        </w:numPr>
        <w:rPr>
          <w:rFonts w:ascii="Arial" w:cs="Arial" w:eastAsia="Arial" w:hAnsi="Arial"/>
          <w:sz w:val="20"/>
          <w:szCs w:val="20"/>
          <w:b w:val="1"/>
          <w:bCs w:val="1"/>
          <w:color w:val="auto"/>
        </w:rPr>
      </w:pPr>
      <w:r>
        <w:rPr>
          <w:rFonts w:ascii="Arial" w:cs="Arial" w:eastAsia="Arial" w:hAnsi="Arial"/>
          <w:sz w:val="20"/>
          <w:szCs w:val="20"/>
          <w:color w:val="auto"/>
        </w:rPr>
        <w:t>The Participant’s employment with the Company or an Affiliate terminates or is terminated for any reason other than a Covered Termination.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93" w:right="239" w:bottom="1440" w:gutter="0" w:footer="0" w:header="0"/>
        </w:sectPr>
      </w:pPr>
    </w:p>
    <w:bookmarkStart w:id="111" w:name="page112"/>
    <w:bookmarkEnd w:id="111"/>
    <w:p>
      <w:pPr>
        <w:ind w:right="220" w:firstLine="1142"/>
        <w:spacing w:after="0" w:line="303" w:lineRule="auto"/>
        <w:tabs>
          <w:tab w:leader="none" w:pos="1570" w:val="left"/>
        </w:tabs>
        <w:numPr>
          <w:ilvl w:val="0"/>
          <w:numId w:val="88"/>
        </w:numPr>
        <w:rPr>
          <w:rFonts w:ascii="Arial" w:cs="Arial" w:eastAsia="Arial" w:hAnsi="Arial"/>
          <w:sz w:val="20"/>
          <w:szCs w:val="20"/>
          <w:b w:val="1"/>
          <w:bCs w:val="1"/>
          <w:color w:val="auto"/>
        </w:rPr>
      </w:pPr>
      <w:r>
        <w:rPr>
          <w:rFonts w:ascii="Arial" w:cs="Arial" w:eastAsia="Arial" w:hAnsi="Arial"/>
          <w:sz w:val="20"/>
          <w:szCs w:val="20"/>
          <w:color w:val="auto"/>
        </w:rPr>
        <w:t>The Participant voluntarily terminates employment with the Company or an Affiliate in order to accept employment with another Entity that is controlled (directly or indirectly) by the Company or is otherwise an Affiliate.</w:t>
      </w:r>
    </w:p>
    <w:p>
      <w:pPr>
        <w:spacing w:after="0" w:line="175" w:lineRule="exact"/>
        <w:rPr>
          <w:rFonts w:ascii="Arial" w:cs="Arial" w:eastAsia="Arial" w:hAnsi="Arial"/>
          <w:sz w:val="20"/>
          <w:szCs w:val="20"/>
          <w:b w:val="1"/>
          <w:bCs w:val="1"/>
          <w:color w:val="auto"/>
        </w:rPr>
      </w:pPr>
    </w:p>
    <w:p>
      <w:pPr>
        <w:ind w:right="60" w:firstLine="1142"/>
        <w:spacing w:after="0" w:line="308" w:lineRule="auto"/>
        <w:tabs>
          <w:tab w:leader="none" w:pos="1626" w:val="left"/>
        </w:tabs>
        <w:numPr>
          <w:ilvl w:val="0"/>
          <w:numId w:val="88"/>
        </w:numPr>
        <w:rPr>
          <w:rFonts w:ascii="Arial" w:cs="Arial" w:eastAsia="Arial" w:hAnsi="Arial"/>
          <w:sz w:val="19"/>
          <w:szCs w:val="19"/>
          <w:b w:val="1"/>
          <w:bCs w:val="1"/>
          <w:color w:val="auto"/>
        </w:rPr>
      </w:pPr>
      <w:r>
        <w:rPr>
          <w:rFonts w:ascii="Arial" w:cs="Arial" w:eastAsia="Arial" w:hAnsi="Arial"/>
          <w:sz w:val="19"/>
          <w:szCs w:val="19"/>
          <w:color w:val="auto"/>
        </w:rPr>
        <w:t>The Participant does not confirm in writing that he or she is and shall be subject to the Employee Confidential Information and Inventions Agreement (or other similar agreement with a different name relating to confidentiality obligations) entered into by the Participant in connection with his or her employment with the applicable Affiliate (the “</w:t>
      </w:r>
      <w:r>
        <w:rPr>
          <w:rFonts w:ascii="Arial" w:cs="Arial" w:eastAsia="Arial" w:hAnsi="Arial"/>
          <w:sz w:val="19"/>
          <w:szCs w:val="19"/>
          <w:b w:val="1"/>
          <w:bCs w:val="1"/>
          <w:i w:val="1"/>
          <w:iCs w:val="1"/>
          <w:color w:val="auto"/>
        </w:rPr>
        <w:t>Employee Confidentiality Agreement</w:t>
      </w:r>
      <w:r>
        <w:rPr>
          <w:rFonts w:ascii="Arial" w:cs="Arial" w:eastAsia="Arial" w:hAnsi="Arial"/>
          <w:sz w:val="19"/>
          <w:szCs w:val="19"/>
          <w:color w:val="auto"/>
        </w:rPr>
        <w:t xml:space="preserve">”) and the Company’s </w:t>
      </w:r>
      <w:r>
        <w:rPr>
          <w:rFonts w:ascii="Arial" w:cs="Arial" w:eastAsia="Arial" w:hAnsi="Arial"/>
          <w:sz w:val="19"/>
          <w:szCs w:val="19"/>
          <w:i w:val="1"/>
          <w:iCs w:val="1"/>
          <w:color w:val="auto"/>
        </w:rPr>
        <w:t>Code of Conduct</w:t>
      </w:r>
      <w:r>
        <w:rPr>
          <w:rFonts w:ascii="Arial" w:cs="Arial" w:eastAsia="Arial" w:hAnsi="Arial"/>
          <w:sz w:val="19"/>
          <w:szCs w:val="19"/>
          <w:color w:val="auto"/>
        </w:rPr>
        <w:t xml:space="preserve"> as then in effect during any notice or post-termination period.</w:t>
      </w:r>
    </w:p>
    <w:p>
      <w:pPr>
        <w:spacing w:after="0" w:line="174" w:lineRule="exact"/>
        <w:rPr>
          <w:rFonts w:ascii="Arial" w:cs="Arial" w:eastAsia="Arial" w:hAnsi="Arial"/>
          <w:sz w:val="19"/>
          <w:szCs w:val="19"/>
          <w:b w:val="1"/>
          <w:bCs w:val="1"/>
          <w:color w:val="auto"/>
        </w:rPr>
      </w:pPr>
    </w:p>
    <w:p>
      <w:pPr>
        <w:ind w:left="1620" w:hanging="478"/>
        <w:spacing w:after="0"/>
        <w:tabs>
          <w:tab w:leader="none" w:pos="162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The Participant does not confirm in writing that he or she is and shall be subject to the obligations described in Section</w:t>
      </w:r>
    </w:p>
    <w:p>
      <w:pPr>
        <w:spacing w:after="0" w:line="6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3(c).</w:t>
      </w:r>
    </w:p>
    <w:p>
      <w:pPr>
        <w:spacing w:after="0" w:line="256" w:lineRule="exact"/>
        <w:rPr>
          <w:rFonts w:ascii="Arial" w:cs="Arial" w:eastAsia="Arial" w:hAnsi="Arial"/>
          <w:sz w:val="18"/>
          <w:szCs w:val="18"/>
          <w:b w:val="1"/>
          <w:bCs w:val="1"/>
          <w:color w:val="auto"/>
        </w:rPr>
      </w:pPr>
    </w:p>
    <w:p>
      <w:pPr>
        <w:ind w:right="40" w:firstLine="1142"/>
        <w:spacing w:after="0" w:line="325" w:lineRule="auto"/>
        <w:tabs>
          <w:tab w:leader="none" w:pos="1563"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Following the Participant’s Covered Termination but prior to the date benefits under the Plan are scheduled to commence, the Participant commences employment with the Company or an Affiliate for an identical or substantially equivalent or comparable position as the Participant’s position with the Company or an Affiliate on the date of the Participant’s Covered Termination. For purposes of the foregoing, a “substantially equivalent or comparable position” is one that provides the Participant substantially the same level of responsibility and Base Salary as the Participant’s position with the Company or an Affiliate on the date of the Participant’s Covered Termination.</w:t>
      </w:r>
    </w:p>
    <w:p>
      <w:pPr>
        <w:spacing w:after="0" w:line="165" w:lineRule="exact"/>
        <w:rPr>
          <w:rFonts w:ascii="Arial" w:cs="Arial" w:eastAsia="Arial" w:hAnsi="Arial"/>
          <w:sz w:val="18"/>
          <w:szCs w:val="18"/>
          <w:b w:val="1"/>
          <w:bCs w:val="1"/>
          <w:color w:val="auto"/>
        </w:rPr>
      </w:pPr>
    </w:p>
    <w:p>
      <w:pPr>
        <w:ind w:right="20" w:firstLine="1142"/>
        <w:spacing w:after="0" w:line="325" w:lineRule="auto"/>
        <w:tabs>
          <w:tab w:leader="none" w:pos="1618"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 xml:space="preserve">Prior to the date of the Participant’s Covered Termination, the Participant is offered an identical or substantially equivalent or comparable position in the U.S. with the Company or an Affiliate as the Participant’s then current position with the Company or an Affiliate. For purposes of the foregoing, a “substantially equivalent or comparable position” is one that provides the Participant substantially the same level of responsibility and Base Salary as the Participant’s then current position;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Participant shall not be considered to be offered a “substantially equivalent or comparable position” if a resignation by the Participant would constitute a Constructive Termination.</w:t>
      </w:r>
    </w:p>
    <w:p>
      <w:pPr>
        <w:spacing w:after="0" w:line="165" w:lineRule="exact"/>
        <w:rPr>
          <w:rFonts w:ascii="Arial" w:cs="Arial" w:eastAsia="Arial" w:hAnsi="Arial"/>
          <w:sz w:val="18"/>
          <w:szCs w:val="18"/>
          <w:b w:val="1"/>
          <w:bCs w:val="1"/>
          <w:color w:val="auto"/>
        </w:rPr>
      </w:pPr>
    </w:p>
    <w:p>
      <w:pPr>
        <w:ind w:left="1680" w:hanging="538"/>
        <w:spacing w:after="0"/>
        <w:tabs>
          <w:tab w:leader="none" w:pos="1680" w:val="left"/>
        </w:tabs>
        <w:numPr>
          <w:ilvl w:val="0"/>
          <w:numId w:val="88"/>
        </w:numPr>
        <w:rPr>
          <w:rFonts w:ascii="Arial" w:cs="Arial" w:eastAsia="Arial" w:hAnsi="Arial"/>
          <w:sz w:val="20"/>
          <w:szCs w:val="20"/>
          <w:b w:val="1"/>
          <w:bCs w:val="1"/>
          <w:color w:val="auto"/>
        </w:rPr>
      </w:pPr>
      <w:r>
        <w:rPr>
          <w:rFonts w:ascii="Arial" w:cs="Arial" w:eastAsia="Arial" w:hAnsi="Arial"/>
          <w:sz w:val="20"/>
          <w:szCs w:val="20"/>
          <w:color w:val="auto"/>
        </w:rPr>
        <w:t>The Participant has failed to execute or has revoked the Release described in Section 5(a).</w:t>
      </w:r>
    </w:p>
    <w:p>
      <w:pPr>
        <w:spacing w:after="0" w:line="256" w:lineRule="exact"/>
        <w:rPr>
          <w:rFonts w:ascii="Arial" w:cs="Arial" w:eastAsia="Arial" w:hAnsi="Arial"/>
          <w:sz w:val="20"/>
          <w:szCs w:val="20"/>
          <w:b w:val="1"/>
          <w:bCs w:val="1"/>
          <w:color w:val="auto"/>
        </w:rPr>
      </w:pPr>
    </w:p>
    <w:p>
      <w:pPr>
        <w:ind w:firstLine="1142"/>
        <w:spacing w:after="0" w:line="301" w:lineRule="auto"/>
        <w:tabs>
          <w:tab w:leader="none" w:pos="1725" w:val="left"/>
        </w:tabs>
        <w:numPr>
          <w:ilvl w:val="0"/>
          <w:numId w:val="88"/>
        </w:numPr>
        <w:rPr>
          <w:rFonts w:ascii="Arial" w:cs="Arial" w:eastAsia="Arial" w:hAnsi="Arial"/>
          <w:sz w:val="19"/>
          <w:szCs w:val="19"/>
          <w:b w:val="1"/>
          <w:bCs w:val="1"/>
          <w:color w:val="auto"/>
        </w:rPr>
      </w:pPr>
      <w:r>
        <w:rPr>
          <w:rFonts w:ascii="Arial" w:cs="Arial" w:eastAsia="Arial" w:hAnsi="Arial"/>
          <w:sz w:val="19"/>
          <w:szCs w:val="19"/>
          <w:color w:val="auto"/>
        </w:rPr>
        <w:t>The Participant fails to return all Company Property. For this purpose, “</w:t>
      </w:r>
      <w:r>
        <w:rPr>
          <w:rFonts w:ascii="Arial" w:cs="Arial" w:eastAsia="Arial" w:hAnsi="Arial"/>
          <w:sz w:val="19"/>
          <w:szCs w:val="19"/>
          <w:b w:val="1"/>
          <w:bCs w:val="1"/>
          <w:i w:val="1"/>
          <w:iCs w:val="1"/>
          <w:color w:val="auto"/>
        </w:rPr>
        <w:t>Company Property</w:t>
      </w:r>
      <w:r>
        <w:rPr>
          <w:rFonts w:ascii="Arial" w:cs="Arial" w:eastAsia="Arial" w:hAnsi="Arial"/>
          <w:sz w:val="19"/>
          <w:szCs w:val="19"/>
          <w:color w:val="auto"/>
        </w:rPr>
        <w:t>” means all documents (and all copies thereof) and other property of the Company or an Affiliate which the Participant had in his or her possession at any time, including, but not limited to,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but not limited to, computers, printers, facsimile machines, mobile telephones and other mobile devices, and servers), credit cards, entry cards, identification badges and keys, and any materials of any kind which is owned by the Company or an Affiliate or contain or embody any proprietary or confidential information of the Company or an Affiliate (and all reproductions thereof in whole or in part).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00"/>
          </w:cols>
          <w:pgMar w:left="240" w:top="393" w:right="259" w:bottom="1440" w:gutter="0" w:footer="0" w:header="0"/>
        </w:sectPr>
      </w:pPr>
    </w:p>
    <w:bookmarkStart w:id="112" w:name="page113"/>
    <w:bookmarkEnd w:id="112"/>
    <w:p>
      <w:pPr>
        <w:ind w:right="40" w:firstLine="656"/>
        <w:spacing w:after="0" w:line="291" w:lineRule="auto"/>
        <w:tabs>
          <w:tab w:leader="none" w:pos="1066"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Termination of Benefits. </w:t>
      </w:r>
      <w:r>
        <w:rPr>
          <w:rFonts w:ascii="Arial" w:cs="Arial" w:eastAsia="Arial" w:hAnsi="Arial"/>
          <w:sz w:val="20"/>
          <w:szCs w:val="20"/>
          <w:color w:val="auto"/>
        </w:rPr>
        <w:t>A Participant’s right to receive benefits under this Plan shall terminate immediately if, at any time prior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or during the period for which the Participant is receiving benefits hereunder, the Participant, without the prior written approval of the Plan Administrator, willfully breaches a material provision of the Participant’s </w:t>
      </w:r>
      <w:r>
        <w:rPr>
          <w:rFonts w:ascii="Arial" w:cs="Arial" w:eastAsia="Arial" w:hAnsi="Arial"/>
          <w:sz w:val="20"/>
          <w:szCs w:val="20"/>
          <w:i w:val="1"/>
          <w:iCs w:val="1"/>
          <w:color w:val="auto"/>
        </w:rPr>
        <w:t>Employee Confidentiality Agreement</w:t>
      </w:r>
      <w:r>
        <w:rPr>
          <w:rFonts w:ascii="Arial" w:cs="Arial" w:eastAsia="Arial" w:hAnsi="Arial"/>
          <w:sz w:val="20"/>
          <w:szCs w:val="20"/>
          <w:color w:val="auto"/>
        </w:rPr>
        <w:t xml:space="preserve"> or the Company’s </w:t>
      </w:r>
      <w:r>
        <w:rPr>
          <w:rFonts w:ascii="Arial" w:cs="Arial" w:eastAsia="Arial" w:hAnsi="Arial"/>
          <w:sz w:val="20"/>
          <w:szCs w:val="20"/>
          <w:i w:val="1"/>
          <w:iCs w:val="1"/>
          <w:color w:val="auto"/>
        </w:rPr>
        <w:t>Code of</w:t>
      </w:r>
      <w:r>
        <w:rPr>
          <w:rFonts w:ascii="Arial" w:cs="Arial" w:eastAsia="Arial" w:hAnsi="Arial"/>
          <w:sz w:val="20"/>
          <w:szCs w:val="20"/>
          <w:color w:val="auto"/>
        </w:rPr>
        <w:t xml:space="preserve"> </w:t>
      </w:r>
      <w:r>
        <w:rPr>
          <w:rFonts w:ascii="Arial" w:cs="Arial" w:eastAsia="Arial" w:hAnsi="Arial"/>
          <w:sz w:val="20"/>
          <w:szCs w:val="20"/>
          <w:i w:val="1"/>
          <w:iCs w:val="1"/>
          <w:color w:val="auto"/>
        </w:rPr>
        <w:t>Conduct</w:t>
      </w:r>
      <w:r>
        <w:rPr>
          <w:rFonts w:ascii="Arial" w:cs="Arial" w:eastAsia="Arial" w:hAnsi="Arial"/>
          <w:sz w:val="20"/>
          <w:szCs w:val="20"/>
          <w:color w:val="auto"/>
        </w:rPr>
        <w:t>.</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9"/>
          <w:szCs w:val="19"/>
          <w:b w:val="1"/>
          <w:bCs w:val="1"/>
          <w:color w:val="auto"/>
        </w:rPr>
        <w:t>AMOUNT OF BENEFITS.</w:t>
      </w:r>
    </w:p>
    <w:p>
      <w:pPr>
        <w:spacing w:after="0" w:line="262" w:lineRule="exact"/>
        <w:rPr>
          <w:sz w:val="20"/>
          <w:szCs w:val="20"/>
          <w:color w:val="auto"/>
        </w:rPr>
      </w:pPr>
    </w:p>
    <w:p>
      <w:pPr>
        <w:ind w:right="340"/>
        <w:spacing w:after="0" w:line="303" w:lineRule="auto"/>
        <w:rPr>
          <w:sz w:val="20"/>
          <w:szCs w:val="20"/>
          <w:color w:val="auto"/>
        </w:rPr>
      </w:pPr>
      <w:r>
        <w:rPr>
          <w:rFonts w:ascii="Arial" w:cs="Arial" w:eastAsia="Arial" w:hAnsi="Arial"/>
          <w:sz w:val="20"/>
          <w:szCs w:val="20"/>
          <w:color w:val="auto"/>
        </w:rPr>
        <w:t>Subject to the limitations set forth in Section 3, Section 5 and Section 6, in the event of a Participant’s Covered Termination, the Participant shall be entitled to receive the benefits described in Sections 4(a), 4(b) and 4(c).</w:t>
      </w:r>
    </w:p>
    <w:p>
      <w:pPr>
        <w:spacing w:after="0" w:line="170" w:lineRule="exact"/>
        <w:rPr>
          <w:sz w:val="20"/>
          <w:szCs w:val="20"/>
          <w:color w:val="auto"/>
        </w:rPr>
      </w:pPr>
    </w:p>
    <w:p>
      <w:pPr>
        <w:ind w:left="1080" w:hanging="424"/>
        <w:spacing w:after="0"/>
        <w:tabs>
          <w:tab w:leader="none" w:pos="108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Cash Severance Payment. </w:t>
      </w:r>
      <w:r>
        <w:rPr>
          <w:rFonts w:ascii="Arial" w:cs="Arial" w:eastAsia="Arial" w:hAnsi="Arial"/>
          <w:sz w:val="16"/>
          <w:szCs w:val="16"/>
          <w:color w:val="auto"/>
        </w:rPr>
        <w:t>The Company shall make a cash severance payment to the Participant in an amount equal to the sum</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of:</w:t>
      </w:r>
    </w:p>
    <w:p>
      <w:pPr>
        <w:spacing w:after="0" w:line="256" w:lineRule="exact"/>
        <w:rPr>
          <w:sz w:val="20"/>
          <w:szCs w:val="20"/>
          <w:color w:val="auto"/>
        </w:rPr>
      </w:pPr>
    </w:p>
    <w:p>
      <w:pPr>
        <w:ind w:left="1520" w:hanging="378"/>
        <w:spacing w:after="0"/>
        <w:tabs>
          <w:tab w:leader="none" w:pos="1520" w:val="left"/>
        </w:tabs>
        <w:numPr>
          <w:ilvl w:val="0"/>
          <w:numId w:val="91"/>
        </w:numPr>
        <w:rPr>
          <w:rFonts w:ascii="Arial" w:cs="Arial" w:eastAsia="Arial" w:hAnsi="Arial"/>
          <w:sz w:val="19"/>
          <w:szCs w:val="19"/>
          <w:b w:val="1"/>
          <w:bCs w:val="1"/>
          <w:color w:val="auto"/>
        </w:rPr>
      </w:pPr>
      <w:r>
        <w:rPr>
          <w:rFonts w:ascii="Arial" w:cs="Arial" w:eastAsia="Arial" w:hAnsi="Arial"/>
          <w:sz w:val="19"/>
          <w:szCs w:val="19"/>
          <w:color w:val="auto"/>
        </w:rPr>
        <w:t>the Participant’s Final Base Salary multiplied by the percentage set forth below that applies to the Participant, plus</w:t>
      </w:r>
    </w:p>
    <w:p>
      <w:pPr>
        <w:spacing w:after="0" w:line="267" w:lineRule="exact"/>
        <w:rPr>
          <w:rFonts w:ascii="Arial" w:cs="Arial" w:eastAsia="Arial" w:hAnsi="Arial"/>
          <w:sz w:val="19"/>
          <w:szCs w:val="19"/>
          <w:b w:val="1"/>
          <w:bCs w:val="1"/>
          <w:color w:val="auto"/>
        </w:rPr>
      </w:pPr>
    </w:p>
    <w:p>
      <w:pPr>
        <w:ind w:right="340" w:firstLine="1142"/>
        <w:spacing w:after="0" w:line="303" w:lineRule="auto"/>
        <w:tabs>
          <w:tab w:leader="none" w:pos="1574" w:val="left"/>
        </w:tabs>
        <w:numPr>
          <w:ilvl w:val="0"/>
          <w:numId w:val="91"/>
        </w:numPr>
        <w:rPr>
          <w:rFonts w:ascii="Arial" w:cs="Arial" w:eastAsia="Arial" w:hAnsi="Arial"/>
          <w:sz w:val="20"/>
          <w:szCs w:val="20"/>
          <w:b w:val="1"/>
          <w:bCs w:val="1"/>
          <w:color w:val="auto"/>
        </w:rPr>
      </w:pPr>
      <w:r>
        <w:rPr>
          <w:rFonts w:ascii="Arial" w:cs="Arial" w:eastAsia="Arial" w:hAnsi="Arial"/>
          <w:sz w:val="20"/>
          <w:szCs w:val="20"/>
          <w:color w:val="auto"/>
        </w:rPr>
        <w:t>the product of (A) the Participant’s Final Base Salary, (B) the Participant’s Bonus Percentage and (C) the percentage set forth below that applies to the Participant, plus</w:t>
      </w:r>
    </w:p>
    <w:p>
      <w:pPr>
        <w:spacing w:after="0" w:line="175" w:lineRule="exact"/>
        <w:rPr>
          <w:rFonts w:ascii="Arial" w:cs="Arial" w:eastAsia="Arial" w:hAnsi="Arial"/>
          <w:sz w:val="20"/>
          <w:szCs w:val="20"/>
          <w:b w:val="1"/>
          <w:bCs w:val="1"/>
          <w:color w:val="auto"/>
        </w:rPr>
      </w:pPr>
    </w:p>
    <w:p>
      <w:pPr>
        <w:ind w:left="1640" w:hanging="498"/>
        <w:spacing w:after="0"/>
        <w:tabs>
          <w:tab w:leader="none" w:pos="164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the product of (A) the Participant’s Final Base Salary, (B) the Participant’s Bonus Percentage and (C) the Participant’s</w:t>
      </w:r>
    </w:p>
    <w:p>
      <w:pPr>
        <w:spacing w:after="0" w:line="6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Bonus Multiplier;</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20"/>
          <w:szCs w:val="20"/>
          <w:i w:val="1"/>
          <w:iCs w:val="1"/>
          <w:color w:val="auto"/>
        </w:rPr>
        <w:t>provided, however</w:t>
      </w:r>
      <w:r>
        <w:rPr>
          <w:rFonts w:ascii="Arial" w:cs="Arial" w:eastAsia="Arial" w:hAnsi="Arial"/>
          <w:sz w:val="20"/>
          <w:szCs w:val="20"/>
          <w:color w:val="auto"/>
        </w:rPr>
        <w:t>, that the amount of such cash severance payment shall be reduced by the amount of any payment made to or earned by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Participant on or prior to the date of the Participant’s Covered Termination for performance for the calendar year in which the Covered Termination occurs under any bonus (including sales or incentive compensation) plan maintained by the Company or an Affiliate (which, for purposes of clarification and as determined by the Plan Administrator, shall not include any one-time or extraordinary bonus payments made to or earned by the Participant outside of a plan for performance for such calendar year). Such cash severance payment shall be paid in accordance with Section 6.</w:t>
      </w:r>
    </w:p>
    <w:p>
      <w:pPr>
        <w:spacing w:after="0" w:line="294" w:lineRule="exact"/>
        <w:rPr>
          <w:sz w:val="20"/>
          <w:szCs w:val="20"/>
          <w:color w:val="auto"/>
        </w:rPr>
      </w:pPr>
    </w:p>
    <w:tbl>
      <w:tblPr>
        <w:tblLayout w:type="fixed"/>
        <w:tblInd w:w="280" w:type="dxa"/>
        <w:tblCellMar>
          <w:top w:w="0" w:type="dxa"/>
          <w:left w:w="0" w:type="dxa"/>
          <w:bottom w:w="0" w:type="dxa"/>
          <w:right w:w="0" w:type="dxa"/>
        </w:tblCellMar>
      </w:tblPr>
      <w:tr>
        <w:trPr>
          <w:trHeight w:val="256"/>
        </w:trPr>
        <w:tc>
          <w:tcPr>
            <w:tcW w:w="8040" w:type="dxa"/>
            <w:vAlign w:val="bottom"/>
            <w:gridSpan w:val="2"/>
          </w:tcPr>
          <w:p>
            <w:pPr>
              <w:ind w:left="20"/>
              <w:spacing w:after="0"/>
              <w:rPr>
                <w:sz w:val="20"/>
                <w:szCs w:val="20"/>
                <w:color w:val="auto"/>
              </w:rPr>
            </w:pPr>
            <w:r>
              <w:rPr>
                <w:rFonts w:ascii="Arial" w:cs="Arial" w:eastAsia="Arial" w:hAnsi="Arial"/>
                <w:sz w:val="20"/>
                <w:szCs w:val="20"/>
                <w:b w:val="1"/>
                <w:bCs w:val="1"/>
                <w:color w:val="auto"/>
              </w:rPr>
              <w:t>If the Participant is at the time of the Covered Termination a:</w:t>
            </w:r>
          </w:p>
        </w:tc>
        <w:tc>
          <w:tcPr>
            <w:tcW w:w="2820" w:type="dxa"/>
            <w:vAlign w:val="bottom"/>
            <w:gridSpan w:val="2"/>
          </w:tcPr>
          <w:p>
            <w:pPr>
              <w:jc w:val="right"/>
              <w:ind w:right="721"/>
              <w:spacing w:after="0"/>
              <w:rPr>
                <w:sz w:val="20"/>
                <w:szCs w:val="20"/>
                <w:color w:val="auto"/>
              </w:rPr>
            </w:pPr>
            <w:r>
              <w:rPr>
                <w:rFonts w:ascii="Arial" w:cs="Arial" w:eastAsia="Arial" w:hAnsi="Arial"/>
                <w:sz w:val="20"/>
                <w:szCs w:val="20"/>
                <w:b w:val="1"/>
                <w:bCs w:val="1"/>
                <w:color w:val="auto"/>
                <w:w w:val="89"/>
              </w:rPr>
              <w:t>Applicable Percentage:</w:t>
            </w:r>
          </w:p>
        </w:tc>
      </w:tr>
      <w:tr>
        <w:trPr>
          <w:trHeight w:val="212"/>
        </w:trPr>
        <w:tc>
          <w:tcPr>
            <w:tcW w:w="7620" w:type="dxa"/>
            <w:vAlign w:val="bottom"/>
            <w:tcBorders>
              <w:bottom w:val="single" w:sz="8" w:color="auto"/>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r>
      <w:tr>
        <w:trPr>
          <w:trHeight w:val="254"/>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Vice President</w:t>
            </w:r>
          </w:p>
        </w:tc>
        <w:tc>
          <w:tcPr>
            <w:tcW w:w="2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r>
      <w:tr>
        <w:trPr>
          <w:trHeight w:val="212"/>
        </w:trPr>
        <w:tc>
          <w:tcPr>
            <w:tcW w:w="7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40"/>
        </w:trPr>
        <w:tc>
          <w:tcPr>
            <w:tcW w:w="8040" w:type="dxa"/>
            <w:vAlign w:val="bottom"/>
            <w:gridSpan w:val="2"/>
          </w:tcPr>
          <w:p>
            <w:pPr>
              <w:ind w:left="20"/>
              <w:spacing w:after="0"/>
              <w:rPr>
                <w:sz w:val="20"/>
                <w:szCs w:val="20"/>
                <w:color w:val="auto"/>
              </w:rPr>
            </w:pPr>
            <w:r>
              <w:rPr>
                <w:rFonts w:ascii="Arial" w:cs="Arial" w:eastAsia="Arial" w:hAnsi="Arial"/>
                <w:sz w:val="20"/>
                <w:szCs w:val="20"/>
                <w:color w:val="auto"/>
                <w:w w:val="99"/>
              </w:rPr>
              <w:t>Senior Vice President, Executive Vice President, or above (but not Chief Executive Officer,</w:t>
            </w:r>
          </w:p>
        </w:tc>
        <w:tc>
          <w:tcPr>
            <w:tcW w:w="2820" w:type="dxa"/>
            <w:vAlign w:val="bottom"/>
            <w:gridSpan w:val="2"/>
          </w:tcPr>
          <w:p>
            <w:pPr>
              <w:jc w:val="right"/>
              <w:ind w:right="141"/>
              <w:spacing w:after="0"/>
              <w:rPr>
                <w:sz w:val="20"/>
                <w:szCs w:val="20"/>
                <w:color w:val="auto"/>
              </w:rPr>
            </w:pPr>
            <w:r>
              <w:rPr>
                <w:rFonts w:ascii="Arial" w:cs="Arial" w:eastAsia="Arial" w:hAnsi="Arial"/>
                <w:sz w:val="20"/>
                <w:szCs w:val="20"/>
                <w:color w:val="auto"/>
              </w:rPr>
              <w:t>150 %</w:t>
            </w:r>
          </w:p>
        </w:tc>
      </w:tr>
      <w:tr>
        <w:trPr>
          <w:trHeight w:val="250"/>
        </w:trPr>
        <w:tc>
          <w:tcPr>
            <w:tcW w:w="8040" w:type="dxa"/>
            <w:vAlign w:val="bottom"/>
            <w:gridSpan w:val="2"/>
          </w:tcPr>
          <w:p>
            <w:pPr>
              <w:ind w:left="180"/>
              <w:spacing w:after="0"/>
              <w:rPr>
                <w:sz w:val="20"/>
                <w:szCs w:val="20"/>
                <w:color w:val="auto"/>
              </w:rPr>
            </w:pPr>
            <w:r>
              <w:rPr>
                <w:rFonts w:ascii="Arial" w:cs="Arial" w:eastAsia="Arial" w:hAnsi="Arial"/>
                <w:sz w:val="20"/>
                <w:szCs w:val="20"/>
                <w:color w:val="auto"/>
              </w:rPr>
              <w:t>Executive Chairman or President)</w:t>
            </w:r>
          </w:p>
        </w:tc>
        <w:tc>
          <w:tcPr>
            <w:tcW w:w="24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12"/>
        </w:trPr>
        <w:tc>
          <w:tcPr>
            <w:tcW w:w="7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61"/>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Chief Executive Officer, Executive Chairman or President</w:t>
            </w:r>
          </w:p>
        </w:tc>
        <w:tc>
          <w:tcPr>
            <w:tcW w:w="282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200 %</w:t>
            </w:r>
          </w:p>
        </w:tc>
      </w:tr>
      <w:tr>
        <w:trPr>
          <w:trHeight w:val="212"/>
        </w:trPr>
        <w:tc>
          <w:tcPr>
            <w:tcW w:w="7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bl>
    <w:p>
      <w:pPr>
        <w:spacing w:after="0" w:line="166" w:lineRule="exact"/>
        <w:rPr>
          <w:sz w:val="20"/>
          <w:szCs w:val="20"/>
          <w:color w:val="auto"/>
        </w:rPr>
      </w:pPr>
    </w:p>
    <w:p>
      <w:pPr>
        <w:ind w:left="1100" w:hanging="444"/>
        <w:spacing w:after="0"/>
        <w:tabs>
          <w:tab w:leader="none" w:pos="110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Health Continuation Coverage.</w:t>
      </w:r>
    </w:p>
    <w:p>
      <w:pPr>
        <w:spacing w:after="0" w:line="262" w:lineRule="exact"/>
        <w:rPr>
          <w:rFonts w:ascii="Arial" w:cs="Arial" w:eastAsia="Arial" w:hAnsi="Arial"/>
          <w:sz w:val="20"/>
          <w:szCs w:val="20"/>
          <w:b w:val="1"/>
          <w:bCs w:val="1"/>
          <w:color w:val="auto"/>
        </w:rPr>
      </w:pPr>
    </w:p>
    <w:p>
      <w:pPr>
        <w:ind w:firstLine="1142"/>
        <w:spacing w:after="0" w:line="303" w:lineRule="auto"/>
        <w:tabs>
          <w:tab w:leader="none" w:pos="1519" w:val="left"/>
        </w:tabs>
        <w:numPr>
          <w:ilvl w:val="1"/>
          <w:numId w:val="92"/>
        </w:numPr>
        <w:rPr>
          <w:rFonts w:ascii="Arial" w:cs="Arial" w:eastAsia="Arial" w:hAnsi="Arial"/>
          <w:sz w:val="20"/>
          <w:szCs w:val="20"/>
          <w:b w:val="1"/>
          <w:bCs w:val="1"/>
          <w:color w:val="auto"/>
        </w:rPr>
      </w:pPr>
      <w:r>
        <w:rPr>
          <w:rFonts w:ascii="Arial" w:cs="Arial" w:eastAsia="Arial" w:hAnsi="Arial"/>
          <w:sz w:val="20"/>
          <w:szCs w:val="20"/>
          <w:color w:val="auto"/>
        </w:rPr>
        <w:t>Provided that the Participant is eligible to continue coverage under a health, dental or vision insurance plan sponsored by the Company or an Affiliate upon the Participant’s Covered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00"/>
          </w:cols>
          <w:pgMar w:left="240" w:top="387" w:right="259" w:bottom="1440" w:gutter="0" w:footer="0" w:header="0"/>
        </w:sectPr>
      </w:pPr>
    </w:p>
    <w:bookmarkStart w:id="113" w:name="page114"/>
    <w:bookmarkEnd w:id="113"/>
    <w:p>
      <w:pPr>
        <w:ind w:right="180"/>
        <w:spacing w:after="0" w:line="313" w:lineRule="auto"/>
        <w:rPr>
          <w:sz w:val="20"/>
          <w:szCs w:val="20"/>
          <w:color w:val="auto"/>
        </w:rPr>
      </w:pPr>
      <w:r>
        <w:rPr>
          <w:rFonts w:ascii="Arial" w:cs="Arial" w:eastAsia="Arial" w:hAnsi="Arial"/>
          <w:sz w:val="18"/>
          <w:szCs w:val="18"/>
          <w:color w:val="auto"/>
        </w:rPr>
        <w:t>Termination pursuant to COBRA and the Participant makes an election to continue such coverage pursuant to COBRA within the time period prescribed under COBRA, the Participant shall be entitled to payment by the Company of all of the applicable COBRA premiums for such health, dental or vision insurance plan coverage from the date of the Participant’s Covered Termination through the earliest of (A) a period of twelve (12) months following such date in the case of a Vice President, eighteen (18) months following such date in the case of a Senior Vice President, Executive Vice President, or above (but not the Chief Executive Officer, Executive Chairman or President), and twenty-four</w:t>
      </w:r>
    </w:p>
    <w:p>
      <w:pPr>
        <w:spacing w:after="0" w:line="1" w:lineRule="exact"/>
        <w:rPr>
          <w:sz w:val="20"/>
          <w:szCs w:val="20"/>
          <w:color w:val="auto"/>
        </w:rPr>
      </w:pPr>
    </w:p>
    <w:p>
      <w:pPr>
        <w:ind w:right="40" w:firstLine="8"/>
        <w:spacing w:after="0" w:line="323" w:lineRule="auto"/>
        <w:tabs>
          <w:tab w:leader="none" w:pos="379" w:val="left"/>
        </w:tabs>
        <w:numPr>
          <w:ilvl w:val="0"/>
          <w:numId w:val="93"/>
        </w:numPr>
        <w:rPr>
          <w:rFonts w:ascii="Arial" w:cs="Arial" w:eastAsia="Arial" w:hAnsi="Arial"/>
          <w:sz w:val="18"/>
          <w:szCs w:val="18"/>
          <w:color w:val="auto"/>
        </w:rPr>
      </w:pPr>
      <w:r>
        <w:rPr>
          <w:rFonts w:ascii="Arial" w:cs="Arial" w:eastAsia="Arial" w:hAnsi="Arial"/>
          <w:sz w:val="18"/>
          <w:szCs w:val="18"/>
          <w:color w:val="auto"/>
        </w:rPr>
        <w:t>months following such date in the case of the Chief Executive Officer, Executive Chairman or President, (B) the Participant’s death or (C) the effective date of the Participant’s coverage by a health, dental or vision insurance plan of a subsequent employer (such period from the date of the Participant’s Covered Termination through the earliest of (A) through (C), the “</w:t>
      </w:r>
      <w:r>
        <w:rPr>
          <w:rFonts w:ascii="Arial" w:cs="Arial" w:eastAsia="Arial" w:hAnsi="Arial"/>
          <w:sz w:val="18"/>
          <w:szCs w:val="18"/>
          <w:b w:val="1"/>
          <w:bCs w:val="1"/>
          <w:i w:val="1"/>
          <w:iCs w:val="1"/>
          <w:color w:val="auto"/>
        </w:rPr>
        <w:t>COBRA Payment Period</w:t>
      </w:r>
      <w:r>
        <w:rPr>
          <w:rFonts w:ascii="Arial" w:cs="Arial" w:eastAsia="Arial" w:hAnsi="Arial"/>
          <w:sz w:val="18"/>
          <w:szCs w:val="18"/>
          <w:color w:val="auto"/>
        </w:rPr>
        <w:t>”), with such coverage counted as coverage pursuant to COBRA. Such COBRA premium payments shall be inclusive of premiums for the Participant’s eligible dependents for such health, dental or vision insurance plan coverage as in effect immediately prior to the date of the Participant’s Covered Termination, provided that such dependents continue to be eligible for such coverage during the COBRA Payment Period.</w:t>
      </w:r>
    </w:p>
    <w:p>
      <w:pPr>
        <w:spacing w:after="0" w:line="165" w:lineRule="exact"/>
        <w:rPr>
          <w:rFonts w:ascii="Arial" w:cs="Arial" w:eastAsia="Arial" w:hAnsi="Arial"/>
          <w:sz w:val="18"/>
          <w:szCs w:val="18"/>
          <w:color w:val="auto"/>
        </w:rPr>
      </w:pPr>
    </w:p>
    <w:p>
      <w:pPr>
        <w:ind w:right="180" w:firstLine="1142"/>
        <w:spacing w:after="0" w:line="308" w:lineRule="auto"/>
        <w:tabs>
          <w:tab w:leader="none" w:pos="1574" w:val="left"/>
        </w:tabs>
        <w:numPr>
          <w:ilvl w:val="1"/>
          <w:numId w:val="93"/>
        </w:numPr>
        <w:rPr>
          <w:rFonts w:ascii="Arial" w:cs="Arial" w:eastAsia="Arial" w:hAnsi="Arial"/>
          <w:sz w:val="19"/>
          <w:szCs w:val="19"/>
          <w:b w:val="1"/>
          <w:bCs w:val="1"/>
          <w:color w:val="auto"/>
        </w:rPr>
      </w:pPr>
      <w:r>
        <w:rPr>
          <w:rFonts w:ascii="Arial" w:cs="Arial" w:eastAsia="Arial" w:hAnsi="Arial"/>
          <w:sz w:val="19"/>
          <w:szCs w:val="19"/>
          <w:color w:val="auto"/>
        </w:rPr>
        <w:t>No COBRA premium payments (or any other payments for health, dental or vision insurance plan coverage by the Company or an Affiliate) shall be made following the Participant’s death or the effective date of the Participant’s coverage by a health, dental or vision insurance plan of a subsequent employer. Each Participant shall be required to provide written notification to the Plan Administrator immediately if the Participant becomes covered by a health, dental or vision insurance plan of a subsequent employer.</w:t>
      </w:r>
    </w:p>
    <w:p>
      <w:pPr>
        <w:spacing w:after="0" w:line="169" w:lineRule="exact"/>
        <w:rPr>
          <w:sz w:val="20"/>
          <w:szCs w:val="20"/>
          <w:color w:val="auto"/>
        </w:rPr>
      </w:pPr>
    </w:p>
    <w:p>
      <w:pPr>
        <w:ind w:firstLine="1134"/>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iii)</w:t>
      </w:r>
      <w:r>
        <w:rPr>
          <w:rFonts w:ascii="Arial" w:cs="Arial" w:eastAsia="Arial" w:hAnsi="Arial"/>
          <w:sz w:val="19"/>
          <w:szCs w:val="19"/>
          <w:color w:val="auto"/>
        </w:rPr>
        <w:t xml:space="preserve"> No provision of this Plan will affect the continuation coverage rules under COBRA, except that the Company’s payment of any applicable COBRA premiums will be credited as payment by the Participant for purposes of the Participant’s payment required under COBRA. Therefore, the period during which the Participant may elect to continue the Company’s or its Affiliate’s health, dental or vision insurance plan coverage at his or her own expense under COBRA, the length of time during which COBRA coverage will be made available to the Participant, and all other rights and obligations of the Participant under COBRA (except the Company’s obligation, if any, to pay COBRA premiums under this Section 4(b)) will be applied in the same manner that such rules would apply in the absence of this Plan. Upon the conclusion of any COBRA Payment Period, the Participant will be responsible for the entire payment of premiums required under COBRA for the remainder of the COBRA period.</w:t>
      </w:r>
    </w:p>
    <w:p>
      <w:pPr>
        <w:spacing w:after="0" w:line="183" w:lineRule="exact"/>
        <w:rPr>
          <w:sz w:val="20"/>
          <w:szCs w:val="20"/>
          <w:color w:val="auto"/>
        </w:rPr>
      </w:pPr>
    </w:p>
    <w:p>
      <w:pPr>
        <w:ind w:right="100" w:firstLine="1142"/>
        <w:spacing w:after="0" w:line="338" w:lineRule="auto"/>
        <w:tabs>
          <w:tab w:leader="none" w:pos="1618"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For purposes of this Section 4(b), (i) references to COBRA shall be deemed to refer also to analogous provisions of state law, and (ii) any applicable insurance premiums that are paid by the Company shall not include any amounts payable by a Participant under an Internal Revenue Code Section 125 health care reimbursement plan, which amounts, if any, are the sole responsibility of the Participant.</w:t>
      </w:r>
    </w:p>
    <w:p>
      <w:pPr>
        <w:spacing w:after="0" w:line="151" w:lineRule="exact"/>
        <w:rPr>
          <w:rFonts w:ascii="Arial" w:cs="Arial" w:eastAsia="Arial" w:hAnsi="Arial"/>
          <w:sz w:val="18"/>
          <w:szCs w:val="18"/>
          <w:b w:val="1"/>
          <w:bCs w:val="1"/>
          <w:color w:val="auto"/>
        </w:rPr>
      </w:pPr>
    </w:p>
    <w:p>
      <w:pPr>
        <w:ind w:right="240" w:firstLine="1142"/>
        <w:spacing w:after="0" w:line="314" w:lineRule="auto"/>
        <w:tabs>
          <w:tab w:leader="none" w:pos="1563" w:val="left"/>
        </w:tabs>
        <w:numPr>
          <w:ilvl w:val="0"/>
          <w:numId w:val="94"/>
        </w:numPr>
        <w:rPr>
          <w:rFonts w:ascii="Arial" w:cs="Arial" w:eastAsia="Arial" w:hAnsi="Arial"/>
          <w:sz w:val="19"/>
          <w:szCs w:val="19"/>
          <w:b w:val="1"/>
          <w:bCs w:val="1"/>
          <w:color w:val="auto"/>
        </w:rPr>
      </w:pPr>
      <w:r>
        <w:rPr>
          <w:rFonts w:ascii="Arial" w:cs="Arial" w:eastAsia="Arial" w:hAnsi="Arial"/>
          <w:sz w:val="19"/>
          <w:szCs w:val="19"/>
          <w:color w:val="auto"/>
        </w:rPr>
        <w:t>Notwithstanding the foregoing but subject to Section 6, if at any time the Plan Administrator determines, in its sole discretion, that its payment of COBRA premiums on the Participant’s behalf would result in a violation of applicable law (including, without limitation, Section 2716 of the Public Health Service Act), then in lieu of paying COBRA premiums pursuant to this Section</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00"/>
          </w:cols>
          <w:pgMar w:left="240" w:top="393" w:right="259" w:bottom="1440" w:gutter="0" w:footer="0" w:header="0"/>
        </w:sectPr>
      </w:pPr>
    </w:p>
    <w:bookmarkStart w:id="114" w:name="page115"/>
    <w:bookmarkEnd w:id="114"/>
    <w:p>
      <w:pPr>
        <w:ind w:right="140"/>
        <w:spacing w:after="0" w:line="308" w:lineRule="auto"/>
        <w:rPr>
          <w:sz w:val="20"/>
          <w:szCs w:val="20"/>
          <w:color w:val="auto"/>
        </w:rPr>
      </w:pPr>
      <w:r>
        <w:rPr>
          <w:rFonts w:ascii="Arial" w:cs="Arial" w:eastAsia="Arial" w:hAnsi="Arial"/>
          <w:sz w:val="19"/>
          <w:szCs w:val="19"/>
          <w:color w:val="auto"/>
        </w:rPr>
        <w:t>4(b), the Company will pay to the Participant, on the last day of each remaining month of the COBRA Payment Period, a fully taxable cash payment equal to the COBRA premiums for such month, subject to applicable tax withholding (such amount, the “</w:t>
      </w:r>
      <w:r>
        <w:rPr>
          <w:rFonts w:ascii="Arial" w:cs="Arial" w:eastAsia="Arial" w:hAnsi="Arial"/>
          <w:sz w:val="19"/>
          <w:szCs w:val="19"/>
          <w:b w:val="1"/>
          <w:bCs w:val="1"/>
          <w:i w:val="1"/>
          <w:iCs w:val="1"/>
          <w:color w:val="auto"/>
        </w:rPr>
        <w:t>Special Severance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and such Special Severance Payment will be made without regard to the Participant’s payment of COBRA premiums and without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regard to the expiration of the COBRA period prior to the end of the COBRA Payment Period.</w:t>
      </w:r>
    </w:p>
    <w:p>
      <w:pPr>
        <w:spacing w:after="0" w:line="175" w:lineRule="exact"/>
        <w:rPr>
          <w:sz w:val="20"/>
          <w:szCs w:val="20"/>
          <w:color w:val="auto"/>
        </w:rPr>
      </w:pPr>
    </w:p>
    <w:p>
      <w:pPr>
        <w:ind w:left="1620" w:hanging="478"/>
        <w:spacing w:after="0"/>
        <w:tabs>
          <w:tab w:leader="none" w:pos="1620" w:val="left"/>
        </w:tabs>
        <w:numPr>
          <w:ilvl w:val="1"/>
          <w:numId w:val="95"/>
        </w:numPr>
        <w:rPr>
          <w:rFonts w:ascii="Arial" w:cs="Arial" w:eastAsia="Arial" w:hAnsi="Arial"/>
          <w:sz w:val="18"/>
          <w:szCs w:val="18"/>
          <w:b w:val="1"/>
          <w:bCs w:val="1"/>
          <w:color w:val="auto"/>
        </w:rPr>
      </w:pPr>
      <w:r>
        <w:rPr>
          <w:rFonts w:ascii="Arial" w:cs="Arial" w:eastAsia="Arial" w:hAnsi="Arial"/>
          <w:sz w:val="18"/>
          <w:szCs w:val="18"/>
          <w:color w:val="auto"/>
        </w:rPr>
        <w:t>Such COBRA premium payments and Special Severance Payments, if any, shall be paid in accordance with Section 6.</w:t>
      </w:r>
    </w:p>
    <w:p>
      <w:pPr>
        <w:spacing w:after="0" w:line="259" w:lineRule="exact"/>
        <w:rPr>
          <w:rFonts w:ascii="Arial" w:cs="Arial" w:eastAsia="Arial" w:hAnsi="Arial"/>
          <w:sz w:val="18"/>
          <w:szCs w:val="18"/>
          <w:b w:val="1"/>
          <w:bCs w:val="1"/>
          <w:color w:val="auto"/>
        </w:rPr>
      </w:pPr>
    </w:p>
    <w:p>
      <w:pPr>
        <w:ind w:right="140" w:firstLine="656"/>
        <w:spacing w:after="0" w:line="262" w:lineRule="auto"/>
        <w:tabs>
          <w:tab w:leader="none" w:pos="1066"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Stock Award Vesting Acceleration. </w:t>
      </w:r>
      <w:r>
        <w:rPr>
          <w:rFonts w:ascii="Arial" w:cs="Arial" w:eastAsia="Arial" w:hAnsi="Arial"/>
          <w:sz w:val="20"/>
          <w:szCs w:val="20"/>
          <w:color w:val="auto"/>
        </w:rPr>
        <w:t>The vesting (and exercisability, if applicable) of all outstanding options to purchase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ordinary shares, stock appreciation rights or similar rights or other rights with respect to the Company’s ordinary shares, and any other stock awards granted to the Participant pursuant to any equity incentive plan of the Company that are held by the Participant on the date of the Participant’s Covered Termination shall be accelerated in full.</w:t>
      </w:r>
    </w:p>
    <w:p>
      <w:pPr>
        <w:spacing w:after="0" w:line="184" w:lineRule="exact"/>
        <w:rPr>
          <w:rFonts w:ascii="Arial" w:cs="Arial" w:eastAsia="Arial" w:hAnsi="Arial"/>
          <w:sz w:val="20"/>
          <w:szCs w:val="20"/>
          <w:b w:val="1"/>
          <w:bCs w:val="1"/>
          <w:color w:val="auto"/>
        </w:rPr>
      </w:pPr>
    </w:p>
    <w:p>
      <w:pPr>
        <w:ind w:right="140" w:firstLine="656"/>
        <w:spacing w:after="0" w:line="267" w:lineRule="auto"/>
        <w:tabs>
          <w:tab w:leader="none" w:pos="1088"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Other Employee Benefits. </w:t>
      </w:r>
      <w:r>
        <w:rPr>
          <w:rFonts w:ascii="Arial" w:cs="Arial" w:eastAsia="Arial" w:hAnsi="Arial"/>
          <w:sz w:val="20"/>
          <w:szCs w:val="20"/>
          <w:color w:val="auto"/>
        </w:rPr>
        <w:t>All other benefits (such as life insurance, disability coverage and 401(k) plan coverage) provided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or an Affiliate shall terminate as of the date of the Participant’s Covered Termination (except to the extent that a conversion privilege may be available thereunder).</w:t>
      </w:r>
    </w:p>
    <w:p>
      <w:pPr>
        <w:spacing w:after="0" w:line="177" w:lineRule="exact"/>
        <w:rPr>
          <w:rFonts w:ascii="Arial" w:cs="Arial" w:eastAsia="Arial" w:hAnsi="Arial"/>
          <w:sz w:val="20"/>
          <w:szCs w:val="20"/>
          <w:b w:val="1"/>
          <w:bCs w:val="1"/>
          <w:color w:val="auto"/>
        </w:rPr>
      </w:pPr>
    </w:p>
    <w:p>
      <w:pPr>
        <w:ind w:right="160" w:firstLine="656"/>
        <w:spacing w:after="0" w:line="262" w:lineRule="auto"/>
        <w:tabs>
          <w:tab w:leader="none" w:pos="1066"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Additional Benefits. </w:t>
      </w:r>
      <w:r>
        <w:rPr>
          <w:rFonts w:ascii="Arial" w:cs="Arial" w:eastAsia="Arial" w:hAnsi="Arial"/>
          <w:sz w:val="20"/>
          <w:szCs w:val="20"/>
          <w:color w:val="auto"/>
        </w:rPr>
        <w:t>Notwithstanding the foregoing, the Plan Administrator may, in its sole discretion, provide benefits in</w:t>
      </w:r>
      <w:r>
        <w:rPr>
          <w:rFonts w:ascii="Arial" w:cs="Arial" w:eastAsia="Arial" w:hAnsi="Arial"/>
          <w:sz w:val="20"/>
          <w:szCs w:val="20"/>
          <w:b w:val="1"/>
          <w:bCs w:val="1"/>
          <w:color w:val="auto"/>
        </w:rPr>
        <w:t xml:space="preserve"> </w:t>
      </w:r>
      <w:r>
        <w:rPr>
          <w:rFonts w:ascii="Arial" w:cs="Arial" w:eastAsia="Arial" w:hAnsi="Arial"/>
          <w:sz w:val="20"/>
          <w:szCs w:val="20"/>
          <w:color w:val="auto"/>
        </w:rPr>
        <w:t>addition to those pursuant to Sections 4(a), 4(b) and 4(c) to one or more Participants chosen by the Plan Administrator, in its sole discretion, and the provision of any such benefits to a Participant shall in no way obligate the Company to provide such benefits to any other Participant, even if similarly situated.</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5.</w:t>
        <w:tab/>
        <w:t>LIMITATIONS ON BENEFITS.</w:t>
      </w:r>
    </w:p>
    <w:p>
      <w:pPr>
        <w:spacing w:after="0" w:line="243" w:lineRule="exact"/>
        <w:rPr>
          <w:sz w:val="20"/>
          <w:szCs w:val="20"/>
          <w:color w:val="auto"/>
        </w:rPr>
      </w:pPr>
    </w:p>
    <w:p>
      <w:pPr>
        <w:ind w:firstLine="656"/>
        <w:spacing w:after="0" w:line="258" w:lineRule="auto"/>
        <w:tabs>
          <w:tab w:leader="none" w:pos="1077"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Release. </w:t>
      </w:r>
      <w:r>
        <w:rPr>
          <w:rFonts w:ascii="Arial" w:cs="Arial" w:eastAsia="Arial" w:hAnsi="Arial"/>
          <w:sz w:val="20"/>
          <w:szCs w:val="20"/>
          <w:color w:val="auto"/>
        </w:rPr>
        <w:t>In order to be eligible to receive benefits under the Plan, a Participant must (i) execute and return to the Company within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applicable time period set forth therein a general waiver and release in substantially the form attached hereto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w:t>
      </w:r>
      <w:r>
        <w:rPr>
          <w:rFonts w:ascii="Arial" w:cs="Arial" w:eastAsia="Arial" w:hAnsi="Arial"/>
          <w:sz w:val="20"/>
          <w:szCs w:val="20"/>
          <w:b w:val="1"/>
          <w:bCs w:val="1"/>
          <w:color w:val="auto"/>
        </w:rPr>
        <w:t>EXHIBIT B</w:t>
      </w:r>
      <w:r>
        <w:rPr>
          <w:rFonts w:ascii="Arial" w:cs="Arial" w:eastAsia="Arial" w:hAnsi="Arial"/>
          <w:sz w:val="20"/>
          <w:szCs w:val="20"/>
          <w:color w:val="auto"/>
        </w:rPr>
        <w:t xml:space="preserve">, or </w:t>
      </w:r>
      <w:r>
        <w:rPr>
          <w:rFonts w:ascii="Arial" w:cs="Arial" w:eastAsia="Arial" w:hAnsi="Arial"/>
          <w:sz w:val="20"/>
          <w:szCs w:val="20"/>
          <w:b w:val="1"/>
          <w:bCs w:val="1"/>
          <w:color w:val="auto"/>
        </w:rPr>
        <w:t>EXHIBIT C</w:t>
      </w:r>
      <w:r>
        <w:rPr>
          <w:rFonts w:ascii="Arial" w:cs="Arial" w:eastAsia="Arial" w:hAnsi="Arial"/>
          <w:sz w:val="20"/>
          <w:szCs w:val="20"/>
          <w:color w:val="auto"/>
        </w:rPr>
        <w:t>, as appropriate (a “</w:t>
      </w:r>
      <w:r>
        <w:rPr>
          <w:rFonts w:ascii="Arial" w:cs="Arial" w:eastAsia="Arial" w:hAnsi="Arial"/>
          <w:sz w:val="20"/>
          <w:szCs w:val="20"/>
          <w:b w:val="1"/>
          <w:bCs w:val="1"/>
          <w:i w:val="1"/>
          <w:iCs w:val="1"/>
          <w:color w:val="auto"/>
        </w:rPr>
        <w:t>Release</w:t>
      </w:r>
      <w:r>
        <w:rPr>
          <w:rFonts w:ascii="Arial" w:cs="Arial" w:eastAsia="Arial" w:hAnsi="Arial"/>
          <w:sz w:val="20"/>
          <w:szCs w:val="20"/>
          <w:color w:val="auto"/>
        </w:rPr>
        <w:t xml:space="preserve">”), and (ii) not revoke the Release within the revocation period (if any) set forth therein;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no event may the applicable time period or revocation period extend beyond sixty (60) days following the date of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Participant’s Covered Termination. The Plan Administrator, in its sole discretion, may modify the form of the Release to comply with applicable law and shall determine the form of the Release, which may be incorporated into a separation agreement or other agreement with the Participant.</w:t>
      </w:r>
    </w:p>
    <w:p>
      <w:pPr>
        <w:spacing w:after="0" w:line="200" w:lineRule="exact"/>
        <w:rPr>
          <w:rFonts w:ascii="Arial" w:cs="Arial" w:eastAsia="Arial" w:hAnsi="Arial"/>
          <w:sz w:val="20"/>
          <w:szCs w:val="20"/>
          <w:b w:val="1"/>
          <w:bCs w:val="1"/>
          <w:color w:val="auto"/>
        </w:rPr>
      </w:pPr>
    </w:p>
    <w:p>
      <w:pPr>
        <w:ind w:right="340" w:firstLine="656"/>
        <w:spacing w:after="0" w:line="303" w:lineRule="auto"/>
        <w:tabs>
          <w:tab w:leader="none" w:pos="1088"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Certain Reductions. </w:t>
      </w:r>
      <w:r>
        <w:rPr>
          <w:rFonts w:ascii="Arial" w:cs="Arial" w:eastAsia="Arial" w:hAnsi="Arial"/>
          <w:sz w:val="19"/>
          <w:szCs w:val="19"/>
          <w:color w:val="auto"/>
        </w:rPr>
        <w:t>The Plan Administrator, in its sole discretion, shall have the authority to reduce or otherwise adjust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benefits under the Plan, in whole or in part, by any other severance benefits, pay and benefits in lieu of notice, or other similar benefits payable to the Participant by the Company or an Affiliate that become payable in connection with the Participant’s termination of employment with the Company or an Affiliate pursuant to (i) any applicable legal requirement, including, without limitation, the Worker Adjustment and Retraining Notification Act (the “</w:t>
      </w:r>
      <w:r>
        <w:rPr>
          <w:rFonts w:ascii="Arial" w:cs="Arial" w:eastAsia="Arial" w:hAnsi="Arial"/>
          <w:sz w:val="19"/>
          <w:szCs w:val="19"/>
          <w:b w:val="1"/>
          <w:bCs w:val="1"/>
          <w:i w:val="1"/>
          <w:iCs w:val="1"/>
          <w:color w:val="auto"/>
        </w:rPr>
        <w:t>WARN Act</w:t>
      </w:r>
      <w:r>
        <w:rPr>
          <w:rFonts w:ascii="Arial" w:cs="Arial" w:eastAsia="Arial" w:hAnsi="Arial"/>
          <w:sz w:val="19"/>
          <w:szCs w:val="19"/>
          <w:color w:val="auto"/>
        </w:rPr>
        <w:t>”), the California Plant Closing Act or any other similar state law, or (ii) any policy or practice of the Company or an Affiliate providing for the Participant to remain on payroll for a limited period of time after being given notice of the termination of the Participant’s employment. The benefits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380"/>
          </w:cols>
          <w:pgMar w:left="240" w:top="393" w:right="279" w:bottom="1440" w:gutter="0" w:footer="0" w:header="0"/>
        </w:sectPr>
      </w:pPr>
    </w:p>
    <w:bookmarkStart w:id="115" w:name="page116"/>
    <w:bookmarkEnd w:id="115"/>
    <w:p>
      <w:pPr>
        <w:spacing w:after="0" w:line="300" w:lineRule="auto"/>
        <w:rPr>
          <w:sz w:val="20"/>
          <w:szCs w:val="20"/>
          <w:color w:val="auto"/>
        </w:rPr>
      </w:pPr>
      <w:r>
        <w:rPr>
          <w:rFonts w:ascii="Arial" w:cs="Arial" w:eastAsia="Arial" w:hAnsi="Arial"/>
          <w:sz w:val="19"/>
          <w:szCs w:val="19"/>
          <w:color w:val="auto"/>
        </w:rPr>
        <w:t>provided under this Plan are intended to satisfy, in whole or in part, any and all statutory obligations of the Company and its Affiliates that may arise out of a Participant’s termination of employment, and the Plan Administrator shall so construe and implement the terms of the Plan. Any reductions that the Company determines to make pursuant to this Section 5(b) shall be made such that any benefit under the Plan shall be reduced solely by any similar type of benefit under such legal requirement, policy or practice (</w:t>
      </w:r>
      <w:r>
        <w:rPr>
          <w:rFonts w:ascii="Arial" w:cs="Arial" w:eastAsia="Arial" w:hAnsi="Arial"/>
          <w:sz w:val="19"/>
          <w:szCs w:val="19"/>
          <w:i w:val="1"/>
          <w:iCs w:val="1"/>
          <w:color w:val="auto"/>
        </w:rPr>
        <w:t>i.e</w:t>
      </w:r>
      <w:r>
        <w:rPr>
          <w:rFonts w:ascii="Arial" w:cs="Arial" w:eastAsia="Arial" w:hAnsi="Arial"/>
          <w:sz w:val="19"/>
          <w:szCs w:val="19"/>
          <w:color w:val="auto"/>
        </w:rPr>
        <w:t>., any cash severance benefits under the Plan shall be reduced solely by any cash severance benefits under such legal requirement, policy or practice, and any continued health insurance benefits under the Plan shall be reduced solely by any continued health insurance benefits under such legal requirement, policy or practice). The Plan Administrator’s decision to apply such reductions to the benefits of one Participant under the Plan and the amount of such reductions shall in no way obligate the Plan Administrator to apply the same reductions in the same amounts to the benefits of any other Participant under the Plan, even if similarly situated. In the Plan Administrator’s sole discretion, such reductions may be applied on a retroactive basis, with benefits previously paid being re-characterized as payments or other benefits pursuant to the Company’s or an Affiliate’s statutory or other obligations.</w:t>
      </w:r>
    </w:p>
    <w:p>
      <w:pPr>
        <w:spacing w:after="0" w:line="177"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Parachute Payments.</w:t>
      </w:r>
    </w:p>
    <w:p>
      <w:pPr>
        <w:spacing w:after="0" w:line="262" w:lineRule="exact"/>
        <w:rPr>
          <w:rFonts w:ascii="Arial" w:cs="Arial" w:eastAsia="Arial" w:hAnsi="Arial"/>
          <w:sz w:val="20"/>
          <w:szCs w:val="20"/>
          <w:b w:val="1"/>
          <w:bCs w:val="1"/>
          <w:color w:val="auto"/>
        </w:rPr>
      </w:pPr>
    </w:p>
    <w:p>
      <w:pPr>
        <w:ind w:right="20" w:firstLine="1142"/>
        <w:spacing w:after="0" w:line="299" w:lineRule="auto"/>
        <w:tabs>
          <w:tab w:leader="none" w:pos="1519" w:val="left"/>
        </w:tabs>
        <w:numPr>
          <w:ilvl w:val="1"/>
          <w:numId w:val="98"/>
        </w:numPr>
        <w:rPr>
          <w:rFonts w:ascii="Arial" w:cs="Arial" w:eastAsia="Arial" w:hAnsi="Arial"/>
          <w:sz w:val="19"/>
          <w:szCs w:val="19"/>
          <w:b w:val="1"/>
          <w:bCs w:val="1"/>
          <w:color w:val="auto"/>
        </w:rPr>
      </w:pPr>
      <w:r>
        <w:rPr>
          <w:rFonts w:ascii="Arial" w:cs="Arial" w:eastAsia="Arial" w:hAnsi="Arial"/>
          <w:sz w:val="19"/>
          <w:szCs w:val="19"/>
          <w:color w:val="auto"/>
        </w:rPr>
        <w:t>Except as otherwise provided in a written agreement between a Participant and the Company or an Affiliate, if any payment or benefit a Participant will or may receive from the Company or otherwise (a “</w:t>
      </w:r>
      <w:r>
        <w:rPr>
          <w:rFonts w:ascii="Arial" w:cs="Arial" w:eastAsia="Arial" w:hAnsi="Arial"/>
          <w:sz w:val="19"/>
          <w:szCs w:val="19"/>
          <w:b w:val="1"/>
          <w:bCs w:val="1"/>
          <w:i w:val="1"/>
          <w:iCs w:val="1"/>
          <w:color w:val="auto"/>
        </w:rPr>
        <w:t>280G 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any such 280G Payment pursuant to this Plan (a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shall be equal to the Reduced Amount. The “</w:t>
      </w:r>
      <w:r>
        <w:rPr>
          <w:rFonts w:ascii="Arial" w:cs="Arial" w:eastAsia="Arial" w:hAnsi="Arial"/>
          <w:sz w:val="19"/>
          <w:szCs w:val="19"/>
          <w:b w:val="1"/>
          <w:bCs w:val="1"/>
          <w:i w:val="1"/>
          <w:iCs w:val="1"/>
          <w:color w:val="auto"/>
        </w:rPr>
        <w:t>Reduced Amount</w:t>
      </w:r>
      <w:r>
        <w:rPr>
          <w:rFonts w:ascii="Arial" w:cs="Arial" w:eastAsia="Arial" w:hAnsi="Arial"/>
          <w:sz w:val="19"/>
          <w:szCs w:val="19"/>
          <w:color w:val="auto"/>
        </w:rPr>
        <w:t>” shall be either (x) the largest portion of the Payment that would result in no portion of the Payment (after reduction) being subject to the Excise Tax or (y) the largest portion, up to and including the total, of the Payment, whichever amount (</w:t>
      </w:r>
      <w:r>
        <w:rPr>
          <w:rFonts w:ascii="Arial" w:cs="Arial" w:eastAsia="Arial" w:hAnsi="Arial"/>
          <w:sz w:val="19"/>
          <w:szCs w:val="19"/>
          <w:i w:val="1"/>
          <w:iCs w:val="1"/>
          <w:color w:val="auto"/>
        </w:rPr>
        <w:t>i.e</w:t>
      </w:r>
      <w:r>
        <w:rPr>
          <w:rFonts w:ascii="Arial" w:cs="Arial" w:eastAsia="Arial" w:hAnsi="Arial"/>
          <w:sz w:val="19"/>
          <w:szCs w:val="19"/>
          <w:color w:val="auto"/>
        </w:rPr>
        <w:t>., the amount determined by clause (x) or by clause (y)), after taking into account all applicable federal, state and local employment taxes, income taxes, and the Excise Tax (all computed at the highest applicable marginal rate), results in the Participant’s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9"/>
          <w:szCs w:val="19"/>
          <w:b w:val="1"/>
          <w:bCs w:val="1"/>
          <w:i w:val="1"/>
          <w:iCs w:val="1"/>
          <w:color w:val="auto"/>
        </w:rPr>
        <w:t>Reduction Method</w:t>
      </w:r>
      <w:r>
        <w:rPr>
          <w:rFonts w:ascii="Arial" w:cs="Arial" w:eastAsia="Arial" w:hAnsi="Arial"/>
          <w:sz w:val="19"/>
          <w:szCs w:val="19"/>
          <w:color w:val="auto"/>
        </w:rPr>
        <w:t>”) that results in the greatest economic benefit for the Participant. If more than one method of reduction will result in the same economic benefit, the items so reduced will be reduced pro rata (the “</w:t>
      </w:r>
      <w:r>
        <w:rPr>
          <w:rFonts w:ascii="Arial" w:cs="Arial" w:eastAsia="Arial" w:hAnsi="Arial"/>
          <w:sz w:val="19"/>
          <w:szCs w:val="19"/>
          <w:b w:val="1"/>
          <w:bCs w:val="1"/>
          <w:i w:val="1"/>
          <w:iCs w:val="1"/>
          <w:color w:val="auto"/>
        </w:rPr>
        <w:t>Pro Rata Reduction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Method</w:t>
      </w:r>
      <w:r>
        <w:rPr>
          <w:rFonts w:ascii="Arial" w:cs="Arial" w:eastAsia="Arial" w:hAnsi="Arial"/>
          <w:sz w:val="19"/>
          <w:szCs w:val="19"/>
          <w:color w:val="auto"/>
        </w:rPr>
        <w:t>”).</w:t>
      </w:r>
    </w:p>
    <w:p>
      <w:pPr>
        <w:spacing w:after="0" w:line="188" w:lineRule="exact"/>
        <w:rPr>
          <w:rFonts w:ascii="Arial" w:cs="Arial" w:eastAsia="Arial" w:hAnsi="Arial"/>
          <w:sz w:val="19"/>
          <w:szCs w:val="19"/>
          <w:b w:val="1"/>
          <w:bCs w:val="1"/>
          <w:color w:val="auto"/>
        </w:rPr>
      </w:pPr>
    </w:p>
    <w:p>
      <w:pPr>
        <w:ind w:right="120" w:firstLine="1142"/>
        <w:spacing w:after="0" w:line="321" w:lineRule="auto"/>
        <w:tabs>
          <w:tab w:leader="none" w:pos="1574" w:val="left"/>
        </w:tabs>
        <w:numPr>
          <w:ilvl w:val="1"/>
          <w:numId w:val="98"/>
        </w:numPr>
        <w:rPr>
          <w:rFonts w:ascii="Arial" w:cs="Arial" w:eastAsia="Arial" w:hAnsi="Arial"/>
          <w:sz w:val="18"/>
          <w:szCs w:val="18"/>
          <w:b w:val="1"/>
          <w:bCs w:val="1"/>
          <w:color w:val="auto"/>
        </w:rPr>
      </w:pPr>
      <w:r>
        <w:rPr>
          <w:rFonts w:ascii="Arial" w:cs="Arial" w:eastAsia="Arial" w:hAnsi="Arial"/>
          <w:sz w:val="18"/>
          <w:szCs w:val="18"/>
          <w:color w:val="auto"/>
        </w:rPr>
        <w:t>Notwithstanding any provision of Section 5(c)(i) to the contrary, if the Reduction Method or the Pro Rata Reduction Method would result in any portion of the Payment being subject to taxes pursuant to Section 409A of the Code and the regulations and other guidance thereunder and any state law of similar effect (collectively,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the Participant as determined on an after-tax basis; (B) as a second priority, Payments that are contingent on future events (</w:t>
      </w:r>
      <w:r>
        <w:rPr>
          <w:rFonts w:ascii="Arial" w:cs="Arial" w:eastAsia="Arial" w:hAnsi="Arial"/>
          <w:sz w:val="18"/>
          <w:szCs w:val="18"/>
          <w:i w:val="1"/>
          <w:iCs w:val="1"/>
          <w:color w:val="auto"/>
        </w:rPr>
        <w:t>e.g</w:t>
      </w:r>
      <w:r>
        <w:rPr>
          <w:rFonts w:ascii="Arial" w:cs="Arial" w:eastAsia="Arial" w:hAnsi="Arial"/>
          <w:sz w:val="18"/>
          <w:szCs w:val="18"/>
          <w:color w:val="auto"/>
        </w:rPr>
        <w:t>., being terminated without Cause) shall be reduced (or eliminated) before</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360"/>
          </w:cols>
          <w:pgMar w:left="240" w:top="393" w:right="299" w:bottom="1440" w:gutter="0" w:footer="0" w:header="0"/>
        </w:sectPr>
      </w:pPr>
    </w:p>
    <w:bookmarkStart w:id="116" w:name="page117"/>
    <w:bookmarkEnd w:id="116"/>
    <w:p>
      <w:pPr>
        <w:spacing w:after="0" w:line="363" w:lineRule="auto"/>
        <w:rPr>
          <w:sz w:val="20"/>
          <w:szCs w:val="20"/>
          <w:color w:val="auto"/>
        </w:rPr>
      </w:pPr>
      <w:r>
        <w:rPr>
          <w:rFonts w:ascii="Arial" w:cs="Arial" w:eastAsia="Arial" w:hAnsi="Arial"/>
          <w:sz w:val="18"/>
          <w:szCs w:val="18"/>
          <w:color w:val="auto"/>
        </w:rPr>
        <w:t>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30" w:lineRule="exact"/>
        <w:rPr>
          <w:sz w:val="20"/>
          <w:szCs w:val="20"/>
          <w:color w:val="auto"/>
        </w:rPr>
      </w:pPr>
    </w:p>
    <w:p>
      <w:pPr>
        <w:ind w:right="20" w:firstLine="1142"/>
        <w:spacing w:after="0" w:line="300" w:lineRule="auto"/>
        <w:tabs>
          <w:tab w:leader="none" w:pos="1626" w:val="left"/>
        </w:tabs>
        <w:numPr>
          <w:ilvl w:val="0"/>
          <w:numId w:val="99"/>
        </w:numPr>
        <w:rPr>
          <w:rFonts w:ascii="Arial" w:cs="Arial" w:eastAsia="Arial" w:hAnsi="Arial"/>
          <w:sz w:val="19"/>
          <w:szCs w:val="19"/>
          <w:b w:val="1"/>
          <w:bCs w:val="1"/>
          <w:color w:val="auto"/>
        </w:rPr>
      </w:pPr>
      <w:r>
        <w:rPr>
          <w:rFonts w:ascii="Arial" w:cs="Arial" w:eastAsia="Arial" w:hAnsi="Arial"/>
          <w:sz w:val="19"/>
          <w:szCs w:val="19"/>
          <w:color w:val="auto"/>
        </w:rPr>
        <w:t>The independent registered public accounting firm engaged by the Company for general audit purposes as of the day prior to the effective date of the event described in Section 280G(b)(2)(A)(i) of the Code shall perform the foregoing calculations. If the independent registered public accounting firm so engaged by the Company is serving as accountant or auditor for the individual, entity or group effecting such event,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 The Company shall use commercially reasonable efforts to cause the independent registered public accounting firm engaged to make the determinations hereunder to provide its calculations, together with detailed supporting documentation, to the Company and the Participant within thirty (30) calendar days after the date on which the Participant’s right to a 280G Payment becomes reasonably likely to occur (if requested at that time by the Company or the Participant) or such other time as requested by the Company or the Participant.</w:t>
      </w:r>
    </w:p>
    <w:p>
      <w:pPr>
        <w:spacing w:after="0" w:line="180"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20"/>
          <w:szCs w:val="20"/>
          <w:b w:val="1"/>
          <w:bCs w:val="1"/>
          <w:color w:val="auto"/>
        </w:rPr>
        <w:t>(iv</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If the Participant receives a Payment for which the Reduced Amount was determined pursuant to clause (x) of Section 5(c)</w:t>
      </w:r>
    </w:p>
    <w:p>
      <w:pPr>
        <w:spacing w:after="0" w:line="46" w:lineRule="exact"/>
        <w:rPr>
          <w:sz w:val="20"/>
          <w:szCs w:val="20"/>
          <w:color w:val="auto"/>
        </w:rPr>
      </w:pPr>
    </w:p>
    <w:p>
      <w:pPr>
        <w:ind w:right="60" w:firstLine="8"/>
        <w:spacing w:after="0" w:line="381" w:lineRule="auto"/>
        <w:tabs>
          <w:tab w:leader="none" w:pos="23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and the Internal Revenue Service determines thereafter that some portion of the Payment is subject to the Excise Tax, the Participant agrees to promptly return to the Company a sufficient amount of the Payment (after reduction pursuant to clause (x) of Section 5(c)(i)) so that no portion of the remaining Payment is subject to the Excise Tax. For the avoidance of doubt, if the Reduced Amount was determined pursuant to clause (y) of Section 5(c)(i), the Participant shall have no obligation to return any portion of the Payment pursuant to the preceding sentence.</w:t>
      </w:r>
    </w:p>
    <w:p>
      <w:pPr>
        <w:spacing w:after="0" w:line="122" w:lineRule="exact"/>
        <w:rPr>
          <w:rFonts w:ascii="Arial" w:cs="Arial" w:eastAsia="Arial" w:hAnsi="Arial"/>
          <w:sz w:val="16"/>
          <w:szCs w:val="16"/>
          <w:color w:val="auto"/>
        </w:rPr>
      </w:pPr>
    </w:p>
    <w:p>
      <w:pPr>
        <w:ind w:right="20" w:firstLine="656"/>
        <w:spacing w:after="0" w:line="288" w:lineRule="auto"/>
        <w:tabs>
          <w:tab w:leader="none" w:pos="1088" w:val="left"/>
        </w:tabs>
        <w:numPr>
          <w:ilvl w:val="1"/>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Mitigation. </w:t>
      </w:r>
      <w:r>
        <w:rPr>
          <w:rFonts w:ascii="Arial" w:cs="Arial" w:eastAsia="Arial" w:hAnsi="Arial"/>
          <w:sz w:val="20"/>
          <w:szCs w:val="20"/>
          <w:color w:val="auto"/>
        </w:rPr>
        <w:t>Except as otherwise specifically provided herein, a Participant shall not be required to mitigate damages or the</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any payment provided under this Plan by seeking other employment or otherwise, nor shall the amount of any payment provided for under this Plan be reduced by any compensation earned by a Participant as a result of employment by another employer or any retirement benefits received by the Participant after the date of the Participant’s Covered Termination, except for health continuation coverage provided pursuant to Section 4(b).</w:t>
      </w:r>
    </w:p>
    <w:p>
      <w:pPr>
        <w:spacing w:after="0" w:line="186" w:lineRule="exact"/>
        <w:rPr>
          <w:rFonts w:ascii="Arial" w:cs="Arial" w:eastAsia="Arial" w:hAnsi="Arial"/>
          <w:sz w:val="20"/>
          <w:szCs w:val="20"/>
          <w:b w:val="1"/>
          <w:bCs w:val="1"/>
          <w:color w:val="auto"/>
        </w:rPr>
      </w:pPr>
    </w:p>
    <w:p>
      <w:pPr>
        <w:jc w:val="both"/>
        <w:ind w:right="20" w:firstLine="656"/>
        <w:spacing w:after="0" w:line="288" w:lineRule="auto"/>
        <w:tabs>
          <w:tab w:leader="none" w:pos="1066" w:val="left"/>
        </w:tabs>
        <w:numPr>
          <w:ilvl w:val="1"/>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Non-Duplication of Benefits. </w:t>
      </w:r>
      <w:r>
        <w:rPr>
          <w:rFonts w:ascii="Arial" w:cs="Arial" w:eastAsia="Arial" w:hAnsi="Arial"/>
          <w:sz w:val="20"/>
          <w:szCs w:val="20"/>
          <w:color w:val="auto"/>
        </w:rPr>
        <w:t>Except as otherwise specifically provided for herein, no Participant is eligible to receive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Plan or pursuant to other contractual obligations more than one time. This Plan is designed to provide certain severance benefits to Participants pursuant to the terms and conditions set forth in this Plan. The payments pursuant to this Plan are in addition to, and not in lieu of, any unpaid salary, bonuses, incentive compensation or benefits to which a Participant may be entitled for the period ending with the date of the Participant’s Covered Termination.</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360"/>
          </w:cols>
          <w:pgMar w:left="240" w:top="393" w:right="299" w:bottom="1440" w:gutter="0" w:footer="0" w:header="0"/>
        </w:sectPr>
      </w:pPr>
    </w:p>
    <w:bookmarkStart w:id="117" w:name="page118"/>
    <w:bookmarkEnd w:id="117"/>
    <w:p>
      <w:pPr>
        <w:spacing w:after="0"/>
        <w:tabs>
          <w:tab w:leader="none" w:pos="128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9"/>
          <w:szCs w:val="19"/>
          <w:b w:val="1"/>
          <w:bCs w:val="1"/>
          <w:color w:val="auto"/>
        </w:rPr>
        <w:t>TIME OF PAYMENT AND FORM OF BENEFITS.</w:t>
      </w:r>
    </w:p>
    <w:p>
      <w:pPr>
        <w:spacing w:after="0" w:line="243" w:lineRule="exact"/>
        <w:rPr>
          <w:sz w:val="20"/>
          <w:szCs w:val="20"/>
          <w:color w:val="auto"/>
        </w:rPr>
      </w:pPr>
    </w:p>
    <w:p>
      <w:pPr>
        <w:ind w:right="140" w:firstLine="656"/>
        <w:spacing w:after="0" w:line="281" w:lineRule="auto"/>
        <w:tabs>
          <w:tab w:leader="none" w:pos="1077"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Rules. </w:t>
      </w:r>
      <w:r>
        <w:rPr>
          <w:rFonts w:ascii="Arial" w:cs="Arial" w:eastAsia="Arial" w:hAnsi="Arial"/>
          <w:sz w:val="20"/>
          <w:szCs w:val="20"/>
          <w:color w:val="auto"/>
        </w:rPr>
        <w:t>Except as otherwise set forth in the Plan, in the event of a Participant’s Covered Termination, benefits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shall be paid to the Participant in accordance with the following:</w:t>
      </w:r>
    </w:p>
    <w:p>
      <w:pPr>
        <w:spacing w:after="0" w:line="183" w:lineRule="exact"/>
        <w:rPr>
          <w:rFonts w:ascii="Arial" w:cs="Arial" w:eastAsia="Arial" w:hAnsi="Arial"/>
          <w:sz w:val="20"/>
          <w:szCs w:val="20"/>
          <w:b w:val="1"/>
          <w:bCs w:val="1"/>
          <w:color w:val="auto"/>
        </w:rPr>
      </w:pPr>
    </w:p>
    <w:p>
      <w:pPr>
        <w:ind w:right="320" w:firstLine="1142"/>
        <w:spacing w:after="0" w:line="287" w:lineRule="auto"/>
        <w:tabs>
          <w:tab w:leader="none" w:pos="1508" w:val="left"/>
        </w:tabs>
        <w:numPr>
          <w:ilvl w:val="1"/>
          <w:numId w:val="101"/>
        </w:numPr>
        <w:rPr>
          <w:rFonts w:ascii="Arial" w:cs="Arial" w:eastAsia="Arial" w:hAnsi="Arial"/>
          <w:sz w:val="20"/>
          <w:szCs w:val="20"/>
          <w:b w:val="1"/>
          <w:bCs w:val="1"/>
          <w:color w:val="auto"/>
        </w:rPr>
      </w:pPr>
      <w:r>
        <w:rPr>
          <w:rFonts w:ascii="Arial" w:cs="Arial" w:eastAsia="Arial" w:hAnsi="Arial"/>
          <w:sz w:val="20"/>
          <w:szCs w:val="20"/>
          <w:color w:val="auto"/>
        </w:rPr>
        <w:t>Any cash severance payment under the Plan shall be paid to the Participant in a single lump sum payment on the sixtieth (60</w:t>
      </w:r>
      <w:r>
        <w:rPr>
          <w:rFonts w:ascii="Arial" w:cs="Arial" w:eastAsia="Arial" w:hAnsi="Arial"/>
          <w:sz w:val="25"/>
          <w:szCs w:val="25"/>
          <w:color w:val="auto"/>
          <w:vertAlign w:val="superscript"/>
        </w:rPr>
        <w:t>th</w:t>
      </w:r>
      <w:r>
        <w:rPr>
          <w:rFonts w:ascii="Arial" w:cs="Arial" w:eastAsia="Arial" w:hAnsi="Arial"/>
          <w:sz w:val="20"/>
          <w:szCs w:val="20"/>
          <w:color w:val="auto"/>
        </w:rPr>
        <w:t>) day following the date of the Participant’s Covered Termination.</w:t>
      </w:r>
    </w:p>
    <w:p>
      <w:pPr>
        <w:spacing w:after="0" w:line="137" w:lineRule="exact"/>
        <w:rPr>
          <w:rFonts w:ascii="Arial" w:cs="Arial" w:eastAsia="Arial" w:hAnsi="Arial"/>
          <w:sz w:val="20"/>
          <w:szCs w:val="20"/>
          <w:b w:val="1"/>
          <w:bCs w:val="1"/>
          <w:color w:val="auto"/>
        </w:rPr>
      </w:pPr>
    </w:p>
    <w:p>
      <w:pPr>
        <w:ind w:firstLine="1142"/>
        <w:spacing w:after="0" w:line="256" w:lineRule="auto"/>
        <w:tabs>
          <w:tab w:leader="none" w:pos="1563" w:val="left"/>
        </w:tabs>
        <w:numPr>
          <w:ilvl w:val="1"/>
          <w:numId w:val="101"/>
        </w:numPr>
        <w:rPr>
          <w:rFonts w:ascii="Arial" w:cs="Arial" w:eastAsia="Arial" w:hAnsi="Arial"/>
          <w:sz w:val="20"/>
          <w:szCs w:val="20"/>
          <w:b w:val="1"/>
          <w:bCs w:val="1"/>
          <w:color w:val="auto"/>
        </w:rPr>
      </w:pPr>
      <w:r>
        <w:rPr>
          <w:rFonts w:ascii="Arial" w:cs="Arial" w:eastAsia="Arial" w:hAnsi="Arial"/>
          <w:sz w:val="20"/>
          <w:szCs w:val="20"/>
          <w:color w:val="auto"/>
        </w:rPr>
        <w:t xml:space="preserve">Any COBRA premium payments under the Plan shall be paid on a monthly basis during the COBRA Payment Period;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first such payment shall be paid on the sixtieth (60</w:t>
      </w:r>
      <w:r>
        <w:rPr>
          <w:rFonts w:ascii="Arial" w:cs="Arial" w:eastAsia="Arial" w:hAnsi="Arial"/>
          <w:sz w:val="25"/>
          <w:szCs w:val="25"/>
          <w:color w:val="auto"/>
          <w:vertAlign w:val="superscript"/>
        </w:rPr>
        <w:t>th</w:t>
      </w:r>
      <w:r>
        <w:rPr>
          <w:rFonts w:ascii="Arial" w:cs="Arial" w:eastAsia="Arial" w:hAnsi="Arial"/>
          <w:sz w:val="20"/>
          <w:szCs w:val="20"/>
          <w:color w:val="auto"/>
        </w:rPr>
        <w:t>) day following the date of the Participant’s Covered</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Termination, in an amount equal to the aggregate amount of COBRA premium payments that the Company would have paid through such sixtieth (60</w:t>
      </w:r>
      <w:r>
        <w:rPr>
          <w:rFonts w:ascii="Arial" w:cs="Arial" w:eastAsia="Arial" w:hAnsi="Arial"/>
          <w:sz w:val="25"/>
          <w:szCs w:val="25"/>
          <w:color w:val="auto"/>
          <w:vertAlign w:val="superscript"/>
        </w:rPr>
        <w:t>th</w:t>
      </w:r>
      <w:r>
        <w:rPr>
          <w:rFonts w:ascii="Arial" w:cs="Arial" w:eastAsia="Arial" w:hAnsi="Arial"/>
          <w:sz w:val="20"/>
          <w:szCs w:val="20"/>
          <w:color w:val="auto"/>
        </w:rPr>
        <w:t>) day had such payments commenced on the date of the Participant’s Covered Termination, with the balance of such payments paid thereafter on the foregoing monthly schedule.</w:t>
      </w:r>
    </w:p>
    <w:p>
      <w:pPr>
        <w:spacing w:after="0" w:line="217" w:lineRule="exact"/>
        <w:rPr>
          <w:rFonts w:ascii="Arial" w:cs="Arial" w:eastAsia="Arial" w:hAnsi="Arial"/>
          <w:sz w:val="20"/>
          <w:szCs w:val="20"/>
          <w:b w:val="1"/>
          <w:bCs w:val="1"/>
          <w:color w:val="auto"/>
        </w:rPr>
      </w:pPr>
    </w:p>
    <w:p>
      <w:pPr>
        <w:ind w:left="1620" w:hanging="478"/>
        <w:spacing w:after="0"/>
        <w:tabs>
          <w:tab w:leader="none" w:pos="1620" w:val="left"/>
        </w:tabs>
        <w:numPr>
          <w:ilvl w:val="1"/>
          <w:numId w:val="101"/>
        </w:numPr>
        <w:rPr>
          <w:rFonts w:ascii="Arial" w:cs="Arial" w:eastAsia="Arial" w:hAnsi="Arial"/>
          <w:sz w:val="16"/>
          <w:szCs w:val="16"/>
          <w:b w:val="1"/>
          <w:bCs w:val="1"/>
          <w:color w:val="auto"/>
        </w:rPr>
      </w:pPr>
      <w:r>
        <w:rPr>
          <w:rFonts w:ascii="Arial" w:cs="Arial" w:eastAsia="Arial" w:hAnsi="Arial"/>
          <w:sz w:val="16"/>
          <w:szCs w:val="16"/>
          <w:color w:val="auto"/>
        </w:rPr>
        <w:t>Any Special Severance Payments, if applicable, under the Plan shall be paid on a monthly basis in accordance with Section</w:t>
      </w:r>
    </w:p>
    <w:p>
      <w:pPr>
        <w:spacing w:after="0" w:line="86" w:lineRule="exact"/>
        <w:rPr>
          <w:rFonts w:ascii="Arial" w:cs="Arial" w:eastAsia="Arial" w:hAnsi="Arial"/>
          <w:sz w:val="16"/>
          <w:szCs w:val="16"/>
          <w:b w:val="1"/>
          <w:bCs w:val="1"/>
          <w:color w:val="auto"/>
        </w:rPr>
      </w:pPr>
    </w:p>
    <w:p>
      <w:pPr>
        <w:ind w:right="240"/>
        <w:spacing w:after="0" w:line="305" w:lineRule="auto"/>
        <w:rPr>
          <w:rFonts w:ascii="Arial" w:cs="Arial" w:eastAsia="Arial" w:hAnsi="Arial"/>
          <w:sz w:val="16"/>
          <w:szCs w:val="16"/>
          <w:b w:val="1"/>
          <w:bCs w:val="1"/>
          <w:color w:val="auto"/>
        </w:rPr>
      </w:pPr>
      <w:r>
        <w:rPr>
          <w:rFonts w:ascii="Arial" w:cs="Arial" w:eastAsia="Arial" w:hAnsi="Arial"/>
          <w:sz w:val="18"/>
          <w:szCs w:val="18"/>
          <w:color w:val="auto"/>
        </w:rPr>
        <w:t xml:space="preserve">4(b)(v);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Special Severance Payment(s) is payable with respect to the first sixty (60) days following the date of the Participant’s Covered Termination, such Special Severance Payment(s) shall be paid on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date of the Participant’s Covered Termination, with the balance of such payments paid thereafter on the foregoing monthly schedule.</w:t>
      </w:r>
    </w:p>
    <w:p>
      <w:pPr>
        <w:spacing w:after="0" w:line="164" w:lineRule="exact"/>
        <w:rPr>
          <w:rFonts w:ascii="Arial" w:cs="Arial" w:eastAsia="Arial" w:hAnsi="Arial"/>
          <w:sz w:val="16"/>
          <w:szCs w:val="16"/>
          <w:b w:val="1"/>
          <w:bCs w:val="1"/>
          <w:color w:val="auto"/>
        </w:rPr>
      </w:pPr>
    </w:p>
    <w:p>
      <w:pPr>
        <w:ind w:right="20" w:firstLine="1142"/>
        <w:spacing w:after="0" w:line="286" w:lineRule="auto"/>
        <w:tabs>
          <w:tab w:leader="none" w:pos="1615" w:val="left"/>
        </w:tabs>
        <w:numPr>
          <w:ilvl w:val="1"/>
          <w:numId w:val="101"/>
        </w:numPr>
        <w:rPr>
          <w:rFonts w:ascii="Arial" w:cs="Arial" w:eastAsia="Arial" w:hAnsi="Arial"/>
          <w:sz w:val="18"/>
          <w:szCs w:val="18"/>
          <w:b w:val="1"/>
          <w:bCs w:val="1"/>
          <w:color w:val="auto"/>
        </w:rPr>
      </w:pPr>
      <w:r>
        <w:rPr>
          <w:rFonts w:ascii="Arial" w:cs="Arial" w:eastAsia="Arial" w:hAnsi="Arial"/>
          <w:sz w:val="18"/>
          <w:szCs w:val="18"/>
          <w:color w:val="auto"/>
        </w:rPr>
        <w:t>The vesting (and exercisability, if applicable) of any Stock Award shall be accelerated pursuant to Section 4(c) on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date of the Participant’s Covered Termination. In order to give effect to the intent of this provision, in the event of a Participant’s Covered Termination, notwithstanding anything to the contrary set forth in any applicable equity incentive plan of the</w:t>
      </w:r>
    </w:p>
    <w:p>
      <w:pPr>
        <w:spacing w:after="0" w:line="1" w:lineRule="exact"/>
        <w:rPr>
          <w:rFonts w:ascii="Arial" w:cs="Arial" w:eastAsia="Arial" w:hAnsi="Arial"/>
          <w:sz w:val="18"/>
          <w:szCs w:val="18"/>
          <w:b w:val="1"/>
          <w:bCs w:val="1"/>
          <w:color w:val="auto"/>
        </w:rPr>
      </w:pPr>
    </w:p>
    <w:p>
      <w:pPr>
        <w:ind w:right="140"/>
        <w:spacing w:after="0" w:line="283" w:lineRule="auto"/>
        <w:rPr>
          <w:rFonts w:ascii="Arial" w:cs="Arial" w:eastAsia="Arial" w:hAnsi="Arial"/>
          <w:sz w:val="18"/>
          <w:szCs w:val="18"/>
          <w:b w:val="1"/>
          <w:bCs w:val="1"/>
          <w:color w:val="auto"/>
        </w:rPr>
      </w:pPr>
      <w:r>
        <w:rPr>
          <w:rFonts w:ascii="Arial" w:cs="Arial" w:eastAsia="Arial" w:hAnsi="Arial"/>
          <w:sz w:val="19"/>
          <w:szCs w:val="19"/>
          <w:color w:val="auto"/>
        </w:rPr>
        <w:t>Company or any agreement evidencing a Stock Award, in no event will any portion of the Participant’s Stock Award be forfeited or terminate any earlier than the sixtieth (60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following the date of the Participant’s Covered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provision in the Plan shall affect any provision in any applicable equity incentive plan of the Company or any agreement evidencing a Stock Award that provides for the acceleration of vesting (and exercisability, if applicable) of such Stock Award.</w:t>
      </w:r>
    </w:p>
    <w:p>
      <w:pPr>
        <w:spacing w:after="0" w:line="185" w:lineRule="exact"/>
        <w:rPr>
          <w:sz w:val="20"/>
          <w:szCs w:val="20"/>
          <w:color w:val="auto"/>
        </w:rPr>
      </w:pPr>
    </w:p>
    <w:p>
      <w:pPr>
        <w:ind w:right="40"/>
        <w:spacing w:after="0" w:line="297" w:lineRule="auto"/>
        <w:rPr>
          <w:sz w:val="20"/>
          <w:szCs w:val="20"/>
          <w:color w:val="auto"/>
        </w:rPr>
      </w:pPr>
      <w:r>
        <w:rPr>
          <w:rFonts w:ascii="Arial" w:cs="Arial" w:eastAsia="Arial" w:hAnsi="Arial"/>
          <w:sz w:val="18"/>
          <w:szCs w:val="18"/>
          <w:color w:val="auto"/>
        </w:rPr>
        <w:t>In no event shall payment of any benefit under the Plan be made unless (A) the Participant’s Covered Termination constitutes a “separation from service” (as defined in Treasury Regulation Section 1.409A-1(h) without regard to any alternative definition thereunder (“</w:t>
      </w:r>
      <w:r>
        <w:rPr>
          <w:rFonts w:ascii="Arial" w:cs="Arial" w:eastAsia="Arial" w:hAnsi="Arial"/>
          <w:sz w:val="18"/>
          <w:szCs w:val="18"/>
          <w:b w:val="1"/>
          <w:bCs w:val="1"/>
          <w:i w:val="1"/>
          <w:iCs w:val="1"/>
          <w:color w:val="auto"/>
        </w:rPr>
        <w:t>Separation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from Service</w:t>
      </w:r>
      <w:r>
        <w:rPr>
          <w:rFonts w:ascii="Arial" w:cs="Arial" w:eastAsia="Arial" w:hAnsi="Arial"/>
          <w:sz w:val="18"/>
          <w:szCs w:val="18"/>
          <w:color w:val="auto"/>
        </w:rPr>
        <w:t>”)) and (B) the Participant has executed and returned a Release and the revocation period (if any) with respect to such Release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expired in accordance with Section 5(a) prior to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date of the Participant’s Covered Termination.</w:t>
      </w:r>
    </w:p>
    <w:p>
      <w:pPr>
        <w:spacing w:after="0" w:line="100" w:lineRule="exact"/>
        <w:rPr>
          <w:sz w:val="20"/>
          <w:szCs w:val="20"/>
          <w:color w:val="auto"/>
        </w:rPr>
      </w:pPr>
    </w:p>
    <w:p>
      <w:pPr>
        <w:ind w:right="80" w:firstLine="656"/>
        <w:spacing w:after="0" w:line="263" w:lineRule="exact"/>
        <w:tabs>
          <w:tab w:leader="none" w:pos="1088"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of Section 409A. </w:t>
      </w:r>
      <w:r>
        <w:rPr>
          <w:rFonts w:ascii="Arial" w:cs="Arial" w:eastAsia="Arial" w:hAnsi="Arial"/>
          <w:sz w:val="16"/>
          <w:szCs w:val="16"/>
          <w:color w:val="auto"/>
        </w:rPr>
        <w:t>It is intended that all of the benefits payable under this Plan satisfy, to the greatest extent possible,</w:t>
      </w:r>
      <w:r>
        <w:rPr>
          <w:rFonts w:ascii="Arial" w:cs="Arial" w:eastAsia="Arial" w:hAnsi="Arial"/>
          <w:sz w:val="16"/>
          <w:szCs w:val="16"/>
          <w:b w:val="1"/>
          <w:bCs w:val="1"/>
          <w:color w:val="auto"/>
        </w:rPr>
        <w:t xml:space="preserve"> </w:t>
      </w:r>
      <w:r>
        <w:rPr>
          <w:rFonts w:ascii="Arial" w:cs="Arial" w:eastAsia="Arial" w:hAnsi="Arial"/>
          <w:sz w:val="16"/>
          <w:szCs w:val="16"/>
          <w:color w:val="auto"/>
        </w:rPr>
        <w:t>the exemptions from the application of Section 409A provided under Treasury Regulations 1.409A</w:t>
      </w:r>
      <w:r>
        <w:rPr>
          <w:rFonts w:ascii="MS PGothic" w:cs="MS PGothic" w:eastAsia="MS PGothic" w:hAnsi="MS PGothic"/>
          <w:sz w:val="16"/>
          <w:szCs w:val="16"/>
          <w:color w:val="auto"/>
        </w:rPr>
        <w:t>‑</w:t>
      </w:r>
      <w:r>
        <w:rPr>
          <w:rFonts w:ascii="Arial" w:cs="Arial" w:eastAsia="Arial" w:hAnsi="Arial"/>
          <w:sz w:val="16"/>
          <w:szCs w:val="16"/>
          <w:color w:val="auto"/>
        </w:rPr>
        <w:t>1(b)(4), 1.409A</w:t>
      </w:r>
      <w:r>
        <w:rPr>
          <w:rFonts w:ascii="MS PGothic" w:cs="MS PGothic" w:eastAsia="MS PGothic" w:hAnsi="MS PGothic"/>
          <w:sz w:val="16"/>
          <w:szCs w:val="16"/>
          <w:color w:val="auto"/>
        </w:rPr>
        <w:t>‑</w:t>
      </w:r>
      <w:r>
        <w:rPr>
          <w:rFonts w:ascii="Arial" w:cs="Arial" w:eastAsia="Arial" w:hAnsi="Arial"/>
          <w:sz w:val="16"/>
          <w:szCs w:val="16"/>
          <w:color w:val="auto"/>
        </w:rPr>
        <w:t>1(b)(5) and 1.409A</w:t>
      </w:r>
      <w:r>
        <w:rPr>
          <w:rFonts w:ascii="MS PGothic" w:cs="MS PGothic" w:eastAsia="MS PGothic" w:hAnsi="MS PGothic"/>
          <w:sz w:val="16"/>
          <w:szCs w:val="16"/>
          <w:color w:val="auto"/>
        </w:rPr>
        <w:t>‑</w:t>
      </w:r>
      <w:r>
        <w:rPr>
          <w:rFonts w:ascii="Arial" w:cs="Arial" w:eastAsia="Arial" w:hAnsi="Arial"/>
          <w:sz w:val="16"/>
          <w:szCs w:val="16"/>
          <w:color w:val="auto"/>
        </w:rPr>
        <w:t>1(b)</w:t>
      </w:r>
    </w:p>
    <w:p>
      <w:pPr>
        <w:spacing w:after="0" w:line="2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9"/>
          <w:szCs w:val="19"/>
          <w:color w:val="auto"/>
        </w:rPr>
        <w:t>(9), and that this Plan will be construed to the greatest extent possible as consistent with those provisions, and to the extent not so</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380"/>
          </w:cols>
          <w:pgMar w:left="240" w:top="387" w:right="279" w:bottom="1440" w:gutter="0" w:footer="0" w:header="0"/>
        </w:sectPr>
      </w:pPr>
    </w:p>
    <w:bookmarkStart w:id="118" w:name="page119"/>
    <w:bookmarkEnd w:id="118"/>
    <w:p>
      <w:pPr>
        <w:ind w:right="20"/>
        <w:spacing w:after="0" w:line="269" w:lineRule="exact"/>
        <w:rPr>
          <w:sz w:val="20"/>
          <w:szCs w:val="20"/>
          <w:color w:val="auto"/>
        </w:rPr>
      </w:pPr>
      <w:r>
        <w:rPr>
          <w:rFonts w:ascii="Arial" w:cs="Arial" w:eastAsia="Arial" w:hAnsi="Arial"/>
          <w:sz w:val="18"/>
          <w:szCs w:val="18"/>
          <w:color w:val="auto"/>
        </w:rPr>
        <w:t>exempt, this Plan (and any definitions hereunder) will be construed in a manner that complies with Section 409A. For purposes of Section 409A (including, without limitation, for purposes of Treasury Regulation Section 1.409A</w:t>
      </w:r>
      <w:r>
        <w:rPr>
          <w:rFonts w:ascii="MS PGothic" w:cs="MS PGothic" w:eastAsia="MS PGothic" w:hAnsi="MS PGothic"/>
          <w:sz w:val="18"/>
          <w:szCs w:val="18"/>
          <w:color w:val="auto"/>
        </w:rPr>
        <w:t>‑</w:t>
      </w:r>
      <w:r>
        <w:rPr>
          <w:rFonts w:ascii="Arial" w:cs="Arial" w:eastAsia="Arial" w:hAnsi="Arial"/>
          <w:sz w:val="18"/>
          <w:szCs w:val="18"/>
          <w:color w:val="auto"/>
        </w:rPr>
        <w:t>2(b)(2)(iii)), a Participant’s right to receive any installment payments under this Plan (whether severance payments, reimbursements or otherwise) shall be treated as a right to receive a series of separate payments and, accordingly, each installment payment hereunder shall at all times be considered a separate and distinct payment. Notwithstanding anything to the contrary herein, if the Plan Administrator determines that a Participant is, upon his or her Separation from Service, a “specified employee” for purposes of Section 409A, then, solely to the extent necessary to avoid adverse personal tax consequences under Section 409A, (i) the commencement of any benefit payments under the Plan shall be delayed until the earlier of (A) six (6) months and one (1) day after the Participant’s Separation from Service (or such longer period as is required under Section 409A) and (B) the date of the Participant’s death (such applicable date, the “</w:t>
      </w:r>
      <w:r>
        <w:rPr>
          <w:rFonts w:ascii="Arial" w:cs="Arial" w:eastAsia="Arial" w:hAnsi="Arial"/>
          <w:sz w:val="18"/>
          <w:szCs w:val="18"/>
          <w:b w:val="1"/>
          <w:bCs w:val="1"/>
          <w:i w:val="1"/>
          <w:iCs w:val="1"/>
          <w:color w:val="auto"/>
        </w:rPr>
        <w:t>Delayed Initial Payment Date</w:t>
      </w:r>
      <w:r>
        <w:rPr>
          <w:rFonts w:ascii="Arial" w:cs="Arial" w:eastAsia="Arial" w:hAnsi="Arial"/>
          <w:sz w:val="18"/>
          <w:szCs w:val="18"/>
          <w:color w:val="auto"/>
        </w:rPr>
        <w:t>”), and (ii) the Company shall (A) pay the Participant a lump sum amount equal to the sum of any benefit payments that the Participant otherwise would have received through the Delayed Initial Payment Date if the commencement of such benefit payments had not been delayed pursuant to this paragraph and (B) commence paying the balance, if any, of such benefit payments in accordance with the applicable payment schedule.</w:t>
      </w:r>
    </w:p>
    <w:p>
      <w:pPr>
        <w:spacing w:after="0" w:line="233" w:lineRule="exact"/>
        <w:rPr>
          <w:sz w:val="20"/>
          <w:szCs w:val="20"/>
          <w:color w:val="auto"/>
        </w:rPr>
      </w:pPr>
    </w:p>
    <w:p>
      <w:pPr>
        <w:ind w:firstLine="656"/>
        <w:spacing w:after="0" w:line="307" w:lineRule="auto"/>
        <w:tabs>
          <w:tab w:leader="none" w:pos="1066" w:val="left"/>
        </w:tabs>
        <w:numPr>
          <w:ilvl w:val="0"/>
          <w:numId w:val="10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Application of Section 252 and 253 of the Companies Act. </w:t>
      </w:r>
      <w:r>
        <w:rPr>
          <w:rFonts w:ascii="Arial" w:cs="Arial" w:eastAsia="Arial" w:hAnsi="Arial"/>
          <w:sz w:val="19"/>
          <w:szCs w:val="19"/>
          <w:color w:val="auto"/>
        </w:rPr>
        <w:t>This Plan is entered into for the benefit of Participants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ordinary course of their employment. It is not intended to provide for any payment by way of compensation for loss of office or consideration for or in connection with the retirement from office of a director of the Company in connection with the transfer of the whole or any part of the undertaking or property of the Company within the meaning of Section 252 of the Companies Act nor to provide for a payment giving rise to a duty of a director of the Company pursuant to Section 253 of the Companies Act.</w:t>
      </w:r>
    </w:p>
    <w:p>
      <w:pPr>
        <w:spacing w:after="0" w:line="169" w:lineRule="exact"/>
        <w:rPr>
          <w:rFonts w:ascii="Arial" w:cs="Arial" w:eastAsia="Arial" w:hAnsi="Arial"/>
          <w:sz w:val="19"/>
          <w:szCs w:val="19"/>
          <w:b w:val="1"/>
          <w:bCs w:val="1"/>
          <w:color w:val="auto"/>
        </w:rPr>
      </w:pPr>
    </w:p>
    <w:p>
      <w:pPr>
        <w:ind w:right="60" w:firstLine="656"/>
        <w:spacing w:after="0" w:line="370" w:lineRule="auto"/>
        <w:tabs>
          <w:tab w:leader="none" w:pos="1088"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All payments under the Plan will be subject to all applicable tax withholding obligations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Affiliate, including, without limitation, obligations to withhold for federal, state and local income and employment taxes.</w:t>
      </w:r>
    </w:p>
    <w:p>
      <w:pPr>
        <w:spacing w:after="0" w:line="118" w:lineRule="exact"/>
        <w:rPr>
          <w:rFonts w:ascii="Arial" w:cs="Arial" w:eastAsia="Arial" w:hAnsi="Arial"/>
          <w:sz w:val="18"/>
          <w:szCs w:val="18"/>
          <w:b w:val="1"/>
          <w:bCs w:val="1"/>
          <w:color w:val="auto"/>
        </w:rPr>
      </w:pPr>
    </w:p>
    <w:p>
      <w:pPr>
        <w:ind w:right="260" w:firstLine="656"/>
        <w:spacing w:after="0" w:line="446" w:lineRule="auto"/>
        <w:tabs>
          <w:tab w:leader="none" w:pos="1066"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Indebtedness of Participants. </w:t>
      </w:r>
      <w:r>
        <w:rPr>
          <w:rFonts w:ascii="Arial" w:cs="Arial" w:eastAsia="Arial" w:hAnsi="Arial"/>
          <w:sz w:val="16"/>
          <w:szCs w:val="16"/>
          <w:color w:val="auto"/>
        </w:rPr>
        <w:t>If a Participant is indebted to the Company or an Affiliate on the date of his or her Covered</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the Plan Administrator reserves the right to offset any severance payments under the Plan by the amount of such indebtedness.</w:t>
      </w:r>
    </w:p>
    <w:p>
      <w:pPr>
        <w:spacing w:after="0" w:line="7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7.</w:t>
        <w:tab/>
        <w:t>RIGHT TO INTERPRET PLAN; AMENDMENT AND TERMINATION.</w:t>
      </w:r>
    </w:p>
    <w:p>
      <w:pPr>
        <w:spacing w:after="0" w:line="256" w:lineRule="exact"/>
        <w:rPr>
          <w:sz w:val="20"/>
          <w:szCs w:val="20"/>
          <w:color w:val="auto"/>
        </w:rPr>
      </w:pPr>
    </w:p>
    <w:p>
      <w:pPr>
        <w:ind w:right="140" w:firstLine="656"/>
        <w:spacing w:after="0" w:line="288" w:lineRule="auto"/>
        <w:tabs>
          <w:tab w:leader="none" w:pos="1077"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Exclusive Discretion. </w:t>
      </w:r>
      <w:r>
        <w:rPr>
          <w:rFonts w:ascii="Arial" w:cs="Arial" w:eastAsia="Arial" w:hAnsi="Arial"/>
          <w:sz w:val="20"/>
          <w:szCs w:val="20"/>
          <w:color w:val="auto"/>
        </w:rPr>
        <w:t>The Plan Administrator shall have the exclusive discretion and authority to establish rules, forms, and</w:t>
      </w:r>
      <w:r>
        <w:rPr>
          <w:rFonts w:ascii="Arial" w:cs="Arial" w:eastAsia="Arial" w:hAnsi="Arial"/>
          <w:sz w:val="20"/>
          <w:szCs w:val="20"/>
          <w:b w:val="1"/>
          <w:bCs w:val="1"/>
          <w:color w:val="auto"/>
        </w:rPr>
        <w:t xml:space="preserve"> </w:t>
      </w:r>
      <w:r>
        <w:rPr>
          <w:rFonts w:ascii="Arial" w:cs="Arial" w:eastAsia="Arial" w:hAnsi="Arial"/>
          <w:sz w:val="20"/>
          <w:szCs w:val="20"/>
          <w:color w:val="auto"/>
        </w:rPr>
        <w:t>procedures for the administration of the Plan, and to construe and interpret the Plan and to decide any and all questions of fact, interpretation, definition, computation or administration arising in connection with the operation of the Plan, including, but not limited to, the eligibility to participate in the Plan and amount of benefits paid under the Plan. The rules, interpretations, computations and other actions of the Plan Administrator shall be binding and conclusive on all persons.</w:t>
      </w:r>
    </w:p>
    <w:p>
      <w:pPr>
        <w:spacing w:after="0" w:line="186" w:lineRule="exact"/>
        <w:rPr>
          <w:rFonts w:ascii="Arial" w:cs="Arial" w:eastAsia="Arial" w:hAnsi="Arial"/>
          <w:sz w:val="20"/>
          <w:szCs w:val="20"/>
          <w:b w:val="1"/>
          <w:bCs w:val="1"/>
          <w:color w:val="auto"/>
        </w:rPr>
      </w:pPr>
    </w:p>
    <w:p>
      <w:pPr>
        <w:ind w:right="720" w:firstLine="656"/>
        <w:spacing w:after="0" w:line="309" w:lineRule="auto"/>
        <w:tabs>
          <w:tab w:leader="none" w:pos="1088"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Amendment or Termination. </w:t>
      </w:r>
      <w:r>
        <w:rPr>
          <w:rFonts w:ascii="Arial" w:cs="Arial" w:eastAsia="Arial" w:hAnsi="Arial"/>
          <w:sz w:val="20"/>
          <w:szCs w:val="20"/>
          <w:color w:val="auto"/>
        </w:rPr>
        <w:t>The Company reserves the right to amend or terminate this Plan, or the benefits 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hereunder, at any time;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no such amendment or</w:t>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340"/>
          </w:cols>
          <w:pgMar w:left="240" w:top="393" w:right="319" w:bottom="1440" w:gutter="0" w:footer="0" w:header="0"/>
        </w:sectPr>
      </w:pPr>
    </w:p>
    <w:bookmarkStart w:id="119" w:name="page120"/>
    <w:bookmarkEnd w:id="119"/>
    <w:p>
      <w:pPr>
        <w:jc w:val="both"/>
        <w:ind w:right="60"/>
        <w:spacing w:after="0" w:line="292" w:lineRule="auto"/>
        <w:rPr>
          <w:sz w:val="20"/>
          <w:szCs w:val="20"/>
          <w:color w:val="auto"/>
        </w:rPr>
      </w:pPr>
      <w:r>
        <w:rPr>
          <w:rFonts w:ascii="Arial" w:cs="Arial" w:eastAsia="Arial" w:hAnsi="Arial"/>
          <w:sz w:val="20"/>
          <w:szCs w:val="20"/>
          <w:color w:val="auto"/>
        </w:rPr>
        <w:t>termination shall occur following a Change in Control or a Covered Termination as to any Participant who would be adversely affected by such amendment or termination unless such Participant consents in writing to such amendment or termination. Any action amending or terminating the Plan shall be in writing and executed by a duly authorized officer of the Company.</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8.</w:t>
        <w:tab/>
        <w:t>NO IMPLIED EMPLOYMENT CONTRACT.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not be deemed (i) to give any employee or other person any right to be retained in the employ of the Company or an Affiliate, or</w:t>
      </w:r>
    </w:p>
    <w:p>
      <w:pPr>
        <w:spacing w:after="0" w:line="63" w:lineRule="exact"/>
        <w:rPr>
          <w:sz w:val="20"/>
          <w:szCs w:val="20"/>
          <w:color w:val="auto"/>
        </w:rPr>
      </w:pPr>
    </w:p>
    <w:p>
      <w:pPr>
        <w:ind w:right="280" w:firstLine="8"/>
        <w:spacing w:after="0" w:line="303" w:lineRule="auto"/>
        <w:tabs>
          <w:tab w:leader="none" w:pos="291"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to interfere with the right of the Company or an Affiliate to discharge any employee or other person at any time, with or without advance notice, and with or without cause, which right is hereby reserved.</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9.</w:t>
      </w:r>
      <w:r>
        <w:rPr>
          <w:sz w:val="20"/>
          <w:szCs w:val="20"/>
          <w:color w:val="auto"/>
        </w:rPr>
        <w:tab/>
      </w:r>
      <w:r>
        <w:rPr>
          <w:rFonts w:ascii="Arial" w:cs="Arial" w:eastAsia="Arial" w:hAnsi="Arial"/>
          <w:sz w:val="19"/>
          <w:szCs w:val="19"/>
          <w:b w:val="1"/>
          <w:bCs w:val="1"/>
          <w:color w:val="auto"/>
        </w:rPr>
        <w:t>LEGAL CONSTRUCTION.</w:t>
      </w:r>
    </w:p>
    <w:p>
      <w:pPr>
        <w:spacing w:after="0" w:line="262" w:lineRule="exact"/>
        <w:rPr>
          <w:sz w:val="20"/>
          <w:szCs w:val="20"/>
          <w:color w:val="auto"/>
        </w:rPr>
      </w:pPr>
    </w:p>
    <w:p>
      <w:pPr>
        <w:ind w:right="80"/>
        <w:spacing w:after="0" w:line="303" w:lineRule="auto"/>
        <w:rPr>
          <w:sz w:val="20"/>
          <w:szCs w:val="20"/>
          <w:color w:val="auto"/>
        </w:rPr>
      </w:pPr>
      <w:r>
        <w:rPr>
          <w:rFonts w:ascii="Arial" w:cs="Arial" w:eastAsia="Arial" w:hAnsi="Arial"/>
          <w:sz w:val="20"/>
          <w:szCs w:val="20"/>
          <w:color w:val="auto"/>
        </w:rPr>
        <w:t>This Plan is intended to be governed by and shall be construed in accordance with ERISA and, to the extent not preempted by ERISA, the laws of the State of California.</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SECTION 10.</w:t>
      </w:r>
      <w:r>
        <w:rPr>
          <w:sz w:val="20"/>
          <w:szCs w:val="20"/>
          <w:color w:val="auto"/>
        </w:rPr>
        <w:tab/>
      </w:r>
      <w:r>
        <w:rPr>
          <w:rFonts w:ascii="Arial" w:cs="Arial" w:eastAsia="Arial" w:hAnsi="Arial"/>
          <w:sz w:val="19"/>
          <w:szCs w:val="19"/>
          <w:b w:val="1"/>
          <w:bCs w:val="1"/>
          <w:color w:val="auto"/>
        </w:rPr>
        <w:t>CLAIMS, INQUIRIES AND APPEALS.</w:t>
      </w:r>
    </w:p>
    <w:p>
      <w:pPr>
        <w:spacing w:after="0" w:line="256" w:lineRule="exact"/>
        <w:rPr>
          <w:sz w:val="20"/>
          <w:szCs w:val="20"/>
          <w:color w:val="auto"/>
        </w:rPr>
      </w:pPr>
    </w:p>
    <w:p>
      <w:pPr>
        <w:ind w:right="360" w:firstLine="656"/>
        <w:spacing w:after="0" w:line="341" w:lineRule="auto"/>
        <w:tabs>
          <w:tab w:leader="none" w:pos="1077"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Claims for Benefits and Inquiries. </w:t>
      </w:r>
      <w:r>
        <w:rPr>
          <w:rFonts w:ascii="Arial" w:cs="Arial" w:eastAsia="Arial" w:hAnsi="Arial"/>
          <w:sz w:val="18"/>
          <w:szCs w:val="18"/>
          <w:color w:val="auto"/>
        </w:rPr>
        <w:t>Any claim for benefits, inquiries about the Plan or inquiries about present or future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must be submitted to the Plan Administrator in writing by a claimant (or his or her authorized representative). The Plan Administrator is set forth in Section 12(d). Certain capitalized terms used in this Section 10 are defined in Section 10(e) below.</w:t>
      </w:r>
    </w:p>
    <w:p>
      <w:pPr>
        <w:spacing w:after="0" w:line="150" w:lineRule="exact"/>
        <w:rPr>
          <w:sz w:val="20"/>
          <w:szCs w:val="20"/>
          <w:color w:val="auto"/>
        </w:rPr>
      </w:pPr>
    </w:p>
    <w:p>
      <w:pPr>
        <w:jc w:val="both"/>
        <w:ind w:firstLine="1053"/>
        <w:spacing w:after="0" w:line="288" w:lineRule="auto"/>
        <w:rPr>
          <w:sz w:val="20"/>
          <w:szCs w:val="20"/>
          <w:color w:val="auto"/>
        </w:rPr>
      </w:pPr>
      <w:r>
        <w:rPr>
          <w:rFonts w:ascii="Arial" w:cs="Arial" w:eastAsia="Arial" w:hAnsi="Arial"/>
          <w:sz w:val="20"/>
          <w:szCs w:val="20"/>
          <w:color w:val="auto"/>
        </w:rPr>
        <w:t>The Plan must ensure that all Disability Claims and related appeals are adjudicated in a manner designed to ensure the independence and impartiality of the persons involved in making the decision. Accordingly, decisions regarding hiring, compensation, termination, promotion, or other similar matters with respect to any individual (such as a claims adjudicator or medical or vocational expert) must not be made based upon the likelihood that the individual will support the denial of benefits.</w:t>
      </w:r>
    </w:p>
    <w:p>
      <w:pPr>
        <w:spacing w:after="0" w:line="187" w:lineRule="exact"/>
        <w:rPr>
          <w:sz w:val="20"/>
          <w:szCs w:val="20"/>
          <w:color w:val="auto"/>
        </w:rPr>
      </w:pPr>
    </w:p>
    <w:p>
      <w:pPr>
        <w:ind w:right="180" w:firstLine="656"/>
        <w:spacing w:after="0" w:line="370" w:lineRule="auto"/>
        <w:tabs>
          <w:tab w:leader="none" w:pos="1088"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Denial of Claims. </w:t>
      </w:r>
      <w:r>
        <w:rPr>
          <w:rFonts w:ascii="Arial" w:cs="Arial" w:eastAsia="Arial" w:hAnsi="Arial"/>
          <w:sz w:val="18"/>
          <w:szCs w:val="18"/>
          <w:color w:val="auto"/>
        </w:rPr>
        <w:t>The Plan Administrator shall make a benefit determination and communicate its decision, electronically or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to the claimant in accordance with its claim practices, which shall comply with Department of Labor regulations.</w:t>
      </w:r>
    </w:p>
    <w:p>
      <w:pPr>
        <w:spacing w:after="0" w:line="118" w:lineRule="exact"/>
        <w:rPr>
          <w:rFonts w:ascii="Arial" w:cs="Arial" w:eastAsia="Arial" w:hAnsi="Arial"/>
          <w:sz w:val="18"/>
          <w:szCs w:val="18"/>
          <w:b w:val="1"/>
          <w:bCs w:val="1"/>
          <w:color w:val="auto"/>
        </w:rPr>
      </w:pPr>
    </w:p>
    <w:p>
      <w:pPr>
        <w:ind w:right="40" w:firstLine="1142"/>
        <w:spacing w:after="0" w:line="302" w:lineRule="auto"/>
        <w:tabs>
          <w:tab w:leader="none" w:pos="1519" w:val="left"/>
        </w:tabs>
        <w:numPr>
          <w:ilvl w:val="1"/>
          <w:numId w:val="10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Claims other than Disability Claims. </w:t>
      </w:r>
      <w:r>
        <w:rPr>
          <w:rFonts w:ascii="Arial" w:cs="Arial" w:eastAsia="Arial" w:hAnsi="Arial"/>
          <w:sz w:val="19"/>
          <w:szCs w:val="19"/>
          <w:color w:val="auto"/>
        </w:rPr>
        <w:t>In the event that any claim for benefits that is not a Disability Claim is denied in</w:t>
      </w:r>
      <w:r>
        <w:rPr>
          <w:rFonts w:ascii="Arial" w:cs="Arial" w:eastAsia="Arial" w:hAnsi="Arial"/>
          <w:sz w:val="19"/>
          <w:szCs w:val="19"/>
          <w:b w:val="1"/>
          <w:bCs w:val="1"/>
          <w:color w:val="auto"/>
        </w:rPr>
        <w:t xml:space="preserve"> </w:t>
      </w:r>
      <w:r>
        <w:rPr>
          <w:rFonts w:ascii="Arial" w:cs="Arial" w:eastAsia="Arial" w:hAnsi="Arial"/>
          <w:sz w:val="19"/>
          <w:szCs w:val="19"/>
          <w:color w:val="auto"/>
        </w:rPr>
        <w:t>whole or in part, the Plan Administrator must provide the claimant with Notice of the Adverse Benefit Determination within a reasonable period of time, but not later than ninety (90) days after the Plan Administrator’s receipt of the written claim for benefits, unless the Plan Administrator determines that special circumstances require an extension of time for processing the claim. If the Plan Administrator determines that an extension of time for processing is required, written Notice of the extension shall be furnished to the claimant prior to the termination of the initial ninety (90) day period. In no event shall such extension exceed a period of ninety (90) days from the end of such initial period. The extension Notice shall indicate the special circumstances requiring an extension of time and the date by which the Plan Administrator expects to render the benefit determination.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393" w:right="239" w:bottom="1440" w:gutter="0" w:footer="0" w:header="0"/>
        </w:sectPr>
      </w:pPr>
    </w:p>
    <w:bookmarkStart w:id="120" w:name="page121"/>
    <w:bookmarkEnd w:id="120"/>
    <w:p>
      <w:pPr>
        <w:ind w:left="-8" w:right="180" w:firstLine="1142"/>
        <w:spacing w:after="0" w:line="315" w:lineRule="auto"/>
        <w:tabs>
          <w:tab w:leader="none" w:pos="1566" w:val="left"/>
        </w:tabs>
        <w:numPr>
          <w:ilvl w:val="1"/>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Claims. </w:t>
      </w:r>
      <w:r>
        <w:rPr>
          <w:rFonts w:ascii="Arial" w:cs="Arial" w:eastAsia="Arial" w:hAnsi="Arial"/>
          <w:sz w:val="18"/>
          <w:szCs w:val="18"/>
          <w:color w:val="auto"/>
        </w:rPr>
        <w:t>In the event that any claim for benefits that is a Disability Claim is denied in whole or in part,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must provide the claimant with Notice of the Adverse Benefit Determination within a reasonable period of time, but not later than forty-five (45) days after the Plan Administrator’s receipt of the written claim for benefits. This period may be extended for up to thirty</w:t>
      </w:r>
    </w:p>
    <w:p>
      <w:pPr>
        <w:spacing w:after="0" w:line="1" w:lineRule="exact"/>
        <w:rPr>
          <w:rFonts w:ascii="Arial" w:cs="Arial" w:eastAsia="Arial" w:hAnsi="Arial"/>
          <w:sz w:val="18"/>
          <w:szCs w:val="18"/>
          <w:b w:val="1"/>
          <w:bCs w:val="1"/>
          <w:color w:val="auto"/>
        </w:rPr>
      </w:pPr>
    </w:p>
    <w:p>
      <w:pPr>
        <w:ind w:left="-8" w:firstLine="8"/>
        <w:spacing w:after="0" w:line="300" w:lineRule="auto"/>
        <w:tabs>
          <w:tab w:leader="none" w:pos="37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days, provided that the Plan Administrator both (A) determines that such an extension is necessary due to matters beyond the control of the Plan and (B) notifies the claimant, prior to the expiration of the initial forty-five (45) day period, of the circumstances requiring the extension of time and the date by which the Plan Administrator expects to render a decision. If, prior to the end of the first thirty (30) day extension period, the Plan Administrator determines that, due to matters beyond the control of the Plan, a decision cannot be rendered within the first thirty (30) day extension period, the period for making the determination may be extended for up to an additional thirty (30) days, provided that the Plan Administrator notifies the claimant, prior to the expiration of the first thirty (30) day extension period, of the circumstances requiring the extension and the date as of which the Plan Administrator expects to render a decision. Any Notice of extension under this paragraph shall specifically explain the standards on which entitlement to a benefit is based, the unresolved issues that prevent a decision on the claim, and the additional information needed to resolve those issues, and the claimant shall be afforded at least forty-five (45) days within which to provide the specified information.</w:t>
      </w:r>
    </w:p>
    <w:p>
      <w:pPr>
        <w:spacing w:after="0" w:line="180" w:lineRule="exact"/>
        <w:rPr>
          <w:rFonts w:ascii="Arial" w:cs="Arial" w:eastAsia="Arial" w:hAnsi="Arial"/>
          <w:sz w:val="19"/>
          <w:szCs w:val="19"/>
          <w:color w:val="auto"/>
        </w:rPr>
      </w:pPr>
    </w:p>
    <w:p>
      <w:pPr>
        <w:ind w:left="-8" w:right="240" w:firstLine="1142"/>
        <w:spacing w:after="0" w:line="310" w:lineRule="auto"/>
        <w:tabs>
          <w:tab w:leader="none" w:pos="1621" w:val="left"/>
        </w:tabs>
        <w:numPr>
          <w:ilvl w:val="1"/>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Content of Notice of Adverse Benefit Determination other than Disability Claims. </w:t>
      </w:r>
      <w:r>
        <w:rPr>
          <w:rFonts w:ascii="Arial" w:cs="Arial" w:eastAsia="Arial" w:hAnsi="Arial"/>
          <w:sz w:val="19"/>
          <w:szCs w:val="19"/>
          <w:color w:val="auto"/>
        </w:rPr>
        <w:t>The Plan Administrator shall</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the claimant with written or electronic Notification of any Adverse Benefit Determination. Any electronic Notification shall comply with the standards imposed by Section 2520.104b-1(c)(i), (iii) and (iv) of Part 29 of the Code of Federal Regulations. Any Notice of Adverse Benefit Determination shall set forth in a manner calculated to be understood by the claimant:</w:t>
      </w:r>
    </w:p>
    <w:p>
      <w:pPr>
        <w:spacing w:after="0" w:line="173" w:lineRule="exact"/>
        <w:rPr>
          <w:rFonts w:ascii="Arial" w:cs="Arial" w:eastAsia="Arial" w:hAnsi="Arial"/>
          <w:sz w:val="19"/>
          <w:szCs w:val="19"/>
          <w:b w:val="1"/>
          <w:bCs w:val="1"/>
          <w:color w:val="auto"/>
        </w:rPr>
      </w:pPr>
    </w:p>
    <w:p>
      <w:pPr>
        <w:ind w:left="2412" w:hanging="467"/>
        <w:spacing w:after="0"/>
        <w:tabs>
          <w:tab w:leader="none" w:pos="2412" w:val="left"/>
        </w:tabs>
        <w:numPr>
          <w:ilvl w:val="2"/>
          <w:numId w:val="109"/>
        </w:numPr>
        <w:rPr>
          <w:rFonts w:ascii="Arial" w:cs="Arial" w:eastAsia="Arial" w:hAnsi="Arial"/>
          <w:sz w:val="20"/>
          <w:szCs w:val="20"/>
          <w:b w:val="1"/>
          <w:bCs w:val="1"/>
          <w:color w:val="auto"/>
        </w:rPr>
      </w:pPr>
      <w:r>
        <w:rPr>
          <w:rFonts w:ascii="Arial" w:cs="Arial" w:eastAsia="Arial" w:hAnsi="Arial"/>
          <w:sz w:val="20"/>
          <w:szCs w:val="20"/>
          <w:color w:val="auto"/>
        </w:rPr>
        <w:t>The specific reason or reasons for the Adverse Benefit Determination;</w:t>
      </w:r>
    </w:p>
    <w:p>
      <w:pPr>
        <w:spacing w:after="0" w:line="256" w:lineRule="exact"/>
        <w:rPr>
          <w:rFonts w:ascii="Arial" w:cs="Arial" w:eastAsia="Arial" w:hAnsi="Arial"/>
          <w:sz w:val="20"/>
          <w:szCs w:val="20"/>
          <w:b w:val="1"/>
          <w:bCs w:val="1"/>
          <w:color w:val="auto"/>
        </w:rPr>
      </w:pPr>
    </w:p>
    <w:p>
      <w:pPr>
        <w:ind w:left="2412" w:hanging="467"/>
        <w:spacing w:after="0"/>
        <w:tabs>
          <w:tab w:leader="none" w:pos="2412" w:val="left"/>
        </w:tabs>
        <w:numPr>
          <w:ilvl w:val="2"/>
          <w:numId w:val="109"/>
        </w:numPr>
        <w:rPr>
          <w:rFonts w:ascii="Arial" w:cs="Arial" w:eastAsia="Arial" w:hAnsi="Arial"/>
          <w:sz w:val="20"/>
          <w:szCs w:val="20"/>
          <w:b w:val="1"/>
          <w:bCs w:val="1"/>
          <w:color w:val="auto"/>
        </w:rPr>
      </w:pPr>
      <w:r>
        <w:rPr>
          <w:rFonts w:ascii="Arial" w:cs="Arial" w:eastAsia="Arial" w:hAnsi="Arial"/>
          <w:sz w:val="20"/>
          <w:szCs w:val="20"/>
          <w:color w:val="auto"/>
        </w:rPr>
        <w:t>Reference to the specific Plan provision(s) on which the Adverse Benefit Determination is based;</w:t>
      </w:r>
    </w:p>
    <w:p>
      <w:pPr>
        <w:spacing w:after="0" w:line="256" w:lineRule="exact"/>
        <w:rPr>
          <w:rFonts w:ascii="Arial" w:cs="Arial" w:eastAsia="Arial" w:hAnsi="Arial"/>
          <w:sz w:val="20"/>
          <w:szCs w:val="20"/>
          <w:b w:val="1"/>
          <w:bCs w:val="1"/>
          <w:color w:val="auto"/>
        </w:rPr>
      </w:pPr>
    </w:p>
    <w:p>
      <w:pPr>
        <w:ind w:left="-8" w:right="380" w:firstLine="1953"/>
        <w:spacing w:after="0" w:line="303" w:lineRule="auto"/>
        <w:tabs>
          <w:tab w:leader="none" w:pos="2399" w:val="left"/>
        </w:tabs>
        <w:numPr>
          <w:ilvl w:val="2"/>
          <w:numId w:val="109"/>
        </w:numPr>
        <w:rPr>
          <w:rFonts w:ascii="Arial" w:cs="Arial" w:eastAsia="Arial" w:hAnsi="Arial"/>
          <w:sz w:val="20"/>
          <w:szCs w:val="20"/>
          <w:b w:val="1"/>
          <w:bCs w:val="1"/>
          <w:color w:val="auto"/>
        </w:rPr>
      </w:pPr>
      <w:r>
        <w:rPr>
          <w:rFonts w:ascii="Arial" w:cs="Arial" w:eastAsia="Arial" w:hAnsi="Arial"/>
          <w:sz w:val="20"/>
          <w:szCs w:val="20"/>
          <w:color w:val="auto"/>
        </w:rPr>
        <w:t>A description of any additional material or information necessary for the claimant to perfect the claim and an explanation of why such material or information is necessary; and</w:t>
      </w:r>
    </w:p>
    <w:p>
      <w:pPr>
        <w:spacing w:after="0" w:line="175" w:lineRule="exact"/>
        <w:rPr>
          <w:rFonts w:ascii="Arial" w:cs="Arial" w:eastAsia="Arial" w:hAnsi="Arial"/>
          <w:sz w:val="20"/>
          <w:szCs w:val="20"/>
          <w:b w:val="1"/>
          <w:bCs w:val="1"/>
          <w:color w:val="auto"/>
        </w:rPr>
      </w:pPr>
    </w:p>
    <w:p>
      <w:pPr>
        <w:ind w:left="-8" w:right="120" w:firstLine="1953"/>
        <w:spacing w:after="0" w:line="363" w:lineRule="auto"/>
        <w:tabs>
          <w:tab w:leader="none" w:pos="2399" w:val="left"/>
        </w:tabs>
        <w:numPr>
          <w:ilvl w:val="2"/>
          <w:numId w:val="109"/>
        </w:numPr>
        <w:rPr>
          <w:rFonts w:ascii="Arial" w:cs="Arial" w:eastAsia="Arial" w:hAnsi="Arial"/>
          <w:sz w:val="18"/>
          <w:szCs w:val="18"/>
          <w:b w:val="1"/>
          <w:bCs w:val="1"/>
          <w:color w:val="auto"/>
        </w:rPr>
      </w:pPr>
      <w:r>
        <w:rPr>
          <w:rFonts w:ascii="Arial" w:cs="Arial" w:eastAsia="Arial" w:hAnsi="Arial"/>
          <w:sz w:val="18"/>
          <w:szCs w:val="18"/>
          <w:color w:val="auto"/>
        </w:rPr>
        <w:t>A description of the Plan’s review procedures and the time limits applicable to such procedures, including a statement of the claimant’s right to bring a civil action under Section 502(a) of ERISA following an Adverse Benefit Determination on review.</w:t>
      </w:r>
    </w:p>
    <w:p>
      <w:pPr>
        <w:spacing w:after="0" w:line="124" w:lineRule="exact"/>
        <w:rPr>
          <w:rFonts w:ascii="Arial" w:cs="Arial" w:eastAsia="Arial" w:hAnsi="Arial"/>
          <w:sz w:val="18"/>
          <w:szCs w:val="18"/>
          <w:b w:val="1"/>
          <w:bCs w:val="1"/>
          <w:color w:val="auto"/>
        </w:rPr>
      </w:pPr>
    </w:p>
    <w:p>
      <w:pPr>
        <w:ind w:left="-8" w:right="240" w:firstLine="1142"/>
        <w:spacing w:after="0" w:line="291" w:lineRule="auto"/>
        <w:tabs>
          <w:tab w:leader="none" w:pos="1610" w:val="left"/>
        </w:tabs>
        <w:numPr>
          <w:ilvl w:val="1"/>
          <w:numId w:val="109"/>
        </w:numPr>
        <w:rPr>
          <w:rFonts w:ascii="Arial" w:cs="Arial" w:eastAsia="Arial" w:hAnsi="Arial"/>
          <w:sz w:val="20"/>
          <w:szCs w:val="20"/>
          <w:b w:val="1"/>
          <w:bCs w:val="1"/>
          <w:color w:val="auto"/>
        </w:rPr>
      </w:pPr>
      <w:r>
        <w:rPr>
          <w:rFonts w:ascii="Arial" w:cs="Arial" w:eastAsia="Arial" w:hAnsi="Arial"/>
          <w:sz w:val="20"/>
          <w:szCs w:val="20"/>
          <w:b w:val="1"/>
          <w:bCs w:val="1"/>
          <w:color w:val="auto"/>
        </w:rPr>
        <w:t>Content of Notice of Adverse Benefit Determination Involving a Disability Claim</w:t>
      </w:r>
      <w:r>
        <w:rPr>
          <w:rFonts w:ascii="Arial" w:cs="Arial" w:eastAsia="Arial" w:hAnsi="Arial"/>
          <w:sz w:val="20"/>
          <w:szCs w:val="20"/>
          <w:color w:val="auto"/>
        </w:rPr>
        <w:t>. In the case of an Adverse Benefit</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Determination involving a Disability Claim, any Notice of Adverse Benefit Determination shall set forth all of the content listed in Section 10(b)(iii) above plus the following, all provided in a culturally and linguistically appropriate manner as described in Section 2560.503-l(o) of Part 29 of the Code of Federal Regulations:</w:t>
      </w:r>
    </w:p>
    <w:p>
      <w:pPr>
        <w:spacing w:after="0" w:line="173" w:lineRule="exact"/>
        <w:rPr>
          <w:rFonts w:ascii="Arial" w:cs="Arial" w:eastAsia="Arial" w:hAnsi="Arial"/>
          <w:sz w:val="20"/>
          <w:szCs w:val="20"/>
          <w:b w:val="1"/>
          <w:bCs w:val="1"/>
          <w:color w:val="auto"/>
        </w:rPr>
      </w:pPr>
    </w:p>
    <w:p>
      <w:pPr>
        <w:ind w:left="-8" w:right="200" w:firstLine="1953"/>
        <w:spacing w:after="0" w:line="264" w:lineRule="auto"/>
        <w:tabs>
          <w:tab w:leader="none" w:pos="2409" w:val="left"/>
        </w:tabs>
        <w:numPr>
          <w:ilvl w:val="2"/>
          <w:numId w:val="109"/>
        </w:numPr>
        <w:rPr>
          <w:rFonts w:ascii="Arial" w:cs="Arial" w:eastAsia="Arial" w:hAnsi="Arial"/>
          <w:sz w:val="20"/>
          <w:szCs w:val="20"/>
          <w:b w:val="1"/>
          <w:bCs w:val="1"/>
          <w:color w:val="auto"/>
        </w:rPr>
      </w:pPr>
      <w:r>
        <w:rPr>
          <w:rFonts w:ascii="Arial" w:cs="Arial" w:eastAsia="Arial" w:hAnsi="Arial"/>
          <w:sz w:val="20"/>
          <w:szCs w:val="20"/>
          <w:color w:val="auto"/>
        </w:rPr>
        <w:t>If an internal rule, guideline, protocol, or other similar criterion was relied upon in making the Adverse Benefit Determination, either the specific rule, guideline, protocol, or other similar criterion, or a statement that such a rule, guideline, protocol, or other similar criterion does not exist;</w:t>
      </w:r>
    </w:p>
    <w:p>
      <w:pPr>
        <w:spacing w:after="0" w:line="200" w:lineRule="exact"/>
        <w:rPr>
          <w:sz w:val="20"/>
          <w:szCs w:val="20"/>
          <w:color w:val="auto"/>
        </w:rPr>
      </w:pPr>
    </w:p>
    <w:p>
      <w:pPr>
        <w:spacing w:after="0" w:line="243"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12"/>
          </w:cols>
          <w:pgMar w:left="248" w:top="387" w:right="239" w:bottom="1440" w:gutter="0" w:footer="0" w:header="0"/>
        </w:sectPr>
      </w:pPr>
    </w:p>
    <w:bookmarkStart w:id="121" w:name="page122"/>
    <w:bookmarkEnd w:id="121"/>
    <w:p>
      <w:pPr>
        <w:ind w:left="-20" w:right="180" w:firstLine="1953"/>
        <w:spacing w:after="0" w:line="294" w:lineRule="auto"/>
        <w:tabs>
          <w:tab w:leader="none" w:pos="2376" w:val="left"/>
        </w:tabs>
        <w:numPr>
          <w:ilvl w:val="2"/>
          <w:numId w:val="110"/>
        </w:numPr>
        <w:rPr>
          <w:rFonts w:ascii="Arial" w:cs="Arial" w:eastAsia="Arial" w:hAnsi="Arial"/>
          <w:sz w:val="18"/>
          <w:szCs w:val="18"/>
          <w:b w:val="1"/>
          <w:bCs w:val="1"/>
          <w:color w:val="auto"/>
        </w:rPr>
      </w:pPr>
      <w:r>
        <w:rPr>
          <w:rFonts w:ascii="Arial" w:cs="Arial" w:eastAsia="Arial" w:hAnsi="Arial"/>
          <w:sz w:val="18"/>
          <w:szCs w:val="18"/>
          <w:color w:val="auto"/>
        </w:rPr>
        <w:t>A discussion of the decision, including an explanation of the basis for disagreeing with or not following (x) the views presented by the claimant to the Plan of Health Care Professionals treating the claimant and vocational professionals who evaluated the claimant; (y) the views of medical or vocational experts whose advice was obtained on behalf of the Plan in connection with a claimant’s Adverse Benefit Determination, without regard to whether the advice was relied on in making the benefit determination; and (z) a disability determination regarding the claimant presented by the claimant to the Plan made by the Social Security Administration;</w:t>
      </w:r>
    </w:p>
    <w:p>
      <w:pPr>
        <w:spacing w:after="0" w:line="163" w:lineRule="exact"/>
        <w:rPr>
          <w:rFonts w:ascii="Arial" w:cs="Arial" w:eastAsia="Arial" w:hAnsi="Arial"/>
          <w:sz w:val="18"/>
          <w:szCs w:val="18"/>
          <w:b w:val="1"/>
          <w:bCs w:val="1"/>
          <w:color w:val="auto"/>
        </w:rPr>
      </w:pPr>
    </w:p>
    <w:p>
      <w:pPr>
        <w:ind w:left="-20" w:right="360" w:firstLine="1953"/>
        <w:spacing w:after="0" w:line="307" w:lineRule="auto"/>
        <w:tabs>
          <w:tab w:leader="none" w:pos="2397" w:val="left"/>
        </w:tabs>
        <w:numPr>
          <w:ilvl w:val="2"/>
          <w:numId w:val="110"/>
        </w:numPr>
        <w:rPr>
          <w:rFonts w:ascii="Arial" w:cs="Arial" w:eastAsia="Arial" w:hAnsi="Arial"/>
          <w:sz w:val="18"/>
          <w:szCs w:val="18"/>
          <w:b w:val="1"/>
          <w:bCs w:val="1"/>
          <w:color w:val="auto"/>
        </w:rPr>
      </w:pPr>
      <w:r>
        <w:rPr>
          <w:rFonts w:ascii="Arial" w:cs="Arial" w:eastAsia="Arial" w:hAnsi="Arial"/>
          <w:sz w:val="18"/>
          <w:szCs w:val="18"/>
          <w:color w:val="auto"/>
        </w:rPr>
        <w:t>If the Adverse Benefit Determination is based on a medical necessity or experimental treatment or similar exclusion or limit, either (x) an explanation of the scientific or clinical judgment for the determination, applying the terms of the Plan to the claimant’s medical circumstances, or (y) a statement that such explanation will be provided free of charge upon request; and</w:t>
      </w:r>
    </w:p>
    <w:p>
      <w:pPr>
        <w:spacing w:after="0" w:line="151" w:lineRule="exact"/>
        <w:rPr>
          <w:rFonts w:ascii="Arial" w:cs="Arial" w:eastAsia="Arial" w:hAnsi="Arial"/>
          <w:sz w:val="18"/>
          <w:szCs w:val="18"/>
          <w:b w:val="1"/>
          <w:bCs w:val="1"/>
          <w:color w:val="auto"/>
        </w:rPr>
      </w:pPr>
    </w:p>
    <w:p>
      <w:pPr>
        <w:ind w:left="-20" w:right="360" w:firstLine="1953"/>
        <w:spacing w:after="0" w:line="275" w:lineRule="auto"/>
        <w:tabs>
          <w:tab w:leader="none" w:pos="2387" w:val="left"/>
        </w:tabs>
        <w:numPr>
          <w:ilvl w:val="2"/>
          <w:numId w:val="110"/>
        </w:numPr>
        <w:rPr>
          <w:rFonts w:ascii="Arial" w:cs="Arial" w:eastAsia="Arial" w:hAnsi="Arial"/>
          <w:sz w:val="20"/>
          <w:szCs w:val="20"/>
          <w:b w:val="1"/>
          <w:bCs w:val="1"/>
          <w:color w:val="auto"/>
        </w:rPr>
      </w:pPr>
      <w:r>
        <w:rPr>
          <w:rFonts w:ascii="Arial" w:cs="Arial" w:eastAsia="Arial" w:hAnsi="Arial"/>
          <w:sz w:val="20"/>
          <w:szCs w:val="20"/>
          <w:color w:val="auto"/>
        </w:rPr>
        <w:t>A statement that the claimant is entitled to receive, upon request and free of charge, reasonable access to, and copies of, all Relevant Records.</w:t>
      </w:r>
    </w:p>
    <w:p>
      <w:pPr>
        <w:spacing w:after="0" w:line="169" w:lineRule="exact"/>
        <w:rPr>
          <w:rFonts w:ascii="Arial" w:cs="Arial" w:eastAsia="Arial" w:hAnsi="Arial"/>
          <w:sz w:val="20"/>
          <w:szCs w:val="20"/>
          <w:b w:val="1"/>
          <w:bCs w:val="1"/>
          <w:color w:val="auto"/>
        </w:rPr>
      </w:pPr>
    </w:p>
    <w:p>
      <w:pPr>
        <w:ind w:left="-20" w:firstLine="656"/>
        <w:spacing w:after="0" w:line="339" w:lineRule="auto"/>
        <w:tabs>
          <w:tab w:leader="none" w:pos="1046"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Request for a Review. </w:t>
      </w:r>
      <w:r>
        <w:rPr>
          <w:rFonts w:ascii="Arial" w:cs="Arial" w:eastAsia="Arial" w:hAnsi="Arial"/>
          <w:sz w:val="18"/>
          <w:szCs w:val="18"/>
          <w:color w:val="auto"/>
        </w:rPr>
        <w:t>Each claimant (or his or her authorized representative) shall have a reasonable opportunity to appeal an</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Benefit Determination to an appropriate named fiduciary for a full and fair review of the claim and the Adverse Benefit Determination.</w:t>
      </w:r>
    </w:p>
    <w:p>
      <w:pPr>
        <w:spacing w:after="0" w:line="131" w:lineRule="exact"/>
        <w:rPr>
          <w:rFonts w:ascii="Arial" w:cs="Arial" w:eastAsia="Arial" w:hAnsi="Arial"/>
          <w:sz w:val="18"/>
          <w:szCs w:val="18"/>
          <w:b w:val="1"/>
          <w:bCs w:val="1"/>
          <w:color w:val="auto"/>
        </w:rPr>
      </w:pPr>
    </w:p>
    <w:p>
      <w:pPr>
        <w:ind w:left="-20" w:right="20" w:firstLine="1142"/>
        <w:spacing w:after="0" w:line="302" w:lineRule="auto"/>
        <w:tabs>
          <w:tab w:leader="none" w:pos="1499" w:val="left"/>
        </w:tabs>
        <w:numPr>
          <w:ilvl w:val="1"/>
          <w:numId w:val="1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Claims other than Disability Claims. </w:t>
      </w:r>
      <w:r>
        <w:rPr>
          <w:rFonts w:ascii="Arial" w:cs="Arial" w:eastAsia="Arial" w:hAnsi="Arial"/>
          <w:sz w:val="19"/>
          <w:szCs w:val="19"/>
          <w:color w:val="auto"/>
        </w:rPr>
        <w:t>In the case of a request for review not involving a Disability Claim, the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request for review must be furnished to the Plan Administrator within sixty (60) days following the claimant’s receipt of the Notice of an Adverse Benefit Determination. The claimant shall be provided with an opportunity to submit written comments, documents, records, and other information relating to the claimant’s claim for benefits. The Plan Administrator shall provide the claimant, upon request and free of charge, reasonable access to, and copies of, all Relevant Records. The Plan Administrator’s review of the claimant’s appeal shall take into account all comments, documents, records, and other information submitted by the claimant relating to the claim, without regard to whether such information was submitted or considered in the initial benefit determination. If the claimant fails to request a review within the above-stated period, the claimant shall have waived the right to a review of the denial of his or her claim.</w:t>
      </w:r>
    </w:p>
    <w:p>
      <w:pPr>
        <w:spacing w:after="0" w:line="177" w:lineRule="exact"/>
        <w:rPr>
          <w:rFonts w:ascii="Arial" w:cs="Arial" w:eastAsia="Arial" w:hAnsi="Arial"/>
          <w:sz w:val="19"/>
          <w:szCs w:val="19"/>
          <w:b w:val="1"/>
          <w:bCs w:val="1"/>
          <w:color w:val="auto"/>
        </w:rPr>
      </w:pPr>
    </w:p>
    <w:p>
      <w:pPr>
        <w:ind w:left="-20" w:right="100" w:firstLine="1142"/>
        <w:spacing w:after="0" w:line="300" w:lineRule="auto"/>
        <w:tabs>
          <w:tab w:leader="none" w:pos="1554" w:val="left"/>
        </w:tabs>
        <w:numPr>
          <w:ilvl w:val="1"/>
          <w:numId w:val="1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Disability Claims. </w:t>
      </w:r>
      <w:r>
        <w:rPr>
          <w:rFonts w:ascii="Arial" w:cs="Arial" w:eastAsia="Arial" w:hAnsi="Arial"/>
          <w:sz w:val="19"/>
          <w:szCs w:val="19"/>
          <w:color w:val="auto"/>
        </w:rPr>
        <w:t>In the case of a request for review involving a Disability Claim, the written request for review must be</w:t>
      </w:r>
      <w:r>
        <w:rPr>
          <w:rFonts w:ascii="Arial" w:cs="Arial" w:eastAsia="Arial" w:hAnsi="Arial"/>
          <w:sz w:val="19"/>
          <w:szCs w:val="19"/>
          <w:b w:val="1"/>
          <w:bCs w:val="1"/>
          <w:color w:val="auto"/>
        </w:rPr>
        <w:t xml:space="preserve"> </w:t>
      </w:r>
      <w:r>
        <w:rPr>
          <w:rFonts w:ascii="Arial" w:cs="Arial" w:eastAsia="Arial" w:hAnsi="Arial"/>
          <w:sz w:val="19"/>
          <w:szCs w:val="19"/>
          <w:color w:val="auto"/>
        </w:rPr>
        <w:t>furnished to the Plan Administrator within one hundred eighty (180) days following the claimant’s receipt of the Notice of an Adverse Benefit Determination. The claimant shall be provided with an opportunity to submit written comments, documents, records, and other information relating to the claimant’s claim for benefits. The Plan Administrator shall provide the claimant, upon request and free of charge, reasonable access to, and copies of, all Relevant Records. The Plan Administrator’s review of the claimant’s appeal shall take into account all comments, documents, records, and other information submitted by the claimant relating to the claim, without regard to whether such information was submitted or considered in the initial benefit determination. Further, the Plan Administrator’s review of the claimant’s appeal shall not afford deference to the initial Adverse Benefit Determination and shall be conducted by an appropriate named fiduciary of the Plan who is neither the individual who made the initial Adverse Benefit Determination that is the subject of the appeal, nor the subordinate of such individual. If the claimant fails to request a review within the above-stated period, the claimant shall have waived the right to a review of the denial of his or her claim.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00"/>
          </w:cols>
          <w:pgMar w:left="260" w:top="379" w:right="239" w:bottom="1440" w:gutter="0" w:footer="0" w:header="0"/>
        </w:sectPr>
      </w:pPr>
    </w:p>
    <w:bookmarkStart w:id="122" w:name="page123"/>
    <w:bookmarkEnd w:id="122"/>
    <w:p>
      <w:pPr>
        <w:ind w:right="20" w:firstLine="1783"/>
        <w:spacing w:after="0" w:line="257" w:lineRule="auto"/>
        <w:rPr>
          <w:sz w:val="20"/>
          <w:szCs w:val="20"/>
          <w:color w:val="auto"/>
        </w:rPr>
      </w:pPr>
      <w:r>
        <w:rPr>
          <w:rFonts w:ascii="Arial" w:cs="Arial" w:eastAsia="Arial" w:hAnsi="Arial"/>
          <w:sz w:val="20"/>
          <w:szCs w:val="20"/>
          <w:color w:val="auto"/>
        </w:rPr>
        <w:t>If the appeal involves an Adverse Benefit Determination that is based in whole or in part on a medical judgment, including determinations with regard to whether a particular treatment, drug, or other item is experimental, investigational, or not medically necessary or appropriate, the appropriate named fiduciary shall consult with a Health Care Professional who has appropriate training and experience in the field of medicine involved in the medical judgment. Such Health Care Professional shall be an individual who is neither an individual who was consulted in connection with the initial Adverse Benefit Determination that is the subject of the appeal, nor the subordinate of any such individual.</w:t>
      </w:r>
    </w:p>
    <w:p>
      <w:pPr>
        <w:spacing w:after="0" w:line="197" w:lineRule="exact"/>
        <w:rPr>
          <w:sz w:val="20"/>
          <w:szCs w:val="20"/>
          <w:color w:val="auto"/>
        </w:rPr>
      </w:pPr>
    </w:p>
    <w:p>
      <w:pPr>
        <w:ind w:right="100" w:firstLine="1783"/>
        <w:spacing w:after="0" w:line="264" w:lineRule="auto"/>
        <w:rPr>
          <w:sz w:val="20"/>
          <w:szCs w:val="20"/>
          <w:color w:val="auto"/>
        </w:rPr>
      </w:pPr>
      <w:r>
        <w:rPr>
          <w:rFonts w:ascii="Arial" w:cs="Arial" w:eastAsia="Arial" w:hAnsi="Arial"/>
          <w:sz w:val="20"/>
          <w:szCs w:val="20"/>
          <w:color w:val="auto"/>
        </w:rPr>
        <w:t>The Plan Administrator shall provide the claimant with the identification of medical or vocational experts whose advice was obtained on behalf of the Plan in connection with the claimant’s initial Adverse Benefit Determination, without regard to whether the advice was relied upon in making the Adverse Benefit Determination.</w:t>
      </w:r>
    </w:p>
    <w:p>
      <w:pPr>
        <w:spacing w:after="0" w:line="186" w:lineRule="exact"/>
        <w:rPr>
          <w:sz w:val="20"/>
          <w:szCs w:val="20"/>
          <w:color w:val="auto"/>
        </w:rPr>
      </w:pPr>
    </w:p>
    <w:p>
      <w:pPr>
        <w:ind w:right="60" w:firstLine="1783"/>
        <w:spacing w:after="0" w:line="257" w:lineRule="auto"/>
        <w:rPr>
          <w:sz w:val="20"/>
          <w:szCs w:val="20"/>
          <w:color w:val="auto"/>
        </w:rPr>
      </w:pPr>
      <w:r>
        <w:rPr>
          <w:rFonts w:ascii="Arial" w:cs="Arial" w:eastAsia="Arial" w:hAnsi="Arial"/>
          <w:sz w:val="20"/>
          <w:szCs w:val="20"/>
          <w:color w:val="auto"/>
        </w:rPr>
        <w:t>Before the Plan Administrator can issue an Adverse Benefit Determination on review involving a Disability Claim, the Plan Administrator shall provide the claimant, free of charge, with any new or additional evidence considered, relied upon, or generated by the Plan Administrator, the Plan, or any other person making the benefit determination (or at the direction of the Plan Administrator, the Plan or such other person) in connection with the claim. Such evidence must be provided as soon as possible and sufficiently in advance of the date on which the Notice of Adverse Benefit Determination on review is required to be provided so as to give the claimant a reasonable opportunity to respond prior to that date.</w:t>
      </w:r>
    </w:p>
    <w:p>
      <w:pPr>
        <w:spacing w:after="0" w:line="197" w:lineRule="exact"/>
        <w:rPr>
          <w:sz w:val="20"/>
          <w:szCs w:val="20"/>
          <w:color w:val="auto"/>
        </w:rPr>
      </w:pPr>
    </w:p>
    <w:p>
      <w:pPr>
        <w:ind w:firstLine="1783"/>
        <w:spacing w:after="0" w:line="278" w:lineRule="auto"/>
        <w:rPr>
          <w:sz w:val="20"/>
          <w:szCs w:val="20"/>
          <w:color w:val="auto"/>
        </w:rPr>
      </w:pPr>
      <w:r>
        <w:rPr>
          <w:rFonts w:ascii="Arial" w:cs="Arial" w:eastAsia="Arial" w:hAnsi="Arial"/>
          <w:sz w:val="19"/>
          <w:szCs w:val="19"/>
          <w:color w:val="auto"/>
        </w:rPr>
        <w:t>Furthermore, before the Plan Administrator can issue an Adverse Benefit Determination on review involving a Disability Claim based on a new or additional rationale, the Plan Administrator shall provide the claimant, free of charge, with the rationale. Such rationale must be provided as soon as possible and sufficiently in advance of the date on which the Notice of Adverse Benefit Determination on review is required to be provided to give the claimant a reasonable opportunity to respond prior to that date.</w:t>
      </w:r>
    </w:p>
    <w:p>
      <w:pPr>
        <w:spacing w:after="0" w:line="184" w:lineRule="exact"/>
        <w:rPr>
          <w:sz w:val="20"/>
          <w:szCs w:val="20"/>
          <w:color w:val="auto"/>
        </w:rPr>
      </w:pPr>
    </w:p>
    <w:p>
      <w:pPr>
        <w:ind w:right="40" w:firstLine="1142"/>
        <w:spacing w:after="0" w:line="321" w:lineRule="auto"/>
        <w:tabs>
          <w:tab w:leader="none" w:pos="1626"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Timing of Notice of Benefit Determination on Review. </w:t>
      </w:r>
      <w:r>
        <w:rPr>
          <w:rFonts w:ascii="Arial" w:cs="Arial" w:eastAsia="Arial" w:hAnsi="Arial"/>
          <w:sz w:val="18"/>
          <w:szCs w:val="18"/>
          <w:color w:val="auto"/>
        </w:rPr>
        <w:t>The Plan Administrator shall notify a claimant of its decision on</w:t>
      </w:r>
      <w:r>
        <w:rPr>
          <w:rFonts w:ascii="Arial" w:cs="Arial" w:eastAsia="Arial" w:hAnsi="Arial"/>
          <w:sz w:val="18"/>
          <w:szCs w:val="18"/>
          <w:b w:val="1"/>
          <w:bCs w:val="1"/>
          <w:color w:val="auto"/>
        </w:rPr>
        <w:t xml:space="preserve"> </w:t>
      </w:r>
      <w:r>
        <w:rPr>
          <w:rFonts w:ascii="Arial" w:cs="Arial" w:eastAsia="Arial" w:hAnsi="Arial"/>
          <w:sz w:val="18"/>
          <w:szCs w:val="18"/>
          <w:color w:val="auto"/>
        </w:rPr>
        <w:t>review within a reasonable period of time, but not later than sixty (60) days after the Plan Administrator’s receipt of the claimant’s request for review, unless the Plan Administrator determines that special circumstances require an extension of time for processing the claim. If the Plan Administrator determines that an extension of time for processing is required, written Notice of the extension shall be furnished to the claimant prior to the termination of the initial sixty (60) day period. In no event shall such extension exceed a period of sixty (60) days from the end of the initial sixty (60) day period. The extension Notice shall indicate the special circumstances requiring an extension of time and the date by which the Plan Administrator expects to render the determination on review. Notwithstanding the foregoing, if a claimant’s request for review involves a Disability Claim, the references to sixty (60) days in this paragraph shall be replaced by forty-five (45) days.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380"/>
          </w:cols>
          <w:pgMar w:left="240" w:top="379" w:right="279" w:bottom="1440" w:gutter="0" w:footer="0" w:header="0"/>
        </w:sectPr>
      </w:pPr>
    </w:p>
    <w:bookmarkStart w:id="123" w:name="page124"/>
    <w:bookmarkEnd w:id="123"/>
    <w:p>
      <w:pPr>
        <w:ind w:firstLine="1142"/>
        <w:spacing w:after="0" w:line="291" w:lineRule="auto"/>
        <w:tabs>
          <w:tab w:leader="none" w:pos="1618"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Contents of Notice of Benefit Determination on Review. </w:t>
      </w:r>
      <w:r>
        <w:rPr>
          <w:rFonts w:ascii="Arial" w:cs="Arial" w:eastAsia="Arial" w:hAnsi="Arial"/>
          <w:sz w:val="20"/>
          <w:szCs w:val="20"/>
          <w:color w:val="auto"/>
        </w:rPr>
        <w:t>The Plan Administrator shall provide a claimant with written or</w:t>
      </w:r>
      <w:r>
        <w:rPr>
          <w:rFonts w:ascii="Arial" w:cs="Arial" w:eastAsia="Arial" w:hAnsi="Arial"/>
          <w:sz w:val="20"/>
          <w:szCs w:val="20"/>
          <w:b w:val="1"/>
          <w:bCs w:val="1"/>
          <w:color w:val="auto"/>
        </w:rPr>
        <w:t xml:space="preserve"> </w:t>
      </w:r>
      <w:r>
        <w:rPr>
          <w:rFonts w:ascii="Arial" w:cs="Arial" w:eastAsia="Arial" w:hAnsi="Arial"/>
          <w:sz w:val="20"/>
          <w:szCs w:val="20"/>
          <w:color w:val="auto"/>
        </w:rPr>
        <w:t>electronic Notification of its benefit determination on review. Any electronic Notification shall comply with the standards imposed by Section 2520.104b-1(c)(i), (iii) and (iv) of Part 29 of the Code of Federal Regulations. In the case of an Adverse Benefit Determination, the Notification shall set forth, in a manner calculated to be understood by the claimant:</w:t>
      </w:r>
    </w:p>
    <w:p>
      <w:pPr>
        <w:spacing w:after="0" w:line="187" w:lineRule="exact"/>
        <w:rPr>
          <w:rFonts w:ascii="Arial" w:cs="Arial" w:eastAsia="Arial" w:hAnsi="Arial"/>
          <w:sz w:val="20"/>
          <w:szCs w:val="20"/>
          <w:b w:val="1"/>
          <w:bCs w:val="1"/>
          <w:color w:val="auto"/>
        </w:rPr>
      </w:pPr>
    </w:p>
    <w:p>
      <w:pPr>
        <w:ind w:left="2420" w:hanging="467"/>
        <w:spacing w:after="0"/>
        <w:tabs>
          <w:tab w:leader="none" w:pos="2420" w:val="left"/>
        </w:tabs>
        <w:numPr>
          <w:ilvl w:val="1"/>
          <w:numId w:val="113"/>
        </w:numPr>
        <w:rPr>
          <w:rFonts w:ascii="Arial" w:cs="Arial" w:eastAsia="Arial" w:hAnsi="Arial"/>
          <w:sz w:val="20"/>
          <w:szCs w:val="20"/>
          <w:b w:val="1"/>
          <w:bCs w:val="1"/>
          <w:color w:val="auto"/>
        </w:rPr>
      </w:pPr>
      <w:r>
        <w:rPr>
          <w:rFonts w:ascii="Arial" w:cs="Arial" w:eastAsia="Arial" w:hAnsi="Arial"/>
          <w:sz w:val="20"/>
          <w:szCs w:val="20"/>
          <w:color w:val="auto"/>
        </w:rPr>
        <w:t>The specific reason or reasons for the Adverse Benefit Determination;</w:t>
      </w:r>
    </w:p>
    <w:p>
      <w:pPr>
        <w:spacing w:after="0" w:line="256" w:lineRule="exact"/>
        <w:rPr>
          <w:rFonts w:ascii="Arial" w:cs="Arial" w:eastAsia="Arial" w:hAnsi="Arial"/>
          <w:sz w:val="20"/>
          <w:szCs w:val="20"/>
          <w:b w:val="1"/>
          <w:bCs w:val="1"/>
          <w:color w:val="auto"/>
        </w:rPr>
      </w:pPr>
    </w:p>
    <w:p>
      <w:pPr>
        <w:ind w:left="2420" w:hanging="467"/>
        <w:spacing w:after="0"/>
        <w:tabs>
          <w:tab w:leader="none" w:pos="2420" w:val="left"/>
        </w:tabs>
        <w:numPr>
          <w:ilvl w:val="1"/>
          <w:numId w:val="113"/>
        </w:numPr>
        <w:rPr>
          <w:rFonts w:ascii="Arial" w:cs="Arial" w:eastAsia="Arial" w:hAnsi="Arial"/>
          <w:sz w:val="20"/>
          <w:szCs w:val="20"/>
          <w:b w:val="1"/>
          <w:bCs w:val="1"/>
          <w:color w:val="auto"/>
        </w:rPr>
      </w:pPr>
      <w:r>
        <w:rPr>
          <w:rFonts w:ascii="Arial" w:cs="Arial" w:eastAsia="Arial" w:hAnsi="Arial"/>
          <w:sz w:val="20"/>
          <w:szCs w:val="20"/>
          <w:color w:val="auto"/>
        </w:rPr>
        <w:t>Reference to the specific Plan provision(s) on which the benefit determination is based;</w:t>
      </w:r>
    </w:p>
    <w:p>
      <w:pPr>
        <w:spacing w:after="0" w:line="256" w:lineRule="exact"/>
        <w:rPr>
          <w:rFonts w:ascii="Arial" w:cs="Arial" w:eastAsia="Arial" w:hAnsi="Arial"/>
          <w:sz w:val="20"/>
          <w:szCs w:val="20"/>
          <w:b w:val="1"/>
          <w:bCs w:val="1"/>
          <w:color w:val="auto"/>
        </w:rPr>
      </w:pPr>
    </w:p>
    <w:p>
      <w:pPr>
        <w:ind w:right="360" w:firstLine="1953"/>
        <w:spacing w:after="0" w:line="303" w:lineRule="auto"/>
        <w:tabs>
          <w:tab w:leader="none" w:pos="2407" w:val="left"/>
        </w:tabs>
        <w:numPr>
          <w:ilvl w:val="1"/>
          <w:numId w:val="113"/>
        </w:numPr>
        <w:rPr>
          <w:rFonts w:ascii="Arial" w:cs="Arial" w:eastAsia="Arial" w:hAnsi="Arial"/>
          <w:sz w:val="20"/>
          <w:szCs w:val="20"/>
          <w:b w:val="1"/>
          <w:bCs w:val="1"/>
          <w:color w:val="auto"/>
        </w:rPr>
      </w:pPr>
      <w:r>
        <w:rPr>
          <w:rFonts w:ascii="Arial" w:cs="Arial" w:eastAsia="Arial" w:hAnsi="Arial"/>
          <w:sz w:val="20"/>
          <w:szCs w:val="20"/>
          <w:color w:val="auto"/>
        </w:rPr>
        <w:t>A statement that the claimant is entitled to receive, upon request and free of charge, reasonable access to, and copies of, all Relevant Records;</w:t>
      </w:r>
    </w:p>
    <w:p>
      <w:pPr>
        <w:spacing w:after="0" w:line="175" w:lineRule="exact"/>
        <w:rPr>
          <w:rFonts w:ascii="Arial" w:cs="Arial" w:eastAsia="Arial" w:hAnsi="Arial"/>
          <w:sz w:val="20"/>
          <w:szCs w:val="20"/>
          <w:b w:val="1"/>
          <w:bCs w:val="1"/>
          <w:color w:val="auto"/>
        </w:rPr>
      </w:pPr>
    </w:p>
    <w:p>
      <w:pPr>
        <w:ind w:right="40" w:firstLine="1953"/>
        <w:spacing w:after="0" w:line="331" w:lineRule="auto"/>
        <w:tabs>
          <w:tab w:leader="none" w:pos="2407" w:val="left"/>
        </w:tabs>
        <w:numPr>
          <w:ilvl w:val="1"/>
          <w:numId w:val="113"/>
        </w:numPr>
        <w:rPr>
          <w:rFonts w:ascii="Arial" w:cs="Arial" w:eastAsia="Arial" w:hAnsi="Arial"/>
          <w:sz w:val="19"/>
          <w:szCs w:val="19"/>
          <w:b w:val="1"/>
          <w:bCs w:val="1"/>
          <w:color w:val="auto"/>
        </w:rPr>
      </w:pPr>
      <w:r>
        <w:rPr>
          <w:rFonts w:ascii="Arial" w:cs="Arial" w:eastAsia="Arial" w:hAnsi="Arial"/>
          <w:sz w:val="19"/>
          <w:szCs w:val="19"/>
          <w:color w:val="auto"/>
        </w:rPr>
        <w:t>A statement describing any voluntary appeal procedures offered by the Plan and the claimant’s right to obtain the information about such procedures described in Section 2560.503-1(c)(3)(iv) of Part 29 of the Code of Federal Regulations;</w:t>
      </w:r>
    </w:p>
    <w:p>
      <w:pPr>
        <w:spacing w:after="0" w:line="153" w:lineRule="exact"/>
        <w:rPr>
          <w:rFonts w:ascii="Arial" w:cs="Arial" w:eastAsia="Arial" w:hAnsi="Arial"/>
          <w:sz w:val="19"/>
          <w:szCs w:val="19"/>
          <w:b w:val="1"/>
          <w:bCs w:val="1"/>
          <w:color w:val="auto"/>
        </w:rPr>
      </w:pPr>
    </w:p>
    <w:p>
      <w:pPr>
        <w:ind w:left="2400" w:hanging="447"/>
        <w:spacing w:after="0"/>
        <w:tabs>
          <w:tab w:leader="none" w:pos="2400" w:val="left"/>
        </w:tabs>
        <w:numPr>
          <w:ilvl w:val="1"/>
          <w:numId w:val="113"/>
        </w:numPr>
        <w:rPr>
          <w:rFonts w:ascii="Arial" w:cs="Arial" w:eastAsia="Arial" w:hAnsi="Arial"/>
          <w:sz w:val="20"/>
          <w:szCs w:val="20"/>
          <w:b w:val="1"/>
          <w:bCs w:val="1"/>
          <w:color w:val="auto"/>
        </w:rPr>
      </w:pPr>
      <w:r>
        <w:rPr>
          <w:rFonts w:ascii="Arial" w:cs="Arial" w:eastAsia="Arial" w:hAnsi="Arial"/>
          <w:sz w:val="20"/>
          <w:szCs w:val="20"/>
          <w:color w:val="auto"/>
        </w:rPr>
        <w:t>A statement of the claimant’s right to bring an action under Section 502(a) of ERISA;</w:t>
      </w:r>
    </w:p>
    <w:p>
      <w:pPr>
        <w:spacing w:after="0" w:line="256" w:lineRule="exact"/>
        <w:rPr>
          <w:rFonts w:ascii="Arial" w:cs="Arial" w:eastAsia="Arial" w:hAnsi="Arial"/>
          <w:sz w:val="20"/>
          <w:szCs w:val="20"/>
          <w:b w:val="1"/>
          <w:bCs w:val="1"/>
          <w:color w:val="auto"/>
        </w:rPr>
      </w:pPr>
    </w:p>
    <w:p>
      <w:pPr>
        <w:ind w:right="100" w:firstLine="1953"/>
        <w:spacing w:after="0" w:line="338" w:lineRule="auto"/>
        <w:tabs>
          <w:tab w:leader="none" w:pos="2395"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In the case of an Adverse Benefit Determination involving a Disability Claim, any Notice of Adverse Benefit Determination shall set forth all of the content listed immediately above in this Section 10(c)(iv) plus the following, all provided in a culturally and linguistically appropriate manner as described in Section 2560.503-l(o) of Part 29 of the Code of Federal Regulations:</w:t>
      </w:r>
    </w:p>
    <w:p>
      <w:pPr>
        <w:spacing w:after="0" w:line="151" w:lineRule="exact"/>
        <w:rPr>
          <w:rFonts w:ascii="Arial" w:cs="Arial" w:eastAsia="Arial" w:hAnsi="Arial"/>
          <w:sz w:val="18"/>
          <w:szCs w:val="18"/>
          <w:b w:val="1"/>
          <w:bCs w:val="1"/>
          <w:color w:val="auto"/>
        </w:rPr>
      </w:pPr>
    </w:p>
    <w:p>
      <w:pPr>
        <w:ind w:firstLine="2601"/>
        <w:spacing w:after="0" w:line="292" w:lineRule="auto"/>
        <w:tabs>
          <w:tab w:leader="none" w:pos="3018" w:val="left"/>
        </w:tabs>
        <w:numPr>
          <w:ilvl w:val="2"/>
          <w:numId w:val="113"/>
        </w:numPr>
        <w:rPr>
          <w:rFonts w:ascii="Arial" w:cs="Arial" w:eastAsia="Arial" w:hAnsi="Arial"/>
          <w:sz w:val="20"/>
          <w:szCs w:val="20"/>
          <w:b w:val="1"/>
          <w:bCs w:val="1"/>
          <w:color w:val="auto"/>
        </w:rPr>
      </w:pPr>
      <w:r>
        <w:rPr>
          <w:rFonts w:ascii="Arial" w:cs="Arial" w:eastAsia="Arial" w:hAnsi="Arial"/>
          <w:sz w:val="20"/>
          <w:szCs w:val="20"/>
          <w:color w:val="auto"/>
        </w:rPr>
        <w:t>The statement of the claimant’s right to bring an action under Section 502(a) of ERISA also shall describe any applicable contractual limitations period that applies to the claimant’s right to bring such an action, including the calendar date on which the contractual limitations period expires for the claim;</w:t>
      </w:r>
    </w:p>
    <w:p>
      <w:pPr>
        <w:spacing w:after="0" w:line="186" w:lineRule="exact"/>
        <w:rPr>
          <w:rFonts w:ascii="Arial" w:cs="Arial" w:eastAsia="Arial" w:hAnsi="Arial"/>
          <w:sz w:val="20"/>
          <w:szCs w:val="20"/>
          <w:b w:val="1"/>
          <w:bCs w:val="1"/>
          <w:color w:val="auto"/>
        </w:rPr>
      </w:pPr>
    </w:p>
    <w:p>
      <w:pPr>
        <w:ind w:right="220" w:firstLine="2601"/>
        <w:spacing w:after="0" w:line="292" w:lineRule="auto"/>
        <w:tabs>
          <w:tab w:leader="none" w:pos="3022" w:val="left"/>
        </w:tabs>
        <w:numPr>
          <w:ilvl w:val="2"/>
          <w:numId w:val="113"/>
        </w:numPr>
        <w:rPr>
          <w:rFonts w:ascii="Arial" w:cs="Arial" w:eastAsia="Arial" w:hAnsi="Arial"/>
          <w:sz w:val="20"/>
          <w:szCs w:val="20"/>
          <w:b w:val="1"/>
          <w:bCs w:val="1"/>
          <w:color w:val="auto"/>
        </w:rPr>
      </w:pPr>
      <w:r>
        <w:rPr>
          <w:rFonts w:ascii="Arial" w:cs="Arial" w:eastAsia="Arial" w:hAnsi="Arial"/>
          <w:sz w:val="20"/>
          <w:szCs w:val="20"/>
          <w:color w:val="auto"/>
        </w:rPr>
        <w:t>If an internal rule, guideline, protocol, or other similar criterion was relied upon in making the Adverse Benefit Determination, either the specific rule, guideline, protocol, or other similar criterion, or, alternatively, a statement that such rules, guidelines, protocols, standards or other similar criterion do not exist;</w:t>
      </w:r>
    </w:p>
    <w:p>
      <w:pPr>
        <w:spacing w:after="0" w:line="186" w:lineRule="exact"/>
        <w:rPr>
          <w:rFonts w:ascii="Arial" w:cs="Arial" w:eastAsia="Arial" w:hAnsi="Arial"/>
          <w:sz w:val="20"/>
          <w:szCs w:val="20"/>
          <w:b w:val="1"/>
          <w:bCs w:val="1"/>
          <w:color w:val="auto"/>
        </w:rPr>
      </w:pPr>
    </w:p>
    <w:p>
      <w:pPr>
        <w:ind w:firstLine="2601"/>
        <w:spacing w:after="0" w:line="314" w:lineRule="auto"/>
        <w:tabs>
          <w:tab w:leader="none" w:pos="3022" w:val="left"/>
        </w:tabs>
        <w:numPr>
          <w:ilvl w:val="2"/>
          <w:numId w:val="113"/>
        </w:numPr>
        <w:rPr>
          <w:rFonts w:ascii="Arial" w:cs="Arial" w:eastAsia="Arial" w:hAnsi="Arial"/>
          <w:sz w:val="19"/>
          <w:szCs w:val="19"/>
          <w:b w:val="1"/>
          <w:bCs w:val="1"/>
          <w:color w:val="auto"/>
        </w:rPr>
      </w:pPr>
      <w:r>
        <w:rPr>
          <w:rFonts w:ascii="Arial" w:cs="Arial" w:eastAsia="Arial" w:hAnsi="Arial"/>
          <w:sz w:val="19"/>
          <w:szCs w:val="19"/>
          <w:color w:val="auto"/>
        </w:rPr>
        <w:t>If the Adverse Benefit Determination is based on a medical necessity or experimental treatment or similar exclusion or limit, either (x) an explanation of the scientific or clinical judgment for the determination, applying the terms of the Plan to the claimant’s medical circumstances, or (y) a statement that such explanation will be provided free of charge upon request; and</w:t>
      </w:r>
    </w:p>
    <w:p>
      <w:pPr>
        <w:spacing w:after="0" w:line="168" w:lineRule="exact"/>
        <w:rPr>
          <w:rFonts w:ascii="Arial" w:cs="Arial" w:eastAsia="Arial" w:hAnsi="Arial"/>
          <w:sz w:val="19"/>
          <w:szCs w:val="19"/>
          <w:b w:val="1"/>
          <w:bCs w:val="1"/>
          <w:color w:val="auto"/>
        </w:rPr>
      </w:pPr>
    </w:p>
    <w:p>
      <w:pPr>
        <w:jc w:val="both"/>
        <w:ind w:right="180" w:firstLine="2601"/>
        <w:spacing w:after="0" w:line="338" w:lineRule="auto"/>
        <w:tabs>
          <w:tab w:leader="none" w:pos="3011" w:val="left"/>
        </w:tabs>
        <w:numPr>
          <w:ilvl w:val="2"/>
          <w:numId w:val="113"/>
        </w:numPr>
        <w:rPr>
          <w:rFonts w:ascii="Arial" w:cs="Arial" w:eastAsia="Arial" w:hAnsi="Arial"/>
          <w:sz w:val="18"/>
          <w:szCs w:val="18"/>
          <w:b w:val="1"/>
          <w:bCs w:val="1"/>
          <w:color w:val="auto"/>
        </w:rPr>
      </w:pPr>
      <w:r>
        <w:rPr>
          <w:rFonts w:ascii="Arial" w:cs="Arial" w:eastAsia="Arial" w:hAnsi="Arial"/>
          <w:sz w:val="18"/>
          <w:szCs w:val="18"/>
          <w:color w:val="auto"/>
        </w:rPr>
        <w:t>A discussion of the decision, including an explanation or basis for disagreeing with or not following (x) the views presented by the claimant to the Plan of Health Care Professionals treating the claimant and vocational professionals who evaluated the claimant; (y) the views of medical or vocational experts whose advice was obtained on behalf of the Plan in connection with 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387" w:right="239" w:bottom="1440" w:gutter="0" w:footer="0" w:header="0"/>
        </w:sectPr>
      </w:pPr>
    </w:p>
    <w:bookmarkStart w:id="124" w:name="page125"/>
    <w:bookmarkEnd w:id="124"/>
    <w:p>
      <w:pPr>
        <w:ind w:right="240"/>
        <w:spacing w:after="0" w:line="363" w:lineRule="auto"/>
        <w:rPr>
          <w:sz w:val="20"/>
          <w:szCs w:val="20"/>
          <w:color w:val="auto"/>
        </w:rPr>
      </w:pPr>
      <w:r>
        <w:rPr>
          <w:rFonts w:ascii="Arial" w:cs="Arial" w:eastAsia="Arial" w:hAnsi="Arial"/>
          <w:sz w:val="18"/>
          <w:szCs w:val="18"/>
          <w:color w:val="auto"/>
        </w:rPr>
        <w:t>claimant’s Adverse Benefit Determination, without regard to whether the advice was relied on in making the benefit determination; and (z) a disability determination regarding the claimant presented by the claimant to the Plan made by the Social Security Administration.</w:t>
      </w:r>
    </w:p>
    <w:p>
      <w:pPr>
        <w:spacing w:after="0" w:line="124" w:lineRule="exact"/>
        <w:rPr>
          <w:sz w:val="20"/>
          <w:szCs w:val="20"/>
          <w:color w:val="auto"/>
        </w:rPr>
      </w:pPr>
    </w:p>
    <w:p>
      <w:pPr>
        <w:ind w:firstLine="1142"/>
        <w:spacing w:after="0" w:line="295" w:lineRule="auto"/>
        <w:tabs>
          <w:tab w:leader="none" w:pos="1563" w:val="left"/>
        </w:tabs>
        <w:numPr>
          <w:ilvl w:val="1"/>
          <w:numId w:val="11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Furnishing Documents. </w:t>
      </w:r>
      <w:r>
        <w:rPr>
          <w:rFonts w:ascii="Arial" w:cs="Arial" w:eastAsia="Arial" w:hAnsi="Arial"/>
          <w:sz w:val="20"/>
          <w:szCs w:val="20"/>
          <w:color w:val="auto"/>
        </w:rPr>
        <w:t>In the case of an Adverse Benefit Determination on review, the Plan Administrator shall provide</w:t>
      </w:r>
      <w:r>
        <w:rPr>
          <w:rFonts w:ascii="Arial" w:cs="Arial" w:eastAsia="Arial" w:hAnsi="Arial"/>
          <w:sz w:val="20"/>
          <w:szCs w:val="20"/>
          <w:b w:val="1"/>
          <w:bCs w:val="1"/>
          <w:color w:val="auto"/>
        </w:rPr>
        <w:t xml:space="preserve"> </w:t>
      </w:r>
      <w:r>
        <w:rPr>
          <w:rFonts w:ascii="Arial" w:cs="Arial" w:eastAsia="Arial" w:hAnsi="Arial"/>
          <w:sz w:val="20"/>
          <w:szCs w:val="20"/>
          <w:color w:val="auto"/>
        </w:rPr>
        <w:t>the claimant access to, and copies of, documents, records and other information described in Sections 10(c)(iv)(C), (D), (E) and (F)(1) above, if applicable and as appropriate.</w:t>
      </w:r>
    </w:p>
    <w:p>
      <w:pPr>
        <w:spacing w:after="0" w:line="178" w:lineRule="exact"/>
        <w:rPr>
          <w:rFonts w:ascii="Arial" w:cs="Arial" w:eastAsia="Arial" w:hAnsi="Arial"/>
          <w:sz w:val="20"/>
          <w:szCs w:val="20"/>
          <w:b w:val="1"/>
          <w:bCs w:val="1"/>
          <w:color w:val="auto"/>
        </w:rPr>
      </w:pPr>
    </w:p>
    <w:p>
      <w:pPr>
        <w:ind w:left="1100" w:hanging="444"/>
        <w:spacing w:after="0"/>
        <w:tabs>
          <w:tab w:leader="none" w:pos="1100"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Calculating Time Periods.</w:t>
      </w:r>
    </w:p>
    <w:p>
      <w:pPr>
        <w:spacing w:after="0" w:line="256" w:lineRule="exact"/>
        <w:rPr>
          <w:rFonts w:ascii="Arial" w:cs="Arial" w:eastAsia="Arial" w:hAnsi="Arial"/>
          <w:sz w:val="20"/>
          <w:szCs w:val="20"/>
          <w:b w:val="1"/>
          <w:bCs w:val="1"/>
          <w:color w:val="auto"/>
        </w:rPr>
      </w:pPr>
    </w:p>
    <w:p>
      <w:pPr>
        <w:ind w:right="100" w:firstLine="1142"/>
        <w:spacing w:after="0" w:line="287" w:lineRule="auto"/>
        <w:tabs>
          <w:tab w:leader="none" w:pos="1519" w:val="left"/>
        </w:tabs>
        <w:numPr>
          <w:ilvl w:val="1"/>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Calculating Time Periods for Initial Benefit Determination. </w:t>
      </w:r>
      <w:r>
        <w:rPr>
          <w:rFonts w:ascii="Arial" w:cs="Arial" w:eastAsia="Arial" w:hAnsi="Arial"/>
          <w:sz w:val="20"/>
          <w:szCs w:val="20"/>
          <w:color w:val="auto"/>
        </w:rPr>
        <w:t>The period of time within which a benefit determination is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be made shall begin at the time a claim is filed, without regard to whether all the information necessary to make a benefit determination accompanies the filing. In the case of a Disability Claim, in the event that a period of time for making the benefit determination is extended due to a claimant’s failure to submit information necessary to decide a claim, the period for making the benefit determination shall be tolled from the date on which the Notification of the extension is sent to the claimant until the date on which the claimant responds to the request for additional information.</w:t>
      </w:r>
    </w:p>
    <w:p>
      <w:pPr>
        <w:spacing w:after="0" w:line="187" w:lineRule="exact"/>
        <w:rPr>
          <w:sz w:val="20"/>
          <w:szCs w:val="20"/>
          <w:color w:val="auto"/>
        </w:rPr>
      </w:pPr>
    </w:p>
    <w:p>
      <w:pPr>
        <w:ind w:right="80" w:firstLine="1142"/>
        <w:spacing w:after="0" w:line="287" w:lineRule="auto"/>
        <w:tabs>
          <w:tab w:leader="none" w:pos="1574" w:val="left"/>
        </w:tabs>
        <w:numPr>
          <w:ilvl w:val="1"/>
          <w:numId w:val="11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Calculating Time Periods for Benefit Determination on Review. </w:t>
      </w:r>
      <w:r>
        <w:rPr>
          <w:rFonts w:ascii="Arial" w:cs="Arial" w:eastAsia="Arial" w:hAnsi="Arial"/>
          <w:sz w:val="20"/>
          <w:szCs w:val="20"/>
          <w:color w:val="auto"/>
        </w:rPr>
        <w:t>The period of time within which a benefit</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determination on review is required to be made shall begin at the time an appeal is filed, without regard to whether all the information necessary to make a benefit determination on review accompanies the filing. In the event that the period of time for making the benefit determination on review is extended due to a claimant’s failure to submit information necessary to decide a claim, the period for making the benefit determination on review shall be tolled from the date on which the Notification of the extension is sent to the claimant until the date on which the claimant responds to the request for additional information.</w:t>
      </w:r>
    </w:p>
    <w:p>
      <w:pPr>
        <w:spacing w:after="0" w:line="186" w:lineRule="exact"/>
        <w:rPr>
          <w:rFonts w:ascii="Arial" w:cs="Arial" w:eastAsia="Arial" w:hAnsi="Arial"/>
          <w:sz w:val="20"/>
          <w:szCs w:val="20"/>
          <w:b w:val="1"/>
          <w:bCs w:val="1"/>
          <w:color w:val="auto"/>
        </w:rPr>
      </w:pPr>
    </w:p>
    <w:p>
      <w:pPr>
        <w:ind w:left="1080" w:hanging="424"/>
        <w:spacing w:after="0"/>
        <w:tabs>
          <w:tab w:leader="none" w:pos="1080"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for Claims and Appeals Procedures.</w:t>
      </w:r>
    </w:p>
    <w:p>
      <w:pPr>
        <w:spacing w:after="0" w:line="256" w:lineRule="exact"/>
        <w:rPr>
          <w:rFonts w:ascii="Arial" w:cs="Arial" w:eastAsia="Arial" w:hAnsi="Arial"/>
          <w:sz w:val="20"/>
          <w:szCs w:val="20"/>
          <w:b w:val="1"/>
          <w:bCs w:val="1"/>
          <w:color w:val="auto"/>
        </w:rPr>
      </w:pPr>
    </w:p>
    <w:p>
      <w:pPr>
        <w:ind w:left="1520" w:hanging="378"/>
        <w:spacing w:after="0"/>
        <w:tabs>
          <w:tab w:leader="none" w:pos="1520" w:val="left"/>
        </w:tabs>
        <w:numPr>
          <w:ilvl w:val="1"/>
          <w:numId w:val="117"/>
        </w:numPr>
        <w:rPr>
          <w:rFonts w:ascii="Arial" w:cs="Arial" w:eastAsia="Arial" w:hAnsi="Arial"/>
          <w:sz w:val="20"/>
          <w:szCs w:val="20"/>
          <w:b w:val="1"/>
          <w:bCs w:val="1"/>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Adverse Benefit Determination</w:t>
      </w:r>
      <w:r>
        <w:rPr>
          <w:rFonts w:ascii="Arial" w:cs="Arial" w:eastAsia="Arial" w:hAnsi="Arial"/>
          <w:sz w:val="20"/>
          <w:szCs w:val="20"/>
          <w:color w:val="auto"/>
        </w:rPr>
        <w:t>” means any of the following:</w:t>
      </w:r>
    </w:p>
    <w:p>
      <w:pPr>
        <w:spacing w:after="0" w:line="262" w:lineRule="exact"/>
        <w:rPr>
          <w:rFonts w:ascii="Arial" w:cs="Arial" w:eastAsia="Arial" w:hAnsi="Arial"/>
          <w:sz w:val="20"/>
          <w:szCs w:val="20"/>
          <w:b w:val="1"/>
          <w:bCs w:val="1"/>
          <w:color w:val="auto"/>
        </w:rPr>
      </w:pPr>
    </w:p>
    <w:p>
      <w:pPr>
        <w:ind w:firstLine="1953"/>
        <w:spacing w:after="0" w:line="292" w:lineRule="auto"/>
        <w:tabs>
          <w:tab w:leader="none" w:pos="2407" w:val="left"/>
        </w:tabs>
        <w:numPr>
          <w:ilvl w:val="2"/>
          <w:numId w:val="117"/>
        </w:numPr>
        <w:rPr>
          <w:rFonts w:ascii="Arial" w:cs="Arial" w:eastAsia="Arial" w:hAnsi="Arial"/>
          <w:sz w:val="20"/>
          <w:szCs w:val="20"/>
          <w:b w:val="1"/>
          <w:bCs w:val="1"/>
          <w:color w:val="auto"/>
        </w:rPr>
      </w:pPr>
      <w:r>
        <w:rPr>
          <w:rFonts w:ascii="Arial" w:cs="Arial" w:eastAsia="Arial" w:hAnsi="Arial"/>
          <w:sz w:val="20"/>
          <w:szCs w:val="20"/>
          <w:color w:val="auto"/>
        </w:rPr>
        <w:t>A denial, reduction, or termination of, or a failure to provide or make payment (in whole or in part) for, a benefit, including any such denial, reduction, termination, or failure to provide or make payment that is based on a determination of an individual’s eligibility to participate in the Plan; and</w:t>
      </w:r>
    </w:p>
    <w:p>
      <w:pPr>
        <w:spacing w:after="0" w:line="186" w:lineRule="exact"/>
        <w:rPr>
          <w:rFonts w:ascii="Arial" w:cs="Arial" w:eastAsia="Arial" w:hAnsi="Arial"/>
          <w:sz w:val="20"/>
          <w:szCs w:val="20"/>
          <w:b w:val="1"/>
          <w:bCs w:val="1"/>
          <w:color w:val="auto"/>
        </w:rPr>
      </w:pPr>
    </w:p>
    <w:p>
      <w:pPr>
        <w:ind w:right="480" w:firstLine="1953"/>
        <w:spacing w:after="0" w:line="288" w:lineRule="auto"/>
        <w:tabs>
          <w:tab w:leader="none" w:pos="2396" w:val="left"/>
        </w:tabs>
        <w:numPr>
          <w:ilvl w:val="2"/>
          <w:numId w:val="117"/>
        </w:numPr>
        <w:rPr>
          <w:rFonts w:ascii="Arial" w:cs="Arial" w:eastAsia="Arial" w:hAnsi="Arial"/>
          <w:sz w:val="20"/>
          <w:szCs w:val="20"/>
          <w:b w:val="1"/>
          <w:bCs w:val="1"/>
          <w:color w:val="auto"/>
        </w:rPr>
      </w:pPr>
      <w:r>
        <w:rPr>
          <w:rFonts w:ascii="Arial" w:cs="Arial" w:eastAsia="Arial" w:hAnsi="Arial"/>
          <w:sz w:val="20"/>
          <w:szCs w:val="20"/>
          <w:color w:val="auto"/>
        </w:rPr>
        <w:t>Any rescission of Disability coverage with respect to an individual (whether or not, in connection with the rescission, there is an adverse effect on any particular benefit at that time). For this purpose, the term “rescission” means a cancellation or discontinuance of coverage that has retroactive effect, except to the extent it is attributable to failure to timely pay required premiums or contributions toward the cost of coverage.</w:t>
      </w:r>
    </w:p>
    <w:p>
      <w:pPr>
        <w:spacing w:after="0" w:line="193" w:lineRule="exact"/>
        <w:rPr>
          <w:sz w:val="20"/>
          <w:szCs w:val="20"/>
          <w:color w:val="auto"/>
        </w:rPr>
      </w:pPr>
    </w:p>
    <w:p>
      <w:pPr>
        <w:ind w:right="480" w:firstLine="1142"/>
        <w:spacing w:after="0" w:line="303" w:lineRule="auto"/>
        <w:tabs>
          <w:tab w:leader="none" w:pos="1574" w:val="left"/>
        </w:tabs>
        <w:numPr>
          <w:ilvl w:val="0"/>
          <w:numId w:val="118"/>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Disability Claim</w:t>
      </w:r>
      <w:r>
        <w:rPr>
          <w:rFonts w:ascii="Arial" w:cs="Arial" w:eastAsia="Arial" w:hAnsi="Arial"/>
          <w:sz w:val="20"/>
          <w:szCs w:val="20"/>
          <w:color w:val="auto"/>
        </w:rPr>
        <w:t>” means a claim for benefits under the Plan based on a Participant’s Covered Termination due to the Participant’s Disability.</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380"/>
          </w:cols>
          <w:pgMar w:left="240" w:top="393" w:right="279" w:bottom="1440" w:gutter="0" w:footer="0" w:header="0"/>
        </w:sectPr>
      </w:pPr>
    </w:p>
    <w:bookmarkStart w:id="125" w:name="page126"/>
    <w:bookmarkEnd w:id="125"/>
    <w:p>
      <w:pPr>
        <w:ind w:right="40" w:firstLine="1142"/>
        <w:spacing w:after="0" w:line="309" w:lineRule="auto"/>
        <w:tabs>
          <w:tab w:leader="none" w:pos="1629"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Health Care Professional</w:t>
      </w:r>
      <w:r>
        <w:rPr>
          <w:rFonts w:ascii="Arial" w:cs="Arial" w:eastAsia="Arial" w:hAnsi="Arial"/>
          <w:sz w:val="20"/>
          <w:szCs w:val="20"/>
          <w:color w:val="auto"/>
        </w:rPr>
        <w:t>” means a physician or other health care professional who is licensed, accredited, or certified to</w:t>
      </w:r>
      <w:r>
        <w:rPr>
          <w:rFonts w:ascii="Arial" w:cs="Arial" w:eastAsia="Arial" w:hAnsi="Arial"/>
          <w:sz w:val="20"/>
          <w:szCs w:val="20"/>
          <w:b w:val="1"/>
          <w:bCs w:val="1"/>
          <w:color w:val="auto"/>
        </w:rPr>
        <w:t xml:space="preserve"> </w:t>
      </w:r>
      <w:r>
        <w:rPr>
          <w:rFonts w:ascii="Arial" w:cs="Arial" w:eastAsia="Arial" w:hAnsi="Arial"/>
          <w:sz w:val="20"/>
          <w:szCs w:val="20"/>
          <w:color w:val="auto"/>
        </w:rPr>
        <w:t>perform specified health services consistent with applicable state law.</w:t>
      </w:r>
    </w:p>
    <w:p>
      <w:pPr>
        <w:spacing w:after="0" w:line="164" w:lineRule="exact"/>
        <w:rPr>
          <w:rFonts w:ascii="Arial" w:cs="Arial" w:eastAsia="Arial" w:hAnsi="Arial"/>
          <w:sz w:val="20"/>
          <w:szCs w:val="20"/>
          <w:b w:val="1"/>
          <w:bCs w:val="1"/>
          <w:color w:val="auto"/>
        </w:rPr>
      </w:pPr>
    </w:p>
    <w:p>
      <w:pPr>
        <w:ind w:right="40" w:firstLine="1142"/>
        <w:spacing w:after="0" w:line="295" w:lineRule="auto"/>
        <w:tabs>
          <w:tab w:leader="none" w:pos="1618"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Notice” or “Notification”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delivery or furnishing of information to an individual in a manner that satisfies the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of the Section 2520.104b-1(b) of Part 29 of the Code of Federal Regulations as appropriate with respect to material required to be furnished or made available to an individual.</w:t>
      </w:r>
    </w:p>
    <w:p>
      <w:pPr>
        <w:spacing w:after="0" w:line="178" w:lineRule="exact"/>
        <w:rPr>
          <w:rFonts w:ascii="Arial" w:cs="Arial" w:eastAsia="Arial" w:hAnsi="Arial"/>
          <w:sz w:val="20"/>
          <w:szCs w:val="20"/>
          <w:b w:val="1"/>
          <w:bCs w:val="1"/>
          <w:color w:val="auto"/>
        </w:rPr>
      </w:pPr>
    </w:p>
    <w:p>
      <w:pPr>
        <w:ind w:left="1580" w:hanging="438"/>
        <w:spacing w:after="0"/>
        <w:tabs>
          <w:tab w:leader="none" w:pos="1580"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Relevant Records”</w:t>
      </w:r>
      <w:r>
        <w:rPr>
          <w:rFonts w:ascii="Arial" w:cs="Arial" w:eastAsia="Arial" w:hAnsi="Arial"/>
          <w:sz w:val="20"/>
          <w:szCs w:val="20"/>
          <w:b w:val="1"/>
          <w:bCs w:val="1"/>
          <w:color w:val="auto"/>
        </w:rPr>
        <w:t xml:space="preserve"> </w:t>
      </w:r>
      <w:r>
        <w:rPr>
          <w:rFonts w:ascii="Arial" w:cs="Arial" w:eastAsia="Arial" w:hAnsi="Arial"/>
          <w:sz w:val="20"/>
          <w:szCs w:val="20"/>
          <w:color w:val="auto"/>
        </w:rPr>
        <w:t>means any document, record, or other information that:</w:t>
      </w:r>
    </w:p>
    <w:p>
      <w:pPr>
        <w:spacing w:after="0" w:line="262" w:lineRule="exact"/>
        <w:rPr>
          <w:rFonts w:ascii="Arial" w:cs="Arial" w:eastAsia="Arial" w:hAnsi="Arial"/>
          <w:sz w:val="20"/>
          <w:szCs w:val="20"/>
          <w:b w:val="1"/>
          <w:bCs w:val="1"/>
          <w:color w:val="auto"/>
        </w:rPr>
      </w:pPr>
    </w:p>
    <w:p>
      <w:pPr>
        <w:ind w:left="2420" w:hanging="467"/>
        <w:spacing w:after="0"/>
        <w:tabs>
          <w:tab w:leader="none" w:pos="2420" w:val="left"/>
        </w:tabs>
        <w:numPr>
          <w:ilvl w:val="1"/>
          <w:numId w:val="119"/>
        </w:numPr>
        <w:rPr>
          <w:rFonts w:ascii="Arial" w:cs="Arial" w:eastAsia="Arial" w:hAnsi="Arial"/>
          <w:sz w:val="20"/>
          <w:szCs w:val="20"/>
          <w:b w:val="1"/>
          <w:bCs w:val="1"/>
          <w:color w:val="auto"/>
        </w:rPr>
      </w:pPr>
      <w:r>
        <w:rPr>
          <w:rFonts w:ascii="Arial" w:cs="Arial" w:eastAsia="Arial" w:hAnsi="Arial"/>
          <w:sz w:val="20"/>
          <w:szCs w:val="20"/>
          <w:color w:val="auto"/>
        </w:rPr>
        <w:t>The Plan Administrator relied upon in making the benefit determination for the claimant’s claim;</w:t>
      </w:r>
    </w:p>
    <w:p>
      <w:pPr>
        <w:spacing w:after="0" w:line="256" w:lineRule="exact"/>
        <w:rPr>
          <w:rFonts w:ascii="Arial" w:cs="Arial" w:eastAsia="Arial" w:hAnsi="Arial"/>
          <w:sz w:val="20"/>
          <w:szCs w:val="20"/>
          <w:b w:val="1"/>
          <w:bCs w:val="1"/>
          <w:color w:val="auto"/>
        </w:rPr>
      </w:pPr>
    </w:p>
    <w:p>
      <w:pPr>
        <w:ind w:right="400" w:firstLine="1953"/>
        <w:spacing w:after="0" w:line="438" w:lineRule="auto"/>
        <w:tabs>
          <w:tab w:leader="none" w:pos="2403" w:val="left"/>
        </w:tabs>
        <w:numPr>
          <w:ilvl w:val="1"/>
          <w:numId w:val="119"/>
        </w:numPr>
        <w:rPr>
          <w:rFonts w:ascii="Arial" w:cs="Arial" w:eastAsia="Arial" w:hAnsi="Arial"/>
          <w:sz w:val="16"/>
          <w:szCs w:val="16"/>
          <w:b w:val="1"/>
          <w:bCs w:val="1"/>
          <w:color w:val="auto"/>
        </w:rPr>
      </w:pPr>
      <w:r>
        <w:rPr>
          <w:rFonts w:ascii="Arial" w:cs="Arial" w:eastAsia="Arial" w:hAnsi="Arial"/>
          <w:sz w:val="16"/>
          <w:szCs w:val="16"/>
          <w:color w:val="auto"/>
        </w:rPr>
        <w:t>Was submitted, considered, or generated in the course of making the benefit determination for the claimant’s claim, without regard to whether such document, record, or other information was relied upon in making the benefit determination;</w:t>
      </w:r>
    </w:p>
    <w:p>
      <w:pPr>
        <w:spacing w:after="0" w:line="84" w:lineRule="exact"/>
        <w:rPr>
          <w:rFonts w:ascii="Arial" w:cs="Arial" w:eastAsia="Arial" w:hAnsi="Arial"/>
          <w:sz w:val="16"/>
          <w:szCs w:val="16"/>
          <w:b w:val="1"/>
          <w:bCs w:val="1"/>
          <w:color w:val="auto"/>
        </w:rPr>
      </w:pPr>
    </w:p>
    <w:p>
      <w:pPr>
        <w:ind w:left="2420" w:hanging="467"/>
        <w:spacing w:after="0"/>
        <w:tabs>
          <w:tab w:leader="none" w:pos="2420" w:val="left"/>
        </w:tabs>
        <w:numPr>
          <w:ilvl w:val="1"/>
          <w:numId w:val="119"/>
        </w:numPr>
        <w:rPr>
          <w:rFonts w:ascii="Arial" w:cs="Arial" w:eastAsia="Arial" w:hAnsi="Arial"/>
          <w:sz w:val="19"/>
          <w:szCs w:val="19"/>
          <w:b w:val="1"/>
          <w:bCs w:val="1"/>
          <w:color w:val="auto"/>
        </w:rPr>
      </w:pPr>
      <w:r>
        <w:rPr>
          <w:rFonts w:ascii="Arial" w:cs="Arial" w:eastAsia="Arial" w:hAnsi="Arial"/>
          <w:sz w:val="19"/>
          <w:szCs w:val="19"/>
          <w:color w:val="auto"/>
        </w:rPr>
        <w:t>Demonstrates compliance with the administrative processes and safeguards required pursuant to Section</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2560.503-1(b)(5) of Part 29 of the Code of Federal Regulations in making the benefit determination for the claimant’s claim; or</w:t>
      </w:r>
    </w:p>
    <w:p>
      <w:pPr>
        <w:spacing w:after="0" w:line="256" w:lineRule="exact"/>
        <w:rPr>
          <w:sz w:val="20"/>
          <w:szCs w:val="20"/>
          <w:color w:val="auto"/>
        </w:rPr>
      </w:pPr>
    </w:p>
    <w:p>
      <w:pPr>
        <w:ind w:right="240" w:firstLine="1953"/>
        <w:spacing w:after="0" w:line="292" w:lineRule="auto"/>
        <w:tabs>
          <w:tab w:leader="none" w:pos="2417" w:val="left"/>
        </w:tabs>
        <w:numPr>
          <w:ilvl w:val="2"/>
          <w:numId w:val="120"/>
        </w:numPr>
        <w:rPr>
          <w:rFonts w:ascii="Arial" w:cs="Arial" w:eastAsia="Arial" w:hAnsi="Arial"/>
          <w:sz w:val="20"/>
          <w:szCs w:val="20"/>
          <w:b w:val="1"/>
          <w:bCs w:val="1"/>
          <w:color w:val="auto"/>
        </w:rPr>
      </w:pPr>
      <w:r>
        <w:rPr>
          <w:rFonts w:ascii="Arial" w:cs="Arial" w:eastAsia="Arial" w:hAnsi="Arial"/>
          <w:sz w:val="20"/>
          <w:szCs w:val="20"/>
          <w:color w:val="auto"/>
        </w:rPr>
        <w:t>In the case of a Disability Claim, constitutes a statement of policy or guidance with respect to the Plan concerning the denied treatment option or benefit for the claimant’s diagnosis, without regard to whether such advice or statement was relied upon in making the benefit determination.</w:t>
      </w:r>
    </w:p>
    <w:p>
      <w:pPr>
        <w:spacing w:after="0" w:line="180" w:lineRule="exact"/>
        <w:rPr>
          <w:rFonts w:ascii="Arial" w:cs="Arial" w:eastAsia="Arial" w:hAnsi="Arial"/>
          <w:sz w:val="20"/>
          <w:szCs w:val="20"/>
          <w:b w:val="1"/>
          <w:bCs w:val="1"/>
          <w:color w:val="auto"/>
        </w:rPr>
      </w:pPr>
    </w:p>
    <w:p>
      <w:pPr>
        <w:ind w:left="1060" w:hanging="404"/>
        <w:spacing w:after="0"/>
        <w:tabs>
          <w:tab w:leader="none" w:pos="1060"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color w:val="auto"/>
        </w:rPr>
        <w:t>Exhaustion of Remedies.</w:t>
      </w:r>
    </w:p>
    <w:p>
      <w:pPr>
        <w:spacing w:after="0" w:line="256" w:lineRule="exact"/>
        <w:rPr>
          <w:rFonts w:ascii="Arial" w:cs="Arial" w:eastAsia="Arial" w:hAnsi="Arial"/>
          <w:sz w:val="20"/>
          <w:szCs w:val="20"/>
          <w:b w:val="1"/>
          <w:bCs w:val="1"/>
          <w:color w:val="auto"/>
        </w:rPr>
      </w:pPr>
    </w:p>
    <w:p>
      <w:pPr>
        <w:ind w:firstLine="1142"/>
        <w:spacing w:after="0" w:line="322" w:lineRule="auto"/>
        <w:tabs>
          <w:tab w:leader="none" w:pos="1519" w:val="left"/>
        </w:tabs>
        <w:numPr>
          <w:ilvl w:val="1"/>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Claims other than Disability Claims. </w:t>
      </w:r>
      <w:r>
        <w:rPr>
          <w:rFonts w:ascii="Arial" w:cs="Arial" w:eastAsia="Arial" w:hAnsi="Arial"/>
          <w:sz w:val="18"/>
          <w:szCs w:val="18"/>
          <w:color w:val="auto"/>
        </w:rPr>
        <w:t>In the case of a claim that is not a Disability Claim, no legal action for benefits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may be brought until the claimant (A) has submitted a written claim for benefits in accordance with the procedures described by Section 10(a) above, (B) has been notified by the Plan Administrator that the claim is denied, (C) has filed a written request for a review of the claim in accordance with the appeal procedure described in Section 10(c) above, and (D) has been notified that the Plan Administrator has denied the appeal. Notwithstanding the foregoing, if the Plan fails to establish or follow claims procedures consistent with the applicable Department of Labor regulations, the claimant may bring legal action for benefits under the Plan pursuant to Section 502(a) of ERISA on the basis that the Plan has failed to provide a reasonable claims procedure that would yield a decision on the merits of the claim.</w:t>
      </w:r>
    </w:p>
    <w:p>
      <w:pPr>
        <w:spacing w:after="0" w:line="162" w:lineRule="exact"/>
        <w:rPr>
          <w:rFonts w:ascii="Arial" w:cs="Arial" w:eastAsia="Arial" w:hAnsi="Arial"/>
          <w:sz w:val="18"/>
          <w:szCs w:val="18"/>
          <w:b w:val="1"/>
          <w:bCs w:val="1"/>
          <w:color w:val="auto"/>
        </w:rPr>
      </w:pPr>
    </w:p>
    <w:p>
      <w:pPr>
        <w:ind w:right="100" w:firstLine="1142"/>
        <w:spacing w:after="0" w:line="288" w:lineRule="auto"/>
        <w:tabs>
          <w:tab w:leader="none" w:pos="1574" w:val="left"/>
        </w:tabs>
        <w:numPr>
          <w:ilvl w:val="1"/>
          <w:numId w:val="12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Disability Claims. </w:t>
      </w:r>
      <w:r>
        <w:rPr>
          <w:rFonts w:ascii="Arial" w:cs="Arial" w:eastAsia="Arial" w:hAnsi="Arial"/>
          <w:sz w:val="20"/>
          <w:szCs w:val="20"/>
          <w:color w:val="auto"/>
        </w:rPr>
        <w:t>In the case of a Disability Claim, if the Plan fails to strictly adhere to all the requirements of these</w:t>
      </w:r>
      <w:r>
        <w:rPr>
          <w:rFonts w:ascii="Arial" w:cs="Arial" w:eastAsia="Arial" w:hAnsi="Arial"/>
          <w:sz w:val="20"/>
          <w:szCs w:val="20"/>
          <w:b w:val="1"/>
          <w:bCs w:val="1"/>
          <w:color w:val="auto"/>
        </w:rPr>
        <w:t xml:space="preserve"> </w:t>
      </w:r>
      <w:r>
        <w:rPr>
          <w:rFonts w:ascii="Arial" w:cs="Arial" w:eastAsia="Arial" w:hAnsi="Arial"/>
          <w:sz w:val="20"/>
          <w:szCs w:val="20"/>
          <w:color w:val="auto"/>
        </w:rPr>
        <w:t>procedures and applicable Department of Labor regulations for Disability Claims, the claimant is deemed to have exhausted the administrative remedies available under the Plan except as provided in the paragraph immediately below. Accordingly, the claimant is entitled to pursue any available remedies under Section 502(a) of ERISA on the basis that the Plan has failed to provide a reasonable claims procedure that would yield a decision on the merits of the claim. If a</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00"/>
          </w:cols>
          <w:pgMar w:left="240" w:top="387" w:right="259" w:bottom="1440" w:gutter="0" w:footer="0" w:header="0"/>
        </w:sectPr>
      </w:pPr>
    </w:p>
    <w:bookmarkStart w:id="126" w:name="page127"/>
    <w:bookmarkEnd w:id="126"/>
    <w:p>
      <w:pPr>
        <w:ind w:right="560"/>
        <w:spacing w:after="0" w:line="303" w:lineRule="auto"/>
        <w:rPr>
          <w:sz w:val="20"/>
          <w:szCs w:val="20"/>
          <w:color w:val="auto"/>
        </w:rPr>
      </w:pPr>
      <w:r>
        <w:rPr>
          <w:rFonts w:ascii="Arial" w:cs="Arial" w:eastAsia="Arial" w:hAnsi="Arial"/>
          <w:sz w:val="20"/>
          <w:szCs w:val="20"/>
          <w:color w:val="auto"/>
        </w:rPr>
        <w:t>claimant chooses to pursue remedies under Section 502(a) of ERISA under such circumstances, the Disability Claim or appeal is deemed denied on review without the exercise of discretion by an appropriate fiduciary.</w:t>
      </w:r>
    </w:p>
    <w:p>
      <w:pPr>
        <w:spacing w:after="0" w:line="176" w:lineRule="exact"/>
        <w:rPr>
          <w:sz w:val="20"/>
          <w:szCs w:val="20"/>
          <w:color w:val="auto"/>
        </w:rPr>
      </w:pPr>
    </w:p>
    <w:p>
      <w:pPr>
        <w:ind w:firstLine="648"/>
        <w:spacing w:after="0" w:line="318" w:lineRule="auto"/>
        <w:rPr>
          <w:sz w:val="20"/>
          <w:szCs w:val="20"/>
          <w:color w:val="auto"/>
        </w:rPr>
      </w:pPr>
      <w:r>
        <w:rPr>
          <w:rFonts w:ascii="Arial" w:cs="Arial" w:eastAsia="Arial" w:hAnsi="Arial"/>
          <w:sz w:val="18"/>
          <w:szCs w:val="18"/>
          <w:color w:val="auto"/>
        </w:rPr>
        <w:t xml:space="preserve">Notwithstanding the preceding paragraph, the administrative remedies available under the Plan with respect to Disability Claims will not be deemed exhausted based on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violations that do not cause, and are not likely to cause, prejudice or harm to the claimant so long as the Plan demonstrates that the violation was for good cause or due to matters beyond the control of the Plan and that the violation occurred in the context of an ongoing, good faith exchange of information between the Plan and the claimant. This exception is not available if the violation is part of a pattern or practice of violations by the Plan. The claimant may request a written explanation of the violation from the Plan, and the Plan must provide such explanation within 10 days, including a specific description of its bases, if any, for asserting that the violation should not cause the administrative remedies available under the Plan to be deemed exhausted. If a court rejects the claimant’s request for immediate review under the preceding paragraph on the basis that the Plan met the standards for the exception under this paragraph, the Disability Claim shall be considered as refiled on appeal upon the Plan’s receipt of the decision of the court. Within a reasonable time after receipt of the decision, the Plan shall provide the claimant with Notice of the resubmission.</w:t>
      </w:r>
    </w:p>
    <w:p>
      <w:pPr>
        <w:spacing w:after="0" w:line="169"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9"/>
          <w:szCs w:val="19"/>
          <w:b w:val="1"/>
          <w:bCs w:val="1"/>
          <w:color w:val="auto"/>
        </w:rPr>
        <w:t>BASIS OF PAYMENTS TO AND FROM PLAN.</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The Plan shall be unfunded, and all benefits hereunder shall be paid only from the general assets of the Company.</w:t>
      </w:r>
    </w:p>
    <w:p>
      <w:pPr>
        <w:spacing w:after="0" w:line="250"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SECTION 12.</w:t>
        <w:tab/>
        <w:t>OTHER PLAN INFORMATION.</w:t>
      </w:r>
    </w:p>
    <w:p>
      <w:pPr>
        <w:spacing w:after="0" w:line="256" w:lineRule="exact"/>
        <w:rPr>
          <w:sz w:val="20"/>
          <w:szCs w:val="20"/>
          <w:color w:val="auto"/>
        </w:rPr>
      </w:pPr>
    </w:p>
    <w:p>
      <w:pPr>
        <w:ind w:right="20" w:firstLine="656"/>
        <w:spacing w:after="0" w:line="295" w:lineRule="auto"/>
        <w:tabs>
          <w:tab w:leader="none" w:pos="1077"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Employer and Plan Identification Numbers. </w:t>
      </w:r>
      <w:r>
        <w:rPr>
          <w:rFonts w:ascii="Arial" w:cs="Arial" w:eastAsia="Arial" w:hAnsi="Arial"/>
          <w:sz w:val="20"/>
          <w:szCs w:val="20"/>
          <w:color w:val="auto"/>
        </w:rPr>
        <w:t>The Employer Identification Number assigned to the Company (which is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Sponsor” as that term is used in ERISA) by the Internal Revenue Service is 98-1032470. The Plan Number assigned to the Plan by the Plan Sponsor pursuant to the instructions of the Internal Revenue Service is 502.</w:t>
      </w:r>
    </w:p>
    <w:p>
      <w:pPr>
        <w:spacing w:after="0" w:line="178" w:lineRule="exact"/>
        <w:rPr>
          <w:rFonts w:ascii="Arial" w:cs="Arial" w:eastAsia="Arial" w:hAnsi="Arial"/>
          <w:sz w:val="20"/>
          <w:szCs w:val="20"/>
          <w:b w:val="1"/>
          <w:bCs w:val="1"/>
          <w:color w:val="auto"/>
        </w:rPr>
      </w:pPr>
    </w:p>
    <w:p>
      <w:pPr>
        <w:ind w:right="320" w:firstLine="656"/>
        <w:spacing w:after="0" w:line="309" w:lineRule="auto"/>
        <w:tabs>
          <w:tab w:leader="none" w:pos="1088"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Ending Date for Plan’s Fiscal Year. </w:t>
      </w:r>
      <w:r>
        <w:rPr>
          <w:rFonts w:ascii="Arial" w:cs="Arial" w:eastAsia="Arial" w:hAnsi="Arial"/>
          <w:sz w:val="20"/>
          <w:szCs w:val="20"/>
          <w:color w:val="auto"/>
        </w:rPr>
        <w:t>The date of the end of the fiscal year for the purpose of maintaining the Plan’s records is</w:t>
      </w:r>
      <w:r>
        <w:rPr>
          <w:rFonts w:ascii="Arial" w:cs="Arial" w:eastAsia="Arial" w:hAnsi="Arial"/>
          <w:sz w:val="20"/>
          <w:szCs w:val="20"/>
          <w:b w:val="1"/>
          <w:bCs w:val="1"/>
          <w:color w:val="auto"/>
        </w:rPr>
        <w:t xml:space="preserve"> </w:t>
      </w:r>
      <w:r>
        <w:rPr>
          <w:rFonts w:ascii="Arial" w:cs="Arial" w:eastAsia="Arial" w:hAnsi="Arial"/>
          <w:sz w:val="20"/>
          <w:szCs w:val="20"/>
          <w:color w:val="auto"/>
        </w:rPr>
        <w:t>December 31.</w:t>
      </w:r>
    </w:p>
    <w:p>
      <w:pPr>
        <w:spacing w:after="0" w:line="164" w:lineRule="exact"/>
        <w:rPr>
          <w:rFonts w:ascii="Arial" w:cs="Arial" w:eastAsia="Arial" w:hAnsi="Arial"/>
          <w:sz w:val="20"/>
          <w:szCs w:val="20"/>
          <w:b w:val="1"/>
          <w:bCs w:val="1"/>
          <w:color w:val="auto"/>
        </w:rPr>
      </w:pPr>
    </w:p>
    <w:p>
      <w:pPr>
        <w:ind w:left="1080" w:hanging="424"/>
        <w:spacing w:after="0"/>
        <w:tabs>
          <w:tab w:leader="none" w:pos="1080"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Agent for the Service of Legal Process. </w:t>
      </w:r>
      <w:r>
        <w:rPr>
          <w:rFonts w:ascii="Arial" w:cs="Arial" w:eastAsia="Arial" w:hAnsi="Arial"/>
          <w:sz w:val="20"/>
          <w:szCs w:val="20"/>
          <w:color w:val="auto"/>
        </w:rPr>
        <w:t>The agent for the service of legal process with respect to the Plan is: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Jazz Pharmaceuticals plc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Attn: General Counsel</w:t>
      </w:r>
    </w:p>
    <w:p>
      <w:pPr>
        <w:jc w:val="center"/>
        <w:spacing w:after="0"/>
        <w:rPr>
          <w:sz w:val="20"/>
          <w:szCs w:val="20"/>
          <w:color w:val="auto"/>
        </w:rPr>
      </w:pPr>
      <w:r>
        <w:rPr>
          <w:rFonts w:ascii="Arial" w:cs="Arial" w:eastAsia="Arial" w:hAnsi="Arial"/>
          <w:sz w:val="20"/>
          <w:szCs w:val="20"/>
          <w:color w:val="auto"/>
        </w:rPr>
        <w:t>c/o Jazz Pharmaceuticals, Inc.</w:t>
      </w:r>
    </w:p>
    <w:p>
      <w:pPr>
        <w:jc w:val="center"/>
        <w:spacing w:after="0"/>
        <w:rPr>
          <w:sz w:val="20"/>
          <w:szCs w:val="20"/>
          <w:color w:val="auto"/>
        </w:rPr>
      </w:pPr>
      <w:r>
        <w:rPr>
          <w:rFonts w:ascii="Arial" w:cs="Arial" w:eastAsia="Arial" w:hAnsi="Arial"/>
          <w:sz w:val="20"/>
          <w:szCs w:val="20"/>
          <w:color w:val="auto"/>
        </w:rPr>
        <w:t>3170 Porter Drive</w:t>
      </w:r>
    </w:p>
    <w:p>
      <w:pPr>
        <w:jc w:val="center"/>
        <w:spacing w:after="0"/>
        <w:rPr>
          <w:sz w:val="20"/>
          <w:szCs w:val="20"/>
          <w:color w:val="auto"/>
        </w:rPr>
      </w:pPr>
      <w:r>
        <w:rPr>
          <w:rFonts w:ascii="Arial" w:cs="Arial" w:eastAsia="Arial" w:hAnsi="Arial"/>
          <w:sz w:val="20"/>
          <w:szCs w:val="20"/>
          <w:color w:val="auto"/>
        </w:rPr>
        <w:t>Palo Alto, CA 94304</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393" w:right="239" w:bottom="1440" w:gutter="0" w:footer="0" w:header="0"/>
        </w:sectPr>
      </w:pPr>
    </w:p>
    <w:bookmarkStart w:id="127" w:name="page128"/>
    <w:bookmarkEnd w:id="127"/>
    <w:p>
      <w:pPr>
        <w:ind w:left="660"/>
        <w:spacing w:after="0"/>
        <w:tabs>
          <w:tab w:leader="none" w:pos="1080" w:val="left"/>
        </w:tabs>
        <w:rPr>
          <w:sz w:val="20"/>
          <w:szCs w:val="20"/>
          <w:color w:val="auto"/>
        </w:rPr>
      </w:pPr>
      <w:r>
        <w:rPr>
          <w:rFonts w:ascii="Arial" w:cs="Arial" w:eastAsia="Arial" w:hAnsi="Arial"/>
          <w:sz w:val="20"/>
          <w:szCs w:val="20"/>
          <w:b w:val="1"/>
          <w:bCs w:val="1"/>
          <w:color w:val="auto"/>
        </w:rPr>
        <w:t>(d)</w:t>
      </w:r>
      <w:r>
        <w:rPr>
          <w:sz w:val="20"/>
          <w:szCs w:val="20"/>
          <w:color w:val="auto"/>
        </w:rPr>
        <w:tab/>
      </w:r>
      <w:r>
        <w:rPr>
          <w:rFonts w:ascii="Arial" w:cs="Arial" w:eastAsia="Arial" w:hAnsi="Arial"/>
          <w:sz w:val="16"/>
          <w:szCs w:val="16"/>
          <w:b w:val="1"/>
          <w:bCs w:val="1"/>
          <w:color w:val="auto"/>
        </w:rPr>
        <w:t xml:space="preserve">Plan Sponsor and Administrator. </w:t>
      </w:r>
      <w:r>
        <w:rPr>
          <w:rFonts w:ascii="Arial" w:cs="Arial" w:eastAsia="Arial" w:hAnsi="Arial"/>
          <w:sz w:val="16"/>
          <w:szCs w:val="16"/>
          <w:color w:val="auto"/>
        </w:rPr>
        <w:t>The “Plan Sponsor” of the Plan is: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Jazz Pharmaceuticals plc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Attn: General Counsel</w:t>
      </w:r>
    </w:p>
    <w:p>
      <w:pPr>
        <w:jc w:val="center"/>
        <w:ind w:right="-19"/>
        <w:spacing w:after="0"/>
        <w:rPr>
          <w:sz w:val="20"/>
          <w:szCs w:val="20"/>
          <w:color w:val="auto"/>
        </w:rPr>
      </w:pPr>
      <w:r>
        <w:rPr>
          <w:rFonts w:ascii="Arial" w:cs="Arial" w:eastAsia="Arial" w:hAnsi="Arial"/>
          <w:sz w:val="20"/>
          <w:szCs w:val="20"/>
          <w:color w:val="auto"/>
        </w:rPr>
        <w:t>c/o Jazz Pharmaceuticals, Inc.</w:t>
      </w:r>
    </w:p>
    <w:p>
      <w:pPr>
        <w:jc w:val="center"/>
        <w:ind w:right="-19"/>
        <w:spacing w:after="0"/>
        <w:rPr>
          <w:sz w:val="20"/>
          <w:szCs w:val="20"/>
          <w:color w:val="auto"/>
        </w:rPr>
      </w:pPr>
      <w:r>
        <w:rPr>
          <w:rFonts w:ascii="Arial" w:cs="Arial" w:eastAsia="Arial" w:hAnsi="Arial"/>
          <w:sz w:val="20"/>
          <w:szCs w:val="20"/>
          <w:color w:val="auto"/>
        </w:rPr>
        <w:t>3170 Porter Drive</w:t>
      </w:r>
    </w:p>
    <w:p>
      <w:pPr>
        <w:jc w:val="center"/>
        <w:ind w:right="-19"/>
        <w:spacing w:after="0"/>
        <w:rPr>
          <w:sz w:val="20"/>
          <w:szCs w:val="20"/>
          <w:color w:val="auto"/>
        </w:rPr>
      </w:pPr>
      <w:r>
        <w:rPr>
          <w:rFonts w:ascii="Arial" w:cs="Arial" w:eastAsia="Arial" w:hAnsi="Arial"/>
          <w:sz w:val="20"/>
          <w:szCs w:val="20"/>
          <w:color w:val="auto"/>
        </w:rPr>
        <w:t>Palo Alto, CA 94304</w:t>
      </w:r>
    </w:p>
    <w:p>
      <w:pPr>
        <w:spacing w:after="0" w:line="227" w:lineRule="exact"/>
        <w:rPr>
          <w:sz w:val="20"/>
          <w:szCs w:val="20"/>
          <w:color w:val="auto"/>
        </w:rPr>
      </w:pPr>
    </w:p>
    <w:p>
      <w:pPr>
        <w:ind w:right="800"/>
        <w:spacing w:after="0" w:line="363" w:lineRule="auto"/>
        <w:rPr>
          <w:sz w:val="20"/>
          <w:szCs w:val="20"/>
          <w:color w:val="auto"/>
        </w:rPr>
      </w:pPr>
      <w:r>
        <w:rPr>
          <w:rFonts w:ascii="Arial" w:cs="Arial" w:eastAsia="Arial" w:hAnsi="Arial"/>
          <w:sz w:val="18"/>
          <w:szCs w:val="18"/>
          <w:color w:val="auto"/>
        </w:rPr>
        <w:t>The “Plan Administrator” of the Plan is as set forth in Section 2(x). The Plan Sponsor’s and Plan Administrator’s telephone number is (650) 496-3777. The Plan Administrator is the named fiduciary charged with the responsibility for administering the Plan.</w:t>
      </w:r>
    </w:p>
    <w:p>
      <w:pPr>
        <w:spacing w:after="0" w:line="124"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9"/>
          <w:szCs w:val="19"/>
          <w:b w:val="1"/>
          <w:bCs w:val="1"/>
          <w:color w:val="auto"/>
        </w:rPr>
        <w:t>STATEMENT OF ERISA RIGHTS.</w:t>
      </w:r>
    </w:p>
    <w:p>
      <w:pPr>
        <w:spacing w:after="0" w:line="262" w:lineRule="exact"/>
        <w:rPr>
          <w:sz w:val="20"/>
          <w:szCs w:val="20"/>
          <w:color w:val="auto"/>
        </w:rPr>
      </w:pPr>
    </w:p>
    <w:p>
      <w:pPr>
        <w:jc w:val="both"/>
        <w:ind w:right="240"/>
        <w:spacing w:after="0" w:line="292" w:lineRule="auto"/>
        <w:rPr>
          <w:sz w:val="20"/>
          <w:szCs w:val="20"/>
          <w:color w:val="auto"/>
        </w:rPr>
      </w:pPr>
      <w:r>
        <w:rPr>
          <w:rFonts w:ascii="Arial" w:cs="Arial" w:eastAsia="Arial" w:hAnsi="Arial"/>
          <w:sz w:val="20"/>
          <w:szCs w:val="20"/>
          <w:color w:val="auto"/>
        </w:rPr>
        <w:t>Participants in this Plan (which is a welfare benefit plan sponsored by Jazz Pharmaceuticals plc) are entitled to certain rights and protections under ERISA. If you are a Participant, you are considered a participant in the Plan for the purposes of this Section 13 and, under ERISA, you are entitled to:</w:t>
      </w:r>
    </w:p>
    <w:p>
      <w:pPr>
        <w:spacing w:after="0" w:line="181" w:lineRule="exact"/>
        <w:rPr>
          <w:sz w:val="20"/>
          <w:szCs w:val="20"/>
          <w:color w:val="auto"/>
        </w:rPr>
      </w:pPr>
    </w:p>
    <w:p>
      <w:pPr>
        <w:ind w:left="1080" w:hanging="424"/>
        <w:spacing w:after="0"/>
        <w:tabs>
          <w:tab w:leader="none" w:pos="1080"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Receive Information About Your Plan and Benefits</w:t>
      </w:r>
    </w:p>
    <w:p>
      <w:pPr>
        <w:spacing w:after="0" w:line="262" w:lineRule="exact"/>
        <w:rPr>
          <w:rFonts w:ascii="Arial" w:cs="Arial" w:eastAsia="Arial" w:hAnsi="Arial"/>
          <w:sz w:val="20"/>
          <w:szCs w:val="20"/>
          <w:b w:val="1"/>
          <w:bCs w:val="1"/>
          <w:color w:val="auto"/>
        </w:rPr>
      </w:pPr>
    </w:p>
    <w:p>
      <w:pPr>
        <w:jc w:val="both"/>
        <w:ind w:right="860" w:firstLine="1142"/>
        <w:spacing w:after="0" w:line="338" w:lineRule="auto"/>
        <w:tabs>
          <w:tab w:leader="none" w:pos="1519"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spacing w:after="0" w:line="151" w:lineRule="exact"/>
        <w:rPr>
          <w:rFonts w:ascii="Arial" w:cs="Arial" w:eastAsia="Arial" w:hAnsi="Arial"/>
          <w:sz w:val="18"/>
          <w:szCs w:val="18"/>
          <w:b w:val="1"/>
          <w:bCs w:val="1"/>
          <w:color w:val="auto"/>
        </w:rPr>
      </w:pPr>
    </w:p>
    <w:p>
      <w:pPr>
        <w:jc w:val="both"/>
        <w:ind w:right="60" w:firstLine="1142"/>
        <w:spacing w:after="0" w:line="292" w:lineRule="auto"/>
        <w:tabs>
          <w:tab w:leader="none" w:pos="1574" w:val="left"/>
        </w:tabs>
        <w:numPr>
          <w:ilvl w:val="1"/>
          <w:numId w:val="123"/>
        </w:numPr>
        <w:rPr>
          <w:rFonts w:ascii="Arial" w:cs="Arial" w:eastAsia="Arial" w:hAnsi="Arial"/>
          <w:sz w:val="20"/>
          <w:szCs w:val="20"/>
          <w:b w:val="1"/>
          <w:bCs w:val="1"/>
          <w:color w:val="auto"/>
        </w:rPr>
      </w:pPr>
      <w:r>
        <w:rPr>
          <w:rFonts w:ascii="Arial" w:cs="Arial" w:eastAsia="Arial" w:hAnsi="Arial"/>
          <w:sz w:val="20"/>
          <w:szCs w:val="20"/>
          <w:color w:val="auto"/>
        </w:rPr>
        <w:t>Obtain, upon written request to the Plan Administrator, copies of documents governing the operation of the Plan and copies of the latest annual report (Form 5500 Series), if applicable, and an updated (as necessary) Summary Plan Description. The Plan Administrator may make a reasonable charge for the copies; and</w:t>
      </w:r>
    </w:p>
    <w:p>
      <w:pPr>
        <w:spacing w:after="0" w:line="186" w:lineRule="exact"/>
        <w:rPr>
          <w:rFonts w:ascii="Arial" w:cs="Arial" w:eastAsia="Arial" w:hAnsi="Arial"/>
          <w:sz w:val="20"/>
          <w:szCs w:val="20"/>
          <w:b w:val="1"/>
          <w:bCs w:val="1"/>
          <w:color w:val="auto"/>
        </w:rPr>
      </w:pPr>
    </w:p>
    <w:p>
      <w:pPr>
        <w:ind w:firstLine="1142"/>
        <w:spacing w:after="0" w:line="303" w:lineRule="auto"/>
        <w:tabs>
          <w:tab w:leader="none" w:pos="1629" w:val="left"/>
        </w:tabs>
        <w:numPr>
          <w:ilvl w:val="1"/>
          <w:numId w:val="123"/>
        </w:numPr>
        <w:rPr>
          <w:rFonts w:ascii="Arial" w:cs="Arial" w:eastAsia="Arial" w:hAnsi="Arial"/>
          <w:sz w:val="20"/>
          <w:szCs w:val="20"/>
          <w:b w:val="1"/>
          <w:bCs w:val="1"/>
          <w:color w:val="auto"/>
        </w:rPr>
      </w:pPr>
      <w:r>
        <w:rPr>
          <w:rFonts w:ascii="Arial" w:cs="Arial" w:eastAsia="Arial" w:hAnsi="Arial"/>
          <w:sz w:val="20"/>
          <w:szCs w:val="20"/>
          <w:color w:val="auto"/>
        </w:rPr>
        <w:t>Receive a summary of the Plan’s annual financial report, if applicable. The Plan Administrator is required by law to furnish each participant with a copy of this summary annual report.</w:t>
      </w:r>
    </w:p>
    <w:p>
      <w:pPr>
        <w:spacing w:after="0" w:line="169" w:lineRule="exact"/>
        <w:rPr>
          <w:rFonts w:ascii="Arial" w:cs="Arial" w:eastAsia="Arial" w:hAnsi="Arial"/>
          <w:sz w:val="20"/>
          <w:szCs w:val="20"/>
          <w:b w:val="1"/>
          <w:bCs w:val="1"/>
          <w:color w:val="auto"/>
        </w:rPr>
      </w:pPr>
    </w:p>
    <w:p>
      <w:pPr>
        <w:ind w:right="20" w:firstLine="656"/>
        <w:spacing w:after="0" w:line="288" w:lineRule="auto"/>
        <w:tabs>
          <w:tab w:leader="none" w:pos="1088"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Prudent Actions By Plan Fiduciaries. </w:t>
      </w:r>
      <w:r>
        <w:rPr>
          <w:rFonts w:ascii="Arial" w:cs="Arial" w:eastAsia="Arial" w:hAnsi="Arial"/>
          <w:sz w:val="20"/>
          <w:szCs w:val="20"/>
          <w:color w:val="auto"/>
        </w:rPr>
        <w:t>In addition to creating rights for Plan participants, ERISA imposes duties upon the people</w:t>
      </w:r>
      <w:r>
        <w:rPr>
          <w:rFonts w:ascii="Arial" w:cs="Arial" w:eastAsia="Arial" w:hAnsi="Arial"/>
          <w:sz w:val="20"/>
          <w:szCs w:val="20"/>
          <w:b w:val="1"/>
          <w:bCs w:val="1"/>
          <w:color w:val="auto"/>
        </w:rPr>
        <w:t xml:space="preserve"> </w:t>
      </w:r>
      <w:r>
        <w:rPr>
          <w:rFonts w:ascii="Arial" w:cs="Arial" w:eastAsia="Arial" w:hAnsi="Arial"/>
          <w:sz w:val="20"/>
          <w:szCs w:val="20"/>
          <w:color w:val="auto"/>
        </w:rPr>
        <w:t>who are responsible for the operation of the employee benefit plan. The people who operate the Plan, called “fiduciaries” of the Plan, have a duty to do so prudently and in the interest of you and other Plan participants and beneficiaries. No one, including your employer, your union or any other person, may fire you or otherwise discriminate against you in any way to prevent you from obtaining a Plan benefit or exercising your rights under ERISA.</w:t>
      </w:r>
    </w:p>
    <w:p>
      <w:pPr>
        <w:spacing w:after="0" w:line="186" w:lineRule="exact"/>
        <w:rPr>
          <w:rFonts w:ascii="Arial" w:cs="Arial" w:eastAsia="Arial" w:hAnsi="Arial"/>
          <w:sz w:val="20"/>
          <w:szCs w:val="20"/>
          <w:b w:val="1"/>
          <w:bCs w:val="1"/>
          <w:color w:val="auto"/>
        </w:rPr>
      </w:pPr>
    </w:p>
    <w:p>
      <w:pPr>
        <w:ind w:left="1080" w:hanging="424"/>
        <w:spacing w:after="0"/>
        <w:tabs>
          <w:tab w:leader="none" w:pos="1080"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Enforce Your Rights.</w:t>
      </w:r>
    </w:p>
    <w:p>
      <w:pPr>
        <w:spacing w:after="0" w:line="262" w:lineRule="exact"/>
        <w:rPr>
          <w:rFonts w:ascii="Arial" w:cs="Arial" w:eastAsia="Arial" w:hAnsi="Arial"/>
          <w:sz w:val="20"/>
          <w:szCs w:val="20"/>
          <w:b w:val="1"/>
          <w:bCs w:val="1"/>
          <w:color w:val="auto"/>
        </w:rPr>
      </w:pPr>
    </w:p>
    <w:p>
      <w:pPr>
        <w:ind w:right="420" w:firstLine="1142"/>
        <w:spacing w:after="0" w:line="363" w:lineRule="auto"/>
        <w:tabs>
          <w:tab w:leader="none" w:pos="1519"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If your claim for a Plan benefit is denied or ignored, in whole or in part, you have a right to know why this was done, to obtain copies of documents relating to the decision without charge, and to appeal any denial, all within certain time schedules.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603" w:right="239" w:bottom="1440" w:gutter="0" w:footer="0" w:header="0"/>
        </w:sectPr>
      </w:pPr>
    </w:p>
    <w:bookmarkStart w:id="128" w:name="page129"/>
    <w:bookmarkEnd w:id="128"/>
    <w:p>
      <w:pPr>
        <w:ind w:right="100" w:firstLine="1142"/>
        <w:spacing w:after="0" w:line="308" w:lineRule="auto"/>
        <w:tabs>
          <w:tab w:leader="none" w:pos="1574" w:val="left"/>
        </w:tabs>
        <w:numPr>
          <w:ilvl w:val="1"/>
          <w:numId w:val="124"/>
        </w:numPr>
        <w:rPr>
          <w:rFonts w:ascii="Arial" w:cs="Arial" w:eastAsia="Arial" w:hAnsi="Arial"/>
          <w:sz w:val="19"/>
          <w:szCs w:val="19"/>
          <w:b w:val="1"/>
          <w:bCs w:val="1"/>
          <w:color w:val="auto"/>
        </w:rPr>
      </w:pPr>
      <w:r>
        <w:rPr>
          <w:rFonts w:ascii="Arial" w:cs="Arial" w:eastAsia="Arial" w:hAnsi="Arial"/>
          <w:sz w:val="19"/>
          <w:szCs w:val="19"/>
          <w:color w:val="auto"/>
        </w:rPr>
        <w:t>Under ERISA, there are steps you can take to enforce the above rights. For instance, if you request a copy of Plan documents or the latest annual report from the Plan, if applicable,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174" w:lineRule="exact"/>
        <w:rPr>
          <w:rFonts w:ascii="Arial" w:cs="Arial" w:eastAsia="Arial" w:hAnsi="Arial"/>
          <w:sz w:val="19"/>
          <w:szCs w:val="19"/>
          <w:b w:val="1"/>
          <w:bCs w:val="1"/>
          <w:color w:val="auto"/>
        </w:rPr>
      </w:pPr>
    </w:p>
    <w:p>
      <w:pPr>
        <w:ind w:left="1640" w:hanging="498"/>
        <w:spacing w:after="0"/>
        <w:tabs>
          <w:tab w:leader="none" w:pos="1640"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If you have a claim for benefits which is denied or ignored, in whole or in part, you may file suit in a state or federal court.</w:t>
      </w:r>
    </w:p>
    <w:p>
      <w:pPr>
        <w:spacing w:after="0" w:line="279" w:lineRule="exact"/>
        <w:rPr>
          <w:rFonts w:ascii="Arial" w:cs="Arial" w:eastAsia="Arial" w:hAnsi="Arial"/>
          <w:sz w:val="18"/>
          <w:szCs w:val="18"/>
          <w:b w:val="1"/>
          <w:bCs w:val="1"/>
          <w:color w:val="auto"/>
        </w:rPr>
      </w:pPr>
    </w:p>
    <w:p>
      <w:pPr>
        <w:jc w:val="both"/>
        <w:ind w:right="80" w:firstLine="1142"/>
        <w:spacing w:after="0" w:line="288" w:lineRule="auto"/>
        <w:tabs>
          <w:tab w:leader="none" w:pos="1618" w:val="left"/>
        </w:tabs>
        <w:numPr>
          <w:ilvl w:val="1"/>
          <w:numId w:val="124"/>
        </w:numPr>
        <w:rPr>
          <w:rFonts w:ascii="Arial" w:cs="Arial" w:eastAsia="Arial" w:hAnsi="Arial"/>
          <w:sz w:val="20"/>
          <w:szCs w:val="20"/>
          <w:b w:val="1"/>
          <w:bCs w:val="1"/>
          <w:color w:val="auto"/>
        </w:rPr>
      </w:pPr>
      <w:r>
        <w:rPr>
          <w:rFonts w:ascii="Arial" w:cs="Arial" w:eastAsia="Arial" w:hAnsi="Arial"/>
          <w:sz w:val="20"/>
          <w:szCs w:val="20"/>
          <w:color w:val="auto"/>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86" w:lineRule="exact"/>
        <w:rPr>
          <w:rFonts w:ascii="Arial" w:cs="Arial" w:eastAsia="Arial" w:hAnsi="Arial"/>
          <w:sz w:val="20"/>
          <w:szCs w:val="20"/>
          <w:b w:val="1"/>
          <w:bCs w:val="1"/>
          <w:color w:val="auto"/>
        </w:rPr>
      </w:pPr>
    </w:p>
    <w:p>
      <w:pPr>
        <w:ind w:right="140" w:firstLine="656"/>
        <w:spacing w:after="0" w:line="324" w:lineRule="auto"/>
        <w:tabs>
          <w:tab w:leader="none" w:pos="1088"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Assistance With Your Questions. </w:t>
      </w:r>
      <w:r>
        <w:rPr>
          <w:rFonts w:ascii="Arial" w:cs="Arial" w:eastAsia="Arial" w:hAnsi="Arial"/>
          <w:sz w:val="18"/>
          <w:szCs w:val="18"/>
          <w:color w:val="auto"/>
        </w:rPr>
        <w:t>If you have any questions about the Plan, you should contact the Plan Administrator. If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160"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SECTION 14.</w:t>
      </w:r>
      <w:r>
        <w:rPr>
          <w:sz w:val="20"/>
          <w:szCs w:val="20"/>
          <w:color w:val="auto"/>
        </w:rPr>
        <w:tab/>
      </w:r>
      <w:r>
        <w:rPr>
          <w:rFonts w:ascii="Arial" w:cs="Arial" w:eastAsia="Arial" w:hAnsi="Arial"/>
          <w:sz w:val="19"/>
          <w:szCs w:val="19"/>
          <w:b w:val="1"/>
          <w:bCs w:val="1"/>
          <w:color w:val="auto"/>
        </w:rPr>
        <w:t>GENERAL PROVISIONS.</w:t>
      </w:r>
    </w:p>
    <w:p>
      <w:pPr>
        <w:spacing w:after="0" w:line="256" w:lineRule="exact"/>
        <w:rPr>
          <w:sz w:val="20"/>
          <w:szCs w:val="20"/>
          <w:color w:val="auto"/>
        </w:rPr>
      </w:pPr>
    </w:p>
    <w:p>
      <w:pPr>
        <w:ind w:right="20" w:firstLine="656"/>
        <w:spacing w:after="0" w:line="327" w:lineRule="auto"/>
        <w:tabs>
          <w:tab w:leader="none" w:pos="1077"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demand or request required or permitted to be given by the Company, an Affiliate or a Participant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this Plan shall be in writing and shall be deemed given when delivered personally or deposited in the U.S. mail, First Class with postage prepaid, and addressed to the parties, in the case of the Company or an Affiliate, at the address set forth in Section 12(d) and, in the case of a Participant, at the address as set forth in the Company’s or Affiliate’s employment file maintained for the Participant as previously furnished by the Participant or such other address as a party may request by notifying the other in writing.</w:t>
      </w:r>
    </w:p>
    <w:p>
      <w:pPr>
        <w:spacing w:after="0" w:line="156" w:lineRule="exact"/>
        <w:rPr>
          <w:rFonts w:ascii="Arial" w:cs="Arial" w:eastAsia="Arial" w:hAnsi="Arial"/>
          <w:sz w:val="18"/>
          <w:szCs w:val="18"/>
          <w:b w:val="1"/>
          <w:bCs w:val="1"/>
          <w:color w:val="auto"/>
        </w:rPr>
      </w:pPr>
    </w:p>
    <w:p>
      <w:pPr>
        <w:ind w:firstLine="656"/>
        <w:spacing w:after="0" w:line="324" w:lineRule="auto"/>
        <w:tabs>
          <w:tab w:leader="none" w:pos="1088"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and Assignment. </w:t>
      </w:r>
      <w:r>
        <w:rPr>
          <w:rFonts w:ascii="Arial" w:cs="Arial" w:eastAsia="Arial" w:hAnsi="Arial"/>
          <w:sz w:val="18"/>
          <w:szCs w:val="18"/>
          <w:color w:val="auto"/>
        </w:rPr>
        <w:t>The rights and obligations of a Participant under this Plan may not be transferred or assigned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prior written consent of the Company. This Plan shall be binding upon (i) any surviving Entity resulting from a Change in Control in the event that such surviving Entity is not Jazz Pharmaceuticals plc, (ii) any Entity to which the assets of Jazz Pharmaceuticals plc and its Subsidiaries are sold, leased, exclusively licensed or otherwise disposed of in the event of a Change in Control under Section 2(g)(iv), and (iii) any other Entity or person who is a successor by merger, acquisition, consolidation or otherwise to the business formerly carried on by Jazz Pharmaceuticals plc, in each case without regard to whether or not such Entity or person actively assumes the obligations hereunder.</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340"/>
          </w:cols>
          <w:pgMar w:left="240" w:top="393" w:right="319" w:bottom="1440" w:gutter="0" w:footer="0" w:header="0"/>
        </w:sectPr>
      </w:pPr>
    </w:p>
    <w:bookmarkStart w:id="129" w:name="page130"/>
    <w:bookmarkEnd w:id="129"/>
    <w:p>
      <w:pPr>
        <w:ind w:left="-200" w:right="80" w:firstLine="656"/>
        <w:spacing w:after="0" w:line="291" w:lineRule="auto"/>
        <w:tabs>
          <w:tab w:leader="none" w:pos="866"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Waiver. </w:t>
      </w:r>
      <w:r>
        <w:rPr>
          <w:rFonts w:ascii="Arial" w:cs="Arial" w:eastAsia="Arial" w:hAnsi="Arial"/>
          <w:sz w:val="20"/>
          <w:szCs w:val="20"/>
          <w:color w:val="auto"/>
        </w:rPr>
        <w:t>Any party’s failure to enforce any provision or provisions of this Plan shall not in any way be construed as a waiver of</w:t>
      </w:r>
      <w:r>
        <w:rPr>
          <w:rFonts w:ascii="Arial" w:cs="Arial" w:eastAsia="Arial" w:hAnsi="Arial"/>
          <w:sz w:val="20"/>
          <w:szCs w:val="20"/>
          <w:b w:val="1"/>
          <w:bCs w:val="1"/>
          <w:color w:val="auto"/>
        </w:rPr>
        <w:t xml:space="preserve"> </w:t>
      </w:r>
      <w:r>
        <w:rPr>
          <w:rFonts w:ascii="Arial" w:cs="Arial" w:eastAsia="Arial" w:hAnsi="Arial"/>
          <w:sz w:val="20"/>
          <w:szCs w:val="20"/>
          <w:color w:val="auto"/>
        </w:rPr>
        <w:t>any such provision or provisions, nor prevent any party from thereafter enforcing each and every other provision of this Plan. The rights granted the parties herein are cumulative and shall not constitute a waiver of any party’s right to assert all other legal remedies available to it under the circumstances.</w:t>
      </w:r>
    </w:p>
    <w:p>
      <w:pPr>
        <w:spacing w:after="0" w:line="181" w:lineRule="exact"/>
        <w:rPr>
          <w:rFonts w:ascii="Arial" w:cs="Arial" w:eastAsia="Arial" w:hAnsi="Arial"/>
          <w:sz w:val="20"/>
          <w:szCs w:val="20"/>
          <w:b w:val="1"/>
          <w:bCs w:val="1"/>
          <w:color w:val="auto"/>
        </w:rPr>
      </w:pPr>
    </w:p>
    <w:p>
      <w:pPr>
        <w:ind w:left="-200" w:right="220" w:firstLine="656"/>
        <w:spacing w:after="0" w:line="309" w:lineRule="auto"/>
        <w:tabs>
          <w:tab w:leader="none" w:pos="888"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Should any provision of this Plan be declared or determined to be invalid, illegal or unenforceable, the validity,</w:t>
      </w:r>
      <w:r>
        <w:rPr>
          <w:rFonts w:ascii="Arial" w:cs="Arial" w:eastAsia="Arial" w:hAnsi="Arial"/>
          <w:sz w:val="20"/>
          <w:szCs w:val="20"/>
          <w:b w:val="1"/>
          <w:bCs w:val="1"/>
          <w:color w:val="auto"/>
        </w:rPr>
        <w:t xml:space="preserve"> </w:t>
      </w:r>
      <w:r>
        <w:rPr>
          <w:rFonts w:ascii="Arial" w:cs="Arial" w:eastAsia="Arial" w:hAnsi="Arial"/>
          <w:sz w:val="20"/>
          <w:szCs w:val="20"/>
          <w:color w:val="auto"/>
        </w:rPr>
        <w:t>legality and enforceability of the remaining provisions shall not in any way be affected or impaired.</w:t>
      </w:r>
    </w:p>
    <w:p>
      <w:pPr>
        <w:spacing w:after="0" w:line="164" w:lineRule="exact"/>
        <w:rPr>
          <w:rFonts w:ascii="Arial" w:cs="Arial" w:eastAsia="Arial" w:hAnsi="Arial"/>
          <w:sz w:val="20"/>
          <w:szCs w:val="20"/>
          <w:b w:val="1"/>
          <w:bCs w:val="1"/>
          <w:color w:val="auto"/>
        </w:rPr>
      </w:pPr>
    </w:p>
    <w:p>
      <w:pPr>
        <w:ind w:left="-200" w:firstLine="656"/>
        <w:spacing w:after="0" w:line="309" w:lineRule="auto"/>
        <w:tabs>
          <w:tab w:leader="none" w:pos="866"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Section Headings. </w:t>
      </w:r>
      <w:r>
        <w:rPr>
          <w:rFonts w:ascii="Arial" w:cs="Arial" w:eastAsia="Arial" w:hAnsi="Arial"/>
          <w:sz w:val="20"/>
          <w:szCs w:val="20"/>
          <w:color w:val="auto"/>
        </w:rPr>
        <w:t>Section headings in this Plan are included for convenience of reference only and shall not be considered part</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Plan for any other purpose.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020"/>
          </w:cols>
          <w:pgMar w:left="440" w:top="387" w:right="439" w:bottom="1440" w:gutter="0" w:footer="0" w:header="0"/>
        </w:sectPr>
      </w:pPr>
    </w:p>
    <w:bookmarkStart w:id="130" w:name="page131"/>
    <w:bookmarkEnd w:id="130"/>
    <w:p>
      <w:pPr>
        <w:spacing w:after="0"/>
        <w:rPr>
          <w:sz w:val="20"/>
          <w:szCs w:val="20"/>
          <w:color w:val="auto"/>
        </w:rPr>
      </w:pPr>
      <w:r>
        <w:rPr>
          <w:rFonts w:ascii="Arial" w:cs="Arial" w:eastAsia="Arial" w:hAnsi="Arial"/>
          <w:sz w:val="20"/>
          <w:szCs w:val="20"/>
          <w:color w:val="auto"/>
        </w:rPr>
        <w:t>The Executive Change in Control and Severance Benefit Plan was established effective as of May 1, 2007.</w:t>
      </w:r>
    </w:p>
    <w:p>
      <w:pPr>
        <w:spacing w:after="0" w:line="148"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The Executive Change in Control and Severance Benefit Plan was amended and restated by the Board of Directors of Jazz Pharmaceuticals, Inc. on February 17, 2009.</w:t>
      </w:r>
    </w:p>
    <w:p>
      <w:pPr>
        <w:spacing w:after="0" w:line="176"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The Executive Change in Control and Severance Benefit Plan was amended and restated by the Board of Directors of Jazz Pharmaceuticals, Inc. on October 24, 2011.</w:t>
      </w:r>
    </w:p>
    <w:p>
      <w:pPr>
        <w:spacing w:after="0" w:line="176"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The Amended and Restated Executive Change in Control and Severance Benefit Plan was assumed by Jazz Pharmaceuticals plc effective as of January 18, 2012.</w:t>
      </w:r>
    </w:p>
    <w:p>
      <w:pPr>
        <w:spacing w:after="0" w:line="176"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The Amended and Restated Executive Change in Control and Severance Benefit Plan was amended and restated by the Compensation Committee of the Board of Directors of Jazz Pharmaceuticals plc on February 14, 2012.</w:t>
      </w:r>
    </w:p>
    <w:p>
      <w:pPr>
        <w:spacing w:after="0" w:line="176"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The Amended and Restated Executive Change in Control and Severance Benefit Plan was amended and restated by the Compensation Committee of the Board of Directors of Jazz Pharmaceuticals plc on April 24, 2012.</w:t>
      </w:r>
    </w:p>
    <w:p>
      <w:pPr>
        <w:spacing w:after="0" w:line="176"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The Amended and Restated Executive Change in Control and Severance Benefit Plan was amended and restated by the Compensation Committee of the Board of Directors of Jazz Pharmaceuticals plc on July 31, 2013.</w:t>
      </w:r>
    </w:p>
    <w:p>
      <w:pPr>
        <w:spacing w:after="0" w:line="176"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The Amended and Restated Executive Change in Control and Severance Benefit Plan was amended and restated by the Compensation Committee of the Board of Directors of Jazz Pharmaceuticals plc on February 10, 2016.</w:t>
      </w:r>
    </w:p>
    <w:p>
      <w:pPr>
        <w:spacing w:after="0" w:line="176"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The Amended and Restated Executive Change in Control and Severance Benefit Plan was amended and restated by the Compensation Committee of the Board of Directors of Jazz Pharmaceuticals plc on July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393"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color w:val="auto"/>
        </w:rPr>
        <w:t>For Employees Age 40 or Older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Individual Termination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EXHIBIT A</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RELEASE AGREEMENT (“</w:t>
      </w:r>
      <w:r>
        <w:rPr>
          <w:rFonts w:ascii="Arial" w:cs="Arial" w:eastAsia="Arial" w:hAnsi="Arial"/>
          <w:sz w:val="19"/>
          <w:szCs w:val="19"/>
          <w:b w:val="1"/>
          <w:bCs w:val="1"/>
          <w:i w:val="1"/>
          <w:iCs w:val="1"/>
          <w:color w:val="auto"/>
        </w:rPr>
        <w:t>RELEASE</w:t>
      </w:r>
      <w:r>
        <w:rPr>
          <w:rFonts w:ascii="Arial" w:cs="Arial" w:eastAsia="Arial" w:hAnsi="Arial"/>
          <w:sz w:val="19"/>
          <w:szCs w:val="19"/>
          <w:b w:val="1"/>
          <w:bCs w:val="1"/>
          <w:color w:val="auto"/>
        </w:rPr>
        <w:t>”)</w:t>
      </w:r>
    </w:p>
    <w:p>
      <w:pPr>
        <w:spacing w:after="0" w:line="22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color w:val="auto"/>
        </w:rPr>
        <w:t>I understand and agree completely to the terms set forth in the Jazz Pharmaceuticals plc Amended and Restated Executive Change in Control and Severance Benefit Plan (the “</w:t>
      </w:r>
      <w:r>
        <w:rPr>
          <w:rFonts w:ascii="Arial" w:cs="Arial" w:eastAsia="Arial" w:hAnsi="Arial"/>
          <w:sz w:val="19"/>
          <w:szCs w:val="19"/>
          <w:b w:val="1"/>
          <w:bCs w:val="1"/>
          <w:i w:val="1"/>
          <w:iCs w:val="1"/>
          <w:color w:val="auto"/>
        </w:rPr>
        <w:t>Plan</w:t>
      </w:r>
      <w:r>
        <w:rPr>
          <w:rFonts w:ascii="Arial" w:cs="Arial" w:eastAsia="Arial" w:hAnsi="Arial"/>
          <w:sz w:val="19"/>
          <w:szCs w:val="19"/>
          <w:b w:val="1"/>
          <w:bCs w:val="1"/>
          <w:color w:val="auto"/>
        </w:rPr>
        <w:t>”).</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 understand that this Release, together with the Plan, constitutes the complete, final and exclusive embodiment of the entire agreement between the Company and me with regard to the subject matter hereof. I am not relying on any promise or representation by the Company that is not expressly stated therein. Certain capitalized terms used in this Release are defined in the Plan.</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 hereby confirm my obligations under my </w:t>
      </w:r>
      <w:r>
        <w:rPr>
          <w:rFonts w:ascii="Arial" w:cs="Arial" w:eastAsia="Arial" w:hAnsi="Arial"/>
          <w:sz w:val="19"/>
          <w:szCs w:val="19"/>
          <w:i w:val="1"/>
          <w:iCs w:val="1"/>
          <w:color w:val="auto"/>
        </w:rPr>
        <w:t>Employee Confidential Information and Inventions Agreement</w:t>
      </w:r>
      <w:r>
        <w:rPr>
          <w:rFonts w:ascii="Arial" w:cs="Arial" w:eastAsia="Arial" w:hAnsi="Arial"/>
          <w:sz w:val="19"/>
          <w:szCs w:val="19"/>
          <w:color w:val="auto"/>
        </w:rPr>
        <w:t xml:space="preserve"> with the Company.</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 hereby represent that I have been paid all compensation owed and for all hours worked, I have received all the leave and leave benefits and protections for which I am eligible, pursuant to the federal Family and Medical Leave Act, the California Family Rights Act, or any other applicable law or leave of absence policy, and I have not suffered any on-the-job injury for which I have not already filed a claim for workers compensation benefits.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exchange for the consideration provided to me by this Release that I am not otherwise entitled to receive, I hereby generally and completely release Jazz Pharmaceuticals plc, Jazz Pharmaceuticals, Inc., my employer entity (if not Jazz Pharmaceuticals, Inc.), and their respective current and former directors, officers, employees, shareholders, partners, agents, attorneys, predecessors, successors, parent and subsidiary entities, insurers, affiliates, and assigns (collectively, the “</w:t>
      </w:r>
      <w:r>
        <w:rPr>
          <w:rFonts w:ascii="Arial" w:cs="Arial" w:eastAsia="Arial" w:hAnsi="Arial"/>
          <w:sz w:val="17"/>
          <w:szCs w:val="17"/>
          <w:b w:val="1"/>
          <w:bCs w:val="1"/>
          <w:i w:val="1"/>
          <w:iCs w:val="1"/>
          <w:color w:val="auto"/>
        </w:rPr>
        <w:t>Released Parties</w:t>
      </w:r>
      <w:r>
        <w:rPr>
          <w:rFonts w:ascii="Arial" w:cs="Arial" w:eastAsia="Arial" w:hAnsi="Arial"/>
          <w:sz w:val="17"/>
          <w:szCs w:val="17"/>
          <w:color w:val="auto"/>
        </w:rPr>
        <w:t>”) of and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7"/>
          <w:szCs w:val="17"/>
          <w:b w:val="1"/>
          <w:bCs w:val="1"/>
          <w:i w:val="1"/>
          <w:iCs w:val="1"/>
          <w:color w:val="auto"/>
        </w:rPr>
        <w:t>Released Claims</w:t>
      </w:r>
      <w:r>
        <w:rPr>
          <w:rFonts w:ascii="Arial" w:cs="Arial" w:eastAsia="Arial" w:hAnsi="Arial"/>
          <w:sz w:val="17"/>
          <w:szCs w:val="17"/>
          <w:color w:val="auto"/>
        </w:rPr>
        <w:t>”).</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Released Claims include, but are not limited to: (1) all claims arising out of or in any way related to my employment, or the termination of that employment; (2) all claims related to my compensation or benefits from my employer (or any parent or subsidiary entities or affiliates of my employer), including salary, bonuses, commissions, vacation pay, expense reimbursements, severance pay, fringe benefits, stock, stock options, or any other ownership interests in Jazz Pharmaceuticals plc or any of its parent or subsidiary entities or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7"/>
          <w:szCs w:val="17"/>
          <w:b w:val="1"/>
          <w:bCs w:val="1"/>
          <w:i w:val="1"/>
          <w:iCs w:val="1"/>
          <w:color w:val="auto"/>
        </w:rPr>
        <w:t>ADEA</w:t>
      </w:r>
      <w:r>
        <w:rPr>
          <w:rFonts w:ascii="Arial" w:cs="Arial" w:eastAsia="Arial" w:hAnsi="Arial"/>
          <w:sz w:val="17"/>
          <w:szCs w:val="17"/>
          <w:color w:val="auto"/>
        </w:rPr>
        <w:t>”), the California Labor Code (as amended), the California Fair Employment and Housing Act (as amended), the Pennsylvania Equal Pay Law, the Pennsylvania Wage Payment and Collection Law, the City of Philadelphia Fair Practices Code, and the Pennsylvania Human Relations Act.</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foregoing, the following are not included in the Released Claims (the “</w:t>
      </w:r>
      <w:r>
        <w:rPr>
          <w:rFonts w:ascii="Arial" w:cs="Arial" w:eastAsia="Arial" w:hAnsi="Arial"/>
          <w:sz w:val="18"/>
          <w:szCs w:val="18"/>
          <w:b w:val="1"/>
          <w:bCs w:val="1"/>
          <w:i w:val="1"/>
          <w:iCs w:val="1"/>
          <w:color w:val="auto"/>
        </w:rPr>
        <w:t>Excluded Claims</w:t>
      </w:r>
      <w:r>
        <w:rPr>
          <w:rFonts w:ascii="Arial" w:cs="Arial" w:eastAsia="Arial" w:hAnsi="Arial"/>
          <w:sz w:val="18"/>
          <w:szCs w:val="18"/>
          <w:color w:val="auto"/>
        </w:rPr>
        <w:t>”): (1) any rights or claims for indemnification I may have pursuant to any written indemnification agreement with any of the Released Parties to which I am a party, the charter, bylaws, or operating agreements of the Released Parties, or under applicable law; or (2) any rights which are not waivable as a matter of law. In addition, nothing in this Release prevents me from filing, cooperating with, or participating in any proceeding before the Equal Employment Opportunity Commission, the Department of Labor, or any other government agency,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12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(1) the Released Claims do not apply to any rights or claims that arise after the date I sign this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420"/>
          </w:cols>
          <w:pgMar w:left="240" w:top="811" w:right="239" w:bottom="1440" w:gutter="0" w:footer="0" w:header="0"/>
        </w:sectPr>
      </w:pPr>
    </w:p>
    <w:bookmarkStart w:id="132" w:name="page133"/>
    <w:bookmarkEnd w:id="132"/>
    <w:p>
      <w:pPr>
        <w:jc w:val="both"/>
        <w:spacing w:after="0" w:line="243" w:lineRule="auto"/>
        <w:rPr>
          <w:sz w:val="20"/>
          <w:szCs w:val="20"/>
          <w:color w:val="auto"/>
        </w:rPr>
      </w:pPr>
      <w:r>
        <w:rPr>
          <w:rFonts w:ascii="Arial" w:cs="Arial" w:eastAsia="Arial" w:hAnsi="Arial"/>
          <w:sz w:val="19"/>
          <w:szCs w:val="19"/>
          <w:color w:val="auto"/>
        </w:rPr>
        <w:t>Release; (2) I should consult with an attorney prior to signing this Release (although I may choose voluntarily not to do so); (3) I have twenty-one (21) days to consider this Release (although I may choose to voluntarily to sign it sooner); (4) I have seven (7) days following the date I sign this Release to revoke it by providing written notice to the General Counsel of my employer or of Jazz Pharmaceuticals plc; and (5) this Release will not be effective until the date upon which the revocation period has expired unexercised, which will be the eighth day after I sign this Release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w:t>
      </w:r>
    </w:p>
    <w:p>
      <w:pPr>
        <w:spacing w:after="0" w:line="13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 xml:space="preserve">I acknowledge that I have read and understand Section 1542 of the California Civil Code which reads as follows: </w:t>
      </w:r>
      <w:r>
        <w:rPr>
          <w:rFonts w:ascii="Arial" w:cs="Arial" w:eastAsia="Arial" w:hAnsi="Arial"/>
          <w:sz w:val="19"/>
          <w:szCs w:val="19"/>
          <w:b w:val="1"/>
          <w:bCs w:val="1"/>
          <w:color w:val="auto"/>
        </w:rPr>
        <w:t>“A general release does not extend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9"/>
          <w:szCs w:val="19"/>
          <w:color w:val="auto"/>
        </w:rPr>
        <w:t>I hereby expressly waive and relinquish all rights and benefits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that section and any law of any jurisdiction of similar effect with respect to my release of any claims hereunder, including but not limited to any unknown or unsuspected claims.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420"/>
          </w:cols>
          <w:pgMar w:left="240" w:top="360" w:right="239" w:bottom="1440" w:gutter="0" w:footer="0" w:header="0"/>
        </w:sectPr>
      </w:pPr>
    </w:p>
    <w:bookmarkStart w:id="133" w:name="page134"/>
    <w:bookmarkEnd w:id="133"/>
    <w:p>
      <w:pPr>
        <w:spacing w:after="0" w:line="261" w:lineRule="auto"/>
        <w:rPr>
          <w:sz w:val="20"/>
          <w:szCs w:val="20"/>
          <w:color w:val="auto"/>
        </w:rPr>
      </w:pPr>
      <w:r>
        <w:rPr>
          <w:rFonts w:ascii="Arial" w:cs="Arial" w:eastAsia="Arial" w:hAnsi="Arial"/>
          <w:sz w:val="19"/>
          <w:szCs w:val="19"/>
          <w:color w:val="auto"/>
        </w:rPr>
        <w:t>I acknowledge that I must sign and return this Release to the Company so that it is received not later than twenty-one (21) days following the date it is provided to me.</w:t>
      </w: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285115</wp:posOffset>
            </wp:positionV>
            <wp:extent cx="2769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285115</wp:posOffset>
            </wp:positionV>
            <wp:extent cx="2769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420"/>
          </w:cols>
          <w:pgMar w:left="240" w:top="36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color w:val="auto"/>
        </w:rPr>
        <w:t>For Employees Age 40 or Older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Group Termination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 AGREEMENT (“</w:t>
      </w:r>
      <w:r>
        <w:rPr>
          <w:rFonts w:ascii="Arial" w:cs="Arial" w:eastAsia="Arial" w:hAnsi="Arial"/>
          <w:sz w:val="20"/>
          <w:szCs w:val="20"/>
          <w:b w:val="1"/>
          <w:bCs w:val="1"/>
          <w:i w:val="1"/>
          <w:iCs w:val="1"/>
          <w:color w:val="auto"/>
        </w:rPr>
        <w:t>RELEASE</w:t>
      </w:r>
      <w:r>
        <w:rPr>
          <w:rFonts w:ascii="Arial" w:cs="Arial" w:eastAsia="Arial" w:hAnsi="Arial"/>
          <w:sz w:val="20"/>
          <w:szCs w:val="20"/>
          <w:b w:val="1"/>
          <w:bCs w:val="1"/>
          <w:color w:val="auto"/>
        </w:rPr>
        <w:t>”)</w:t>
      </w:r>
    </w:p>
    <w:p>
      <w:pPr>
        <w:spacing w:after="0" w:line="256" w:lineRule="exact"/>
        <w:rPr>
          <w:sz w:val="20"/>
          <w:szCs w:val="20"/>
          <w:color w:val="auto"/>
        </w:rPr>
      </w:pPr>
    </w:p>
    <w:p>
      <w:pPr>
        <w:jc w:val="both"/>
        <w:ind w:right="20"/>
        <w:spacing w:after="0" w:line="309" w:lineRule="auto"/>
        <w:rPr>
          <w:sz w:val="20"/>
          <w:szCs w:val="20"/>
          <w:color w:val="auto"/>
        </w:rPr>
      </w:pPr>
      <w:r>
        <w:rPr>
          <w:rFonts w:ascii="Arial" w:cs="Arial" w:eastAsia="Arial" w:hAnsi="Arial"/>
          <w:sz w:val="20"/>
          <w:szCs w:val="20"/>
          <w:b w:val="1"/>
          <w:bCs w:val="1"/>
          <w:color w:val="auto"/>
        </w:rPr>
        <w:t>I understand and agree completely to the terms set forth in the Jazz Pharmaceuticals plc Amended and Restated Executive Change in Control and Severance Benefit Plan (the “</w:t>
      </w:r>
      <w:r>
        <w:rPr>
          <w:rFonts w:ascii="Arial" w:cs="Arial" w:eastAsia="Arial" w:hAnsi="Arial"/>
          <w:sz w:val="20"/>
          <w:szCs w:val="20"/>
          <w:b w:val="1"/>
          <w:bCs w:val="1"/>
          <w:i w:val="1"/>
          <w:iCs w:val="1"/>
          <w:color w:val="auto"/>
        </w:rPr>
        <w:t>Plan</w:t>
      </w:r>
      <w:r>
        <w:rPr>
          <w:rFonts w:ascii="Arial" w:cs="Arial" w:eastAsia="Arial" w:hAnsi="Arial"/>
          <w:sz w:val="20"/>
          <w:szCs w:val="20"/>
          <w:b w:val="1"/>
          <w:bCs w:val="1"/>
          <w:color w:val="auto"/>
        </w:rPr>
        <w:t>”).</w:t>
      </w:r>
    </w:p>
    <w:p>
      <w:pPr>
        <w:spacing w:after="0" w:line="170" w:lineRule="exact"/>
        <w:rPr>
          <w:sz w:val="20"/>
          <w:szCs w:val="20"/>
          <w:color w:val="auto"/>
        </w:rPr>
      </w:pPr>
    </w:p>
    <w:p>
      <w:pPr>
        <w:jc w:val="both"/>
        <w:spacing w:after="0" w:line="314" w:lineRule="auto"/>
        <w:rPr>
          <w:sz w:val="20"/>
          <w:szCs w:val="20"/>
          <w:color w:val="auto"/>
        </w:rPr>
      </w:pPr>
      <w:r>
        <w:rPr>
          <w:rFonts w:ascii="Arial" w:cs="Arial" w:eastAsia="Arial" w:hAnsi="Arial"/>
          <w:sz w:val="19"/>
          <w:szCs w:val="19"/>
          <w:color w:val="auto"/>
        </w:rPr>
        <w:t>I understand that this Release, together with the Plan, constitutes the complete, final and exclusive embodiment of the entire agreement between the Company and me with regard to the subject matter hereof. I am not relying on any promise or representation by the Company that is not expressly stated therein. Certain capitalized terms used in this Release are defined in the Plan.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 hereby confirm my obligations under my </w:t>
      </w:r>
      <w:r>
        <w:rPr>
          <w:rFonts w:ascii="Arial" w:cs="Arial" w:eastAsia="Arial" w:hAnsi="Arial"/>
          <w:sz w:val="20"/>
          <w:szCs w:val="20"/>
          <w:i w:val="1"/>
          <w:iCs w:val="1"/>
          <w:color w:val="auto"/>
        </w:rPr>
        <w:t>Employee Confidential Information and Inventions Agreement</w:t>
      </w:r>
      <w:r>
        <w:rPr>
          <w:rFonts w:ascii="Arial" w:cs="Arial" w:eastAsia="Arial" w:hAnsi="Arial"/>
          <w:sz w:val="20"/>
          <w:szCs w:val="20"/>
          <w:color w:val="auto"/>
        </w:rPr>
        <w:t xml:space="preserve"> with the Company.</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I hereby represent that I have been paid all compensation owed and for all hours worked, I have received all the leave and leave benefits and protections for which I am eligible, pursuant to the federal Family and Medical Leave Act, the California Family Rights Act, or any other applicable law or leave of absence policy, and I have not suffered any on-the-job injury for which I have not already filed a claim for workers compensation benefits.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 exchange for the consideration provided to me by this Release that I am not otherwise entitled to receive, I hereby generally and completely release Jazz Pharmaceuticals plc, Jazz Pharmaceuticals, Inc., my employer entity (if not Jazz Pharmaceuticals, Inc.), and their respective current and former directors, officers, employees, shareholders, partners, agents, attorneys, predecessors, successors, parent and subsidiary entities, insurers, affiliates, and assigns (collectively, the “</w:t>
      </w:r>
      <w:r>
        <w:rPr>
          <w:rFonts w:ascii="Arial" w:cs="Arial" w:eastAsia="Arial" w:hAnsi="Arial"/>
          <w:sz w:val="20"/>
          <w:szCs w:val="20"/>
          <w:b w:val="1"/>
          <w:bCs w:val="1"/>
          <w:i w:val="1"/>
          <w:iCs w:val="1"/>
          <w:color w:val="auto"/>
        </w:rPr>
        <w:t>Released Parties</w:t>
      </w:r>
      <w:r>
        <w:rPr>
          <w:rFonts w:ascii="Arial" w:cs="Arial" w:eastAsia="Arial" w:hAnsi="Arial"/>
          <w:sz w:val="20"/>
          <w:szCs w:val="20"/>
          <w:color w:val="auto"/>
        </w:rPr>
        <w:t>”) of and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20"/>
          <w:szCs w:val="20"/>
          <w:b w:val="1"/>
          <w:bCs w:val="1"/>
          <w:i w:val="1"/>
          <w:iCs w:val="1"/>
          <w:color w:val="auto"/>
        </w:rPr>
        <w:t>Released Claims</w:t>
      </w:r>
      <w:r>
        <w:rPr>
          <w:rFonts w:ascii="Arial" w:cs="Arial" w:eastAsia="Arial" w:hAnsi="Arial"/>
          <w:sz w:val="20"/>
          <w:szCs w:val="20"/>
          <w:color w:val="auto"/>
        </w:rPr>
        <w:t>”).</w:t>
      </w:r>
    </w:p>
    <w:p>
      <w:pPr>
        <w:spacing w:after="0" w:line="192"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The Released Claims include, but are not limited to: (1) all claims arising out of or in any way related to my employment, or the termination of that employment; (2) all claims related to my compensation or benefits from my employer (or any parent or subsidiary entities or affiliates of my employer), including salary, bonuses, commissions, vacation pay, expense reimbursements, severance pay, fringe benefits, stock, stock options, or any other ownership interests in Jazz Pharmaceuticals plc or any of its parent or subsidiary entities or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9"/>
          <w:szCs w:val="19"/>
          <w:b w:val="1"/>
          <w:bCs w:val="1"/>
          <w:i w:val="1"/>
          <w:iCs w:val="1"/>
          <w:color w:val="auto"/>
        </w:rPr>
        <w:t>ADEA</w:t>
      </w:r>
      <w:r>
        <w:rPr>
          <w:rFonts w:ascii="Arial" w:cs="Arial" w:eastAsia="Arial" w:hAnsi="Arial"/>
          <w:sz w:val="19"/>
          <w:szCs w:val="19"/>
          <w:color w:val="auto"/>
        </w:rPr>
        <w:t>”), the California Labor Code (as amended), the California Fair Employment and Housing Act (as amended), the Pennsylvania Equal Pay Law,</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1420"/>
          </w:cols>
          <w:pgMar w:left="240" w:top="811"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the Pennsylvania Wage Payment and Collection Law, the City of Philadelphia Fair Practices Code, and the Pennsylvania Human Relations Act.</w:t>
      </w:r>
    </w:p>
    <w:p>
      <w:pPr>
        <w:spacing w:after="0" w:line="279" w:lineRule="exact"/>
        <w:rPr>
          <w:sz w:val="20"/>
          <w:szCs w:val="20"/>
          <w:color w:val="auto"/>
        </w:rPr>
      </w:pPr>
    </w:p>
    <w:p>
      <w:pPr>
        <w:jc w:val="both"/>
        <w:spacing w:after="0" w:line="321" w:lineRule="auto"/>
        <w:rPr>
          <w:sz w:val="20"/>
          <w:szCs w:val="20"/>
          <w:color w:val="auto"/>
        </w:rPr>
      </w:pPr>
      <w:r>
        <w:rPr>
          <w:rFonts w:ascii="Arial" w:cs="Arial" w:eastAsia="Arial" w:hAnsi="Arial"/>
          <w:sz w:val="18"/>
          <w:szCs w:val="18"/>
          <w:color w:val="auto"/>
        </w:rPr>
        <w:t>Notwithstanding the foregoing, the following are not included in the Released Claims (the “</w:t>
      </w:r>
      <w:r>
        <w:rPr>
          <w:rFonts w:ascii="Arial" w:cs="Arial" w:eastAsia="Arial" w:hAnsi="Arial"/>
          <w:sz w:val="18"/>
          <w:szCs w:val="18"/>
          <w:b w:val="1"/>
          <w:bCs w:val="1"/>
          <w:i w:val="1"/>
          <w:iCs w:val="1"/>
          <w:color w:val="auto"/>
        </w:rPr>
        <w:t>Excluded Claims</w:t>
      </w:r>
      <w:r>
        <w:rPr>
          <w:rFonts w:ascii="Arial" w:cs="Arial" w:eastAsia="Arial" w:hAnsi="Arial"/>
          <w:sz w:val="18"/>
          <w:szCs w:val="18"/>
          <w:color w:val="auto"/>
        </w:rPr>
        <w:t>”): (1) any rights or claims for indemnification I may have pursuant to any written indemnification agreement with any of the Released Parties to which I am a party, the charter, bylaws, or operating agreements of the Released Parties, or under applicable law; or (2) any rights which are not waivable as a matter of law. In addition, nothing in this Release prevents me from filing, cooperating with, or participating in any proceeding before the Equal Employment Opportunity Commission, the Department of Labor, or any other government agency,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169" w:lineRule="exact"/>
        <w:rPr>
          <w:sz w:val="20"/>
          <w:szCs w:val="20"/>
          <w:color w:val="auto"/>
        </w:rPr>
      </w:pPr>
    </w:p>
    <w:p>
      <w:pPr>
        <w:jc w:val="both"/>
        <w:spacing w:after="0" w:line="313" w:lineRule="auto"/>
        <w:rPr>
          <w:sz w:val="20"/>
          <w:szCs w:val="20"/>
          <w:color w:val="auto"/>
        </w:rPr>
      </w:pPr>
      <w:r>
        <w:rPr>
          <w:rFonts w:ascii="Arial" w:cs="Arial" w:eastAsia="Arial" w:hAnsi="Arial"/>
          <w:sz w:val="18"/>
          <w:szCs w:val="18"/>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(1) the Released Claims do not apply to any rights or claims that arise after the date I sign this Release; (2) I should consult with an attorney prior to signing this Release (although I may choose voluntarily not to do so);</w:t>
      </w:r>
    </w:p>
    <w:p>
      <w:pPr>
        <w:spacing w:after="0" w:line="1" w:lineRule="exact"/>
        <w:rPr>
          <w:sz w:val="20"/>
          <w:szCs w:val="20"/>
          <w:color w:val="auto"/>
        </w:rPr>
      </w:pPr>
    </w:p>
    <w:p>
      <w:pPr>
        <w:jc w:val="both"/>
        <w:ind w:firstLine="8"/>
        <w:spacing w:after="0" w:line="288" w:lineRule="auto"/>
        <w:tabs>
          <w:tab w:leader="none" w:pos="305"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 have forty-five (45) days to consider this Release (although I may choose to voluntarily to sign it sooner); (4) I have seven (7) days following the date I sign this Release to revoke it by providing written notice to the General Counsel of my employer or of Jazz Pharmaceuticals plc; and (5) this Release will not be effective until the date upon which the revocation period has expired unexercised, which will be the eighth day after I sign this Release (the “</w:t>
      </w:r>
      <w:r>
        <w:rPr>
          <w:rFonts w:ascii="Arial" w:cs="Arial" w:eastAsia="Arial" w:hAnsi="Arial"/>
          <w:sz w:val="20"/>
          <w:szCs w:val="20"/>
          <w:b w:val="1"/>
          <w:bCs w:val="1"/>
          <w:i w:val="1"/>
          <w:iCs w:val="1"/>
          <w:color w:val="auto"/>
        </w:rPr>
        <w:t>Release Effective Date</w:t>
      </w:r>
      <w:r>
        <w:rPr>
          <w:rFonts w:ascii="Arial" w:cs="Arial" w:eastAsia="Arial" w:hAnsi="Arial"/>
          <w:sz w:val="20"/>
          <w:szCs w:val="20"/>
          <w:color w:val="auto"/>
        </w:rPr>
        <w:t>”).</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I have received with this Release a written disclosure of all of the information required by the ADEA, including without limitation a list of the job titles and ages of all employees who were terminated in this group termination and the ages of all employees in the same job classification or organizational unit who were not terminated, along with information on the eligibility factors used to select employees for the group termination and any time limits applicable to this group termination program.</w:t>
      </w:r>
    </w:p>
    <w:p>
      <w:pPr>
        <w:spacing w:after="0" w:line="18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 xml:space="preserve">I acknowledge that I have read and understand Section 1542 of the California Civil Code which reads as follows: </w:t>
      </w:r>
      <w:r>
        <w:rPr>
          <w:rFonts w:ascii="Arial" w:cs="Arial" w:eastAsia="Arial" w:hAnsi="Arial"/>
          <w:sz w:val="19"/>
          <w:szCs w:val="19"/>
          <w:b w:val="1"/>
          <w:bCs w:val="1"/>
          <w:color w:val="auto"/>
        </w:rPr>
        <w:t>“A general release does not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9"/>
          <w:szCs w:val="19"/>
          <w:color w:val="auto"/>
        </w:rPr>
        <w:t>I hereby expressly waive and relinquish all</w:t>
      </w:r>
      <w:r>
        <w:rPr>
          <w:rFonts w:ascii="Arial" w:cs="Arial" w:eastAsia="Arial" w:hAnsi="Arial"/>
          <w:sz w:val="19"/>
          <w:szCs w:val="19"/>
          <w:b w:val="1"/>
          <w:bCs w:val="1"/>
          <w:color w:val="auto"/>
        </w:rPr>
        <w:t xml:space="preserve"> </w:t>
      </w:r>
      <w:r>
        <w:rPr>
          <w:rFonts w:ascii="Arial" w:cs="Arial" w:eastAsia="Arial" w:hAnsi="Arial"/>
          <w:sz w:val="19"/>
          <w:szCs w:val="19"/>
          <w:color w:val="auto"/>
        </w:rPr>
        <w:t>rights and benefits under that section and any law of any jurisdiction of similar effect with respect to my release of any claims hereunder, including but not limited to any unknown or unsuspected claims.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B-2</w:t>
      </w:r>
    </w:p>
    <w:p>
      <w:pPr>
        <w:sectPr>
          <w:pgSz w:w="11900" w:h="16838" w:orient="portrait"/>
          <w:cols w:equalWidth="0" w:num="1">
            <w:col w:w="11420"/>
          </w:cols>
          <w:pgMar w:left="240" w:top="393" w:right="239" w:bottom="1440" w:gutter="0" w:footer="0" w:header="0"/>
        </w:sectPr>
      </w:pPr>
    </w:p>
    <w:bookmarkStart w:id="136" w:name="page137"/>
    <w:bookmarkEnd w:id="136"/>
    <w:p>
      <w:pPr>
        <w:spacing w:after="0" w:line="303" w:lineRule="auto"/>
        <w:rPr>
          <w:sz w:val="20"/>
          <w:szCs w:val="20"/>
          <w:color w:val="auto"/>
        </w:rPr>
      </w:pPr>
      <w:r>
        <w:rPr>
          <w:rFonts w:ascii="Arial" w:cs="Arial" w:eastAsia="Arial" w:hAnsi="Arial"/>
          <w:sz w:val="20"/>
          <w:szCs w:val="20"/>
          <w:color w:val="auto"/>
        </w:rPr>
        <w:t>I acknowledge that I must sign and return this Release to the Company so that it is received not later than forty-five (45) days following the date this Release and the ADEA disclosure form is provided to me.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285115</wp:posOffset>
            </wp:positionV>
            <wp:extent cx="2769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285115</wp:posOffset>
            </wp:positionV>
            <wp:extent cx="2769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B-3</w:t>
      </w:r>
    </w:p>
    <w:p>
      <w:pPr>
        <w:sectPr>
          <w:pgSz w:w="11900" w:h="16838" w:orient="portrait"/>
          <w:cols w:equalWidth="0" w:num="1">
            <w:col w:w="11420"/>
          </w:cols>
          <w:pgMar w:left="240" w:top="393"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color w:val="auto"/>
        </w:rPr>
        <w:t>For Employees under Age 40</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Individual and Group Termination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 AGREEMENT (“</w:t>
      </w:r>
      <w:r>
        <w:rPr>
          <w:rFonts w:ascii="Arial" w:cs="Arial" w:eastAsia="Arial" w:hAnsi="Arial"/>
          <w:sz w:val="20"/>
          <w:szCs w:val="20"/>
          <w:b w:val="1"/>
          <w:bCs w:val="1"/>
          <w:i w:val="1"/>
          <w:iCs w:val="1"/>
          <w:color w:val="auto"/>
        </w:rPr>
        <w:t>RELEASE</w:t>
      </w:r>
      <w:r>
        <w:rPr>
          <w:rFonts w:ascii="Arial" w:cs="Arial" w:eastAsia="Arial" w:hAnsi="Arial"/>
          <w:sz w:val="20"/>
          <w:szCs w:val="20"/>
          <w:b w:val="1"/>
          <w:bCs w:val="1"/>
          <w:color w:val="auto"/>
        </w:rPr>
        <w:t>”)</w:t>
      </w:r>
    </w:p>
    <w:p>
      <w:pPr>
        <w:spacing w:after="0" w:line="256" w:lineRule="exact"/>
        <w:rPr>
          <w:sz w:val="20"/>
          <w:szCs w:val="20"/>
          <w:color w:val="auto"/>
        </w:rPr>
      </w:pPr>
    </w:p>
    <w:p>
      <w:pPr>
        <w:jc w:val="both"/>
        <w:ind w:right="20"/>
        <w:spacing w:after="0" w:line="309" w:lineRule="auto"/>
        <w:rPr>
          <w:sz w:val="20"/>
          <w:szCs w:val="20"/>
          <w:color w:val="auto"/>
        </w:rPr>
      </w:pPr>
      <w:r>
        <w:rPr>
          <w:rFonts w:ascii="Arial" w:cs="Arial" w:eastAsia="Arial" w:hAnsi="Arial"/>
          <w:sz w:val="20"/>
          <w:szCs w:val="20"/>
          <w:b w:val="1"/>
          <w:bCs w:val="1"/>
          <w:color w:val="auto"/>
        </w:rPr>
        <w:t>I understand and agree completely to the terms set forth in the Jazz Pharmaceuticals plc Amended and Restated Executive Change in Control and Severance Benefit Plan (the “</w:t>
      </w:r>
      <w:r>
        <w:rPr>
          <w:rFonts w:ascii="Arial" w:cs="Arial" w:eastAsia="Arial" w:hAnsi="Arial"/>
          <w:sz w:val="20"/>
          <w:szCs w:val="20"/>
          <w:b w:val="1"/>
          <w:bCs w:val="1"/>
          <w:i w:val="1"/>
          <w:iCs w:val="1"/>
          <w:color w:val="auto"/>
        </w:rPr>
        <w:t>Plan</w:t>
      </w:r>
      <w:r>
        <w:rPr>
          <w:rFonts w:ascii="Arial" w:cs="Arial" w:eastAsia="Arial" w:hAnsi="Arial"/>
          <w:sz w:val="20"/>
          <w:szCs w:val="20"/>
          <w:b w:val="1"/>
          <w:bCs w:val="1"/>
          <w:color w:val="auto"/>
        </w:rPr>
        <w:t>”).</w:t>
      </w:r>
    </w:p>
    <w:p>
      <w:pPr>
        <w:spacing w:after="0" w:line="170" w:lineRule="exact"/>
        <w:rPr>
          <w:sz w:val="20"/>
          <w:szCs w:val="20"/>
          <w:color w:val="auto"/>
        </w:rPr>
      </w:pPr>
    </w:p>
    <w:p>
      <w:pPr>
        <w:jc w:val="both"/>
        <w:spacing w:after="0" w:line="314" w:lineRule="auto"/>
        <w:rPr>
          <w:sz w:val="20"/>
          <w:szCs w:val="20"/>
          <w:color w:val="auto"/>
        </w:rPr>
      </w:pPr>
      <w:r>
        <w:rPr>
          <w:rFonts w:ascii="Arial" w:cs="Arial" w:eastAsia="Arial" w:hAnsi="Arial"/>
          <w:sz w:val="19"/>
          <w:szCs w:val="19"/>
          <w:color w:val="auto"/>
        </w:rPr>
        <w:t>I understand that this Release, together with the Plan, constitutes the complete, final and exclusive embodiment of the entire agreement between the Company and me with regard to the subject matter hereof. I am not relying on any promise or representation by the Company that is not expressly stated therein. Certain capitalized terms used in this Release are defined in the Plan.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 hereby confirm my obligations under my </w:t>
      </w:r>
      <w:r>
        <w:rPr>
          <w:rFonts w:ascii="Arial" w:cs="Arial" w:eastAsia="Arial" w:hAnsi="Arial"/>
          <w:sz w:val="20"/>
          <w:szCs w:val="20"/>
          <w:i w:val="1"/>
          <w:iCs w:val="1"/>
          <w:color w:val="auto"/>
        </w:rPr>
        <w:t>Employee Confidential Information and Inventions Agreement</w:t>
      </w:r>
      <w:r>
        <w:rPr>
          <w:rFonts w:ascii="Arial" w:cs="Arial" w:eastAsia="Arial" w:hAnsi="Arial"/>
          <w:sz w:val="20"/>
          <w:szCs w:val="20"/>
          <w:color w:val="auto"/>
        </w:rPr>
        <w:t xml:space="preserve"> with the Company.</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I hereby represent that I have been paid all compensation owed and for all hours worked, I have received all the leave and leave benefits and protections for which I am eligible, pursuant to the federal Family and Medical Leave Act, the California Family Rights Act, or any other applicable law or leave of absence policy, and I have not suffered any on-the-job injury for which I have not already filed a claim for workers compensation benefits.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 exchange for the consideration provided to me by this Release that I am not otherwise entitled to receive, I hereby generally and completely release Jazz Pharmaceuticals plc, Jazz Pharmaceuticals, Inc., my employer entity (if not Jazz Pharmaceuticals, Inc.), and their respective current and former directors, officers, employees, shareholders, partners, agents, attorneys, predecessors, successors, parent and subsidiary entities, insurers, affiliates, and assigns (collectively, the “</w:t>
      </w:r>
      <w:r>
        <w:rPr>
          <w:rFonts w:ascii="Arial" w:cs="Arial" w:eastAsia="Arial" w:hAnsi="Arial"/>
          <w:sz w:val="20"/>
          <w:szCs w:val="20"/>
          <w:b w:val="1"/>
          <w:bCs w:val="1"/>
          <w:i w:val="1"/>
          <w:iCs w:val="1"/>
          <w:color w:val="auto"/>
        </w:rPr>
        <w:t>Released Parties</w:t>
      </w:r>
      <w:r>
        <w:rPr>
          <w:rFonts w:ascii="Arial" w:cs="Arial" w:eastAsia="Arial" w:hAnsi="Arial"/>
          <w:sz w:val="20"/>
          <w:szCs w:val="20"/>
          <w:color w:val="auto"/>
        </w:rPr>
        <w:t>”) of and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20"/>
          <w:szCs w:val="20"/>
          <w:b w:val="1"/>
          <w:bCs w:val="1"/>
          <w:i w:val="1"/>
          <w:iCs w:val="1"/>
          <w:color w:val="auto"/>
        </w:rPr>
        <w:t>Released Claims</w:t>
      </w:r>
      <w:r>
        <w:rPr>
          <w:rFonts w:ascii="Arial" w:cs="Arial" w:eastAsia="Arial" w:hAnsi="Arial"/>
          <w:sz w:val="20"/>
          <w:szCs w:val="20"/>
          <w:color w:val="auto"/>
        </w:rPr>
        <w:t>”).</w:t>
      </w:r>
    </w:p>
    <w:p>
      <w:pPr>
        <w:spacing w:after="0" w:line="192"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The Released Claims include, but are not limited to: (1) all claims arising out of or in any way related to my employment, or the termination of that employment; (2) all claims related to my compensation or benefits from my employer (or any parent or subsidiary entities or affiliates of my employer), including salary, bonuses, commissions, vacation pay, expense reimbursements, severance pay, fringe benefits, stock, stock options, or any other ownership interests in Jazz Pharmaceuticals plc or any of its parent or subsidiary entities or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California Labor Code (as amended), the California Fair Employment and Housing Act (as amended), the Pennsylvania Equal Pay Law, the Pennsylvania Wage Payment and Collection Law, the City of Philadelphia Fair Practices Code, and the Pennsylvania Human Relations Act.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w:t>
      </w:r>
    </w:p>
    <w:p>
      <w:pPr>
        <w:sectPr>
          <w:pgSz w:w="11900" w:h="16838" w:orient="portrait"/>
          <w:cols w:equalWidth="0" w:num="1">
            <w:col w:w="11420"/>
          </w:cols>
          <w:pgMar w:left="240" w:top="811" w:right="239" w:bottom="1440" w:gutter="0" w:footer="0" w:header="0"/>
        </w:sectPr>
      </w:pPr>
    </w:p>
    <w:bookmarkStart w:id="138" w:name="page139"/>
    <w:bookmarkEnd w:id="138"/>
    <w:p>
      <w:pPr>
        <w:jc w:val="both"/>
        <w:spacing w:after="0" w:line="321" w:lineRule="auto"/>
        <w:rPr>
          <w:sz w:val="20"/>
          <w:szCs w:val="20"/>
          <w:color w:val="auto"/>
        </w:rPr>
      </w:pPr>
      <w:r>
        <w:rPr>
          <w:rFonts w:ascii="Arial" w:cs="Arial" w:eastAsia="Arial" w:hAnsi="Arial"/>
          <w:sz w:val="18"/>
          <w:szCs w:val="18"/>
          <w:color w:val="auto"/>
        </w:rPr>
        <w:t>Notwithstanding the foregoing, the following are not included in the Released Claims (the “</w:t>
      </w:r>
      <w:r>
        <w:rPr>
          <w:rFonts w:ascii="Arial" w:cs="Arial" w:eastAsia="Arial" w:hAnsi="Arial"/>
          <w:sz w:val="18"/>
          <w:szCs w:val="18"/>
          <w:b w:val="1"/>
          <w:bCs w:val="1"/>
          <w:i w:val="1"/>
          <w:iCs w:val="1"/>
          <w:color w:val="auto"/>
        </w:rPr>
        <w:t>Excluded Claims</w:t>
      </w:r>
      <w:r>
        <w:rPr>
          <w:rFonts w:ascii="Arial" w:cs="Arial" w:eastAsia="Arial" w:hAnsi="Arial"/>
          <w:sz w:val="18"/>
          <w:szCs w:val="18"/>
          <w:color w:val="auto"/>
        </w:rPr>
        <w:t>”): (1) any rights or claims for indemnification I may have pursuant to any written indemnification agreement with any of the Released Parties to which I am a party, the charter, bylaws, or operating agreements of the Released Parties, or under applicable law; or (2) any rights which are not waivable as a matter of law. In addition, nothing in this Release prevents me from filing, cooperating with, or participating in any proceeding before the Equal Employment Opportunity Commission, the Department of Labor, or any other government agency,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163"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 xml:space="preserve">I acknowledge that I have read and understand Section 1542 of the California Civil Code which reads as follows: </w:t>
      </w:r>
      <w:r>
        <w:rPr>
          <w:rFonts w:ascii="Arial" w:cs="Arial" w:eastAsia="Arial" w:hAnsi="Arial"/>
          <w:sz w:val="19"/>
          <w:szCs w:val="19"/>
          <w:b w:val="1"/>
          <w:bCs w:val="1"/>
          <w:color w:val="auto"/>
        </w:rPr>
        <w:t>“A general release does not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9"/>
          <w:szCs w:val="19"/>
          <w:color w:val="auto"/>
        </w:rPr>
        <w:t>I hereby expressly waive and relinquish all</w:t>
      </w:r>
      <w:r>
        <w:rPr>
          <w:rFonts w:ascii="Arial" w:cs="Arial" w:eastAsia="Arial" w:hAnsi="Arial"/>
          <w:sz w:val="19"/>
          <w:szCs w:val="19"/>
          <w:b w:val="1"/>
          <w:bCs w:val="1"/>
          <w:color w:val="auto"/>
        </w:rPr>
        <w:t xml:space="preserve"> </w:t>
      </w:r>
      <w:r>
        <w:rPr>
          <w:rFonts w:ascii="Arial" w:cs="Arial" w:eastAsia="Arial" w:hAnsi="Arial"/>
          <w:sz w:val="19"/>
          <w:szCs w:val="19"/>
          <w:color w:val="auto"/>
        </w:rPr>
        <w:t>rights and benefits under that section and any law of any jurisdiction of similar effect with respect to my release of any claims hereunder, including but not limited to any unknown or unsuspected claims.</w:t>
      </w:r>
    </w:p>
    <w:p>
      <w:pPr>
        <w:spacing w:after="0" w:line="175"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I acknowledge that I must sign and return this Release to the Company so that it is received not later than fourteen (14) days following the date it is provided to me.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285115</wp:posOffset>
            </wp:positionV>
            <wp:extent cx="2778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285115</wp:posOffset>
            </wp:positionV>
            <wp:extent cx="27787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C-2</w:t>
      </w:r>
    </w:p>
    <w:p>
      <w:pPr>
        <w:sectPr>
          <w:pgSz w:w="11900" w:h="16838" w:orient="portrait"/>
          <w:cols w:equalWidth="0" w:num="1">
            <w:col w:w="11420"/>
          </w:cols>
          <w:pgMar w:left="240" w:top="393"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1"/>
          <w:szCs w:val="21"/>
          <w:b w:val="1"/>
          <w:bCs w:val="1"/>
          <w:color w:val="auto"/>
        </w:rPr>
        <w:t>Exhibit 10.6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[Jazz Pharmaceuticals Letterhead]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October 31,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Michael P. Miller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 on file]</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Transition and Termination Agreement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Dear Mike,</w:t>
      </w:r>
    </w:p>
    <w:p>
      <w:pPr>
        <w:spacing w:after="0" w:line="214" w:lineRule="exact"/>
        <w:rPr>
          <w:sz w:val="20"/>
          <w:szCs w:val="20"/>
          <w:color w:val="auto"/>
        </w:rPr>
      </w:pPr>
    </w:p>
    <w:p>
      <w:pPr>
        <w:ind w:right="20"/>
        <w:spacing w:after="0" w:line="269" w:lineRule="auto"/>
        <w:rPr>
          <w:sz w:val="20"/>
          <w:szCs w:val="20"/>
          <w:color w:val="auto"/>
        </w:rPr>
      </w:pPr>
      <w:r>
        <w:rPr>
          <w:rFonts w:ascii="Arial" w:cs="Arial" w:eastAsia="Arial" w:hAnsi="Arial"/>
          <w:sz w:val="22"/>
          <w:szCs w:val="22"/>
          <w:color w:val="auto"/>
        </w:rPr>
        <w:t>This letter contains the Transition and Termination Agreement (the “</w:t>
      </w:r>
      <w:r>
        <w:rPr>
          <w:rFonts w:ascii="Arial" w:cs="Arial" w:eastAsia="Arial" w:hAnsi="Arial"/>
          <w:sz w:val="22"/>
          <w:szCs w:val="22"/>
          <w:b w:val="1"/>
          <w:bCs w:val="1"/>
          <w:color w:val="auto"/>
        </w:rPr>
        <w:t>Agreement</w:t>
      </w:r>
      <w:r>
        <w:rPr>
          <w:rFonts w:ascii="Arial" w:cs="Arial" w:eastAsia="Arial" w:hAnsi="Arial"/>
          <w:sz w:val="22"/>
          <w:szCs w:val="22"/>
          <w:color w:val="auto"/>
        </w:rPr>
        <w:t>”) between you and Jazz Pharmaceuticals, Inc. (the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162" w:lineRule="exact"/>
        <w:rPr>
          <w:sz w:val="20"/>
          <w:szCs w:val="20"/>
          <w:color w:val="auto"/>
        </w:rPr>
      </w:pPr>
    </w:p>
    <w:p>
      <w:pPr>
        <w:jc w:val="both"/>
        <w:ind w:firstLine="656"/>
        <w:spacing w:after="0" w:line="304" w:lineRule="auto"/>
        <w:tabs>
          <w:tab w:leader="none" w:pos="1459" w:val="left"/>
        </w:tabs>
        <w:numPr>
          <w:ilvl w:val="0"/>
          <w:numId w:val="1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Date; Final Base Salary and Vacation Pay-Out. </w:t>
      </w:r>
      <w:r>
        <w:rPr>
          <w:rFonts w:ascii="Arial" w:cs="Arial" w:eastAsia="Arial" w:hAnsi="Arial"/>
          <w:sz w:val="19"/>
          <w:szCs w:val="19"/>
          <w:color w:val="auto"/>
        </w:rPr>
        <w:t>You and the Company have agreed that your</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will end effective as of June 30, 2020 (the “</w:t>
      </w:r>
      <w:r>
        <w:rPr>
          <w:rFonts w:ascii="Arial" w:cs="Arial" w:eastAsia="Arial" w:hAnsi="Arial"/>
          <w:sz w:val="19"/>
          <w:szCs w:val="19"/>
          <w:b w:val="1"/>
          <w:bCs w:val="1"/>
          <w:color w:val="auto"/>
        </w:rPr>
        <w:t>Termination Date</w:t>
      </w:r>
      <w:r>
        <w:rPr>
          <w:rFonts w:ascii="Arial" w:cs="Arial" w:eastAsia="Arial" w:hAnsi="Arial"/>
          <w:sz w:val="19"/>
          <w:szCs w:val="19"/>
          <w:color w:val="auto"/>
        </w:rPr>
        <w:t>”). Your employment with the Company will continue through the Termination Date under the terms set forth in Section 2 below. On the Termination Date, the Company will pay your final base salary and any accrued and unused vacation, if any, subject to standard payroll deductions and withholdings.</w:t>
      </w:r>
    </w:p>
    <w:p>
      <w:pPr>
        <w:spacing w:after="0" w:line="135" w:lineRule="exact"/>
        <w:rPr>
          <w:rFonts w:ascii="Arial" w:cs="Arial" w:eastAsia="Arial" w:hAnsi="Arial"/>
          <w:sz w:val="19"/>
          <w:szCs w:val="19"/>
          <w:b w:val="1"/>
          <w:bCs w:val="1"/>
          <w:color w:val="auto"/>
        </w:rPr>
      </w:pPr>
    </w:p>
    <w:p>
      <w:pPr>
        <w:jc w:val="both"/>
        <w:ind w:firstLine="656"/>
        <w:spacing w:after="0" w:line="287" w:lineRule="auto"/>
        <w:tabs>
          <w:tab w:leader="none" w:pos="1459" w:val="left"/>
        </w:tabs>
        <w:numPr>
          <w:ilvl w:val="0"/>
          <w:numId w:val="1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Continued Employment Terms. </w:t>
      </w:r>
      <w:r>
        <w:rPr>
          <w:rFonts w:ascii="Arial" w:cs="Arial" w:eastAsia="Arial" w:hAnsi="Arial"/>
          <w:sz w:val="19"/>
          <w:szCs w:val="19"/>
          <w:color w:val="auto"/>
        </w:rPr>
        <w:t>Through March 31, 2020 (or such other date as may be mutually agreed), you</w:t>
      </w:r>
      <w:r>
        <w:rPr>
          <w:rFonts w:ascii="Arial" w:cs="Arial" w:eastAsia="Arial" w:hAnsi="Arial"/>
          <w:sz w:val="19"/>
          <w:szCs w:val="19"/>
          <w:b w:val="1"/>
          <w:bCs w:val="1"/>
          <w:color w:val="auto"/>
        </w:rPr>
        <w:t xml:space="preserve"> </w:t>
      </w:r>
      <w:r>
        <w:rPr>
          <w:rFonts w:ascii="Arial" w:cs="Arial" w:eastAsia="Arial" w:hAnsi="Arial"/>
          <w:sz w:val="19"/>
          <w:szCs w:val="19"/>
          <w:color w:val="auto"/>
        </w:rPr>
        <w:t>will remain in your current position and you will continue to perform the duties of Executive Vice President, U.S. Commercial. Beginning April 1, 2020 (or such other date as mutually agreed), you will move into a project-based role with the title of “EVP, Special Projects,” and you will cease to be a Section 16 officer or a member of the Company’s Executive Committee. We will outline the specific project-based accountabilities for the working period between April – June 30 which may include transition activities, evaluation of corporate development opportunities, and any other required deliverables to be specified at the time of the transition. You will continue to report to the Company’s President and Chief Operating Officer and you will be expected to work remotely on a regular basis, provided that, you will be available to come into the office if requested for in-person meetings or other in-person activities. Throughout your continued employment: (a) you will continue to be classified as a full-time employee; (b) you will continue to be paid your current full-time base salary; (c) you will receive regular employee benefits coverage (subject to the terms and conditions of the benefit plans); (d) you will be eligible for consideration of a 2019 bonus under the standard terms and conditions of the Cash Bonus Plan; and (e) your equity awards will continue to vest on their regular vesting schedules. Of course, as a continuing employee, you are expected to continue to comply in full with all applicable policies and procedures.</w:t>
      </w:r>
    </w:p>
    <w:p>
      <w:pPr>
        <w:spacing w:after="0" w:line="155" w:lineRule="exact"/>
        <w:rPr>
          <w:rFonts w:ascii="Arial" w:cs="Arial" w:eastAsia="Arial" w:hAnsi="Arial"/>
          <w:sz w:val="19"/>
          <w:szCs w:val="19"/>
          <w:b w:val="1"/>
          <w:bCs w:val="1"/>
          <w:color w:val="auto"/>
        </w:rPr>
      </w:pPr>
    </w:p>
    <w:p>
      <w:pPr>
        <w:jc w:val="both"/>
        <w:ind w:firstLine="656"/>
        <w:spacing w:after="0" w:line="262" w:lineRule="auto"/>
        <w:tabs>
          <w:tab w:leader="none" w:pos="1459" w:val="left"/>
        </w:tabs>
        <w:numPr>
          <w:ilvl w:val="0"/>
          <w:numId w:val="12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Additional Benefits. </w:t>
      </w:r>
      <w:r>
        <w:rPr>
          <w:rFonts w:ascii="Arial" w:cs="Arial" w:eastAsia="Arial" w:hAnsi="Arial"/>
          <w:sz w:val="21"/>
          <w:szCs w:val="21"/>
          <w:color w:val="auto"/>
        </w:rPr>
        <w:t>If (i) you timely enter into this Agreement and you comply in full with your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hereunder (including your continuing employment obligations through the Termination Date), (ii) you remain available through the end of 2020 to answer questions that the Company may have, and to otherwise provide transition assistance that may be requested, and (iii) on the Termination Date or within twenty-one (21) days thereafter, you sign, date and return the Release Agreement attached hereto as </w:t>
      </w:r>
      <w:r>
        <w:rPr>
          <w:rFonts w:ascii="Arial" w:cs="Arial" w:eastAsia="Arial" w:hAnsi="Arial"/>
          <w:sz w:val="21"/>
          <w:szCs w:val="21"/>
          <w:b w:val="1"/>
          <w:bCs w:val="1"/>
          <w:i w:val="1"/>
          <w:iCs w:val="1"/>
          <w:color w:val="auto"/>
        </w:rPr>
        <w:t>Exhibit A</w:t>
      </w:r>
      <w:r>
        <w:rPr>
          <w:rFonts w:ascii="Arial" w:cs="Arial" w:eastAsia="Arial" w:hAnsi="Arial"/>
          <w:sz w:val="21"/>
          <w:szCs w:val="21"/>
          <w:color w:val="auto"/>
        </w:rPr>
        <w:t xml:space="preserve"> (and you do not subsequently revoke the Release Agreement), then you will receive the following benefits (the “</w:t>
      </w:r>
      <w:r>
        <w:rPr>
          <w:rFonts w:ascii="Arial" w:cs="Arial" w:eastAsia="Arial" w:hAnsi="Arial"/>
          <w:sz w:val="21"/>
          <w:szCs w:val="21"/>
          <w:b w:val="1"/>
          <w:bCs w:val="1"/>
          <w:color w:val="auto"/>
        </w:rPr>
        <w:t>Additional Benefits</w:t>
      </w:r>
      <w:r>
        <w:rPr>
          <w:rFonts w:ascii="Arial" w:cs="Arial" w:eastAsia="Arial" w:hAnsi="Arial"/>
          <w:sz w:val="21"/>
          <w:szCs w:val="21"/>
          <w:color w:val="auto"/>
        </w:rPr>
        <w:t>”):</w:t>
      </w:r>
    </w:p>
    <w:p>
      <w:pPr>
        <w:sectPr>
          <w:pgSz w:w="11900" w:h="16838" w:orient="portrait"/>
          <w:cols w:equalWidth="0" w:num="1">
            <w:col w:w="11420"/>
          </w:cols>
          <w:pgMar w:left="240" w:top="363" w:right="239" w:bottom="1440" w:gutter="0" w:footer="0" w:header="0"/>
        </w:sectPr>
      </w:pPr>
    </w:p>
    <w:bookmarkStart w:id="140" w:name="page141"/>
    <w:bookmarkEnd w:id="140"/>
    <w:p>
      <w:pPr>
        <w:spacing w:after="0"/>
        <w:rPr>
          <w:sz w:val="20"/>
          <w:szCs w:val="20"/>
          <w:color w:val="auto"/>
        </w:rPr>
      </w:pPr>
      <w:r>
        <w:rPr>
          <w:rFonts w:ascii="Arial" w:cs="Arial" w:eastAsia="Arial" w:hAnsi="Arial"/>
          <w:sz w:val="22"/>
          <w:szCs w:val="22"/>
          <w:color w:val="auto"/>
        </w:rPr>
        <w:t>October 31, 2019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Michael P. Miller</w:t>
      </w:r>
    </w:p>
    <w:p>
      <w:pPr>
        <w:spacing w:after="0" w:line="229" w:lineRule="exact"/>
        <w:rPr>
          <w:sz w:val="20"/>
          <w:szCs w:val="20"/>
          <w:color w:val="auto"/>
        </w:rPr>
      </w:pPr>
    </w:p>
    <w:p>
      <w:pPr>
        <w:jc w:val="both"/>
        <w:ind w:firstLine="1305"/>
        <w:spacing w:after="0" w:line="250" w:lineRule="auto"/>
        <w:tabs>
          <w:tab w:leader="none" w:pos="1846" w:val="left"/>
        </w:tabs>
        <w:numPr>
          <w:ilvl w:val="1"/>
          <w:numId w:val="130"/>
        </w:numPr>
        <w:rPr>
          <w:rFonts w:ascii="Arial" w:cs="Arial" w:eastAsia="Arial" w:hAnsi="Arial"/>
          <w:sz w:val="22"/>
          <w:szCs w:val="22"/>
          <w:b w:val="1"/>
          <w:bCs w:val="1"/>
          <w:color w:val="auto"/>
        </w:rPr>
      </w:pPr>
      <w:r>
        <w:rPr>
          <w:rFonts w:ascii="Arial" w:cs="Arial" w:eastAsia="Arial" w:hAnsi="Arial"/>
          <w:sz w:val="22"/>
          <w:szCs w:val="22"/>
          <w:color w:val="auto"/>
        </w:rPr>
        <w:t>The Company will pay you a cash payment of $267,500.00, which is equal to six (6) months of your base salary (the “</w:t>
      </w:r>
      <w:r>
        <w:rPr>
          <w:rFonts w:ascii="Arial" w:cs="Arial" w:eastAsia="Arial" w:hAnsi="Arial"/>
          <w:sz w:val="22"/>
          <w:szCs w:val="22"/>
          <w:b w:val="1"/>
          <w:bCs w:val="1"/>
          <w:color w:val="auto"/>
        </w:rPr>
        <w:t>Final Payment</w:t>
      </w:r>
      <w:r>
        <w:rPr>
          <w:rFonts w:ascii="Arial" w:cs="Arial" w:eastAsia="Arial" w:hAnsi="Arial"/>
          <w:sz w:val="22"/>
          <w:szCs w:val="22"/>
          <w:color w:val="auto"/>
        </w:rPr>
        <w:t xml:space="preserve">”). The Final Payment will be subject to required payroll deductions and withholdings and paid to you in a lump sum within fifteen (15) business days following the </w:t>
      </w:r>
      <w:r>
        <w:rPr>
          <w:rFonts w:ascii="Arial" w:cs="Arial" w:eastAsia="Arial" w:hAnsi="Arial"/>
          <w:sz w:val="22"/>
          <w:szCs w:val="22"/>
          <w:i w:val="1"/>
          <w:iCs w:val="1"/>
          <w:color w:val="auto"/>
        </w:rPr>
        <w:t>later of</w:t>
      </w:r>
      <w:r>
        <w:rPr>
          <w:rFonts w:ascii="Arial" w:cs="Arial" w:eastAsia="Arial" w:hAnsi="Arial"/>
          <w:sz w:val="22"/>
          <w:szCs w:val="22"/>
          <w:color w:val="auto"/>
        </w:rPr>
        <w:t xml:space="preserve"> the following: (i) the Termination Date, and (ii) the Effective Date of the Release Agreement (as defined therein).</w:t>
      </w:r>
    </w:p>
    <w:p>
      <w:pPr>
        <w:spacing w:after="0" w:line="188" w:lineRule="exact"/>
        <w:rPr>
          <w:rFonts w:ascii="Arial" w:cs="Arial" w:eastAsia="Arial" w:hAnsi="Arial"/>
          <w:sz w:val="22"/>
          <w:szCs w:val="22"/>
          <w:b w:val="1"/>
          <w:bCs w:val="1"/>
          <w:color w:val="auto"/>
        </w:rPr>
      </w:pPr>
    </w:p>
    <w:p>
      <w:pPr>
        <w:jc w:val="both"/>
        <w:ind w:firstLine="1305"/>
        <w:spacing w:after="0" w:line="259" w:lineRule="auto"/>
        <w:tabs>
          <w:tab w:leader="none" w:pos="1966" w:val="left"/>
        </w:tabs>
        <w:numPr>
          <w:ilvl w:val="1"/>
          <w:numId w:val="130"/>
        </w:numPr>
        <w:rPr>
          <w:rFonts w:ascii="Arial" w:cs="Arial" w:eastAsia="Arial" w:hAnsi="Arial"/>
          <w:sz w:val="21"/>
          <w:szCs w:val="21"/>
          <w:b w:val="1"/>
          <w:bCs w:val="1"/>
          <w:color w:val="auto"/>
        </w:rPr>
      </w:pPr>
      <w:r>
        <w:rPr>
          <w:rFonts w:ascii="Arial" w:cs="Arial" w:eastAsia="Arial" w:hAnsi="Arial"/>
          <w:sz w:val="21"/>
          <w:szCs w:val="21"/>
          <w:color w:val="auto"/>
        </w:rPr>
        <w:t>Your group health insurance coverage will terminate at the end of the calendar month in which your employment ends. To the extent provided by the federal COBRA law or, if applicable, state insurance laws (collectively, “</w:t>
      </w:r>
      <w:r>
        <w:rPr>
          <w:rFonts w:ascii="Arial" w:cs="Arial" w:eastAsia="Arial" w:hAnsi="Arial"/>
          <w:sz w:val="21"/>
          <w:szCs w:val="21"/>
          <w:b w:val="1"/>
          <w:bCs w:val="1"/>
          <w:color w:val="auto"/>
        </w:rPr>
        <w:t>COBRA</w:t>
      </w:r>
      <w:r>
        <w:rPr>
          <w:rFonts w:ascii="Arial" w:cs="Arial" w:eastAsia="Arial" w:hAnsi="Arial"/>
          <w:sz w:val="21"/>
          <w:szCs w:val="21"/>
          <w:color w:val="auto"/>
        </w:rPr>
        <w:t>”), and by the Company’s current group health insurance policies, you will be eligible to continue your group health insurance benefits thereafter by timely electing COBRA continuation coverage. You will receive a notice of your COBRA rights and obligations, including instructions for electing COBRA coverage, within the timing required by law. Provided that you timely elect COBRA coverage, the Company will pay your monthly COBRA premiums for a period of six (6) months (the “</w:t>
      </w:r>
      <w:r>
        <w:rPr>
          <w:rFonts w:ascii="Arial" w:cs="Arial" w:eastAsia="Arial" w:hAnsi="Arial"/>
          <w:sz w:val="21"/>
          <w:szCs w:val="21"/>
          <w:b w:val="1"/>
          <w:bCs w:val="1"/>
          <w:color w:val="auto"/>
        </w:rPr>
        <w:t>COBRA</w:t>
      </w:r>
      <w:r>
        <w:rPr>
          <w:rFonts w:ascii="Arial" w:cs="Arial" w:eastAsia="Arial" w:hAnsi="Arial"/>
          <w:sz w:val="21"/>
          <w:szCs w:val="21"/>
          <w:color w:val="auto"/>
        </w:rPr>
        <w:t xml:space="preserve"> </w:t>
      </w:r>
      <w:r>
        <w:rPr>
          <w:rFonts w:ascii="Arial" w:cs="Arial" w:eastAsia="Arial" w:hAnsi="Arial"/>
          <w:sz w:val="21"/>
          <w:szCs w:val="21"/>
          <w:b w:val="1"/>
          <w:bCs w:val="1"/>
          <w:color w:val="auto"/>
        </w:rPr>
        <w:t>Payment Period</w:t>
      </w:r>
      <w:r>
        <w:rPr>
          <w:rFonts w:ascii="Arial" w:cs="Arial" w:eastAsia="Arial" w:hAnsi="Arial"/>
          <w:sz w:val="21"/>
          <w:szCs w:val="21"/>
          <w:color w:val="auto"/>
        </w:rPr>
        <w:t>”), including premiums for your enrolled dependents (if any), with such payments to be made directly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Company’s COBRA administrator. Following the COBRA Payment Period, you are solely responsible for payment of your COBRA premiums if you wish to continue your COBRA coverage.</w:t>
      </w:r>
    </w:p>
    <w:p>
      <w:pPr>
        <w:spacing w:after="0" w:line="174" w:lineRule="exact"/>
        <w:rPr>
          <w:rFonts w:ascii="Arial" w:cs="Arial" w:eastAsia="Arial" w:hAnsi="Arial"/>
          <w:sz w:val="21"/>
          <w:szCs w:val="21"/>
          <w:b w:val="1"/>
          <w:bCs w:val="1"/>
          <w:color w:val="auto"/>
        </w:rPr>
      </w:pPr>
    </w:p>
    <w:p>
      <w:pPr>
        <w:jc w:val="both"/>
        <w:ind w:firstLine="1305"/>
        <w:spacing w:after="0" w:line="295" w:lineRule="auto"/>
        <w:tabs>
          <w:tab w:leader="none" w:pos="1824" w:val="left"/>
        </w:tabs>
        <w:numPr>
          <w:ilvl w:val="1"/>
          <w:numId w:val="13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Prorated 2020 Bonus. </w:t>
      </w:r>
      <w:r>
        <w:rPr>
          <w:rFonts w:ascii="Arial" w:cs="Arial" w:eastAsia="Arial" w:hAnsi="Arial"/>
          <w:sz w:val="19"/>
          <w:szCs w:val="19"/>
          <w:color w:val="auto"/>
        </w:rPr>
        <w:t>In addition, the Company will pay you a prorated 2020 bonus for the time period in</w:t>
      </w:r>
      <w:r>
        <w:rPr>
          <w:rFonts w:ascii="Arial" w:cs="Arial" w:eastAsia="Arial" w:hAnsi="Arial"/>
          <w:sz w:val="19"/>
          <w:szCs w:val="19"/>
          <w:b w:val="1"/>
          <w:bCs w:val="1"/>
          <w:color w:val="auto"/>
        </w:rPr>
        <w:t xml:space="preserve"> </w:t>
      </w:r>
      <w:r>
        <w:rPr>
          <w:rFonts w:ascii="Arial" w:cs="Arial" w:eastAsia="Arial" w:hAnsi="Arial"/>
          <w:sz w:val="19"/>
          <w:szCs w:val="19"/>
          <w:color w:val="auto"/>
        </w:rPr>
        <w:t>2020 that you remain in your current position of Executive Vice President, U.S. Commercial. The prorated 2020 bonus will be calculated “at target” as set forth in the Cash Bonus Plan; thus, if you remain in your current position from January 1 to March 31, 2020 as discussed in Section 2, the prorated 2020 bonus will be in the amount of $73,562.50; this bonus amount will be adjusted if you continue in your current role for a longer time period in 2020. The prorated 2020 bonus will be subject to required payroll deductions and withholdings, and will be paid to you in a lump sum at the same time as the Final Payment.</w:t>
      </w:r>
    </w:p>
    <w:p>
      <w:pPr>
        <w:spacing w:after="0" w:line="144" w:lineRule="exact"/>
        <w:rPr>
          <w:rFonts w:ascii="Arial" w:cs="Arial" w:eastAsia="Arial" w:hAnsi="Arial"/>
          <w:sz w:val="19"/>
          <w:szCs w:val="19"/>
          <w:b w:val="1"/>
          <w:bCs w:val="1"/>
          <w:color w:val="auto"/>
        </w:rPr>
      </w:pPr>
    </w:p>
    <w:p>
      <w:pPr>
        <w:jc w:val="both"/>
        <w:ind w:firstLine="656"/>
        <w:spacing w:after="0" w:line="249" w:lineRule="auto"/>
        <w:tabs>
          <w:tab w:leader="none" w:pos="1459"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Equity Awards. </w:t>
      </w:r>
      <w:r>
        <w:rPr>
          <w:rFonts w:ascii="Arial" w:cs="Arial" w:eastAsia="Arial" w:hAnsi="Arial"/>
          <w:sz w:val="22"/>
          <w:szCs w:val="22"/>
          <w:color w:val="auto"/>
        </w:rPr>
        <w:t>On the Termination Date, vesting of any outstanding stock options that you have to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ordinary shares of Jazz Pharmaceuticals plc and of any outstanding Jazz Pharmaceuticals plc restricted stock unit awards that have been issued to you will cease, and any unvested portion of such options or unvested restricted stock unit awards will terminate. You will be able to exercise any vested portion of such options under the terms of your stock option agreement(s) with Jazz Pharmaceuticals plc and the applicable Equity Incentive Plan(s).</w:t>
      </w:r>
    </w:p>
    <w:p>
      <w:pPr>
        <w:spacing w:after="0" w:line="186" w:lineRule="exact"/>
        <w:rPr>
          <w:rFonts w:ascii="Arial" w:cs="Arial" w:eastAsia="Arial" w:hAnsi="Arial"/>
          <w:sz w:val="22"/>
          <w:szCs w:val="22"/>
          <w:b w:val="1"/>
          <w:bCs w:val="1"/>
          <w:color w:val="auto"/>
        </w:rPr>
      </w:pPr>
    </w:p>
    <w:p>
      <w:pPr>
        <w:jc w:val="both"/>
        <w:ind w:right="20" w:firstLine="656"/>
        <w:spacing w:after="0" w:line="315" w:lineRule="auto"/>
        <w:tabs>
          <w:tab w:leader="none" w:pos="1459"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Compensation or Benefits. </w:t>
      </w:r>
      <w:r>
        <w:rPr>
          <w:rFonts w:ascii="Arial" w:cs="Arial" w:eastAsia="Arial" w:hAnsi="Arial"/>
          <w:sz w:val="19"/>
          <w:szCs w:val="19"/>
          <w:color w:val="auto"/>
        </w:rPr>
        <w:t>You acknowledge that, except as expressly provided in this Agreement, you</w:t>
      </w:r>
      <w:r>
        <w:rPr>
          <w:rFonts w:ascii="Arial" w:cs="Arial" w:eastAsia="Arial" w:hAnsi="Arial"/>
          <w:sz w:val="19"/>
          <w:szCs w:val="19"/>
          <w:b w:val="1"/>
          <w:bCs w:val="1"/>
          <w:color w:val="auto"/>
        </w:rPr>
        <w:t xml:space="preserve"> </w:t>
      </w:r>
      <w:r>
        <w:rPr>
          <w:rFonts w:ascii="Arial" w:cs="Arial" w:eastAsia="Arial" w:hAnsi="Arial"/>
          <w:sz w:val="19"/>
          <w:szCs w:val="19"/>
          <w:color w:val="auto"/>
        </w:rPr>
        <w:t>have not earned and will not receive any additional compensation, severance or benefits, with the exception of any vested benefits you may have under the express terms of a written ERISA-qualified benefit plan (</w:t>
      </w:r>
      <w:r>
        <w:rPr>
          <w:rFonts w:ascii="Arial" w:cs="Arial" w:eastAsia="Arial" w:hAnsi="Arial"/>
          <w:sz w:val="19"/>
          <w:szCs w:val="19"/>
          <w:i w:val="1"/>
          <w:iCs w:val="1"/>
          <w:color w:val="auto"/>
        </w:rPr>
        <w:t>e.g.</w:t>
      </w:r>
      <w:r>
        <w:rPr>
          <w:rFonts w:ascii="Arial" w:cs="Arial" w:eastAsia="Arial" w:hAnsi="Arial"/>
          <w:sz w:val="19"/>
          <w:szCs w:val="19"/>
          <w:color w:val="auto"/>
        </w:rPr>
        <w:t>, 401(k) account).</w:t>
      </w:r>
    </w:p>
    <w:p>
      <w:pPr>
        <w:spacing w:after="0" w:line="125" w:lineRule="exact"/>
        <w:rPr>
          <w:rFonts w:ascii="Arial" w:cs="Arial" w:eastAsia="Arial" w:hAnsi="Arial"/>
          <w:sz w:val="19"/>
          <w:szCs w:val="19"/>
          <w:b w:val="1"/>
          <w:bCs w:val="1"/>
          <w:color w:val="auto"/>
        </w:rPr>
      </w:pPr>
    </w:p>
    <w:p>
      <w:pPr>
        <w:jc w:val="both"/>
        <w:ind w:firstLine="656"/>
        <w:spacing w:after="0" w:line="293" w:lineRule="auto"/>
        <w:tabs>
          <w:tab w:leader="none" w:pos="1459"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Expense Reimbursements. </w:t>
      </w:r>
      <w:r>
        <w:rPr>
          <w:rFonts w:ascii="Arial" w:cs="Arial" w:eastAsia="Arial" w:hAnsi="Arial"/>
          <w:sz w:val="19"/>
          <w:szCs w:val="19"/>
          <w:color w:val="auto"/>
        </w:rPr>
        <w:t>During your continued employment, you will remain eligible for reimbursement of</w:t>
      </w:r>
      <w:r>
        <w:rPr>
          <w:rFonts w:ascii="Arial" w:cs="Arial" w:eastAsia="Arial" w:hAnsi="Arial"/>
          <w:sz w:val="19"/>
          <w:szCs w:val="19"/>
          <w:b w:val="1"/>
          <w:bCs w:val="1"/>
          <w:color w:val="auto"/>
        </w:rPr>
        <w:t xml:space="preserve"> </w:t>
      </w:r>
      <w:r>
        <w:rPr>
          <w:rFonts w:ascii="Arial" w:cs="Arial" w:eastAsia="Arial" w:hAnsi="Arial"/>
          <w:sz w:val="19"/>
          <w:szCs w:val="19"/>
          <w:color w:val="auto"/>
        </w:rPr>
        <w:t>properly documented business expenses as provided under the Global Travel &amp; Expense Policy. You agree that, no later than the Termination Date, you will submit your final documented expense reimbursements via Concur consisting of any and all outstanding business expenses you incurred through the Termination Date, including your reconciliation of any outstanding charges on your Company credit card (whether such charges are personal or business in nature). The Company agrees that it will promptly reimburse you for any outstanding legitimate business expenses under the terms of the Global Travel &amp; Expense Policy, and, to the extent applicable, you agree to reimburse the Company for any outstanding personal charges on your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32" w:right="23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t>October 31, 2019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Michael P. Miller</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corporate credit card (or the Company may elect to offset outstanding personal charges against the Severance Payment).</w:t>
      </w:r>
    </w:p>
    <w:p>
      <w:pPr>
        <w:spacing w:after="0" w:line="225" w:lineRule="exact"/>
        <w:rPr>
          <w:sz w:val="20"/>
          <w:szCs w:val="20"/>
          <w:color w:val="auto"/>
        </w:rPr>
      </w:pPr>
    </w:p>
    <w:p>
      <w:pPr>
        <w:jc w:val="both"/>
        <w:ind w:firstLine="656"/>
        <w:spacing w:after="0" w:line="287" w:lineRule="auto"/>
        <w:tabs>
          <w:tab w:leader="none" w:pos="1459" w:val="left"/>
        </w:tabs>
        <w:numPr>
          <w:ilvl w:val="1"/>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Return of Company Property. </w:t>
      </w:r>
      <w:r>
        <w:rPr>
          <w:rFonts w:ascii="Arial" w:cs="Arial" w:eastAsia="Arial" w:hAnsi="Arial"/>
          <w:sz w:val="19"/>
          <w:szCs w:val="19"/>
          <w:color w:val="auto"/>
        </w:rPr>
        <w:t>On the Termination Date (or earlier if requested by the Company) you must return</w:t>
      </w:r>
      <w:r>
        <w:rPr>
          <w:rFonts w:ascii="Arial" w:cs="Arial" w:eastAsia="Arial" w:hAnsi="Arial"/>
          <w:sz w:val="19"/>
          <w:szCs w:val="19"/>
          <w:b w:val="1"/>
          <w:bCs w:val="1"/>
          <w:color w:val="auto"/>
        </w:rPr>
        <w:t xml:space="preserve"> </w:t>
      </w:r>
      <w:r>
        <w:rPr>
          <w:rFonts w:ascii="Arial" w:cs="Arial" w:eastAsia="Arial" w:hAnsi="Arial"/>
          <w:sz w:val="19"/>
          <w:szCs w:val="19"/>
          <w:color w:val="auto"/>
        </w:rPr>
        <w:t>to the Company all Company documents (and all copies thereof) and other Company property that you have in your possession or control, including, but not limited to, Company laptop, files, notes, drawings, records, business plans and forecasts, financial information, specifications, computer-recorded information including Outlook contact lists, tangible property, credit cards, entry cards, identification badges and keys; and, any materials of any kind that contain or embody any proprietary or confidential information of the Company (and all reproductions thereof). You agree that you will make a diligent search to locate any such documents, property and information. Prior to your return of the Company’s electronic devices (including laptop, mobile phone and iPad, to the extent applicable), you must delete from these devices any information contained on such devices which are not related to the Company or its business including any personal information contained on such devices, although you may retain copies of your personal information including personal emails and personal contact information. If you have used any personally owned computer, server, e-mail system, mobile phone, portable electronic device (</w:t>
      </w:r>
      <w:r>
        <w:rPr>
          <w:rFonts w:ascii="Arial" w:cs="Arial" w:eastAsia="Arial" w:hAnsi="Arial"/>
          <w:sz w:val="19"/>
          <w:szCs w:val="19"/>
          <w:i w:val="1"/>
          <w:iCs w:val="1"/>
          <w:color w:val="auto"/>
        </w:rPr>
        <w:t>e.g.</w:t>
      </w:r>
      <w:r>
        <w:rPr>
          <w:rFonts w:ascii="Arial" w:cs="Arial" w:eastAsia="Arial" w:hAnsi="Arial"/>
          <w:sz w:val="19"/>
          <w:szCs w:val="19"/>
          <w:color w:val="auto"/>
        </w:rPr>
        <w:t>, BlackBerry, smartphone, iPad or the like), (collectively, “</w:t>
      </w:r>
      <w:r>
        <w:rPr>
          <w:rFonts w:ascii="Arial" w:cs="Arial" w:eastAsia="Arial" w:hAnsi="Arial"/>
          <w:sz w:val="19"/>
          <w:szCs w:val="19"/>
          <w:b w:val="1"/>
          <w:bCs w:val="1"/>
          <w:color w:val="auto"/>
        </w:rPr>
        <w:t>Personal Systems</w:t>
      </w:r>
      <w:r>
        <w:rPr>
          <w:rFonts w:ascii="Arial" w:cs="Arial" w:eastAsia="Arial" w:hAnsi="Arial"/>
          <w:sz w:val="19"/>
          <w:szCs w:val="19"/>
          <w:color w:val="auto"/>
        </w:rPr>
        <w:t>”) to receive, store, prepare or transmit any Company confidential or proprietary data, materials or information, then no later than the Termination Date, you will permanently delete and expunge all such Company confidential or proprietary information from such Personal Systems without retaining any copy or reproduction in any form.</w:t>
      </w:r>
    </w:p>
    <w:p>
      <w:pPr>
        <w:spacing w:after="0" w:line="150" w:lineRule="exact"/>
        <w:rPr>
          <w:rFonts w:ascii="Arial" w:cs="Arial" w:eastAsia="Arial" w:hAnsi="Arial"/>
          <w:sz w:val="19"/>
          <w:szCs w:val="19"/>
          <w:b w:val="1"/>
          <w:bCs w:val="1"/>
          <w:color w:val="auto"/>
        </w:rPr>
      </w:pPr>
    </w:p>
    <w:p>
      <w:pPr>
        <w:jc w:val="both"/>
        <w:ind w:firstLine="656"/>
        <w:spacing w:after="0" w:line="315" w:lineRule="auto"/>
        <w:tabs>
          <w:tab w:leader="none" w:pos="1459" w:val="left"/>
        </w:tabs>
        <w:numPr>
          <w:ilvl w:val="1"/>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Confidential Information Obligations. </w:t>
      </w:r>
      <w:r>
        <w:rPr>
          <w:rFonts w:ascii="Arial" w:cs="Arial" w:eastAsia="Arial" w:hAnsi="Arial"/>
          <w:sz w:val="19"/>
          <w:szCs w:val="19"/>
          <w:color w:val="auto"/>
        </w:rPr>
        <w:t>Both through the Termination Date and thereafter, you acknowledge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reaffirm your continuing obligations under your Employee Confidential Information and Inventions Agreement. A signed copy of your Employee Confidential Information and Inventions Agreement is attached hereto as </w:t>
      </w:r>
      <w:r>
        <w:rPr>
          <w:rFonts w:ascii="Arial" w:cs="Arial" w:eastAsia="Arial" w:hAnsi="Arial"/>
          <w:sz w:val="19"/>
          <w:szCs w:val="19"/>
          <w:b w:val="1"/>
          <w:bCs w:val="1"/>
          <w:i w:val="1"/>
          <w:iCs w:val="1"/>
          <w:color w:val="auto"/>
        </w:rPr>
        <w:t>Exhibit B.</w:t>
      </w:r>
    </w:p>
    <w:p>
      <w:pPr>
        <w:spacing w:after="0" w:line="125" w:lineRule="exact"/>
        <w:rPr>
          <w:rFonts w:ascii="Arial" w:cs="Arial" w:eastAsia="Arial" w:hAnsi="Arial"/>
          <w:sz w:val="19"/>
          <w:szCs w:val="19"/>
          <w:b w:val="1"/>
          <w:bCs w:val="1"/>
          <w:color w:val="auto"/>
        </w:rPr>
      </w:pPr>
    </w:p>
    <w:p>
      <w:pPr>
        <w:jc w:val="both"/>
        <w:ind w:firstLine="656"/>
        <w:spacing w:after="0" w:line="290" w:lineRule="auto"/>
        <w:tabs>
          <w:tab w:leader="none" w:pos="1459" w:val="left"/>
        </w:tabs>
        <w:numPr>
          <w:ilvl w:val="1"/>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Public Disclosure Obligations. </w:t>
      </w:r>
      <w:r>
        <w:rPr>
          <w:rFonts w:ascii="Arial" w:cs="Arial" w:eastAsia="Arial" w:hAnsi="Arial"/>
          <w:sz w:val="19"/>
          <w:szCs w:val="19"/>
          <w:color w:val="auto"/>
        </w:rPr>
        <w:t>Due to your status as a Named Executive Officer, the Company will make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public disclosures concerning your departure and this Agreement, including the following: (a) the Company will disclose a brief description of the cessation of your employment and the terms of this Agreement, and the amounts payable to you hereunder; and</w:t>
      </w:r>
    </w:p>
    <w:p>
      <w:pPr>
        <w:spacing w:after="0" w:line="1" w:lineRule="exact"/>
        <w:rPr>
          <w:rFonts w:ascii="Arial" w:cs="Arial" w:eastAsia="Arial" w:hAnsi="Arial"/>
          <w:sz w:val="19"/>
          <w:szCs w:val="19"/>
          <w:b w:val="1"/>
          <w:bCs w:val="1"/>
          <w:color w:val="auto"/>
        </w:rPr>
      </w:pPr>
    </w:p>
    <w:p>
      <w:pPr>
        <w:ind w:firstLine="8"/>
        <w:spacing w:after="0" w:line="246" w:lineRule="auto"/>
        <w:tabs>
          <w:tab w:leader="none" w:pos="31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pursuant to a Company periodic report filing with the Securities and Exchange Commission within the timing required by law, the Company will file a copy of this Agreement.</w:t>
      </w:r>
    </w:p>
    <w:p>
      <w:pPr>
        <w:spacing w:after="0" w:line="186" w:lineRule="exact"/>
        <w:rPr>
          <w:rFonts w:ascii="Arial" w:cs="Arial" w:eastAsia="Arial" w:hAnsi="Arial"/>
          <w:sz w:val="22"/>
          <w:szCs w:val="22"/>
          <w:color w:val="auto"/>
        </w:rPr>
      </w:pPr>
    </w:p>
    <w:p>
      <w:pPr>
        <w:jc w:val="both"/>
        <w:ind w:firstLine="656"/>
        <w:spacing w:after="0" w:line="291" w:lineRule="auto"/>
        <w:tabs>
          <w:tab w:leader="none" w:pos="1567" w:val="left"/>
        </w:tabs>
        <w:numPr>
          <w:ilvl w:val="1"/>
          <w:numId w:val="13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Voluntary Cooperation. </w:t>
      </w:r>
      <w:r>
        <w:rPr>
          <w:rFonts w:ascii="Arial" w:cs="Arial" w:eastAsia="Arial" w:hAnsi="Arial"/>
          <w:sz w:val="19"/>
          <w:szCs w:val="19"/>
          <w:color w:val="auto"/>
        </w:rPr>
        <w:t>Both during your continued employment and thereafter, you agree to cooperate fully</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Company in connection with its actual or contemplated defense, prosecution, or investigation of any claims or demands by or against third parties (</w:t>
      </w:r>
      <w:r>
        <w:rPr>
          <w:rFonts w:ascii="Arial" w:cs="Arial" w:eastAsia="Arial" w:hAnsi="Arial"/>
          <w:sz w:val="19"/>
          <w:szCs w:val="19"/>
          <w:i w:val="1"/>
          <w:iCs w:val="1"/>
          <w:color w:val="auto"/>
        </w:rPr>
        <w:t>e.g.,</w:t>
      </w:r>
      <w:r>
        <w:rPr>
          <w:rFonts w:ascii="Arial" w:cs="Arial" w:eastAsia="Arial" w:hAnsi="Arial"/>
          <w:sz w:val="19"/>
          <w:szCs w:val="19"/>
          <w:color w:val="auto"/>
        </w:rPr>
        <w:t xml:space="preserve"> demands to produce documents or testimony pursuant to subpoena), or other matters arising from events, acts, or failures to act that occurred during the period of your employment by the Company. Such cooperation includes, without limitation, making yourself available to the Company upon reasonable notice, without subpoena, to provide truthful and accurate information in witness interviews with the Company or its counsel, and in deposition and trial testimony. The Company will reimburse you for reasonable out-of-pocket expenses you may incur in connection with any such cooperation (excluding forgone wages, salary, or other compensation) and will make reasonable efforts to accommodate your scheduling needs.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32" w:right="239"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color w:val="auto"/>
        </w:rPr>
        <w:t>October 31, 2019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Michael P. Miller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656"/>
        <w:spacing w:after="0" w:line="256" w:lineRule="auto"/>
        <w:tabs>
          <w:tab w:leader="none" w:pos="1555"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Admissions. </w:t>
      </w:r>
      <w:r>
        <w:rPr>
          <w:rFonts w:ascii="Arial" w:cs="Arial" w:eastAsia="Arial" w:hAnsi="Arial"/>
          <w:sz w:val="22"/>
          <w:szCs w:val="22"/>
          <w:color w:val="auto"/>
        </w:rPr>
        <w:t>You understand and agree that the promises and payments in consideration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construed to be an admission of any liability or obligation by the Company to you or to any other person, and that the Company makes no such admission.</w:t>
      </w:r>
    </w:p>
    <w:p>
      <w:pPr>
        <w:spacing w:after="0" w:line="176" w:lineRule="exact"/>
        <w:rPr>
          <w:rFonts w:ascii="Arial" w:cs="Arial" w:eastAsia="Arial" w:hAnsi="Arial"/>
          <w:sz w:val="22"/>
          <w:szCs w:val="22"/>
          <w:b w:val="1"/>
          <w:bCs w:val="1"/>
          <w:color w:val="auto"/>
        </w:rPr>
      </w:pPr>
    </w:p>
    <w:p>
      <w:pPr>
        <w:jc w:val="both"/>
        <w:ind w:firstLine="656"/>
        <w:spacing w:after="0" w:line="288" w:lineRule="auto"/>
        <w:tabs>
          <w:tab w:leader="none" w:pos="1567" w:val="left"/>
        </w:tabs>
        <w:numPr>
          <w:ilvl w:val="0"/>
          <w:numId w:val="1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This Agreement, including its Exhibits, constitutes the complete, final and exclusive embodiment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Electronic signatures, including signatures on PDF transmitted electronically, will qualify as original signatures. This Agreement will be deemed to have been entered into and will be construed and enforced in accordance with the laws of the State of California without regard to conflicts of law principles.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32" w:right="23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color w:val="auto"/>
        </w:rPr>
        <w:t>October 31, 2019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Michael P. Miller</w:t>
      </w:r>
    </w:p>
    <w:p>
      <w:pPr>
        <w:spacing w:after="0" w:line="200" w:lineRule="exact"/>
        <w:rPr>
          <w:sz w:val="20"/>
          <w:szCs w:val="20"/>
          <w:color w:val="auto"/>
        </w:rPr>
      </w:pPr>
    </w:p>
    <w:p>
      <w:pPr>
        <w:spacing w:after="0" w:line="2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this Agreement is acceptable to you, please sign and date it below, and return the fully signed Agreement at your earliest convenience but no later than within ten (10) business days. If you have any questions about this Agreement, feel free to direct them to me or to Ann Polus in the Legal Department.</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In addition, as discussed herein, as a condition of your eligibility for the Additional Benefits, on the Termination Date or within twenty-one (21) days thereafter, you must sign, date and return the Release Agreement attached as </w:t>
      </w:r>
      <w:r>
        <w:rPr>
          <w:rFonts w:ascii="Arial" w:cs="Arial" w:eastAsia="Arial" w:hAnsi="Arial"/>
          <w:sz w:val="22"/>
          <w:szCs w:val="22"/>
          <w:b w:val="1"/>
          <w:bCs w:val="1"/>
          <w:i w:val="1"/>
          <w:iCs w:val="1"/>
          <w:color w:val="auto"/>
        </w:rPr>
        <w:t>Exhibit A</w:t>
      </w:r>
      <w:r>
        <w:rPr>
          <w:rFonts w:ascii="Arial" w:cs="Arial" w:eastAsia="Arial" w:hAnsi="Arial"/>
          <w:sz w:val="22"/>
          <w:szCs w:val="22"/>
          <w:color w:val="auto"/>
        </w:rPr>
        <w:t>, and you must not revoke it.</w:t>
      </w:r>
    </w:p>
    <w:p>
      <w:pPr>
        <w:spacing w:after="0" w:line="18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We look forward to continuing to work with you during your continued employment, and I wish you the very best in your upcoming retirement!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JAZZ PHARMACEUTICALS, INC.</w:t>
      </w:r>
    </w:p>
    <w:p>
      <w:pPr>
        <w:spacing w:after="0" w:line="266"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Heidi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24765</wp:posOffset>
            </wp:positionV>
            <wp:extent cx="30784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Heidi Manna</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Exhibit A – Release Agreement</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Exhibit B – Employee Confidential Information and Inventions Agreement</w:t>
      </w: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REVIEWED, UNDERSTOOD, AND AGREED:</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i w:val="1"/>
          <w:iCs w:val="1"/>
          <w:color w:val="auto"/>
        </w:rPr>
        <w:t>/s/ Mike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4988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Michael P. Miller</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02-Nov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4988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32" w:right="2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October 31, 2019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Michael P. Miller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signed and returned on the Termination Date or within 21 days after)</w:t>
      </w:r>
    </w:p>
    <w:p>
      <w:pPr>
        <w:spacing w:after="0" w:line="26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I am entering into this Release Agreement (“</w:t>
      </w:r>
      <w:r>
        <w:rPr>
          <w:rFonts w:ascii="Arial" w:cs="Arial" w:eastAsia="Arial" w:hAnsi="Arial"/>
          <w:sz w:val="19"/>
          <w:szCs w:val="19"/>
          <w:b w:val="1"/>
          <w:bCs w:val="1"/>
          <w:color w:val="auto"/>
        </w:rPr>
        <w:t>Release</w:t>
      </w:r>
      <w:r>
        <w:rPr>
          <w:rFonts w:ascii="Arial" w:cs="Arial" w:eastAsia="Arial" w:hAnsi="Arial"/>
          <w:sz w:val="19"/>
          <w:szCs w:val="19"/>
          <w:color w:val="auto"/>
        </w:rPr>
        <w:t>”) pursuant to the terms of the Transition and Termination Agreement between me and Jazz Pharmaceuticals, Inc. (the “</w:t>
      </w:r>
      <w:r>
        <w:rPr>
          <w:rFonts w:ascii="Arial" w:cs="Arial" w:eastAsia="Arial" w:hAnsi="Arial"/>
          <w:sz w:val="19"/>
          <w:szCs w:val="19"/>
          <w:b w:val="1"/>
          <w:bCs w:val="1"/>
          <w:color w:val="auto"/>
        </w:rPr>
        <w:t>Company</w:t>
      </w:r>
      <w:r>
        <w:rPr>
          <w:rFonts w:ascii="Arial" w:cs="Arial" w:eastAsia="Arial" w:hAnsi="Arial"/>
          <w:sz w:val="19"/>
          <w:szCs w:val="19"/>
          <w:color w:val="auto"/>
        </w:rPr>
        <w:t>”). In exchange for the Additional Benefits, and except as otherwise set forth in this Release, I hereby generally and completely release the Company, Jazz Pharmaceuticals plc, and their respective current and former directors, officers, employees, shareholders, partners, agents, attorneys, predecessors, successors, parent and subsidiary entities, insurers, affiliates, and assigns (collectively, the “</w:t>
      </w:r>
      <w:r>
        <w:rPr>
          <w:rFonts w:ascii="Arial" w:cs="Arial" w:eastAsia="Arial" w:hAnsi="Arial"/>
          <w:sz w:val="19"/>
          <w:szCs w:val="19"/>
          <w:b w:val="1"/>
          <w:bCs w:val="1"/>
          <w:color w:val="auto"/>
        </w:rPr>
        <w:t>Released Parties</w:t>
      </w:r>
      <w:r>
        <w:rPr>
          <w:rFonts w:ascii="Arial" w:cs="Arial" w:eastAsia="Arial" w:hAnsi="Arial"/>
          <w:sz w:val="19"/>
          <w:szCs w:val="19"/>
          <w:color w:val="auto"/>
        </w:rPr>
        <w:t>”) of and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9"/>
          <w:szCs w:val="19"/>
          <w:b w:val="1"/>
          <w:bCs w:val="1"/>
          <w:color w:val="auto"/>
        </w:rPr>
        <w:t>Released Claims</w:t>
      </w:r>
      <w:r>
        <w:rPr>
          <w:rFonts w:ascii="Arial" w:cs="Arial" w:eastAsia="Arial" w:hAnsi="Arial"/>
          <w:sz w:val="19"/>
          <w:szCs w:val="19"/>
          <w:color w:val="auto"/>
        </w:rPr>
        <w:t>”).</w:t>
      </w:r>
    </w:p>
    <w:p>
      <w:pPr>
        <w:spacing w:after="0" w:line="1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The Released Claims include, but are not limited to: (1) all claims arising out of or in any way related to my hiring by the Company, my employment with the Company, or my retirement from that employment; (2) all claims related to my compensation or benefits from the Company or any of the Company’s parent or subsidiary entities or affiliates, including salary, bonuses, commissions, vacation pay, expense reimbursements, severance pay, fringe benefits, stock, stock options, or any other ownership interests in the Company or any of the Company’s parent or subsidiary entities or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21"/>
          <w:szCs w:val="21"/>
          <w:b w:val="1"/>
          <w:bCs w:val="1"/>
          <w:color w:val="auto"/>
        </w:rPr>
        <w:t>ADEA</w:t>
      </w:r>
      <w:r>
        <w:rPr>
          <w:rFonts w:ascii="Arial" w:cs="Arial" w:eastAsia="Arial" w:hAnsi="Arial"/>
          <w:sz w:val="21"/>
          <w:szCs w:val="21"/>
          <w:color w:val="auto"/>
        </w:rPr>
        <w:t>”), the federal Family and Medical Leave Act (as amended) (“</w:t>
      </w:r>
      <w:r>
        <w:rPr>
          <w:rFonts w:ascii="Arial" w:cs="Arial" w:eastAsia="Arial" w:hAnsi="Arial"/>
          <w:sz w:val="21"/>
          <w:szCs w:val="21"/>
          <w:b w:val="1"/>
          <w:bCs w:val="1"/>
          <w:color w:val="auto"/>
        </w:rPr>
        <w:t>FMLA</w:t>
      </w:r>
      <w:r>
        <w:rPr>
          <w:rFonts w:ascii="Arial" w:cs="Arial" w:eastAsia="Arial" w:hAnsi="Arial"/>
          <w:sz w:val="21"/>
          <w:szCs w:val="21"/>
          <w:color w:val="auto"/>
        </w:rPr>
        <w:t>”), the California Labor Code (as amended), the California Fair Employment and Housing Act (as amended), the California Family Rights Act, the Pennsylvania Equal Pay Law, the Pennsylvania Wage Payment and Collection Law, the City of Philadelphia Fair Practices Code, and the Pennsylvania Human Relations Act.</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Notwithstanding the foregoing, the following are not included in the Released Claims (the “</w:t>
      </w:r>
      <w:r>
        <w:rPr>
          <w:rFonts w:ascii="Arial" w:cs="Arial" w:eastAsia="Arial" w:hAnsi="Arial"/>
          <w:sz w:val="19"/>
          <w:szCs w:val="19"/>
          <w:b w:val="1"/>
          <w:bCs w:val="1"/>
          <w:color w:val="auto"/>
        </w:rPr>
        <w:t>Excluded Claims</w:t>
      </w:r>
      <w:r>
        <w:rPr>
          <w:rFonts w:ascii="Arial" w:cs="Arial" w:eastAsia="Arial" w:hAnsi="Arial"/>
          <w:sz w:val="19"/>
          <w:szCs w:val="19"/>
          <w:color w:val="auto"/>
        </w:rPr>
        <w:t>”): (1) any rights or claims for indemnification I may have pursuant to any written indemnification agreement with the Company to which I am a party, the charter, bylaws, or operating agreements of the Company, or under applicable law; or (2) any rights which are not waivable as a matter of law. In addition, nothing in this Release prevents me from filing, cooperating with, or participating in any proceeding before the Equal Employment Opportunity Commission, the Department of Labor, or any other government agency. I understand that while this Release does not limit my right to receive an award for information provided by the Securities and Exchange Commission, I am otherwise waiving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October 31, 2019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Michael P. Miller</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(1) the Released Claims do not apply to any rights or claims that arise after the date I sign this Release; (2) I should consult with an attorney prior to signing this Release (although I may choose voluntarily not to do so); (3) I have up to twenty-one (21) days from the Termination Date to consider this Release; (4) I have seven (7) days following the date I sign this Release to revoke it by providing written notice to the Company’s Legal Department in Palo Alto, California to the attention of Ann Polus, Senior Corporate Counsel, Global Human Resources at ann.polus@jazzpharma.com; and (5) the Release will not be effective until the date upon which the revocation period has expired unexercised, which will be the eighth day after I sign this Release Agreement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5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I acknowledge that I have read and understand Section 1542 of the California Civil Code which reads as follows: </w:t>
      </w:r>
      <w:r>
        <w:rPr>
          <w:rFonts w:ascii="Arial" w:cs="Arial" w:eastAsia="Arial" w:hAnsi="Arial"/>
          <w:sz w:val="19"/>
          <w:szCs w:val="19"/>
          <w:b w:val="1"/>
          <w:bCs w:val="1"/>
          <w:color w:val="auto"/>
        </w:rPr>
        <w:t>“A</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general release does not 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9"/>
          <w:szCs w:val="19"/>
          <w:color w:val="auto"/>
        </w:rPr>
        <w:t>I hereby expressly waive and relinquish all rights and benefits under that section and any law of any jurisdiction of similar effect with respect to my release of any claims hereunder, including but not limited to any unknown or unsuspected claims.</w:t>
      </w:r>
    </w:p>
    <w:p>
      <w:pPr>
        <w:spacing w:after="0" w:line="14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 agree not to disparage the Company, Jazz Pharmaceuticals plc, or each of their respective officers, directors, employees, shareholders, subsidiaries, affiliates, and agents, in any manner likely to be harmful to them or their business, business reputation or personal reputation. Notwithstanding the foregoing, I understand that I may respond accurately and fully to any question, inquiry or request for information in the course of a government investigation or when required by legal process (including in response to a subpoena), and I understand that nothing in this paragraph is intended to prohibit or restrain me in any manner from making disclosures that are protected under the whistleblower provisions of federal or state law or regulation.</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 agree that I will not voluntarily assist any other person in bringing or pursuing any claim or action of any kind against the Company, Jazz Pharmaceuticals plc, or any subsidiaries thereof, or their officers, directors, employees or agents. Notwithstanding the foregoing, I may cooperate with, or participate in any proceeding before any Governmental Agency or as required by compulsion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561975</wp:posOffset>
            </wp:positionV>
            <wp:extent cx="24523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Michael P. Miller</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24765</wp:posOffset>
            </wp:positionV>
            <wp:extent cx="1929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October 31, 2019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Michael P. Miller</w:t>
      </w:r>
    </w:p>
    <w:p>
      <w:pPr>
        <w:spacing w:after="0" w:line="200" w:lineRule="exact"/>
        <w:rPr>
          <w:sz w:val="20"/>
          <w:szCs w:val="20"/>
          <w:color w:val="auto"/>
        </w:rPr>
      </w:pPr>
    </w:p>
    <w:p>
      <w:pPr>
        <w:spacing w:after="0" w:line="279"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EMPLOYEE CONFIDENTIAL INFORMATION AND INVENTIONS AGREEMENT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19"/>
          </w:cols>
          <w:pgMar w:left="240" w:top="131" w:right="1440"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INTERIM PRINICIPAL FINANCIAL OFFICER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93" w:lineRule="exact"/>
        <w:rPr>
          <w:sz w:val="20"/>
          <w:szCs w:val="20"/>
          <w:color w:val="auto"/>
        </w:rPr>
      </w:pPr>
    </w:p>
    <w:p>
      <w:pPr>
        <w:ind w:left="340" w:hanging="332"/>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8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5720" w:val="left"/>
          <w:tab w:leader="none" w:pos="8040" w:val="left"/>
          <w:tab w:leader="none" w:pos="8400" w:val="left"/>
        </w:tabs>
        <w:rPr>
          <w:sz w:val="20"/>
          <w:szCs w:val="20"/>
          <w:color w:val="auto"/>
        </w:rPr>
      </w:pPr>
      <w:r>
        <w:rPr>
          <w:rFonts w:ascii="Arial" w:cs="Arial" w:eastAsia="Arial" w:hAnsi="Arial"/>
          <w:sz w:val="18"/>
          <w:szCs w:val="18"/>
          <w:color w:val="auto"/>
        </w:rPr>
        <w:t>Date: November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Bruce C. Cozadd</w:t>
      </w:r>
    </w:p>
    <w:p>
      <w:pPr>
        <w:jc w:val="center"/>
        <w:ind w:left="6280"/>
        <w:spacing w:after="0" w:line="226" w:lineRule="auto"/>
        <w:rPr>
          <w:sz w:val="20"/>
          <w:szCs w:val="20"/>
          <w:color w:val="auto"/>
        </w:rPr>
      </w:pPr>
      <w:r>
        <w:rPr>
          <w:rFonts w:ascii="Arial" w:cs="Arial" w:eastAsia="Arial" w:hAnsi="Arial"/>
          <w:sz w:val="14"/>
          <w:szCs w:val="14"/>
          <w:b w:val="1"/>
          <w:bCs w:val="1"/>
          <w:color w:val="auto"/>
        </w:rPr>
        <w:t>Chairman, Chief Executive Officer and Director</w:t>
      </w:r>
    </w:p>
    <w:p>
      <w:pPr>
        <w:jc w:val="center"/>
        <w:ind w:left="6280"/>
        <w:spacing w:after="0" w:line="222" w:lineRule="auto"/>
        <w:rPr>
          <w:sz w:val="20"/>
          <w:szCs w:val="20"/>
          <w:color w:val="auto"/>
        </w:rPr>
      </w:pPr>
      <w:r>
        <w:rPr>
          <w:rFonts w:ascii="Arial" w:cs="Arial" w:eastAsia="Arial" w:hAnsi="Arial"/>
          <w:sz w:val="14"/>
          <w:szCs w:val="14"/>
          <w:b w:val="1"/>
          <w:bCs w:val="1"/>
          <w:color w:val="auto"/>
        </w:rPr>
        <w:t>(Principal Executive Officer and</w:t>
      </w:r>
    </w:p>
    <w:p>
      <w:pPr>
        <w:jc w:val="center"/>
        <w:ind w:left="6280"/>
        <w:spacing w:after="0"/>
        <w:rPr>
          <w:sz w:val="20"/>
          <w:szCs w:val="20"/>
          <w:color w:val="auto"/>
        </w:rPr>
      </w:pPr>
      <w:r>
        <w:rPr>
          <w:rFonts w:ascii="Arial" w:cs="Arial" w:eastAsia="Arial" w:hAnsi="Arial"/>
          <w:sz w:val="14"/>
          <w:szCs w:val="14"/>
          <w:b w:val="1"/>
          <w:bCs w:val="1"/>
          <w:color w:val="auto"/>
        </w:rPr>
        <w:t>Interim Principal Financial Officer)</w:t>
      </w:r>
    </w:p>
    <w:p>
      <w:pPr>
        <w:sectPr>
          <w:pgSz w:w="11900" w:h="16838" w:orient="portrait"/>
          <w:cols w:equalWidth="0" w:num="1">
            <w:col w:w="11420"/>
          </w:cols>
          <w:pgMar w:left="240" w:top="121"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5"/>
          <w:szCs w:val="25"/>
          <w:b w:val="1"/>
          <w:bCs w:val="1"/>
          <w:color w:val="auto"/>
          <w:vertAlign w:val="superscript"/>
        </w:rPr>
        <w:t>(1)</w:t>
      </w:r>
    </w:p>
    <w:p>
      <w:pPr>
        <w:spacing w:after="0" w:line="9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Section 1350), Bruce C. Cozadd, Principal Executive Officer and Interim Principal Financial Officer of Jazz Pharmaceuticals public limited company (the “Company”), hereby certifies that, to the best of his knowledge:</w:t>
      </w:r>
    </w:p>
    <w:p>
      <w:pPr>
        <w:spacing w:after="0" w:line="233" w:lineRule="exact"/>
        <w:rPr>
          <w:sz w:val="20"/>
          <w:szCs w:val="20"/>
          <w:color w:val="auto"/>
        </w:rPr>
      </w:pPr>
    </w:p>
    <w:p>
      <w:pPr>
        <w:ind w:left="740" w:right="300" w:hanging="327"/>
        <w:spacing w:after="0" w:line="308" w:lineRule="auto"/>
        <w:tabs>
          <w:tab w:leader="none" w:pos="7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2019, to which this Certification is attached as Exhibit 32.1 (the “Periodic Report”), fully complies with the requirements of Section 13(a) or Section 15(d) of the Exchange Act; and</w:t>
      </w:r>
    </w:p>
    <w:p>
      <w:pPr>
        <w:spacing w:after="0" w:line="106" w:lineRule="exact"/>
        <w:rPr>
          <w:rFonts w:ascii="Arial" w:cs="Arial" w:eastAsia="Arial" w:hAnsi="Arial"/>
          <w:sz w:val="17"/>
          <w:szCs w:val="17"/>
          <w:color w:val="auto"/>
        </w:rPr>
      </w:pPr>
    </w:p>
    <w:p>
      <w:pPr>
        <w:ind w:left="740" w:right="380" w:hanging="327"/>
        <w:spacing w:after="0" w:line="277" w:lineRule="auto"/>
        <w:tabs>
          <w:tab w:leader="none" w:pos="7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360" w:lineRule="exact"/>
        <w:rPr>
          <w:sz w:val="20"/>
          <w:szCs w:val="20"/>
          <w:color w:val="auto"/>
        </w:rPr>
      </w:pPr>
    </w:p>
    <w:p>
      <w:pPr>
        <w:jc w:val="center"/>
        <w:ind w:right="68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89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48"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Bruce C. Cozadd</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Chairman, Chief Executive Officer and Director (Principal Executive</w:t>
      </w:r>
    </w:p>
    <w:p>
      <w:pPr>
        <w:jc w:val="center"/>
        <w:ind w:right="6860"/>
        <w:spacing w:after="0" w:line="226" w:lineRule="auto"/>
        <w:rPr>
          <w:sz w:val="20"/>
          <w:szCs w:val="20"/>
          <w:color w:val="auto"/>
        </w:rPr>
      </w:pPr>
      <w:r>
        <w:rPr>
          <w:rFonts w:ascii="Arial" w:cs="Arial" w:eastAsia="Arial" w:hAnsi="Arial"/>
          <w:sz w:val="14"/>
          <w:szCs w:val="14"/>
          <w:b w:val="1"/>
          <w:bCs w:val="1"/>
          <w:color w:val="auto"/>
        </w:rPr>
        <w:t>Officer and</w:t>
      </w:r>
    </w:p>
    <w:p>
      <w:pPr>
        <w:spacing w:after="0" w:line="1"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Interim Principal Financial Officer)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40" w:hanging="331"/>
        <w:spacing w:after="0" w:line="252" w:lineRule="auto"/>
        <w:tabs>
          <w:tab w:leader="none" w:pos="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1)"/>
      <w:numFmt w:val="decimal"/>
      <w:start w:val="1"/>
    </w:lvl>
  </w:abstractNum>
  <w:abstractNum w:abstractNumId="27">
    <w:nsid w:val="7FFFCA11"/>
    <w:multiLevelType w:val="hybridMultilevel"/>
    <w:lvl w:ilvl="0">
      <w:lvlJc w:val="left"/>
      <w:lvlText w:val="(%1)"/>
      <w:numFmt w:val="lowerRoman"/>
      <w:start w:val="3"/>
    </w:lvl>
  </w:abstractNum>
  <w:abstractNum w:abstractNumId="28">
    <w:nsid w:val="1A27709E"/>
    <w:multiLevelType w:val="hybridMultilevel"/>
    <w:lvl w:ilvl="0">
      <w:lvlJc w:val="left"/>
      <w:lvlText w:val="+"/>
      <w:numFmt w:val="bullet"/>
      <w:start w:val="1"/>
    </w:lvl>
    <w:lvl w:ilvl="1">
      <w:lvlJc w:val="left"/>
      <w:lvlText w:val="%2"/>
      <w:numFmt w:val="decimal"/>
      <w:start w:val="104"/>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1."/>
      <w:numFmt w:val="decimal"/>
      <w:start w:val="1"/>
    </w:lvl>
  </w:abstractNum>
  <w:abstractNum w:abstractNumId="32">
    <w:nsid w:val="6EB5BD4"/>
    <w:multiLevelType w:val="hybridMultilevel"/>
    <w:lvl w:ilvl="0">
      <w:lvlJc w:val="left"/>
      <w:lvlText w:val="%1."/>
      <w:numFmt w:val="decimal"/>
      <w:start w:val="2"/>
    </w:lvl>
  </w:abstractNum>
  <w:abstractNum w:abstractNumId="33">
    <w:nsid w:val="6F6DD9AC"/>
    <w:multiLevelType w:val="hybridMultilevel"/>
    <w:lvl w:ilvl="0">
      <w:lvlJc w:val="left"/>
      <w:lvlText w:val="%1."/>
      <w:numFmt w:val="decimal"/>
      <w:start w:val="3"/>
    </w:lvl>
  </w:abstractNum>
  <w:abstractNum w:abstractNumId="34">
    <w:nsid w:val="94211F2"/>
    <w:multiLevelType w:val="hybridMultilevel"/>
    <w:lvl w:ilvl="0">
      <w:lvlJc w:val="left"/>
      <w:lvlText w:val="%1."/>
      <w:numFmt w:val="decimal"/>
      <w:start w:val="4"/>
    </w:lvl>
  </w:abstractNum>
  <w:abstractNum w:abstractNumId="35">
    <w:nsid w:val="885E1B"/>
    <w:multiLevelType w:val="hybridMultilevel"/>
    <w:lvl w:ilvl="0">
      <w:lvlJc w:val="left"/>
      <w:lvlText w:val="%1."/>
      <w:numFmt w:val="decimal"/>
      <w:start w:val="5"/>
    </w:lvl>
  </w:abstractNum>
  <w:abstractNum w:abstractNumId="36">
    <w:nsid w:val="76272110"/>
    <w:multiLevelType w:val="hybridMultilevel"/>
    <w:lvl w:ilvl="0">
      <w:lvlJc w:val="left"/>
      <w:lvlText w:val="%1."/>
      <w:numFmt w:val="decimal"/>
      <w:start w:val="6"/>
    </w:lvl>
  </w:abstractNum>
  <w:abstractNum w:abstractNumId="37">
    <w:nsid w:val="4C04A8AF"/>
    <w:multiLevelType w:val="hybridMultilevel"/>
    <w:lvl w:ilvl="0">
      <w:lvlJc w:val="left"/>
      <w:lvlText w:val="%1."/>
      <w:numFmt w:val="decimal"/>
      <w:start w:val="7"/>
    </w:lvl>
  </w:abstractNum>
  <w:abstractNum w:abstractNumId="38">
    <w:nsid w:val="1716703B"/>
    <w:multiLevelType w:val="hybridMultilevel"/>
    <w:lvl w:ilvl="0">
      <w:lvlJc w:val="left"/>
      <w:lvlText w:val="%1."/>
      <w:numFmt w:val="decimal"/>
      <w:start w:val="8"/>
    </w:lvl>
  </w:abstractNum>
  <w:abstractNum w:abstractNumId="39">
    <w:nsid w:val="14E17E33"/>
    <w:multiLevelType w:val="hybridMultilevel"/>
    <w:lvl w:ilvl="0">
      <w:lvlJc w:val="left"/>
      <w:lvlText w:val="%1."/>
      <w:numFmt w:val="decimal"/>
      <w:start w:val="9"/>
    </w:lvl>
  </w:abstractNum>
  <w:abstractNum w:abstractNumId="40">
    <w:nsid w:val="3222E7CD"/>
    <w:multiLevelType w:val="hybridMultilevel"/>
    <w:lvl w:ilvl="0">
      <w:lvlJc w:val="left"/>
      <w:lvlText w:val="%1."/>
      <w:numFmt w:val="decimal"/>
      <w:start w:val="10"/>
    </w:lvl>
  </w:abstractNum>
  <w:abstractNum w:abstractNumId="41">
    <w:nsid w:val="74DE0EE3"/>
    <w:multiLevelType w:val="hybridMultilevel"/>
    <w:lvl w:ilvl="0">
      <w:lvlJc w:val="left"/>
      <w:lvlText w:val="%1."/>
      <w:numFmt w:val="decimal"/>
      <w:start w:val="11"/>
    </w:lvl>
  </w:abstractNum>
  <w:abstractNum w:abstractNumId="42">
    <w:nsid w:val="68EBC550"/>
    <w:multiLevelType w:val="hybridMultilevel"/>
    <w:lvl w:ilvl="0">
      <w:lvlJc w:val="left"/>
      <w:lvlText w:val="%1."/>
      <w:numFmt w:val="decimal"/>
      <w:start w:val="12"/>
    </w:lvl>
  </w:abstractNum>
  <w:abstractNum w:abstractNumId="43">
    <w:nsid w:val="2DF6D648"/>
    <w:multiLevelType w:val="hybridMultilevel"/>
    <w:lvl w:ilvl="0">
      <w:lvlJc w:val="left"/>
      <w:lvlText w:val="%1."/>
      <w:numFmt w:val="decimal"/>
      <w:start w:val="13"/>
    </w:lvl>
  </w:abstractNum>
  <w:abstractNum w:abstractNumId="44">
    <w:nsid w:val="46B7D447"/>
    <w:multiLevelType w:val="hybridMultilevel"/>
    <w:lvl w:ilvl="0">
      <w:lvlJc w:val="left"/>
      <w:lvlText w:val="%1."/>
      <w:numFmt w:val="decimal"/>
      <w:start w:val="14"/>
    </w:lvl>
  </w:abstractNum>
  <w:abstractNum w:abstractNumId="45">
    <w:nsid w:val="4A2AC315"/>
    <w:multiLevelType w:val="hybridMultilevel"/>
    <w:lvl w:ilvl="0">
      <w:lvlJc w:val="left"/>
      <w:lvlText w:val="%1."/>
      <w:numFmt w:val="decimal"/>
      <w:start w:val="15"/>
    </w:lvl>
  </w:abstractNum>
  <w:abstractNum w:abstractNumId="46">
    <w:nsid w:val="39EE015C"/>
    <w:multiLevelType w:val="hybridMultilevel"/>
    <w:lvl w:ilvl="0">
      <w:lvlJc w:val="left"/>
      <w:lvlText w:val="%1."/>
      <w:numFmt w:val="decimal"/>
      <w:start w:val="16"/>
    </w:lvl>
  </w:abstractNum>
  <w:abstractNum w:abstractNumId="47">
    <w:nsid w:val="57FC4FBB"/>
    <w:multiLevelType w:val="hybridMultilevel"/>
    <w:lvl w:ilvl="0">
      <w:lvlJc w:val="left"/>
      <w:lvlText w:val="%1."/>
      <w:numFmt w:val="decimal"/>
      <w:start w:val="17"/>
    </w:lvl>
  </w:abstractNum>
  <w:abstractNum w:abstractNumId="48">
    <w:nsid w:val="CC1016F"/>
    <w:multiLevelType w:val="hybridMultilevel"/>
    <w:lvl w:ilvl="0">
      <w:lvlJc w:val="left"/>
      <w:lvlText w:val="%1."/>
      <w:numFmt w:val="decimal"/>
      <w:start w:val="18"/>
    </w:lvl>
  </w:abstractNum>
  <w:abstractNum w:abstractNumId="49">
    <w:nsid w:val="43F18422"/>
    <w:multiLevelType w:val="hybridMultilevel"/>
    <w:lvl w:ilvl="0">
      <w:lvlJc w:val="left"/>
      <w:lvlText w:val="%1."/>
      <w:numFmt w:val="decimal"/>
      <w:start w:val="19"/>
    </w:lvl>
  </w:abstractNum>
  <w:abstractNum w:abstractNumId="50">
    <w:nsid w:val="60EF0119"/>
    <w:multiLevelType w:val="hybridMultilevel"/>
    <w:lvl w:ilvl="0">
      <w:lvlJc w:val="left"/>
      <w:lvlText w:val="%1."/>
      <w:numFmt w:val="decimal"/>
      <w:start w:val="20"/>
    </w:lvl>
  </w:abstractNum>
  <w:abstractNum w:abstractNumId="51">
    <w:nsid w:val="26F324BA"/>
    <w:multiLevelType w:val="hybridMultilevel"/>
    <w:lvl w:ilvl="0">
      <w:lvlJc w:val="left"/>
      <w:lvlText w:val="%1."/>
      <w:numFmt w:val="decimal"/>
      <w:start w:val="21"/>
    </w:lvl>
  </w:abstractNum>
  <w:abstractNum w:abstractNumId="52">
    <w:nsid w:val="7F01579B"/>
    <w:multiLevelType w:val="hybridMultilevel"/>
    <w:lvl w:ilvl="0">
      <w:lvlJc w:val="left"/>
      <w:lvlText w:val="%1."/>
      <w:numFmt w:val="decimal"/>
      <w:start w:val="22"/>
    </w:lvl>
  </w:abstractNum>
  <w:abstractNum w:abstractNumId="53">
    <w:nsid w:val="49DA307D"/>
    <w:multiLevelType w:val="hybridMultilevel"/>
    <w:lvl w:ilvl="0">
      <w:lvlJc w:val="left"/>
      <w:lvlText w:val="%1."/>
      <w:numFmt w:val="decimal"/>
      <w:start w:val="23"/>
    </w:lvl>
  </w:abstractNum>
  <w:abstractNum w:abstractNumId="54">
    <w:nsid w:val="7055A5F5"/>
    <w:multiLevelType w:val="hybridMultilevel"/>
    <w:lvl w:ilvl="0">
      <w:lvlJc w:val="left"/>
      <w:lvlText w:val="%1."/>
      <w:numFmt w:val="decimal"/>
      <w:start w:val="24"/>
    </w:lvl>
  </w:abstractNum>
  <w:abstractNum w:abstractNumId="55">
    <w:nsid w:val="5FB8370B"/>
    <w:multiLevelType w:val="hybridMultilevel"/>
    <w:lvl w:ilvl="0">
      <w:lvlJc w:val="left"/>
      <w:lvlText w:val="%1."/>
      <w:numFmt w:val="decimal"/>
      <w:start w:val="25"/>
    </w:lvl>
  </w:abstractNum>
  <w:abstractNum w:abstractNumId="56">
    <w:nsid w:val="50801EE1"/>
    <w:multiLevelType w:val="hybridMultilevel"/>
    <w:lvl w:ilvl="0">
      <w:lvlJc w:val="left"/>
      <w:lvlText w:val="%1."/>
      <w:numFmt w:val="decimal"/>
      <w:start w:val="1"/>
    </w:lvl>
    <w:lvl w:ilvl="1">
      <w:lvlJc w:val="left"/>
      <w:lvlText w:val="%2."/>
      <w:numFmt w:val="lowerLetter"/>
      <w:start w:val="1"/>
    </w:lvl>
  </w:abstractNum>
  <w:abstractNum w:abstractNumId="57">
    <w:nsid w:val="488AC1A"/>
    <w:multiLevelType w:val="hybridMultilevel"/>
    <w:lvl w:ilvl="0">
      <w:lvlJc w:val="left"/>
      <w:lvlText w:val="(%1)"/>
      <w:numFmt w:val="decimal"/>
      <w:start w:val="1"/>
    </w:lvl>
  </w:abstractNum>
  <w:abstractNum w:abstractNumId="58">
    <w:nsid w:val="5FB8011C"/>
    <w:multiLevelType w:val="hybridMultilevel"/>
    <w:lvl w:ilvl="0">
      <w:lvlJc w:val="left"/>
      <w:lvlText w:val="%1"/>
      <w:numFmt w:val="decimal"/>
      <w:start w:val="1"/>
    </w:lvl>
    <w:lvl w:ilvl="1">
      <w:lvlJc w:val="left"/>
      <w:lvlText w:val="%2."/>
      <w:numFmt w:val="lowerLetter"/>
      <w:start w:val="2"/>
    </w:lvl>
  </w:abstractNum>
  <w:abstractNum w:abstractNumId="59">
    <w:nsid w:val="6AA78F7F"/>
    <w:multiLevelType w:val="hybridMultilevel"/>
    <w:lvl w:ilvl="0">
      <w:lvlJc w:val="left"/>
      <w:lvlText w:val="%1."/>
      <w:numFmt w:val="decimal"/>
      <w:start w:val="3"/>
    </w:lvl>
    <w:lvl w:ilvl="1">
      <w:lvlJc w:val="left"/>
      <w:lvlText w:val="%2."/>
      <w:numFmt w:val="lowerLetter"/>
      <w:start w:val="1"/>
    </w:lvl>
  </w:abstractNum>
  <w:abstractNum w:abstractNumId="60">
    <w:nsid w:val="7672BD2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1">
    <w:nsid w:val="6FC75AF8"/>
    <w:multiLevelType w:val="hybridMultilevel"/>
    <w:lvl w:ilvl="0">
      <w:lvlJc w:val="left"/>
      <w:lvlText w:val="(%1)"/>
      <w:numFmt w:val="lowerLetter"/>
      <w:start w:val="25"/>
    </w:lvl>
    <w:lvl w:ilvl="1">
      <w:lvlJc w:val="left"/>
      <w:lvlText w:val="%2."/>
      <w:numFmt w:val="lowerLetter"/>
      <w:start w:val="6"/>
    </w:lvl>
    <w:lvl w:ilvl="2">
      <w:lvlJc w:val="left"/>
      <w:lvlText w:val="(%3)"/>
      <w:numFmt w:val="lowerRoman"/>
      <w:start w:val="1"/>
    </w:lvl>
  </w:abstractNum>
  <w:abstractNum w:abstractNumId="62">
    <w:nsid w:val="6A5F7029"/>
    <w:multiLevelType w:val="hybridMultilevel"/>
    <w:lvl w:ilvl="0">
      <w:lvlJc w:val="left"/>
      <w:lvlText w:val="%1"/>
      <w:numFmt w:val="lowerLetter"/>
      <w:start w:val="1"/>
    </w:lvl>
    <w:lvl w:ilvl="1">
      <w:lvlJc w:val="left"/>
      <w:lvlText w:val="(%2)"/>
      <w:numFmt w:val="lowerRoman"/>
      <w:start w:val="5"/>
    </w:lvl>
  </w:abstractNum>
  <w:abstractNum w:abstractNumId="63">
    <w:nsid w:val="7D5E18F8"/>
    <w:multiLevelType w:val="hybridMultilevel"/>
    <w:lvl w:ilvl="0">
      <w:lvlJc w:val="left"/>
      <w:lvlText w:val="%1."/>
      <w:numFmt w:val="lowerLetter"/>
      <w:start w:val="7"/>
    </w:lvl>
    <w:lvl w:ilvl="1">
      <w:lvlJc w:val="left"/>
      <w:lvlText w:val="%2"/>
      <w:numFmt w:val="lowerRoman"/>
      <w:start w:val="1"/>
    </w:lvl>
  </w:abstractNum>
  <w:abstractNum w:abstractNumId="64">
    <w:nsid w:val="5F3534A4"/>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65">
    <w:nsid w:val="73A1821B"/>
    <w:multiLevelType w:val="hybridMultilevel"/>
    <w:lvl w:ilvl="0">
      <w:lvlJc w:val="left"/>
      <w:lvlText w:val="(%1)"/>
      <w:numFmt w:val="decimal"/>
      <w:start w:val="12"/>
    </w:lvl>
    <w:lvl w:ilvl="1">
      <w:lvlJc w:val="left"/>
      <w:lvlText w:val="%2."/>
      <w:numFmt w:val="lowerLetter"/>
      <w:start w:val="16"/>
    </w:lvl>
    <w:lvl w:ilvl="2">
      <w:lvlJc w:val="left"/>
      <w:lvlText w:val="%3."/>
      <w:numFmt w:val="lowerRoman"/>
      <w:start w:val="1"/>
    </w:lvl>
  </w:abstractNum>
  <w:abstractNum w:abstractNumId="66">
    <w:nsid w:val="7DE6771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7">
    <w:nsid w:val="555C55B5"/>
    <w:multiLevelType w:val="hybridMultilevel"/>
    <w:lvl w:ilvl="0">
      <w:lvlJc w:val="left"/>
      <w:lvlText w:val="%1"/>
      <w:numFmt w:val="decimal"/>
      <w:start w:val="1"/>
    </w:lvl>
    <w:lvl w:ilvl="1">
      <w:lvlJc w:val="left"/>
      <w:lvlText w:val="%2."/>
      <w:numFmt w:val="lowerLetter"/>
      <w:start w:val="17"/>
    </w:lvl>
    <w:lvl w:ilvl="2">
      <w:lvlJc w:val="left"/>
      <w:lvlText w:val="%3"/>
      <w:numFmt w:val="lowerRoman"/>
      <w:start w:val="1"/>
    </w:lvl>
  </w:abstractNum>
  <w:abstractNum w:abstractNumId="68">
    <w:nsid w:val="3FA62AC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9">
    <w:nsid w:val="14FCE74E"/>
    <w:multiLevelType w:val="hybridMultilevel"/>
    <w:lvl w:ilvl="0">
      <w:lvlJc w:val="left"/>
      <w:lvlText w:val="%1."/>
      <w:numFmt w:val="lowerLetter"/>
      <w:start w:val="4"/>
    </w:lvl>
  </w:abstractNum>
  <w:abstractNum w:abstractNumId="70">
    <w:nsid w:val="6A3DD3E8"/>
    <w:multiLevelType w:val="hybridMultilevel"/>
    <w:lvl w:ilvl="0">
      <w:lvlJc w:val="left"/>
      <w:lvlText w:val="%1."/>
      <w:numFmt w:val="decimal"/>
      <w:start w:val="2"/>
    </w:lvl>
  </w:abstractNum>
  <w:abstractNum w:abstractNumId="71">
    <w:nsid w:val="71C91298"/>
    <w:multiLevelType w:val="hybridMultilevel"/>
    <w:lvl w:ilvl="0">
      <w:lvlJc w:val="left"/>
      <w:lvlText w:val="%1."/>
      <w:numFmt w:val="decimal"/>
      <w:start w:val="3"/>
    </w:lvl>
  </w:abstractNum>
  <w:abstractNum w:abstractNumId="72">
    <w:nsid w:val="9DAF632"/>
    <w:multiLevelType w:val="hybridMultilevel"/>
    <w:lvl w:ilvl="0">
      <w:lvlJc w:val="left"/>
      <w:lvlText w:val="%1."/>
      <w:numFmt w:val="decimal"/>
      <w:start w:val="1"/>
    </w:lvl>
  </w:abstractNum>
  <w:abstractNum w:abstractNumId="73">
    <w:nsid w:val="53299938"/>
    <w:multiLevelType w:val="hybridMultilevel"/>
    <w:lvl w:ilvl="0">
      <w:lvlJc w:val="left"/>
      <w:lvlText w:val="%1."/>
      <w:numFmt w:val="decimal"/>
      <w:start w:val="3"/>
    </w:lvl>
  </w:abstractNum>
  <w:abstractNum w:abstractNumId="74">
    <w:nsid w:val="1FBFE8E0"/>
    <w:multiLevelType w:val="hybridMultilevel"/>
    <w:lvl w:ilvl="0">
      <w:lvlJc w:val="left"/>
      <w:lvlText w:val="%1."/>
      <w:numFmt w:val="decimal"/>
      <w:start w:val="5"/>
    </w:lvl>
  </w:abstractNum>
  <w:abstractNum w:abstractNumId="75">
    <w:nsid w:val="5092CA79"/>
    <w:multiLevelType w:val="hybridMultilevel"/>
    <w:lvl w:ilvl="0">
      <w:lvlJc w:val="left"/>
      <w:lvlText w:val="%1."/>
      <w:numFmt w:val="decimal"/>
      <w:start w:val="9"/>
    </w:lvl>
  </w:abstractNum>
  <w:abstractNum w:abstractNumId="76">
    <w:nsid w:val="1D545C4D"/>
    <w:multiLevelType w:val="hybridMultilevel"/>
    <w:lvl w:ilvl="0">
      <w:lvlJc w:val="left"/>
      <w:lvlText w:val="(%1)"/>
      <w:numFmt w:val="lowerLetter"/>
      <w:start w:val="1"/>
    </w:lvl>
  </w:abstractNum>
  <w:abstractNum w:abstractNumId="77">
    <w:nsid w:val="59ADEA3D"/>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8">
    <w:nsid w:val="288F1A34"/>
    <w:multiLevelType w:val="hybridMultilevel"/>
    <w:lvl w:ilvl="0">
      <w:lvlJc w:val="left"/>
      <w:lvlText w:val="(%1)"/>
      <w:numFmt w:val="decimal"/>
      <w:start w:val="10"/>
    </w:lvl>
    <w:lvl w:ilvl="1">
      <w:lvlJc w:val="left"/>
      <w:lvlText w:val="(%2)"/>
      <w:numFmt w:val="lowerLetter"/>
      <w:start w:val="7"/>
    </w:lvl>
    <w:lvl w:ilvl="2">
      <w:lvlJc w:val="left"/>
      <w:lvlText w:val="(%3)"/>
      <w:numFmt w:val="lowerRoman"/>
      <w:start w:val="1"/>
    </w:lvl>
  </w:abstractNum>
  <w:abstractNum w:abstractNumId="79">
    <w:nsid w:val="2A155DBC"/>
    <w:multiLevelType w:val="hybridMultilevel"/>
    <w:lvl w:ilvl="0">
      <w:lvlJc w:val="left"/>
      <w:lvlText w:val="%1"/>
      <w:numFmt w:val="lowerLetter"/>
      <w:start w:val="1"/>
    </w:lvl>
    <w:lvl w:ilvl="1">
      <w:lvlJc w:val="left"/>
      <w:lvlText w:val="(%2)"/>
      <w:numFmt w:val="lowerRoman"/>
      <w:start w:val="2"/>
    </w:lvl>
  </w:abstractNum>
  <w:abstractNum w:abstractNumId="80">
    <w:nsid w:val="1D9F6E5F"/>
    <w:multiLevelType w:val="hybridMultilevel"/>
    <w:lvl w:ilvl="0">
      <w:lvlJc w:val="left"/>
      <w:lvlText w:val="(%1)"/>
      <w:numFmt w:val="lowerLetter"/>
      <w:start w:val="8"/>
    </w:lvl>
    <w:lvl w:ilvl="1">
      <w:lvlJc w:val="left"/>
      <w:lvlText w:val="%2"/>
      <w:numFmt w:val="lowerRoman"/>
      <w:start w:val="1"/>
    </w:lvl>
  </w:abstractNum>
  <w:abstractNum w:abstractNumId="81">
    <w:nsid w:val="97E1B4E"/>
    <w:multiLevelType w:val="hybridMultilevel"/>
    <w:lvl w:ilvl="0">
      <w:lvlJc w:val="left"/>
      <w:lvlText w:val="(%1)"/>
      <w:numFmt w:val="lowerLetter"/>
      <w:start w:val="10"/>
    </w:lvl>
    <w:lvl w:ilvl="1">
      <w:lvlJc w:val="left"/>
      <w:lvlText w:val="(%2)"/>
      <w:numFmt w:val="lowerRoman"/>
      <w:start w:val="1"/>
    </w:lvl>
  </w:abstractNum>
  <w:abstractNum w:abstractNumId="82">
    <w:nsid w:val="51088277"/>
    <w:multiLevelType w:val="hybridMultilevel"/>
    <w:lvl w:ilvl="0">
      <w:lvlJc w:val="left"/>
      <w:lvlText w:val="(%1)"/>
      <w:numFmt w:val="lowerLetter"/>
      <w:start w:val="12"/>
    </w:lvl>
  </w:abstractNum>
  <w:abstractNum w:abstractNumId="83">
    <w:nsid w:val="1CA0C5FA"/>
    <w:multiLevelType w:val="hybridMultilevel"/>
    <w:lvl w:ilvl="0">
      <w:lvlJc w:val="left"/>
      <w:lvlText w:val="(%1)"/>
      <w:numFmt w:val="lowerLetter"/>
      <w:start w:val="17"/>
    </w:lvl>
    <w:lvl w:ilvl="1">
      <w:lvlJc w:val="left"/>
      <w:lvlText w:val="(%2)"/>
      <w:numFmt w:val="lowerRoman"/>
      <w:start w:val="1"/>
    </w:lvl>
  </w:abstractNum>
  <w:abstractNum w:abstractNumId="84">
    <w:nsid w:val="53584BCB"/>
    <w:multiLevelType w:val="hybridMultilevel"/>
    <w:lvl w:ilvl="0">
      <w:lvlJc w:val="left"/>
      <w:lvlText w:val="(%1)"/>
      <w:numFmt w:val="lowerLetter"/>
      <w:start w:val="21"/>
    </w:lvl>
    <w:lvl w:ilvl="1">
      <w:lvlJc w:val="left"/>
      <w:lvlText w:val="(%2)"/>
      <w:numFmt w:val="lowerLetter"/>
      <w:start w:val="22"/>
    </w:lvl>
  </w:abstractNum>
  <w:abstractNum w:abstractNumId="85">
    <w:nsid w:val="415E286C"/>
    <w:multiLevelType w:val="hybridMultilevel"/>
    <w:lvl w:ilvl="0">
      <w:lvlJc w:val="left"/>
      <w:lvlText w:val="(%1)"/>
      <w:numFmt w:val="lowerLetter"/>
      <w:start w:val="27"/>
    </w:lvl>
    <w:lvl w:ilvl="1">
      <w:lvlJc w:val="left"/>
      <w:lvlText w:val="(%2)"/>
      <w:numFmt w:val="lowerLetter"/>
      <w:start w:val="28"/>
    </w:lvl>
  </w:abstractNum>
  <w:abstractNum w:abstractNumId="86">
    <w:nsid w:val="7C58FD05"/>
    <w:multiLevelType w:val="hybridMultilevel"/>
    <w:lvl w:ilvl="0">
      <w:lvlJc w:val="left"/>
      <w:lvlText w:val="(%1)"/>
      <w:numFmt w:val="lowerLetter"/>
      <w:start w:val="1"/>
    </w:lvl>
    <w:lvl w:ilvl="1">
      <w:lvlJc w:val="left"/>
      <w:lvlText w:val="(%2)"/>
      <w:numFmt w:val="lowerLetter"/>
      <w:start w:val="9"/>
    </w:lvl>
  </w:abstractNum>
  <w:abstractNum w:abstractNumId="87">
    <w:nsid w:val="23D86AAC"/>
    <w:multiLevelType w:val="hybridMultilevel"/>
    <w:lvl w:ilvl="0">
      <w:lvlJc w:val="left"/>
      <w:lvlText w:val="(%1)"/>
      <w:numFmt w:val="lowerRoman"/>
      <w:start w:val="2"/>
    </w:lvl>
  </w:abstractNum>
  <w:abstractNum w:abstractNumId="88">
    <w:nsid w:val="45E6D486"/>
    <w:multiLevelType w:val="hybridMultilevel"/>
    <w:lvl w:ilvl="0">
      <w:lvlJc w:val="left"/>
      <w:lvlText w:val="(%1)"/>
      <w:numFmt w:val="lowerLetter"/>
      <w:start w:val="3"/>
    </w:lvl>
  </w:abstractNum>
  <w:abstractNum w:abstractNumId="89">
    <w:nsid w:val="5C10FE21"/>
    <w:multiLevelType w:val="hybridMultilevel"/>
    <w:lvl w:ilvl="0">
      <w:lvlJc w:val="left"/>
      <w:lvlText w:val="(%1)"/>
      <w:numFmt w:val="lowerLetter"/>
      <w:start w:val="1"/>
    </w:lvl>
  </w:abstractNum>
  <w:abstractNum w:abstractNumId="90">
    <w:nsid w:val="E7FFA2B"/>
    <w:multiLevelType w:val="hybridMultilevel"/>
    <w:lvl w:ilvl="0">
      <w:lvlJc w:val="left"/>
      <w:lvlText w:val="(%1)"/>
      <w:numFmt w:val="lowerRoman"/>
      <w:start w:val="1"/>
    </w:lvl>
  </w:abstractNum>
  <w:abstractNum w:abstractNumId="91">
    <w:nsid w:val="3C5991AA"/>
    <w:multiLevelType w:val="hybridMultilevel"/>
    <w:lvl w:ilvl="0">
      <w:lvlJc w:val="left"/>
      <w:lvlText w:val="(%1)"/>
      <w:numFmt w:val="lowerLetter"/>
      <w:start w:val="2"/>
    </w:lvl>
    <w:lvl w:ilvl="1">
      <w:lvlJc w:val="left"/>
      <w:lvlText w:val="(%2)"/>
      <w:numFmt w:val="lowerLetter"/>
      <w:start w:val="9"/>
    </w:lvl>
  </w:abstractNum>
  <w:abstractNum w:abstractNumId="92">
    <w:nsid w:val="4BD8591A"/>
    <w:multiLevelType w:val="hybridMultilevel"/>
    <w:lvl w:ilvl="0">
      <w:lvlJc w:val="left"/>
      <w:lvlText w:val="(%1)"/>
      <w:numFmt w:val="decimal"/>
      <w:start w:val="24"/>
    </w:lvl>
    <w:lvl w:ilvl="1">
      <w:lvlJc w:val="left"/>
      <w:lvlText w:val="(%2)"/>
      <w:numFmt w:val="lowerRoman"/>
      <w:start w:val="2"/>
    </w:lvl>
  </w:abstractNum>
  <w:abstractNum w:abstractNumId="93">
    <w:nsid w:val="78DF6A55"/>
    <w:multiLevelType w:val="hybridMultilevel"/>
    <w:lvl w:ilvl="0">
      <w:lvlJc w:val="left"/>
      <w:lvlText w:val="(%1)"/>
      <w:numFmt w:val="lowerRoman"/>
      <w:start w:val="4"/>
    </w:lvl>
  </w:abstractNum>
  <w:abstractNum w:abstractNumId="94">
    <w:nsid w:val="39B7AAA2"/>
    <w:multiLevelType w:val="hybridMultilevel"/>
    <w:lvl w:ilvl="0">
      <w:lvlJc w:val="left"/>
      <w:lvlText w:val="%1"/>
      <w:numFmt w:val="lowerLetter"/>
      <w:start w:val="1"/>
    </w:lvl>
    <w:lvl w:ilvl="1">
      <w:lvlJc w:val="left"/>
      <w:lvlText w:val="(%2)"/>
      <w:numFmt w:val="lowerRoman"/>
      <w:start w:val="6"/>
    </w:lvl>
  </w:abstractNum>
  <w:abstractNum w:abstractNumId="95">
    <w:nsid w:val="2B0D8DBE"/>
    <w:multiLevelType w:val="hybridMultilevel"/>
    <w:lvl w:ilvl="0">
      <w:lvlJc w:val="left"/>
      <w:lvlText w:val="(%1)"/>
      <w:numFmt w:val="lowerLetter"/>
      <w:start w:val="3"/>
    </w:lvl>
    <w:lvl w:ilvl="1">
      <w:lvlJc w:val="left"/>
      <w:lvlText w:val="%2"/>
      <w:numFmt w:val="lowerRoman"/>
      <w:start w:val="1"/>
    </w:lvl>
  </w:abstractNum>
  <w:abstractNum w:abstractNumId="96">
    <w:nsid w:val="6C80EC70"/>
    <w:multiLevelType w:val="hybridMultilevel"/>
    <w:lvl w:ilvl="0">
      <w:lvlJc w:val="left"/>
      <w:lvlText w:val="(%1)"/>
      <w:numFmt w:val="lowerLetter"/>
      <w:start w:val="1"/>
    </w:lvl>
  </w:abstractNum>
  <w:abstractNum w:abstractNumId="97">
    <w:nsid w:val="379E21B5"/>
    <w:multiLevelType w:val="hybridMultilevel"/>
    <w:lvl w:ilvl="0">
      <w:lvlJc w:val="left"/>
      <w:lvlText w:val="(%1)"/>
      <w:numFmt w:val="lowerLetter"/>
      <w:start w:val="3"/>
    </w:lvl>
    <w:lvl w:ilvl="1">
      <w:lvlJc w:val="left"/>
      <w:lvlText w:val="(%2)"/>
      <w:numFmt w:val="lowerRoman"/>
      <w:start w:val="1"/>
    </w:lvl>
  </w:abstractNum>
  <w:abstractNum w:abstractNumId="98">
    <w:nsid w:val="69E373"/>
    <w:multiLevelType w:val="hybridMultilevel"/>
    <w:lvl w:ilvl="0">
      <w:lvlJc w:val="left"/>
      <w:lvlText w:val="(%1)"/>
      <w:numFmt w:val="lowerRoman"/>
      <w:start w:val="3"/>
    </w:lvl>
  </w:abstractNum>
  <w:abstractNum w:abstractNumId="99">
    <w:nsid w:val="2C27173B"/>
    <w:multiLevelType w:val="hybridMultilevel"/>
    <w:lvl w:ilvl="0">
      <w:lvlJc w:val="left"/>
      <w:lvlText w:val="(%1)"/>
      <w:numFmt w:val="lowerLetter"/>
      <w:start w:val="9"/>
    </w:lvl>
    <w:lvl w:ilvl="1">
      <w:lvlJc w:val="left"/>
      <w:lvlText w:val="(%2)"/>
      <w:numFmt w:val="lowerLetter"/>
      <w:start w:val="4"/>
    </w:lvl>
  </w:abstractNum>
  <w:abstractNum w:abstractNumId="100">
    <w:nsid w:val="4C9B0904"/>
    <w:multiLevelType w:val="hybridMultilevel"/>
    <w:lvl w:ilvl="0">
      <w:lvlJc w:val="left"/>
      <w:lvlText w:val="(%1)"/>
      <w:numFmt w:val="lowerLetter"/>
      <w:start w:val="1"/>
    </w:lvl>
    <w:lvl w:ilvl="1">
      <w:lvlJc w:val="left"/>
      <w:lvlText w:val="(%2)"/>
      <w:numFmt w:val="lowerRoman"/>
      <w:start w:val="1"/>
    </w:lvl>
  </w:abstractNum>
  <w:abstractNum w:abstractNumId="101">
    <w:nsid w:val="6AA7B75C"/>
    <w:multiLevelType w:val="hybridMultilevel"/>
    <w:lvl w:ilvl="0">
      <w:lvlJc w:val="left"/>
      <w:lvlText w:val="(%1)"/>
      <w:numFmt w:val="lowerLetter"/>
      <w:start w:val="2"/>
    </w:lvl>
  </w:abstractNum>
  <w:abstractNum w:abstractNumId="102">
    <w:nsid w:val="1DF029D3"/>
    <w:multiLevelType w:val="hybridMultilevel"/>
    <w:lvl w:ilvl="0">
      <w:lvlJc w:val="left"/>
      <w:lvlText w:val="(%1)"/>
      <w:numFmt w:val="lowerLetter"/>
      <w:start w:val="3"/>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lowerRoman"/>
      <w:start w:val="2"/>
    </w:lvl>
  </w:abstractNum>
  <w:abstractNum w:abstractNumId="105">
    <w:nsid w:val="3DB012B3"/>
    <w:multiLevelType w:val="hybridMultilevel"/>
    <w:lvl w:ilvl="0">
      <w:lvlJc w:val="left"/>
      <w:lvlText w:val="(%1)"/>
      <w:numFmt w:val="lowerLetter"/>
      <w:start w:val="1"/>
    </w:lvl>
  </w:abstractNum>
  <w:abstractNum w:abstractNumId="106">
    <w:nsid w:val="2708C9AF"/>
    <w:multiLevelType w:val="hybridMultilevel"/>
    <w:lvl w:ilvl="0">
      <w:lvlJc w:val="left"/>
      <w:lvlText w:val="(%1)"/>
      <w:numFmt w:val="lowerLetter"/>
      <w:start w:val="2"/>
    </w:lvl>
    <w:lvl w:ilvl="1">
      <w:lvlJc w:val="left"/>
      <w:lvlText w:val="(%2)"/>
      <w:numFmt w:val="lowerLetter"/>
      <w:start w:val="9"/>
    </w:lvl>
  </w:abstractNum>
  <w:abstractNum w:abstractNumId="107">
    <w:nsid w:val="5B25ACE2"/>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08">
    <w:nsid w:val="175DFCF0"/>
    <w:multiLevelType w:val="hybridMultilevel"/>
    <w:lvl w:ilvl="0">
      <w:lvlJc w:val="left"/>
      <w:lvlText w:val="(%1)"/>
      <w:numFmt w:val="decimal"/>
      <w:start w:val="30"/>
    </w:lvl>
    <w:lvl w:ilvl="1">
      <w:lvlJc w:val="left"/>
      <w:lvlText w:val="(%2)"/>
      <w:numFmt w:val="lowerRoman"/>
      <w:start w:val="3"/>
    </w:lvl>
    <w:lvl w:ilvl="2">
      <w:lvlJc w:val="left"/>
      <w:lvlText w:val="(%3)"/>
      <w:numFmt w:val="upperLetter"/>
      <w:start w:val="1"/>
    </w:lvl>
  </w:abstractNum>
  <w:abstractNum w:abstractNumId="109">
    <w:nsid w:val="4F97E3E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10">
    <w:nsid w:val="53B0A9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1">
    <w:nsid w:val="34FD6B4F"/>
    <w:multiLevelType w:val="hybridMultilevel"/>
    <w:lvl w:ilvl="0">
      <w:lvlJc w:val="left"/>
      <w:lvlText w:val="(%1)"/>
      <w:numFmt w:val="lowerRoman"/>
      <w:start w:val="3"/>
    </w:lvl>
  </w:abstractNum>
  <w:abstractNum w:abstractNumId="112">
    <w:nsid w:val="5915FF32"/>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113">
    <w:nsid w:val="56438D15"/>
    <w:multiLevelType w:val="hybridMultilevel"/>
    <w:lvl w:ilvl="0">
      <w:lvlJc w:val="left"/>
      <w:lvlText w:val="%1"/>
      <w:numFmt w:val="lowerLetter"/>
      <w:start w:val="1"/>
    </w:lvl>
    <w:lvl w:ilvl="1">
      <w:lvlJc w:val="left"/>
      <w:lvlText w:val="(%2)"/>
      <w:numFmt w:val="lowerLetter"/>
      <w:start w:val="22"/>
    </w:lvl>
  </w:abstractNum>
  <w:abstractNum w:abstractNumId="114">
    <w:nsid w:val="519E3149"/>
    <w:multiLevelType w:val="hybridMultilevel"/>
    <w:lvl w:ilvl="0">
      <w:lvlJc w:val="left"/>
      <w:lvlText w:val="(%1)"/>
      <w:numFmt w:val="lowerLetter"/>
      <w:start w:val="4"/>
    </w:lvl>
    <w:lvl w:ilvl="1">
      <w:lvlJc w:val="left"/>
      <w:lvlText w:val="(%2)"/>
      <w:numFmt w:val="lowerLetter"/>
      <w:start w:val="9"/>
    </w:lvl>
  </w:abstractNum>
  <w:abstractNum w:abstractNumId="115">
    <w:nsid w:val="2C6E4AFD"/>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16">
    <w:nsid w:val="17A1B582"/>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abstractNum>
  <w:abstractNum w:abstractNumId="117">
    <w:nsid w:val="4DF72E4E"/>
    <w:multiLevelType w:val="hybridMultilevel"/>
    <w:lvl w:ilvl="0">
      <w:lvlJc w:val="left"/>
      <w:lvlText w:val="(%1)"/>
      <w:numFmt w:val="lowerRoman"/>
      <w:start w:val="2"/>
    </w:lvl>
  </w:abstractNum>
  <w:abstractNum w:abstractNumId="118">
    <w:nsid w:val="5046B5A9"/>
    <w:multiLevelType w:val="hybridMultilevel"/>
    <w:lvl w:ilvl="0">
      <w:lvlJc w:val="left"/>
      <w:lvlText w:val="(%1)"/>
      <w:numFmt w:val="lowerRoman"/>
      <w:start w:val="3"/>
    </w:lvl>
    <w:lvl w:ilvl="1">
      <w:lvlJc w:val="left"/>
      <w:lvlText w:val="(%2)"/>
      <w:numFmt w:val="upperLetter"/>
      <w:start w:val="1"/>
    </w:lvl>
  </w:abstractNum>
  <w:abstractNum w:abstractNumId="119">
    <w:nsid w:val="5D888A0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20">
    <w:nsid w:val="2A082C70"/>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21">
    <w:nsid w:val="5EC6AFD4"/>
    <w:multiLevelType w:val="hybridMultilevel"/>
    <w:lvl w:ilvl="0">
      <w:lvlJc w:val="left"/>
      <w:lvlText w:val="(%1)"/>
      <w:numFmt w:val="lowerLetter"/>
      <w:start w:val="1"/>
    </w:lvl>
  </w:abstractNum>
  <w:abstractNum w:abstractNumId="122">
    <w:nsid w:val="19E21BB2"/>
    <w:multiLevelType w:val="hybridMultilevel"/>
    <w:lvl w:ilvl="0">
      <w:lvlJc w:val="left"/>
      <w:lvlText w:val="(%1)"/>
      <w:numFmt w:val="lowerLetter"/>
      <w:start w:val="1"/>
    </w:lvl>
    <w:lvl w:ilvl="1">
      <w:lvlJc w:val="left"/>
      <w:lvlText w:val="(%2)"/>
      <w:numFmt w:val="lowerRoman"/>
      <w:start w:val="1"/>
    </w:lvl>
  </w:abstractNum>
  <w:abstractNum w:abstractNumId="123">
    <w:nsid w:val="75E0858A"/>
    <w:multiLevelType w:val="hybridMultilevel"/>
    <w:lvl w:ilvl="0">
      <w:lvlJc w:val="left"/>
      <w:lvlText w:val="%1"/>
      <w:numFmt w:val="lowerLetter"/>
      <w:start w:val="1"/>
    </w:lvl>
    <w:lvl w:ilvl="1">
      <w:lvlJc w:val="left"/>
      <w:lvlText w:val="(%2)"/>
      <w:numFmt w:val="lowerRoman"/>
      <w:start w:val="2"/>
    </w:lvl>
  </w:abstractNum>
  <w:abstractNum w:abstractNumId="124">
    <w:nsid w:val="57A61A29"/>
    <w:multiLevelType w:val="hybridMultilevel"/>
    <w:lvl w:ilvl="0">
      <w:lvlJc w:val="left"/>
      <w:lvlText w:val="(%1)"/>
      <w:numFmt w:val="lowerLetter"/>
      <w:start w:val="4"/>
    </w:lvl>
    <w:lvl w:ilvl="1">
      <w:lvlJc w:val="left"/>
      <w:lvlText w:val="%2"/>
      <w:numFmt w:val="lowerRoman"/>
      <w:start w:val="1"/>
    </w:lvl>
  </w:abstractNum>
  <w:abstractNum w:abstractNumId="125">
    <w:nsid w:val="5399C654"/>
    <w:multiLevelType w:val="hybridMultilevel"/>
    <w:lvl w:ilvl="0">
      <w:lvlJc w:val="left"/>
      <w:lvlText w:val="(%1)"/>
      <w:numFmt w:val="lowerLetter"/>
      <w:start w:val="1"/>
    </w:lvl>
  </w:abstractNum>
  <w:abstractNum w:abstractNumId="126">
    <w:nsid w:val="20EE1348"/>
    <w:multiLevelType w:val="hybridMultilevel"/>
    <w:lvl w:ilvl="0">
      <w:lvlJc w:val="left"/>
      <w:lvlText w:val="(%1)"/>
      <w:numFmt w:val="lowerLetter"/>
      <w:start w:val="3"/>
    </w:lvl>
  </w:abstractNum>
  <w:abstractNum w:abstractNumId="127">
    <w:nsid w:val="4427069A"/>
    <w:multiLevelType w:val="hybridMultilevel"/>
    <w:lvl w:ilvl="0">
      <w:lvlJc w:val="left"/>
      <w:lvlText w:val="(%1)"/>
      <w:numFmt w:val="decimal"/>
      <w:start w:val="3"/>
    </w:lvl>
  </w:abstractNum>
  <w:abstractNum w:abstractNumId="128">
    <w:nsid w:val="B37E80A"/>
    <w:multiLevelType w:val="hybridMultilevel"/>
    <w:lvl w:ilvl="0">
      <w:lvlJc w:val="left"/>
      <w:lvlText w:val="%1."/>
      <w:numFmt w:val="decimal"/>
      <w:start w:val="1"/>
    </w:lvl>
  </w:abstractNum>
  <w:abstractNum w:abstractNumId="129">
    <w:nsid w:val="2157F6BC"/>
    <w:multiLevelType w:val="hybridMultilevel"/>
    <w:lvl w:ilvl="0">
      <w:lvlJc w:val="left"/>
      <w:lvlText w:val="%1"/>
      <w:numFmt w:val="decimal"/>
      <w:start w:val="1"/>
    </w:lvl>
    <w:lvl w:ilvl="1">
      <w:lvlJc w:val="left"/>
      <w:lvlText w:val="(%2)"/>
      <w:numFmt w:val="lowerLetter"/>
      <w:start w:val="1"/>
    </w:lvl>
  </w:abstractNum>
  <w:abstractNum w:abstractNumId="130">
    <w:nsid w:val="704E1DD5"/>
    <w:multiLevelType w:val="hybridMultilevel"/>
    <w:lvl w:ilvl="0">
      <w:lvlJc w:val="left"/>
      <w:lvlText w:val="%1."/>
      <w:numFmt w:val="decimal"/>
      <w:start w:val="4"/>
    </w:lvl>
    <w:lvl w:ilvl="1">
      <w:lvlJc w:val="left"/>
      <w:lvlText w:val="%2"/>
      <w:numFmt w:val="lowerLetter"/>
      <w:start w:val="1"/>
    </w:lvl>
  </w:abstractNum>
  <w:abstractNum w:abstractNumId="131">
    <w:nsid w:val="57D2F10E"/>
    <w:multiLevelType w:val="hybridMultilevel"/>
    <w:lvl w:ilvl="0">
      <w:lvlJc w:val="left"/>
      <w:lvlText w:val="%1"/>
      <w:numFmt w:val="lowerLetter"/>
      <w:start w:val="1"/>
    </w:lvl>
    <w:lvl w:ilvl="1">
      <w:lvlJc w:val="left"/>
      <w:lvlText w:val="%2."/>
      <w:numFmt w:val="decimal"/>
      <w:start w:val="7"/>
    </w:lvl>
  </w:abstractNum>
  <w:abstractNum w:abstractNumId="132">
    <w:nsid w:val="BFFAE18"/>
    <w:multiLevelType w:val="hybridMultilevel"/>
    <w:lvl w:ilvl="0">
      <w:lvlJc w:val="left"/>
      <w:lvlText w:val="(%1)"/>
      <w:numFmt w:val="lowerLetter"/>
      <w:start w:val="2"/>
    </w:lvl>
    <w:lvl w:ilvl="1">
      <w:lvlJc w:val="left"/>
      <w:lvlText w:val="%2."/>
      <w:numFmt w:val="decimal"/>
      <w:start w:val="10"/>
    </w:lvl>
  </w:abstractNum>
  <w:abstractNum w:abstractNumId="133">
    <w:nsid w:val="E3E47A8"/>
    <w:multiLevelType w:val="hybridMultilevel"/>
    <w:lvl w:ilvl="0">
      <w:lvlJc w:val="left"/>
      <w:lvlText w:val="%1."/>
      <w:numFmt w:val="decimal"/>
      <w:start w:val="11"/>
    </w:lvl>
  </w:abstractNum>
  <w:abstractNum w:abstractNumId="134">
    <w:nsid w:val="2E48F044"/>
    <w:multiLevelType w:val="hybridMultilevel"/>
    <w:lvl w:ilvl="0">
      <w:lvlJc w:val="left"/>
      <w:lvlText w:val="%1."/>
      <w:numFmt w:val="decimal"/>
      <w:start w:val="1"/>
    </w:lvl>
    <w:lvl w:ilvl="1">
      <w:lvlJc w:val="left"/>
      <w:lvlText w:val="%2)"/>
      <w:numFmt w:val="lowerLetter"/>
      <w:start w:val="1"/>
    </w:lvl>
  </w:abstractNum>
  <w:abstractNum w:abstractNumId="135">
    <w:nsid w:val="49D0FEAC"/>
    <w:multiLevelType w:val="hybridMultilevel"/>
    <w:lvl w:ilvl="0">
      <w:lvlJc w:val="left"/>
      <w:lvlText w:val="%1."/>
      <w:numFmt w:val="decimal"/>
      <w:start w:val="1"/>
    </w:lvl>
  </w:abstractNum>
  <w:abstractNum w:abstractNumId="136">
    <w:nsid w:val="4BEE5A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14" Type="http://schemas.openxmlformats.org/officeDocument/2006/relationships/hyperlink" Target="http://www.sec.gov/Archives/edgar/data/1232524/000119312511251468/d233902dex21.htm" TargetMode="External"/><Relationship Id="rId15" Type="http://schemas.openxmlformats.org/officeDocument/2006/relationships/hyperlink" Target="http://www.sec.gov/Archives/edgar/data/1232524/000119312512015521/d282897dex22.htm" TargetMode="External"/><Relationship Id="rId16" Type="http://schemas.openxmlformats.org/officeDocument/2006/relationships/hyperlink" Target="http://www.sec.gov/Archives/edgar/data/1232524/000119312512191724/d341488dex21.htm" TargetMode="External"/><Relationship Id="rId17" Type="http://schemas.openxmlformats.org/officeDocument/2006/relationships/hyperlink" Target="http://www.sec.gov/Archives/edgar/data/1232524/000119312512268244/d365702dex21b.htm" TargetMode="External"/><Relationship Id="rId18" Type="http://schemas.openxmlformats.org/officeDocument/2006/relationships/hyperlink" Target="http://www.sec.gov/Archives/edgar/data/1232524/000119312513481242/d647727dex21.htm" TargetMode="External"/><Relationship Id="rId19" Type="http://schemas.openxmlformats.org/officeDocument/2006/relationships/hyperlink" Target="http://www.sec.gov/Archives/edgar/data/1232524/000119312514008838/d656574dex21.htm" TargetMode="External"/><Relationship Id="rId20" Type="http://schemas.openxmlformats.org/officeDocument/2006/relationships/hyperlink" Target="http://www.sec.gov/Archives/edgar/data/1232524/000119312514295844/d768395dex21.htm" TargetMode="External"/><Relationship Id="rId21" Type="http://schemas.openxmlformats.org/officeDocument/2006/relationships/hyperlink" Target="http://www.sec.gov/Archives/edgar/data/1232524/000123252415000074/form8-kex21.htm" TargetMode="External"/><Relationship Id="rId22" Type="http://schemas.openxmlformats.org/officeDocument/2006/relationships/hyperlink" Target="http://www.sec.gov/Archives/edgar/data/1232524/000119312516607097/d203835dex21.htm" TargetMode="External"/><Relationship Id="rId23" Type="http://schemas.openxmlformats.org/officeDocument/2006/relationships/hyperlink" Target="http://www.sec.gov/Archives/edgar/data/1232524/000123252416000303/jazzq22016ex31.htm" TargetMode="External"/><Relationship Id="rId24" Type="http://schemas.openxmlformats.org/officeDocument/2006/relationships/hyperlink" Target="http://www.sec.gov/Archives/edgar/data/1232524/000119312514308406/d773171dex41.htm" TargetMode="External"/><Relationship Id="rId25" Type="http://schemas.openxmlformats.org/officeDocument/2006/relationships/hyperlink" Target="http://www.sec.gov/Archives/edgar/data/1232524/000119312517265654/d64100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2019-12-28T02:44:56Z</dcterms:created>
  <dcterms:modified xsi:type="dcterms:W3CDTF">2019-12-28T02:44:56Z</dcterms:modified>
</cp:coreProperties>
</file>