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5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4020" w:right="1840" w:hanging="3985"/>
        <w:spacing w:after="0" w:line="297" w:lineRule="auto"/>
        <w:tabs>
          <w:tab w:leader="none" w:pos="7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001-33500</w:t>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60"/>
          </w:cols>
          <w:pgMar w:left="240" w:top="233" w:right="299" w:bottom="1440" w:gutter="0" w:footer="0" w:header="0"/>
        </w:sectPr>
      </w:pPr>
    </w:p>
    <w:p>
      <w:pPr>
        <w:spacing w:after="0" w:line="394"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98-1032470</w:t>
      </w:r>
    </w:p>
    <w:p>
      <w:pPr>
        <w:spacing w:after="0" w:line="81" w:lineRule="exact"/>
        <w:rPr>
          <w:sz w:val="24"/>
          <w:szCs w:val="24"/>
          <w:color w:val="auto"/>
        </w:rPr>
      </w:pPr>
    </w:p>
    <w:p>
      <w:pPr>
        <w:sectPr>
          <w:pgSz w:w="11900" w:h="16838" w:orient="portrait"/>
          <w:cols w:equalWidth="0" w:num="2">
            <w:col w:w="7620" w:space="720"/>
            <w:col w:w="3020"/>
          </w:cols>
          <w:pgMar w:left="240" w:top="233" w:right="29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960" w:space="720"/>
            <w:col w:w="3680"/>
          </w:cols>
          <w:pgMar w:left="240" w:top="233"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Fourth Floor, Connaught House,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One Burlington Road, Dublin 4, Ireland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33" w:right="299" w:bottom="1440" w:gutter="0" w:footer="0" w:header="0"/>
          <w:type w:val="continuous"/>
        </w:sectPr>
      </w:pPr>
    </w:p>
    <w:p>
      <w:pPr>
        <w:spacing w:after="0" w:line="167"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9" w:lineRule="exact"/>
        <w:rPr>
          <w:sz w:val="24"/>
          <w:szCs w:val="24"/>
          <w:color w:val="auto"/>
        </w:rPr>
      </w:pPr>
    </w:p>
    <w:p>
      <w:pPr>
        <w:sectPr>
          <w:pgSz w:w="11900" w:h="16838" w:orient="portrait"/>
          <w:cols w:equalWidth="0" w:num="2">
            <w:col w:w="6720" w:space="720"/>
            <w:col w:w="3920"/>
          </w:cols>
          <w:pgMar w:left="240" w:top="233" w:right="299" w:bottom="1440" w:gutter="0" w:footer="0" w:header="0"/>
          <w:type w:val="continuous"/>
        </w:sectPr>
      </w:pPr>
    </w:p>
    <w:p>
      <w:pPr>
        <w:ind w:left="820"/>
        <w:spacing w:after="0"/>
        <w:rPr>
          <w:sz w:val="20"/>
          <w:szCs w:val="20"/>
          <w:color w:val="auto"/>
        </w:rPr>
      </w:pPr>
      <w:r>
        <w:rPr>
          <w:rFonts w:ascii="Arial" w:cs="Arial" w:eastAsia="Arial" w:hAnsi="Arial"/>
          <w:sz w:val="16"/>
          <w:szCs w:val="16"/>
          <w:b w:val="1"/>
          <w:bCs w:val="1"/>
          <w:color w:val="auto"/>
        </w:rPr>
        <w:t>Ordinary shares, nominal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29" w:lineRule="exact"/>
        <w:rPr>
          <w:sz w:val="24"/>
          <w:szCs w:val="24"/>
          <w:color w:val="auto"/>
        </w:rPr>
      </w:pPr>
    </w:p>
    <w:p>
      <w:pPr>
        <w:sectPr>
          <w:pgSz w:w="11900" w:h="16838" w:orient="portrait"/>
          <w:cols w:equalWidth="0" w:num="2">
            <w:col w:w="6740" w:space="720"/>
            <w:col w:w="3900"/>
          </w:cols>
          <w:pgMar w:left="240" w:top="233"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60"/>
          </w:cols>
          <w:pgMar w:left="240" w:top="233" w:right="299" w:bottom="1440" w:gutter="0" w:footer="0" w:header="0"/>
          <w:type w:val="continuous"/>
        </w:sectPr>
      </w:pPr>
    </w:p>
    <w:p>
      <w:pPr>
        <w:spacing w:after="0" w:line="26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7080" w:space="140"/>
            <w:col w:w="220" w:space="60"/>
            <w:col w:w="140" w:space="140"/>
            <w:col w:w="180" w:space="80"/>
            <w:col w:w="3320"/>
          </w:cols>
          <w:pgMar w:left="240" w:top="233" w:right="29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5">
            <w:col w:w="7220" w:space="140"/>
            <w:col w:w="200" w:space="80"/>
            <w:col w:w="120" w:space="160"/>
            <w:col w:w="180" w:space="60"/>
            <w:col w:w="3200"/>
          </w:cols>
          <w:pgMar w:left="240" w:top="233" w:right="299" w:bottom="1440" w:gutter="0" w:footer="0" w:header="0"/>
          <w:type w:val="continuous"/>
        </w:sect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26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right="14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2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61" w:lineRule="exact"/>
        <w:rPr>
          <w:sz w:val="24"/>
          <w:szCs w:val="24"/>
          <w:color w:val="auto"/>
        </w:rPr>
      </w:pPr>
    </w:p>
    <w:p>
      <w:pPr>
        <w:sectPr>
          <w:pgSz w:w="11900" w:h="16838" w:orient="portrait"/>
          <w:cols w:equalWidth="0" w:num="4">
            <w:col w:w="1720" w:space="720"/>
            <w:col w:w="1340" w:space="720"/>
            <w:col w:w="3700" w:space="720"/>
            <w:col w:w="2440"/>
          </w:cols>
          <w:pgMar w:left="240" w:top="233" w:right="299" w:bottom="1440" w:gutter="0" w:footer="0" w:header="0"/>
          <w:type w:val="continuous"/>
        </w:sectPr>
      </w:pPr>
    </w:p>
    <w:p>
      <w:pPr>
        <w:jc w:val="center"/>
        <w:ind w:right="-299"/>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360"/>
          </w:cols>
          <w:pgMar w:left="240" w:top="233" w:right="299" w:bottom="1440" w:gutter="0" w:footer="0" w:header="0"/>
          <w:type w:val="continuous"/>
        </w:sectPr>
      </w:pPr>
    </w:p>
    <w:p>
      <w:pPr>
        <w:spacing w:after="0" w:line="10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5">
            <w:col w:w="6260" w:space="140"/>
            <w:col w:w="220" w:space="60"/>
            <w:col w:w="140" w:space="140"/>
            <w:col w:w="180" w:space="80"/>
            <w:col w:w="4140"/>
          </w:cols>
          <w:pgMar w:left="240" w:top="233" w:right="299" w:bottom="1440" w:gutter="0" w:footer="0" w:header="0"/>
          <w:type w:val="continuous"/>
        </w:sectPr>
      </w:pPr>
    </w:p>
    <w:p>
      <w:pPr>
        <w:ind w:right="40" w:firstLine="324"/>
        <w:spacing w:after="0" w:line="273"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29, 2012, the last business day of the registrant’s most recently completed second fiscal quarter, was approximately $1,948,413,000 based upon the last sale price reported for the registrant’s ordinary shares on such date on the NASDAQ Global Select Market. The calculation of the aggregate market value of voting and non-voting common equity excludes 14,246,377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20, 2013, a total of 58,037,532 ordinary shares, nominal value $0.0001 per share, of the registrant were outstanding.</w:t>
      </w:r>
    </w:p>
    <w:p>
      <w:pPr>
        <w:spacing w:after="0" w:line="7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100" w:firstLine="324"/>
        <w:spacing w:after="0" w:line="273" w:lineRule="auto"/>
        <w:rPr>
          <w:sz w:val="20"/>
          <w:szCs w:val="20"/>
          <w:color w:val="auto"/>
        </w:rPr>
      </w:pPr>
      <w:r>
        <w:rPr>
          <w:rFonts w:ascii="Arial" w:cs="Arial" w:eastAsia="Arial" w:hAnsi="Arial"/>
          <w:sz w:val="14"/>
          <w:szCs w:val="14"/>
          <w:color w:val="auto"/>
        </w:rPr>
        <w:t>Portions of the registrant’s definitive Proxy Statement for the 2013 Annual General Meeting of Shareholders to be filed with the Securities and Exchange Commission pursuant to Regulation 14A not later than 120 days after the end of the fiscal year covered by this Form 10-K are incorporated by reference in Part III, Items 10-14 of this Form 10-K.</w:t>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REPORT ON FORM 10-K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8"/>
          </w:tcPr>
          <w:p>
            <w:pPr>
              <w:jc w:val="center"/>
              <w:ind w:right="462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gridSpan w:val="2"/>
          </w:tcPr>
          <w:p>
            <w:pPr>
              <w:spacing w:after="0"/>
              <w:rPr>
                <w:sz w:val="24"/>
                <w:szCs w:val="24"/>
                <w:color w:val="auto"/>
              </w:rPr>
            </w:pPr>
          </w:p>
        </w:tc>
        <w:tc>
          <w:tcPr>
            <w:tcW w:w="10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rFonts w:ascii="Arial" w:cs="Arial" w:eastAsia="Arial" w:hAnsi="Arial"/>
                <w:sz w:val="18"/>
                <w:szCs w:val="18"/>
                <w:color w:val="0000FF"/>
                <w:w w:val="84"/>
              </w:rPr>
            </w:pPr>
            <w:hyperlink w:anchor="page3">
              <w:r>
                <w:rPr>
                  <w:rFonts w:ascii="Arial" w:cs="Arial" w:eastAsia="Arial" w:hAnsi="Arial"/>
                  <w:sz w:val="18"/>
                  <w:szCs w:val="18"/>
                  <w:color w:val="0000FF"/>
                  <w:w w:val="84"/>
                </w:rPr>
                <w:t>Business</w:t>
              </w:r>
            </w:hyperlink>
          </w:p>
        </w:tc>
        <w:tc>
          <w:tcPr>
            <w:tcW w:w="8240" w:type="dxa"/>
            <w:vAlign w:val="bottom"/>
            <w:gridSpan w:val="17"/>
          </w:tcPr>
          <w:p>
            <w:pPr>
              <w:spacing w:after="0"/>
              <w:rPr>
                <w:sz w:val="24"/>
                <w:szCs w:val="24"/>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25">
              <w:r>
                <w:rPr>
                  <w:rFonts w:ascii="Arial" w:cs="Arial" w:eastAsia="Arial" w:hAnsi="Arial"/>
                  <w:sz w:val="18"/>
                  <w:szCs w:val="18"/>
                  <w:color w:val="0000FF"/>
                  <w:w w:val="87"/>
                </w:rPr>
                <w:t>Risk Factors</w:t>
              </w:r>
            </w:hyperlink>
          </w:p>
        </w:tc>
        <w:tc>
          <w:tcPr>
            <w:tcW w:w="7980" w:type="dxa"/>
            <w:vAlign w:val="bottom"/>
            <w:gridSpan w:val="15"/>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7"/>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Unresolved Staff Comments</w:t>
              </w:r>
            </w:hyperlink>
          </w:p>
        </w:tc>
        <w:tc>
          <w:tcPr>
            <w:tcW w:w="6840" w:type="dxa"/>
            <w:vAlign w:val="bottom"/>
            <w:gridSpan w:val="11"/>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Properties</w:t>
              </w:r>
            </w:hyperlink>
          </w:p>
        </w:tc>
        <w:tc>
          <w:tcPr>
            <w:tcW w:w="6840" w:type="dxa"/>
            <w:vAlign w:val="bottom"/>
            <w:gridSpan w:val="11"/>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122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18"/>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122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60" w:type="dxa"/>
            <w:vAlign w:val="bottom"/>
            <w:gridSpan w:val="8"/>
            <w:vMerge w:val="restart"/>
          </w:tcPr>
          <w:p>
            <w:pPr>
              <w:jc w:val="center"/>
              <w:ind w:right="4620"/>
              <w:spacing w:after="0"/>
              <w:rPr>
                <w:sz w:val="20"/>
                <w:szCs w:val="20"/>
                <w:color w:val="auto"/>
              </w:rPr>
            </w:pPr>
            <w:r>
              <w:rPr>
                <w:rFonts w:ascii="Arial" w:cs="Arial" w:eastAsia="Arial" w:hAnsi="Arial"/>
                <w:sz w:val="18"/>
                <w:szCs w:val="18"/>
                <w:b w:val="1"/>
                <w:bCs w:val="1"/>
                <w:color w:val="auto"/>
              </w:rPr>
              <w:t>PART II</w:t>
            </w: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8"/>
            <w:vMerge w:val="continue"/>
          </w:tcPr>
          <w:p>
            <w:pPr>
              <w:spacing w:after="0"/>
              <w:rPr>
                <w:sz w:val="24"/>
                <w:szCs w:val="24"/>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18"/>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Market for Registrant’s Common Equity, Related Stockholder Matters and Issuer Purchases of Equity Securities</w:t>
              </w:r>
            </w:hyperlink>
          </w:p>
        </w:tc>
        <w:tc>
          <w:tcPr>
            <w:tcW w:w="122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Selected Financial Data</w:t>
              </w:r>
            </w:hyperlink>
          </w:p>
        </w:tc>
        <w:tc>
          <w:tcPr>
            <w:tcW w:w="820" w:type="dxa"/>
            <w:vAlign w:val="bottom"/>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4"/>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Management’s Discussion and Analysis of Financial Condition and Results of Operations</w:t>
              </w:r>
            </w:hyperlink>
          </w:p>
        </w:tc>
        <w:tc>
          <w:tcPr>
            <w:tcW w:w="2420" w:type="dxa"/>
            <w:vAlign w:val="bottom"/>
            <w:gridSpan w:val="4"/>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2"/>
          </w:tcPr>
          <w:p>
            <w:pPr>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2420" w:type="dxa"/>
            <w:vAlign w:val="bottom"/>
            <w:gridSpan w:val="4"/>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2"/>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Financial Statements and Supplementary Data</w:t>
              </w:r>
            </w:hyperlink>
          </w:p>
        </w:tc>
        <w:tc>
          <w:tcPr>
            <w:tcW w:w="4520" w:type="dxa"/>
            <w:vAlign w:val="bottom"/>
            <w:gridSpan w:val="6"/>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80" w:type="dxa"/>
            <w:vAlign w:val="bottom"/>
            <w:gridSpan w:val="18"/>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Changes in and Disagreements With Accountants on Accounting and Financial Disclosure</w:t>
              </w:r>
            </w:hyperlink>
          </w:p>
        </w:tc>
        <w:tc>
          <w:tcPr>
            <w:tcW w:w="1220" w:type="dxa"/>
            <w:vAlign w:val="bottom"/>
            <w:gridSpan w:val="4"/>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5"/>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Controls and Procedures</w:t>
              </w:r>
            </w:hyperlink>
          </w:p>
        </w:tc>
        <w:tc>
          <w:tcPr>
            <w:tcW w:w="2380" w:type="dxa"/>
            <w:vAlign w:val="bottom"/>
            <w:gridSpan w:val="3"/>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1">
              <w:r>
                <w:rPr>
                  <w:rFonts w:ascii="Arial" w:cs="Arial" w:eastAsia="Arial" w:hAnsi="Arial"/>
                  <w:sz w:val="18"/>
                  <w:szCs w:val="18"/>
                  <w:color w:val="0000FF"/>
                </w:rPr>
                <w:t>81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Other Information</w:t>
              </w:r>
            </w:hyperlink>
          </w:p>
        </w:tc>
        <w:tc>
          <w:tcPr>
            <w:tcW w:w="7180" w:type="dxa"/>
            <w:vAlign w:val="bottom"/>
            <w:gridSpan w:val="13"/>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60" w:type="dxa"/>
            <w:vAlign w:val="bottom"/>
            <w:gridSpan w:val="8"/>
            <w:vMerge w:val="restart"/>
          </w:tcPr>
          <w:p>
            <w:pPr>
              <w:jc w:val="center"/>
              <w:ind w:right="4600"/>
              <w:spacing w:after="0"/>
              <w:rPr>
                <w:sz w:val="20"/>
                <w:szCs w:val="20"/>
                <w:color w:val="auto"/>
              </w:rPr>
            </w:pPr>
            <w:r>
              <w:rPr>
                <w:rFonts w:ascii="Arial" w:cs="Arial" w:eastAsia="Arial" w:hAnsi="Arial"/>
                <w:sz w:val="18"/>
                <w:szCs w:val="18"/>
                <w:b w:val="1"/>
                <w:bCs w:val="1"/>
                <w:color w:val="auto"/>
              </w:rPr>
              <w:t>PART III</w:t>
            </w: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8"/>
            <w:vMerge w:val="continue"/>
          </w:tcPr>
          <w:p>
            <w:pPr>
              <w:spacing w:after="0"/>
              <w:rPr>
                <w:sz w:val="24"/>
                <w:szCs w:val="24"/>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88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Directors, Executive Officers and Corporate Governance</w:t>
              </w:r>
            </w:hyperlink>
          </w:p>
        </w:tc>
        <w:tc>
          <w:tcPr>
            <w:tcW w:w="1220" w:type="dxa"/>
            <w:vAlign w:val="bottom"/>
            <w:gridSpan w:val="4"/>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6"/>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21"/>
                <w:szCs w:val="21"/>
                <w:color w:val="auto"/>
              </w:rPr>
            </w:pPr>
          </w:p>
        </w:tc>
        <w:tc>
          <w:tcPr>
            <w:tcW w:w="4800" w:type="dxa"/>
            <w:vAlign w:val="bottom"/>
            <w:gridSpan w:val="7"/>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8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Security Ownership of Certain Beneficial Owners and Management and Related Stockholder Matters</w:t>
              </w:r>
            </w:hyperlink>
          </w:p>
        </w:tc>
        <w:tc>
          <w:tcPr>
            <w:tcW w:w="1220" w:type="dxa"/>
            <w:vAlign w:val="bottom"/>
            <w:gridSpan w:val="4"/>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6"/>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Certain Relationships and Related Transactions, and Director Independence</w:t>
              </w:r>
            </w:hyperlink>
          </w:p>
        </w:tc>
        <w:tc>
          <w:tcPr>
            <w:tcW w:w="1600" w:type="dxa"/>
            <w:vAlign w:val="bottom"/>
            <w:gridSpan w:val="2"/>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2860" w:type="dxa"/>
            <w:vAlign w:val="bottom"/>
            <w:gridSpan w:val="8"/>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Principal Accountant Fees and Services</w:t>
              </w:r>
            </w:hyperlink>
          </w:p>
        </w:tc>
        <w:tc>
          <w:tcPr>
            <w:tcW w:w="2580" w:type="dxa"/>
            <w:vAlign w:val="bottom"/>
            <w:gridSpan w:val="5"/>
          </w:tcPr>
          <w:p>
            <w:pPr>
              <w:spacing w:after="0"/>
              <w:rPr>
                <w:sz w:val="21"/>
                <w:szCs w:val="21"/>
                <w:color w:val="auto"/>
              </w:rPr>
            </w:pPr>
          </w:p>
        </w:tc>
        <w:tc>
          <w:tcPr>
            <w:tcW w:w="3440" w:type="dxa"/>
            <w:vAlign w:val="bottom"/>
            <w:gridSpan w:val="5"/>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60" w:type="dxa"/>
            <w:vAlign w:val="bottom"/>
            <w:gridSpan w:val="8"/>
            <w:vMerge w:val="restart"/>
          </w:tcPr>
          <w:p>
            <w:pPr>
              <w:jc w:val="center"/>
              <w:ind w:right="4600"/>
              <w:spacing w:after="0"/>
              <w:rPr>
                <w:sz w:val="20"/>
                <w:szCs w:val="20"/>
                <w:color w:val="auto"/>
              </w:rPr>
            </w:pPr>
            <w:r>
              <w:rPr>
                <w:rFonts w:ascii="Arial" w:cs="Arial" w:eastAsia="Arial" w:hAnsi="Arial"/>
                <w:sz w:val="18"/>
                <w:szCs w:val="18"/>
                <w:b w:val="1"/>
                <w:bCs w:val="1"/>
                <w:color w:val="auto"/>
              </w:rPr>
              <w:t>PART IV</w:t>
            </w: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8"/>
            <w:vMerge w:val="continue"/>
          </w:tcPr>
          <w:p>
            <w:pPr>
              <w:spacing w:after="0"/>
              <w:rPr>
                <w:sz w:val="24"/>
                <w:szCs w:val="24"/>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gridSpan w:val="9"/>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9"/>
          </w:tcPr>
          <w:p>
            <w:pP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Exhibits and Financial Statement Schedules</w:t>
              </w:r>
            </w:hyperlink>
          </w:p>
        </w:tc>
        <w:tc>
          <w:tcPr>
            <w:tcW w:w="5720" w:type="dxa"/>
            <w:vAlign w:val="bottom"/>
            <w:gridSpan w:val="9"/>
          </w:tcPr>
          <w:p>
            <w:pPr>
              <w:spacing w:after="0"/>
              <w:rPr>
                <w:sz w:val="24"/>
                <w:szCs w:val="24"/>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Signatures</w:t>
              </w:r>
            </w:hyperlink>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20" w:type="dxa"/>
            <w:vAlign w:val="bottom"/>
            <w:gridSpan w:val="4"/>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90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02" w:lineRule="auto"/>
        <w:rPr>
          <w:sz w:val="20"/>
          <w:szCs w:val="20"/>
          <w:color w:val="auto"/>
        </w:rPr>
      </w:pPr>
      <w:r>
        <w:rPr>
          <w:rFonts w:ascii="Arial" w:cs="Arial" w:eastAsia="Arial" w:hAnsi="Arial"/>
          <w:sz w:val="17"/>
          <w:szCs w:val="17"/>
          <w:color w:val="auto"/>
        </w:rPr>
        <w:t>We own or have rights to various copyrights, trademarks, and trade names used in our business in the United States and/or non-U.S. countries, including the following: Jazz Pharmaceuticals</w:t>
      </w:r>
      <w:r>
        <w:rPr>
          <w:rFonts w:ascii="Arial" w:cs="Arial" w:eastAsia="Arial" w:hAnsi="Arial"/>
          <w:sz w:val="24"/>
          <w:szCs w:val="24"/>
          <w:color w:val="auto"/>
          <w:vertAlign w:val="superscript"/>
        </w:rPr>
        <w:t>®</w:t>
      </w:r>
      <w:r>
        <w:rPr>
          <w:rFonts w:ascii="Arial" w:cs="Arial" w:eastAsia="Arial" w:hAnsi="Arial"/>
          <w:sz w:val="17"/>
          <w:szCs w:val="17"/>
          <w:color w:val="auto"/>
        </w:rPr>
        <w:t>, Xyrem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(sodium oxybate) oral solution, Xyrem Success Program</w:t>
      </w:r>
      <w:r>
        <w:rPr>
          <w:rFonts w:ascii="Arial" w:cs="Arial" w:eastAsia="Arial" w:hAnsi="Arial"/>
          <w:sz w:val="24"/>
          <w:szCs w:val="24"/>
          <w:color w:val="auto"/>
          <w:vertAlign w:val="superscript"/>
        </w:rPr>
        <w:t>®</w:t>
      </w:r>
      <w:r>
        <w:rPr>
          <w:rFonts w:ascii="Arial" w:cs="Arial" w:eastAsia="Arial" w:hAnsi="Arial"/>
          <w:sz w:val="17"/>
          <w:szCs w:val="17"/>
          <w:color w:val="auto"/>
        </w:rPr>
        <w:t>, FazaClo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(clozapine, USP), Luvox CR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(fluvoxamine maleate) Extended-Release Capsules, Luvox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(fluvoxamine maleate), Versacloz</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(clozapine, USP) oral suspension, Prialt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(ziconotide) intrathecal infusion, Niravam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(orally disintegrating tablet presentation of alprazolam), Parcopa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(orally disintegrating tablet presentation of carbidopa/levodopa), Erwinaze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(asparaginase Erwinia chrysanthemi), Erwinase</w:t>
      </w:r>
      <w:r>
        <w:rPr>
          <w:rFonts w:ascii="Arial" w:cs="Arial" w:eastAsia="Arial" w:hAnsi="Arial"/>
          <w:sz w:val="24"/>
          <w:szCs w:val="24"/>
          <w:color w:val="auto"/>
          <w:vertAlign w:val="superscript"/>
        </w:rPr>
        <w:t>®</w:t>
      </w:r>
      <w:r>
        <w:rPr>
          <w:rFonts w:ascii="Arial" w:cs="Arial" w:eastAsia="Arial" w:hAnsi="Arial"/>
          <w:sz w:val="17"/>
          <w:szCs w:val="17"/>
          <w:color w:val="auto"/>
        </w:rPr>
        <w:t>, Asparec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(mPEG-r-crisantaspase), Leukotac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(inolimomab), ProstaScint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(capromab pendetide), 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Caphosol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(supersaturated calcium phosphate rinse), Collatamp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(lyophilized collagen implant impregnated with the aminoglycoside antibiotic gentamicin), Fomepizole</w:t>
      </w:r>
      <w:r>
        <w:rPr>
          <w:rFonts w:ascii="Arial" w:cs="Arial" w:eastAsia="Arial" w:hAnsi="Arial"/>
          <w:sz w:val="24"/>
          <w:szCs w:val="24"/>
          <w:color w:val="auto"/>
          <w:vertAlign w:val="superscript"/>
        </w:rPr>
        <w:t>®</w:t>
      </w:r>
      <w:r>
        <w:rPr>
          <w:rFonts w:ascii="Arial" w:cs="Arial" w:eastAsia="Arial" w:hAnsi="Arial"/>
          <w:sz w:val="17"/>
          <w:szCs w:val="17"/>
          <w:color w:val="auto"/>
        </w:rPr>
        <w:t>, Kidrolase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(Escherichia coli L-asparaginase), Xenazine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(tetrabenazine), Custodiol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(solution HTK) and NAVIGATOR Reimbursement and Access Program</w:t>
      </w:r>
      <w:r>
        <w:rPr>
          <w:rFonts w:ascii="Arial" w:cs="Arial" w:eastAsia="Arial" w:hAnsi="Arial"/>
          <w:sz w:val="17"/>
          <w:szCs w:val="17"/>
          <w:color w:val="auto"/>
          <w:vertAlign w:val="superscript"/>
        </w:rPr>
        <w:t>TM</w:t>
      </w:r>
      <w:r>
        <w:rPr>
          <w:rFonts w:ascii="Arial" w:cs="Arial" w:eastAsia="Arial" w:hAnsi="Arial"/>
          <w:sz w:val="17"/>
          <w:szCs w:val="17"/>
          <w:color w:val="auto"/>
        </w:rPr>
        <w:t>. This report also includes trademarks, service marks, and trade names of other companies.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“intend,” “potential”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this Annual Report on Form 10-K in greater detail under the heading “Risk Factors.” Given these risks, uncertainties and other factors, you should not place undue reliance on these forward-looking statements.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our cautionary statements. Except as required by law, we assume no obligation to update these forward-looking statements publicly, or to update the reasons that actual results could differ materially from those anticipated in these forward-looking statements, even if new information becomes available in the future.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12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i w:val="1"/>
          <w:iCs w:val="1"/>
          <w:color w:val="auto"/>
        </w:rPr>
        <w:t>On January 18, 2012, the businesses of Jazz Pharmaceuticals, Inc. and Azur Pharma Public Limited Company, or Azur Pharma, were combined in a merger transaction, or the Azur Merger, in connection with which Azur Pharma was re-named Jazz Pharmaceuticals plc and we became the parent company of and successor to Jazz Pharmaceuticals, Inc., with Jazz Pharmaceuticals, Inc. becoming our wholly-owned subsidiary. Jazz Pharmaceuticals, Inc. was treated as the acquiring company in the Azur Merger for accounting purposes, and as a result, the historical consolidated financial statements of Jazz Pharmaceuticals, Inc. became our consolidated financial statements. Accordingly, the operating results of Jazz Pharmaceuticals, Inc. are included in our consolidated financial statements for all periods being presented, whereas the operating results of Azur Pharma are included only since January 18, 2012. In addition, on June 12, 2012, Jazz Pharmaceuticals plc completed the acquisition of EUSA Pharma Inc., or EUSA Pharma, referred to as the EUSA Acquisition.</w:t>
      </w:r>
    </w:p>
    <w:p>
      <w:pPr>
        <w:spacing w:after="0" w:line="8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In this report, unless otherwise indicated or the context otherwise requires, all references to “Jazz Pharmaceuticals,” “the registrant,” “we,” “us,” and “our” refer to Jazz Pharmaceuticals plc and its consolidated subsidiaries, including its predecessor Jazz Pharmaceuticals, Inc., except that all such references prior to the effective time of the Azur Merger on January 18, 2012 are references to Jazz Pharmaceuticals, Inc. and its consolidated subsidiaries. All references to “Azur Pharma” are references to Jazz Pharmaceuticals plc (f/k/a Azur Pharma Public Limited Company) and its consolidated subsidiaries prior to the effective time of the Azur Merger. The disclosures in this report relating to the pre-Azur Merger business of Jazz Pharmaceuticals, unless noted as being the business of Azur Pharma prior to the Azur Merger, pertain to the business of Jazz Pharmaceuticals, Inc. prior to the Azur Merger. All references to “EUSA Pharma” in this report are references to EUSA Pharma Inc. and its consolidated subsidiaries prior to the effective time of the EUSA Acquisition.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0" w:firstLine="432"/>
        <w:spacing w:after="0" w:line="334" w:lineRule="auto"/>
        <w:rPr>
          <w:sz w:val="20"/>
          <w:szCs w:val="20"/>
          <w:color w:val="auto"/>
        </w:rPr>
      </w:pPr>
      <w:r>
        <w:rPr>
          <w:rFonts w:ascii="Arial" w:cs="Arial" w:eastAsia="Arial" w:hAnsi="Arial"/>
          <w:sz w:val="16"/>
          <w:szCs w:val="16"/>
          <w:color w:val="auto"/>
        </w:rPr>
        <w:t>We are a specialty biopharmaceutical company focused on improving patients’ lives by identifying, developing and commercializing products that address unmet medical needs. Our marketed products address medical needs in the following therapeutic areas and include the following products:</w:t>
      </w:r>
    </w:p>
    <w:p>
      <w:pPr>
        <w:spacing w:after="0" w:line="1" w:lineRule="exact"/>
        <w:rPr>
          <w:sz w:val="20"/>
          <w:szCs w:val="20"/>
          <w:color w:val="auto"/>
        </w:rPr>
      </w:pPr>
    </w:p>
    <w:p>
      <w:pPr>
        <w:ind w:right="220" w:firstLine="432"/>
        <w:spacing w:after="0" w:line="216" w:lineRule="auto"/>
        <w:rPr>
          <w:sz w:val="20"/>
          <w:szCs w:val="20"/>
          <w:color w:val="auto"/>
        </w:rPr>
      </w:pPr>
      <w:r>
        <w:rPr>
          <w:rFonts w:ascii="Arial" w:cs="Arial" w:eastAsia="Arial" w:hAnsi="Arial"/>
          <w:sz w:val="18"/>
          <w:szCs w:val="18"/>
          <w:b w:val="1"/>
          <w:bCs w:val="1"/>
          <w:i w:val="1"/>
          <w:iCs w:val="1"/>
          <w:color w:val="auto"/>
        </w:rPr>
        <w:t>Narcolepsy</w:t>
      </w:r>
      <w:r>
        <w:rPr>
          <w:rFonts w:ascii="Arial" w:cs="Arial" w:eastAsia="Arial" w:hAnsi="Arial"/>
          <w:sz w:val="18"/>
          <w:szCs w:val="18"/>
          <w:color w:val="auto"/>
        </w:rPr>
        <w:t>: Xyrem</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(sodium oxybate) oral solution, the only product approved by the United States Food and Drug Administration, or FDA,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both cataplexy and excessive daytime sleepiness in patients with narcolepsy;</w:t>
      </w:r>
    </w:p>
    <w:p>
      <w:pPr>
        <w:spacing w:after="0" w:line="68" w:lineRule="exact"/>
        <w:rPr>
          <w:sz w:val="20"/>
          <w:szCs w:val="20"/>
          <w:color w:val="auto"/>
        </w:rPr>
      </w:pPr>
    </w:p>
    <w:p>
      <w:pPr>
        <w:ind w:right="160" w:firstLine="432"/>
        <w:spacing w:after="0" w:line="226" w:lineRule="auto"/>
        <w:rPr>
          <w:sz w:val="20"/>
          <w:szCs w:val="20"/>
          <w:color w:val="auto"/>
        </w:rPr>
      </w:pPr>
      <w:r>
        <w:rPr>
          <w:rFonts w:ascii="Arial" w:cs="Arial" w:eastAsia="Arial" w:hAnsi="Arial"/>
          <w:sz w:val="18"/>
          <w:szCs w:val="18"/>
          <w:b w:val="1"/>
          <w:bCs w:val="1"/>
          <w:i w:val="1"/>
          <w:iCs w:val="1"/>
          <w:color w:val="auto"/>
        </w:rPr>
        <w:t xml:space="preserve">Oncology: </w:t>
      </w:r>
      <w:r>
        <w:rPr>
          <w:rFonts w:ascii="Arial" w:cs="Arial" w:eastAsia="Arial" w:hAnsi="Arial"/>
          <w:sz w:val="18"/>
          <w:szCs w:val="18"/>
          <w:color w:val="auto"/>
        </w:rPr>
        <w:t>Erwinaze</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(asparaginase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Erwinia chrysanthemi</w:t>
      </w:r>
      <w:r>
        <w:rPr>
          <w:rFonts w:ascii="Arial" w:cs="Arial" w:eastAsia="Arial" w:hAnsi="Arial"/>
          <w:sz w:val="18"/>
          <w:szCs w:val="18"/>
          <w:color w:val="auto"/>
        </w:rPr>
        <w:t>), called Erwinase</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markets outside of the United States, a treatment for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acute lymphoblastic leukemia, or ALL, who have developed 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and other products, including products for oncology supportive care;</w:t>
      </w:r>
    </w:p>
    <w:p>
      <w:pPr>
        <w:spacing w:after="0" w:line="69" w:lineRule="exact"/>
        <w:rPr>
          <w:sz w:val="20"/>
          <w:szCs w:val="20"/>
          <w:color w:val="auto"/>
        </w:rPr>
      </w:pPr>
    </w:p>
    <w:p>
      <w:pPr>
        <w:ind w:right="560" w:firstLine="432"/>
        <w:spacing w:after="0" w:line="216" w:lineRule="auto"/>
        <w:rPr>
          <w:sz w:val="20"/>
          <w:szCs w:val="20"/>
          <w:color w:val="auto"/>
        </w:rPr>
      </w:pPr>
      <w:r>
        <w:rPr>
          <w:rFonts w:ascii="Arial" w:cs="Arial" w:eastAsia="Arial" w:hAnsi="Arial"/>
          <w:sz w:val="18"/>
          <w:szCs w:val="18"/>
          <w:b w:val="1"/>
          <w:bCs w:val="1"/>
          <w:i w:val="1"/>
          <w:iCs w:val="1"/>
          <w:color w:val="auto"/>
        </w:rPr>
        <w:t xml:space="preserve">Pain: </w:t>
      </w: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(ziconotide) intrathecal infusion, the only non-opioid intrathecal analgesic indicated for the management of severe chronic pain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who are intolerant of or refractory to other treatments; and</w:t>
      </w:r>
    </w:p>
    <w:p>
      <w:pPr>
        <w:spacing w:after="0" w:line="68" w:lineRule="exact"/>
        <w:rPr>
          <w:sz w:val="20"/>
          <w:szCs w:val="20"/>
          <w:color w:val="auto"/>
        </w:rPr>
      </w:pPr>
    </w:p>
    <w:p>
      <w:pPr>
        <w:ind w:right="640" w:firstLine="432"/>
        <w:spacing w:after="0" w:line="227" w:lineRule="auto"/>
        <w:rPr>
          <w:sz w:val="20"/>
          <w:szCs w:val="20"/>
          <w:color w:val="auto"/>
        </w:rPr>
      </w:pPr>
      <w:r>
        <w:rPr>
          <w:rFonts w:ascii="Arial" w:cs="Arial" w:eastAsia="Arial" w:hAnsi="Arial"/>
          <w:sz w:val="18"/>
          <w:szCs w:val="18"/>
          <w:b w:val="1"/>
          <w:bCs w:val="1"/>
          <w:i w:val="1"/>
          <w:iCs w:val="1"/>
          <w:color w:val="auto"/>
        </w:rPr>
        <w:t>Psychiatry &amp; Other</w:t>
      </w:r>
      <w:r>
        <w:rPr>
          <w:rFonts w:ascii="Arial" w:cs="Arial" w:eastAsia="Arial" w:hAnsi="Arial"/>
          <w:sz w:val="18"/>
          <w:szCs w:val="18"/>
          <w:color w:val="auto"/>
        </w:rPr>
        <w:t>: A portfolio of products, including FazaClo</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(clozapine, USP) LD and FazaClo HD, orally disintegrating clozapine tablets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 for treatment-resistant schizophrenia, and Luvox CR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(fluvoxamine maleate)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Extended-Release Capsules marketed for the treatment of obsessive compulsive disorder. In addition, in February 2013 the FDA approved a new drug application for Versacloz</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(clozapine, USP) oral suspension for treatment-resistant schizophrenia, which we have exclusive rights to market in the United States.</w:t>
      </w:r>
    </w:p>
    <w:p>
      <w:pPr>
        <w:spacing w:after="0" w:line="46" w:lineRule="exact"/>
        <w:rPr>
          <w:sz w:val="20"/>
          <w:szCs w:val="20"/>
          <w:color w:val="auto"/>
        </w:rPr>
      </w:pPr>
    </w:p>
    <w:p>
      <w:pPr>
        <w:ind w:right="60" w:firstLine="432"/>
        <w:spacing w:after="0" w:line="215" w:lineRule="auto"/>
        <w:rPr>
          <w:sz w:val="20"/>
          <w:szCs w:val="20"/>
          <w:color w:val="auto"/>
        </w:rPr>
      </w:pPr>
      <w:r>
        <w:rPr>
          <w:rFonts w:ascii="Arial" w:cs="Arial" w:eastAsia="Arial" w:hAnsi="Arial"/>
          <w:sz w:val="18"/>
          <w:szCs w:val="18"/>
          <w:color w:val="auto"/>
        </w:rPr>
        <w:t>Our international division, based in Europe, commercializes Erwinase as well as a portfolio of other products outside of the United States. These products are primarily in the oncology, critical care and oncology supportive care therapeutic areas and include Caphosol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(supersaturated calcium phosphate rinse), Collatamp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(lyophilized collagen implant impregnated with the aminoglycoside antibiotic gentamicin), Fomepizole</w:t>
      </w:r>
      <w:r>
        <w:rPr>
          <w:rFonts w:ascii="Arial" w:cs="Arial" w:eastAsia="Arial" w:hAnsi="Arial"/>
          <w:sz w:val="25"/>
          <w:szCs w:val="25"/>
          <w:color w:val="auto"/>
          <w:vertAlign w:val="superscript"/>
        </w:rPr>
        <w:t>®</w:t>
      </w:r>
      <w:r>
        <w:rPr>
          <w:rFonts w:ascii="Arial" w:cs="Arial" w:eastAsia="Arial" w:hAnsi="Arial"/>
          <w:sz w:val="18"/>
          <w:szCs w:val="18"/>
          <w:color w:val="auto"/>
        </w:rPr>
        <w:t>, Kidrolase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(Escherichia coli L-asparaginase) and Xenazine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(tetrabenazine).</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6"/>
          <w:szCs w:val="16"/>
          <w:color w:val="auto"/>
        </w:rPr>
        <w:t>Our development pipeline projects currently include line extensions for existing products, the generation of additional clinical data for existing products and clinical development of new product candidates. These projects include two clinical trials involving Erwinaze, as well as the development of two product candidates: Asparec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(mPEG-r-crisantaspase), a pegylated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for the treatment of patients with ALL with </w:t>
      </w:r>
      <w:r>
        <w:rPr>
          <w:rFonts w:ascii="Arial" w:cs="Arial" w:eastAsia="Arial" w:hAnsi="Arial"/>
          <w:sz w:val="16"/>
          <w:szCs w:val="16"/>
          <w:i w:val="1"/>
          <w:iCs w:val="1"/>
          <w:color w:val="auto"/>
        </w:rPr>
        <w:t>E. coli</w:t>
      </w:r>
      <w:r>
        <w:rPr>
          <w:rFonts w:ascii="Arial" w:cs="Arial" w:eastAsia="Arial" w:hAnsi="Arial"/>
          <w:sz w:val="16"/>
          <w:szCs w:val="16"/>
          <w:color w:val="auto"/>
        </w:rPr>
        <w:t xml:space="preserve"> asparaginase hypersensitivity, and Leukotac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(inolimomab), an anti-CD25 monoclonal antibody for the treatment of steroid-refractory acute graft vs. host disease.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 continue to create shareholder value by:</w:t>
      </w:r>
    </w:p>
    <w:p>
      <w:pPr>
        <w:spacing w:after="0" w:line="74"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new growth opportunities;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Acquiring additional marketed specialty products or products close to regulatory approval to leverage our existing expertise and infrastructure; and</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Pursuing targeted development of a pipeline of post-discovery specialty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Business Transactions in 2012</w:t>
      </w:r>
    </w:p>
    <w:p>
      <w:pPr>
        <w:spacing w:after="0" w:line="9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On January 18, 2012, the businesses of Jazz Pharmaceuticals, Inc., our predecessor company, and Azur Pharma Public Limited Company, or Azur Pharma, were combined in a merger transaction, the Azur Merger, which was accounted for as a reverse acquisition under the acquisition method of accounting for business combinations, with Jazz Pharmaceuticals, Inc. treated as the acquiring company for accounting purposes. As part of the Azur Merger, Azur Pharma changed its name to Jazz Pharmaceuticals plc, a wholly-owned subsidiary of Azur Pharma merged with and into Jazz Pharmaceuticals, Inc., with Jazz Pharmaceuticals, Inc. surviving the Azur Merger as our wholly-owned subsidiary, and all outstanding shares of Jazz Pharmaceuticals, Inc.’s common stock were canceled and converted into the right to receive, on a one-for-one basis, our ordinary shares. The total acquisition consideration of $576.5 million was determined based on the market value of our ordinary shares that were held by the historic Azur Pharma shareholders immediately following the closing of the Azur Merger. Immediately after giving effect to the issuance of our ordinary shares in the Azur Merger, approximately 78% of our ordinary shares were held by the former Jazz Pharmaceuticals, Inc. stockholders and approximately 22% were held by the persons who acquired Azur Pharma ordinary shares prior to the Azur Merger. Prior to the Azur Merger, Jazz Pharmaceuticals, Inc. marketed its two products, Xyrem and Luvox CR, through its experienced specialty sales force. Prior to the Azur Merger, Azur Pharma was a specialty pharmaceutical company engaged in the acquisition, development and commercialization of therapeutic products for the central nervous system and women’s health areas. Azur Pharma’s lead marketed products were FazaClo LD, FazaClo HD and Prialt. Azur Pharma also marketed a portfolio of women’s health and other products. As a result of the Azur Merger, we transitioned from being a standalone public Delaware corporation to being a public limited company organized in, and a tax resident of, Ireland, and the ultimate parent company of the Jazz Pharmaceuticals group of companies.</w:t>
      </w:r>
    </w:p>
    <w:p>
      <w:pPr>
        <w:spacing w:after="0" w:line="4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On June 12, 2012, we completed the acquisition of EUSA Pharma Inc., or EUSA Pharma, referred to as the EUSA Acquisition. At the closing of the EUSA Acquisition, we paid $678.4 million in cash, and agreed to make an additional contingent payment of $50.0 million in cash if Erwinaze, which we acquired in the EUSA Acquisition, achieves U.S. net sales of $124.5 million or more in 2013. As part of the EUSA Acquisition, an indirect wholly-owned subsidiary of Jazz Pharmaceuticals plc merged with and into EUSA Pharma, with EUSA Pharma continuing as our indirect wholly-owned subsidiary. In connection with the EUSA Acquisition, we entered into a $575.0 million credit agreement consisting of a $475.0 million term loan and a $100.0 million revolving credit facility. We used all of the proceeds of the term loan, together with cash on hand, to finance the EUSA Acquisition. Prior to the EUSA Acquisition, EUSA Pharma was a specialty pharmaceutical company with a portfolio of marketed products in therapeutic areas that included oncology, critical care and oncology supportive care products. EUSA Pharma’s lead marketed product was Erwinaze, marketed directly in the United States and Europe and via distributors in other countries.</w:t>
      </w:r>
    </w:p>
    <w:p>
      <w:pPr>
        <w:spacing w:after="0" w:line="4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On October 15, 2012, we completed the sale of our women’s health business, including six products, to Meda Pharmaceuticals Inc. and Meda Pharma, Sàrl for $95.0 million, plus $2.6 million for certain inventory transferred upon the closing of the sale.</w:t>
      </w:r>
    </w:p>
    <w:p>
      <w:pPr>
        <w:spacing w:after="0" w:line="35"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With the completion of the EUSA Acquisition and the Azur Merger in 2012, we gained not only an expanded portfolio of specialty pharmaceutical products and product candidates, but also an enhanced commercial platform and a strengthened management team, adding EUSA Pharma’s specialty commercial infrastructure in the United States and Europe and its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international distribution network to our existing U.S. specialty product platform. Our international footprint now includes headquarters in Dublin, Ireland and multiple offices in the United States, the United Kingdom and other countries in Europe, with approximately 610 employees in 11 countries. We intend that our operations will function as an efficient platform for further growth, leveraging our commercial, medical and scientific experience to seek to maximize the potential of our existing products and expand our product portfolio through a combination of internal development, acquisition and in-licensing.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Xyrem</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(sodium oxybate) oral solution</w:t>
      </w:r>
    </w:p>
    <w:p>
      <w:pPr>
        <w:spacing w:after="0" w:line="2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Xyrem is the only treatment approved by the FDA for both excessive daytime sleepiness and cataplexy in patients with narcolepsy. Sodium oxybate, the active pharmaceutical ingredient in Xyrem, is a formulation of the sodium salt of gamma-hydroxybutyrate, an endogenous neurotransmitter and metabolite of gamma-aminobutyric acid. Xyrem was approved for the treatment of cataplexy in patients with narcolepsy in 2002, and was approved for its second indication, excessive daytime sleepiness in patients with narcolepsy, in 2005. The American Academy of Sleep Medicine recommends Xyrem as a standard of care for the treatment of both excessive daytime sleepiness and cataplexy associated with narcolepsy.</w:t>
      </w:r>
    </w:p>
    <w:p>
      <w:pPr>
        <w:spacing w:after="0" w:line="42"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Narcolepsy is a chronic neurologic disorder caused by targeted loss of neurons that produce the neurotransmitter hypocretin (also known as orexin), which is hypothesized to stabilize sleep-wake states. The primary symptoms of narcolepsy include excessive daytime sleepiness, cataplexy, sleep paralysis, hypnogogic hallucinations and disrupted nighttime sleep. Excessive daytime sleepiness is the most common symptom of narcolepsy and is present in all narcolepsy patients. Excessive daytime sleepiness is characterized by chronic, pervasive sleepiness as well as sudden irresistible and overwhelming urges to sleep (inadvertent naps and sleep attacks). Cataplexy, the sudden loss of muscle tone, can be one of the most debilitating symptoms of narcolepsy. Cataplexy is present in approximately 70% of patients with narcolepsy. Cataplexy can range from slight weakness or a drooping of the face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4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Narcolepsy may affect many areas of life, with patients experiencing marked impairment of activities, such as limitations on education and employment opportunities, driving or machinery accidents or difficulties at work resulting in disability or job dismissal. Patients with narcolepsy may also suffer from significant medical comorbidities, including social anxiety disorder, obstructive sleep apnea, obesity, bipolar disorder, depression, hypercholesterolaemia, diseases of the digestive system, cardiovascular diseases, upper respiratory tract diseases and hypertension.</w:t>
      </w:r>
    </w:p>
    <w:p>
      <w:pPr>
        <w:spacing w:after="0" w:line="36"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It is estimated that narcolepsy affects approximately 1 in 2,000 people in the United States, or approximately 157,000 people. Less than half of those people have been definitively diagnosed with narcolepsy. Xyrem is currently being used to treat more than 10,000 patients in the United States, and we believe that there are significantly more patients with narcolepsy and cataplexy and/or excessive daytime sleepiness who might benefit from treatment with Xyrem. In an effort to reach more patients, we are seeking to expand the base of physicians who prescribe Xyrem through a number of initiatives, including increased outreach to prescribers who treat narcolepsy, enhanced physician education and the launch of web-based pilot programs.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2012, net product sales of Xyrem were $378.7 million, which represented 65.2% of total net product sales.</w:t>
      </w:r>
    </w:p>
    <w:p>
      <w:pPr>
        <w:spacing w:after="0" w:line="90"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promote Xyrem in the United States through a specialty sales force of approximately 80 sales professionals dedicated to Xyrem. Our marketing, sales and distribution of Xyrem are subject to a risk management and controlled distribution system, or Xyrem Risk Management Program, that was required in conjunction with Xyrem’s approval by the FDA to ensure the safe distribution of Xyrem and minimize the risk of misuse, abuse and diversion of sodium oxybate. The Xyrem Risk Management Program is not in the form that is now required for a risk evaluation and mitigation strategy, or REMS. We have submitted updated REMS documents to the FDA, which are intended to conform the relevant elements of the Xyrem Risk Management Program to the current REMS formatting requirements, as well as to make other updates to the program and its documentation. We have had communications with the FDA with respect to our submitted REMS documents. These communications are ongoing, and we cannot predict the timing of finalization, or the final terms, of our updated REMS documents.</w:t>
      </w:r>
    </w:p>
    <w:p>
      <w:pPr>
        <w:spacing w:after="0" w:line="57" w:lineRule="exact"/>
        <w:rPr>
          <w:sz w:val="20"/>
          <w:szCs w:val="20"/>
          <w:color w:val="auto"/>
        </w:rPr>
      </w:pPr>
    </w:p>
    <w:p>
      <w:pPr>
        <w:ind w:right="40" w:firstLine="432"/>
        <w:spacing w:after="0" w:line="256" w:lineRule="auto"/>
        <w:rPr>
          <w:sz w:val="20"/>
          <w:szCs w:val="20"/>
          <w:color w:val="auto"/>
        </w:rPr>
      </w:pPr>
      <w:r>
        <w:rPr>
          <w:rFonts w:ascii="Arial" w:cs="Arial" w:eastAsia="Arial" w:hAnsi="Arial"/>
          <w:sz w:val="17"/>
          <w:szCs w:val="17"/>
          <w:color w:val="auto"/>
        </w:rPr>
        <w:t>Under our current Xyrem Risk Management Program, all of the Xyrem sold in the United States must be shipped directly to patients through a single central pharmacy, Express Scripts Specialty Distribution Services and its affiliate CuraScript, Inc., or ESSDS, through which Xyrem is distributed exclusively. Xyrem may not be stocked in retail pharmacies. Physicians and patients must enroll in the Xyrem Success Program</w:t>
      </w:r>
      <w:r>
        <w:rPr>
          <w:rFonts w:ascii="Arial" w:cs="Arial" w:eastAsia="Arial" w:hAnsi="Arial"/>
          <w:sz w:val="24"/>
          <w:szCs w:val="24"/>
          <w:color w:val="auto"/>
          <w:vertAlign w:val="superscript"/>
        </w:rPr>
        <w:t>®</w:t>
      </w:r>
      <w:r>
        <w:rPr>
          <w:rFonts w:ascii="Arial" w:cs="Arial" w:eastAsia="Arial" w:hAnsi="Arial"/>
          <w:sz w:val="17"/>
          <w:szCs w:val="17"/>
          <w:color w:val="auto"/>
        </w:rPr>
        <w:t>, which is part of our Xyrem Risk Management Program, prior to fulfillment of Xyrem prescriptions. Each physician and patient receives materials concerning the risks and benefits of the product before the physician can prescribe, or a patient can receive, Xyrem. Whenever a prescription is received by the central pharmacy, the central pharmacy verifies the prescription and must speak with the patient before each shipment of Xyrem is sent to the patient. The central pharmacy ships the product directly to the patient by a courier service, and the patient or his/her designee signs for the package. The initial shipment may only be for up to a one-month supply and up to a three-month supply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refills. ESSDS also provides reimbursement support to patients by coordinating insurance coverage for Xyrem, and as applicable, referring qualified patients to various patient savings or assistance programs.</w:t>
      </w:r>
    </w:p>
    <w:p>
      <w:pPr>
        <w:spacing w:after="0" w:line="3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Pursuant to our agreement, ESSDS exclusively distributes Xyrem in the United States and provides customer support services related to the sales and marketing of Xyrem in the United States. Our agreement, which has been in effect since July 2002, expires on June 30, 2015, subject to automatic two-year extensions unless either party provides notice to the other of its intent to terminate the agreement not less than 120 days before the end of the then current term. Under the agreement, we own all of the standard operating procedures, business rules and intellectual property, and the agreement provides for ESSDS to assist in the orderly transfer of the services that ESSDS provides to us and the related intellectual property, including intellectual property related to the patient database, to any new pharmacy that we may we engage.</w:t>
      </w:r>
    </w:p>
    <w:p>
      <w:pPr>
        <w:spacing w:after="0" w:line="5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Xyrem is a controlled substance in the United States, and therefore its manufacturing and distribution are highly restricted. The finished product and active pharmaceutical ingredient for Xyrem are each manufactured for us by a single source contract manufacturer.</w:t>
      </w:r>
    </w:p>
    <w:p>
      <w:pPr>
        <w:spacing w:after="0" w:line="35"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Outside of the United States, we have licensed to UCB Pharma Limited, or UCB, the exclusive right to market Xyrem for the treatment of narcolepsy in 54 countries in exchange for milestone and royalty payments to us. UCB currently markets the product in 18 countries in Europe. We have licensed to Valeant Canada Limited, or Valeant, the Canadian marketing rights to Xyrem for the treatment of narcolepsy. We supply Xyrem to UCB and Valeant.</w:t>
      </w:r>
    </w:p>
    <w:p>
      <w:pPr>
        <w:spacing w:after="0" w:line="1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eleven U.S. patents covering Xyrem, which expire at various times from December 2019 to June 2024. Our issued patents relate to Xyrem’s stable and microbially resistant formulation, its manufacturing process and its method of use, including its restricted distribution system. Two companies have notified us that they have filed abbreviated new drug applications, or ANDAs, with the FDA seeking FDA approval to market a generic version of Xyrem. We initiated lawsuits against each of these companies and are currently involved in litigation with both companies. For a description of these matters, please see Item 3. “Legal Proceedings.”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Erwinaze</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(asparaginase Erwinia chrysanthemi)</w:t>
      </w:r>
    </w:p>
    <w:p>
      <w:pPr>
        <w:spacing w:after="0" w:line="26"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 xml:space="preserve">Erwinaze, a biologic product, is used in conjunction with chemotherapy to treat patients with ALL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is an asparaginase, a type of enzyme that can deprive leukemic cells of an amino acid essential for their growth. It is derived from a rare bacterium (</w:t>
      </w:r>
      <w:r>
        <w:rPr>
          <w:rFonts w:ascii="Arial" w:cs="Arial" w:eastAsia="Arial" w:hAnsi="Arial"/>
          <w:sz w:val="18"/>
          <w:szCs w:val="18"/>
          <w:i w:val="1"/>
          <w:iCs w:val="1"/>
          <w:color w:val="auto"/>
        </w:rPr>
        <w:t>Erwinia chrysanthemi</w:t>
      </w:r>
      <w:r>
        <w:rPr>
          <w:rFonts w:ascii="Arial" w:cs="Arial" w:eastAsia="Arial" w:hAnsi="Arial"/>
          <w:sz w:val="18"/>
          <w:szCs w:val="18"/>
          <w:color w:val="auto"/>
        </w:rPr>
        <w:t xml:space="preserve">) and is therefore immunologically distinct from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asparaginase and suitable for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 xml:space="preserve">-derived treatments. For ALL patients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is a crucial component of their therapeutic regimen. Erwinaze is currently delivered via intramuscular injection in conjunction with chemotherapy. Erwinaze was originally discovered by the U.K. Health Protection Agency, or the HPA, a non-departmental public body. Erwinaze was approved by the FDA under a biological license application, or BLA, in November 2011.</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 xml:space="preserve">ALL is the most common childhood cancer. According to the U.S. National Cancer Institute, approximately 60% of ALL patients were diagnosed under age 20. The American Cancer Society estimated that approximately 6,000 new cases of ALL were diagnosed in the United States in 2012, of which approximately 3,600 were pediatric. Data reported in two papers published in </w:t>
      </w:r>
      <w:r>
        <w:rPr>
          <w:rFonts w:ascii="Arial" w:cs="Arial" w:eastAsia="Arial" w:hAnsi="Arial"/>
          <w:sz w:val="16"/>
          <w:szCs w:val="16"/>
          <w:i w:val="1"/>
          <w:iCs w:val="1"/>
          <w:color w:val="auto"/>
        </w:rPr>
        <w:t>Pediatric Blood &amp; Cancer</w:t>
      </w:r>
      <w:r>
        <w:rPr>
          <w:rFonts w:ascii="Arial" w:cs="Arial" w:eastAsia="Arial" w:hAnsi="Arial"/>
          <w:sz w:val="16"/>
          <w:szCs w:val="16"/>
          <w:color w:val="auto"/>
        </w:rPr>
        <w:t xml:space="preserve"> and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suggest that approximately 20% of ALL patients develop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Current treatment guidelines and protocols recommend switching a patient receiving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to treatment with Erwinaze if the patient’s hypersensitivity reaction to the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is Grade 2-4, indicating that the hypersensitivity reaction has resulted in an intervention or interruption in infusion occurring in the patient’s treatment regimen. While pediatric treatment protocols commonly include asparaginase, adult protocols do not. A retrospective comparison to determine whether the outcome for adolescent and young adult ALL patients differed depending on their enrollment in pediatric compared with adult cooperative group trials showed that the seven-year overall survival rate among the adolescent and young adult ALL patients treated on pediatric protocols was 67% compared to 46% for those patients treated on adult protocols. As more adolescent and young adult patients are treated with asparaginase-based regimens, we expect to see increased use of Erwinaze in this population. In addition, we believe that Erwinaze could be used in patients with silent hypersensitivity, a situation in which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may induce antibodies that can neutralize the enzyme or increase its clearance, thereby depriving patients of its therapeutic benefits, without manifesting the clinical symptoms of hypersensitivity. In February 2013, a third party introduced an assay to determine the enzyme activity of asparaginase in patients who have been treated with any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or Erwinaze. With this new assay, physicians will be able to monitor asparaginase levels to identify patients with silent hypersensitivity and maintain asparaginase activity by switching asparaginase preparations.</w:t>
      </w:r>
    </w:p>
    <w:p>
      <w:pPr>
        <w:spacing w:after="0" w:line="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Erwinaze was launched in the U.S. market in November 2011. We promote Erwinaze in the United States through a specialty sales force of approximately 20 sales professionals. We provide reimbursement support through our Community Access Patient Program, a dedicated Erwinaze call center. Our field-based and internal reimbursement team provides additional reimbursement support, dealing specifically with the more complex needs of physicians and payors.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Outside of the United States, Erwinaze is sold under the name Erwinase pursuant to marketing authorizations, named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patient programs, temporary use authorizations or similar authorizations in multiple countries in Europe and elsewhere. Our international division employs approximately 30 sales professionals to promote Erwinase in a number of European countries where Erwinase is fully registered. In addition, our medical science liaison managers provide information consistent with local treatment protocols to healthcare professionals and/or respond to medical information requests.</w:t>
      </w:r>
    </w:p>
    <w:p>
      <w:pPr>
        <w:spacing w:after="0" w:line="52"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Erwinaze is exclusively licensed to us for worldwide marketing, sales and distribution, and is manufactured for us, by the HPA. The HPA is our sole supplier for Erwinaze. We are obligated to make tiered royalty payments to the HPA based on worldwide net sales of Erwinaze and Erwinase.</w:t>
      </w:r>
    </w:p>
    <w:p>
      <w:pPr>
        <w:spacing w:after="0" w:line="1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Although Erwinaze is not covered by any patents, Erwinaze has orphan drug marketing exclusivity through 2018 (seven years from its FDA approval in the United States), and we expect to receive data exclusivity for Erwinaze in the United States through 2023 under the U.S. Biologics Price Competition and Innovation Act, or BPCIA.</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Prialt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(ziconotide) intrathecal infusion</w:t>
      </w:r>
    </w:p>
    <w:p>
      <w:pPr>
        <w:spacing w:after="0" w:line="26" w:lineRule="exact"/>
        <w:rPr>
          <w:sz w:val="20"/>
          <w:szCs w:val="20"/>
          <w:color w:val="auto"/>
        </w:rPr>
      </w:pPr>
    </w:p>
    <w:p>
      <w:pPr>
        <w:ind w:firstLine="432"/>
        <w:spacing w:after="0" w:line="264" w:lineRule="auto"/>
        <w:rPr>
          <w:sz w:val="20"/>
          <w:szCs w:val="20"/>
          <w:color w:val="auto"/>
        </w:rPr>
      </w:pPr>
      <w:r>
        <w:rPr>
          <w:rFonts w:ascii="Arial" w:cs="Arial" w:eastAsia="Arial" w:hAnsi="Arial"/>
          <w:sz w:val="17"/>
          <w:szCs w:val="17"/>
          <w:color w:val="auto"/>
        </w:rPr>
        <w:t xml:space="preserve">Prialt is an intrathecally administered infusion of ziconotide, approved by the FDA in December 2004 for the management of severe chronic pain in patients for whom intrathecal therapy is warranted, and who are intolerant of or refractory to other treatment, such as systemic analgesics, adjunctive therapies or intrathecal morphine. Intrathecal therapy is the delivery of the drug into the intrathecal space in the spine through an infusion system comprised of a programmable infusion pump and catheter. Ziconotide is a synthetic neuroactive peptide known as conotoxin and is the synthetic equivalent of a naturally-occurring conopeptide found in the piscivorous marine snail, </w:t>
      </w:r>
      <w:r>
        <w:rPr>
          <w:rFonts w:ascii="Arial" w:cs="Arial" w:eastAsia="Arial" w:hAnsi="Arial"/>
          <w:sz w:val="17"/>
          <w:szCs w:val="17"/>
          <w:i w:val="1"/>
          <w:iCs w:val="1"/>
          <w:color w:val="auto"/>
        </w:rPr>
        <w:t>Conus Magus</w:t>
      </w:r>
      <w:r>
        <w:rPr>
          <w:rFonts w:ascii="Arial" w:cs="Arial" w:eastAsia="Arial" w:hAnsi="Arial"/>
          <w:sz w:val="17"/>
          <w:szCs w:val="17"/>
          <w:color w:val="auto"/>
        </w:rPr>
        <w:t>. Ziconotide is thought to inhibit pain signals transmitted via N-type calcium channels, most densely located in the dorsal horn of the spinal cord, although the precise mechanism of action in humans is unknown. For most patients who achieve good pain relief and tolerability with Prialt, pain relief can be maintained over time without dose increases or cumulative toxicity. Prialt is the only FDA-approved non-opioid intrathecal analgesic. Treatment with Prialt can be interrupted or discontinued without evidence of withdrawal effects. Prialt is approved for use with Medtronic Inc.’s SynchroMed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programmable implantable pumps.</w:t>
      </w:r>
    </w:p>
    <w:p>
      <w:pPr>
        <w:spacing w:after="0" w:line="2" w:lineRule="exact"/>
        <w:rPr>
          <w:sz w:val="20"/>
          <w:szCs w:val="20"/>
          <w:color w:val="auto"/>
        </w:rPr>
      </w:pPr>
    </w:p>
    <w:p>
      <w:pPr>
        <w:ind w:right="180" w:firstLine="432"/>
        <w:spacing w:after="0" w:line="269" w:lineRule="auto"/>
        <w:rPr>
          <w:sz w:val="20"/>
          <w:szCs w:val="20"/>
          <w:color w:val="auto"/>
        </w:rPr>
      </w:pPr>
      <w:r>
        <w:rPr>
          <w:rFonts w:ascii="Arial" w:cs="Arial" w:eastAsia="Arial" w:hAnsi="Arial"/>
          <w:sz w:val="17"/>
          <w:szCs w:val="17"/>
          <w:color w:val="auto"/>
        </w:rPr>
        <w:t>Azur Pharma acquired the rights to Prialt from Elan Pharmaceuticals, Inc., or Elan, in May 2010. Pursuant to an asset purchase agreement executed between Azur Pharma and Elan in April 2010, Azur Pharma acquired worldwide rights to Prialt excluding those territories licensed by Elan to Eisai Co. Limited, or Eisai, which consist of 34 countries outside of the United States, mainly in Europe. We supply Prialt to Eisai. Azur Pharma paid Elan $5 million on the closing of the transaction, with an additional $12 million in deferred payments, which we paid to Elan in 2012. We are also obligated to pay up to a maximum aggregate amount of $120 million in tiered contingent payments, with the first such payment becoming due if net sales of at least $75 million are achieved in a calendar year, as well as a tiered royalty payment in the teens based on net sales.</w:t>
      </w:r>
    </w:p>
    <w:p>
      <w:pPr>
        <w:spacing w:after="0" w:line="47"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We promote Prialt through a specialty sales force of approximately 30 sales professionals. In the fourth quarter of 2012, we began the roll-out of a new centralized distribution system for Prialt, the NAVIGATOR Reimbursement and Access Program</w:t>
      </w:r>
      <w:r>
        <w:rPr>
          <w:rFonts w:ascii="Arial" w:cs="Arial" w:eastAsia="Arial" w:hAnsi="Arial"/>
          <w:sz w:val="17"/>
          <w:szCs w:val="17"/>
          <w:color w:val="auto"/>
          <w:vertAlign w:val="superscript"/>
        </w:rPr>
        <w:t>TM</w:t>
      </w:r>
      <w:r>
        <w:rPr>
          <w:rFonts w:ascii="Arial" w:cs="Arial" w:eastAsia="Arial" w:hAnsi="Arial"/>
          <w:sz w:val="17"/>
          <w:szCs w:val="17"/>
          <w:color w:val="auto"/>
        </w:rPr>
        <w:t>. Through this new distribution system, we provide a simplified single point of access to Prialt, offering reimbursement and insurance support that is intended to reduce the burden on physicians and patients and providing information and support through a dedicated Prialt call center outsourced to a third party vendor. Our field-based reimbursement team provides additional support, dealing specifically with the more complex needs of physicians and payors.</w:t>
      </w:r>
    </w:p>
    <w:p>
      <w:pPr>
        <w:spacing w:after="0" w:line="3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four U.S. patents covering Prialt, the last to expire of which expires in December 2016, and six U.S. patents on a formulation containing Prialt and other active ingredients and methods for their use, which will expire in October 2024. The finished product and active pharmaceutical ingredient are each manufactured for us by a single source contract manufacturer.</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Psychiatry Products</w:t>
      </w:r>
    </w:p>
    <w:p>
      <w:pPr>
        <w:spacing w:after="0" w:line="167" w:lineRule="exact"/>
        <w:rPr>
          <w:sz w:val="20"/>
          <w:szCs w:val="20"/>
          <w:color w:val="auto"/>
        </w:rPr>
      </w:pPr>
    </w:p>
    <w:p>
      <w:pPr>
        <w:ind w:left="420" w:right="520"/>
        <w:spacing w:after="0" w:line="218" w:lineRule="auto"/>
        <w:rPr>
          <w:sz w:val="20"/>
          <w:szCs w:val="20"/>
          <w:color w:val="auto"/>
        </w:rPr>
      </w:pPr>
      <w:r>
        <w:rPr>
          <w:rFonts w:ascii="Arial" w:cs="Arial" w:eastAsia="Arial" w:hAnsi="Arial"/>
          <w:sz w:val="18"/>
          <w:szCs w:val="18"/>
          <w:b w:val="1"/>
          <w:bCs w:val="1"/>
          <w:color w:val="auto"/>
        </w:rPr>
        <w:t>FazaClo</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LD (clozapine, USP) Orally Disintegrating Tablet, FazaClo</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HD (clozapine, USP) Orally Disintegrating Tablet and Versacloz</w:t>
      </w:r>
      <w:r>
        <w:rPr>
          <w:rFonts w:ascii="Arial" w:cs="Arial" w:eastAsia="Arial" w:hAnsi="Arial"/>
          <w:sz w:val="18"/>
          <w:szCs w:val="18"/>
          <w:b w:val="1"/>
          <w:bCs w:val="1"/>
          <w:color w:val="auto"/>
          <w:vertAlign w:val="superscript"/>
        </w:rPr>
        <w:t>TM</w:t>
      </w:r>
      <w:r>
        <w:rPr>
          <w:rFonts w:ascii="Arial" w:cs="Arial" w:eastAsia="Arial" w:hAnsi="Arial"/>
          <w:sz w:val="18"/>
          <w:szCs w:val="18"/>
          <w:b w:val="1"/>
          <w:bCs w:val="1"/>
          <w:color w:val="auto"/>
        </w:rPr>
        <w:t xml:space="preserve"> (clozapine, USP) oral suspension</w:t>
      </w:r>
    </w:p>
    <w:p>
      <w:pPr>
        <w:spacing w:after="0" w:line="6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market FazaClo LD and FazaClo HD, each of which is an orally disintegrating tablet formulation of clozapine that is indicated for the management of severely ill schizophrenic patients who fail to respond adequately to standard drug treatment for schizophrenia and for reduction in the risk of recurrent suicidal behavior in patients with schizophrenia or schizoaffective disorder who are judged to be at chronic risk for re-experiencing suicidal behavior, based on history and recent clinical state. FazaClo LD, comprising the original three lower dosage strength presentations, was approved by the FDA in February 2004 with respect to the 25mg and 100mg tablets and in May 2007 for the 12.5mg tablets. FazaClo HD received FDA approval in July 2010. Azur Pharma acquired the rights to FazaClo LD from Avanir Pharmaceuticals, Inc., or Avanir, in August 2007.</w:t>
      </w:r>
    </w:p>
    <w:p>
      <w:pPr>
        <w:spacing w:after="0" w:line="4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February 2013, the FDA approved a new drug application, or NDA, for Versacloz for treatment-resistant schizophrenia. Versacloz is an oral suspension formulation of clozapine currently approved and marketed by other companies in Europe and in other territories outside of the United States. In February 2010, Azur Pharma entered into a license and supply agreement with Douglas Pharmaceuticals America Limited, or Douglas Pharmaceuticals, and obtained an exclusive license to market, distribute and sell Versacloz in the United States and Mexico from Douglas Pharmaceuticals. The initial term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license and supply agreement expires 10 years after the first commercial sale of Versacloz in the United States, subject to automatic extension for additional five-year terms unless terminated by either party subject to certain conditions. We expect to commence marketing Versacloz in 2013.</w:t>
      </w:r>
    </w:p>
    <w:p>
      <w:pPr>
        <w:spacing w:after="0" w:line="11" w:lineRule="exact"/>
        <w:rPr>
          <w:sz w:val="20"/>
          <w:szCs w:val="20"/>
          <w:color w:val="auto"/>
        </w:rPr>
      </w:pPr>
    </w:p>
    <w:p>
      <w:pPr>
        <w:ind w:firstLine="432"/>
        <w:spacing w:after="0" w:line="274" w:lineRule="auto"/>
        <w:rPr>
          <w:sz w:val="20"/>
          <w:szCs w:val="20"/>
          <w:color w:val="auto"/>
        </w:rPr>
      </w:pPr>
      <w:r>
        <w:rPr>
          <w:rFonts w:ascii="Arial" w:cs="Arial" w:eastAsia="Arial" w:hAnsi="Arial"/>
          <w:sz w:val="16"/>
          <w:szCs w:val="16"/>
          <w:color w:val="auto"/>
        </w:rPr>
        <w:t>According to IMS Health Inc., or IMS, the U.S. clozapine market is dominated by generics, which accounted for approximately 92.6% of clozapine prescription volumes in 2012. Our FazaClo LD and FazaClo HD products accounted for approximately 4.9% and 2.6%, respectively, of clozapine prescription volumes in 2012. An authorized generic version of FazaClo LD launched in August 2012. Other generics are referenced to Clozaril, a standard immediate release tablet formulation of clozapine from Novartis. FazaClo LD and FazaClo HD incorporate the DuraSolv</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orally disintegrating tablet technology that we license from CIMA Labs Inc., or CIMA, now a subsidiary of Teva Pharmaceutical Industries Limited, or Teva, which enables the products to dissolve without the need to chew or to swallow with water. FazaClo LD (including its authorized generic version) and FazaClo HD are currently the only orally disintegrating tablet formulations of clozapine available in the United States. Versacloz is currently the only oral suspension formulation of clozapine approved by the FDA.</w:t>
      </w:r>
    </w:p>
    <w:p>
      <w:pPr>
        <w:spacing w:after="0" w:line="45"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FazaClo LD and FazaClo HD are sold under a risk management plan in the United States. The program is not in the form that is now required for a REMS. In 2012, the FDA notified us, along with other holders of applications for products containing clozapine, including FazaClo LD, FazaClo HD and Versacloz, that a single shared system should be used to implement the REMS for all members of this class of products. We are working with other manufacturers of clozapine products to address the FDA’s requirements.</w:t>
      </w:r>
    </w:p>
    <w:p>
      <w:pPr>
        <w:spacing w:after="0" w:line="52"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One element of the risk management plan for FazaClo LD and FazaClo HD is the patient registry. The FDA requires that patients being prescribed any clozapine product must be enrolled in an FDA-approved patient registry, a database monitoring patients’ white blood cell counts and absolute neutrophil counts to permit early detection of clozapine-induced leucopenia or agranulocytosis. The authorized generic form of FazaClo LD is part of the FazaClo LD and FazaClo HD patient registry. Similarly, as part of the risk management plan for Versacloz, patients who will be prescribed Versacloz are required to be enrolled in the Versacloz patient registry.</w:t>
      </w:r>
    </w:p>
    <w:p>
      <w:pPr>
        <w:spacing w:after="0" w:line="5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promote FazaClo LD and FazaClo HD in the United States through a specialty sales force, with the support of our in-house registry team and a team of clinical compliance liaisons, who provide patient registry support services for FazaClo LD and FazaClo HD. This specialty sales force will promote Versacloz in the United States as well.</w:t>
      </w:r>
    </w:p>
    <w:p>
      <w:pPr>
        <w:spacing w:after="0" w:line="4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two formulation patents covering FazaClo LD and FazaClo HD, which we license from CIMA, are under re-examination by the U.S. Patent and Trademark Office, or the USPTO, and both of the re-examination proceedings have proceeded to appeal at the USPTO. It is currently not possible to predict whether these re-examination proceedings will result in one or both of the patents being fully or partly invalidated and, if so, whether any appeal will be successful. Versacloz is covered by a U.S. formulation patent and a pending U.S. patent application that we license from Douglas Pharmaceuticals. The patent expires in May 2028.</w:t>
      </w:r>
    </w:p>
    <w:p>
      <w:pPr>
        <w:spacing w:after="0" w:line="53"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Three generic manufacturers have filed ANDAs requesting approval to market generic versions of FazaClo LD, and one of them, Teva, has also submitted an ANDA requesting approval to market a generic version of FazaClo HD. Azur Pharma brought lawsuits against each of them and settled the lawsuit with Teva in 2011. In the settlement agreement, Azur Pharma granted a sublicense to an affiliate of Teva of Azur Pharma’s rights to have manufactured, market and sell a generic version of both FazaClo LD and FazaClo HD, as well as an option for supply of authorized generic product. The sublicenses for FazaClo LD commenced in July 2012, and the sublicense for FazaClo HD will commence in May 2015, or earlier upon the occurrence of certain events. Teva exercised its option for supply of an authorized generic product for FazaClo LD and launched the authorized generic product in August 2012.</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Luvox CR</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(fluvoxamine maleate) Extended-Release Capsules</w:t>
      </w:r>
    </w:p>
    <w:p>
      <w:pPr>
        <w:spacing w:after="0" w:line="30" w:lineRule="exact"/>
        <w:rPr>
          <w:sz w:val="20"/>
          <w:szCs w:val="20"/>
          <w:color w:val="auto"/>
        </w:rPr>
      </w:pPr>
    </w:p>
    <w:p>
      <w:pPr>
        <w:ind w:right="200" w:firstLine="432"/>
        <w:spacing w:after="0" w:line="256" w:lineRule="auto"/>
        <w:rPr>
          <w:sz w:val="20"/>
          <w:szCs w:val="20"/>
          <w:color w:val="auto"/>
        </w:rPr>
      </w:pPr>
      <w:r>
        <w:rPr>
          <w:rFonts w:ascii="Arial" w:cs="Arial" w:eastAsia="Arial" w:hAnsi="Arial"/>
          <w:sz w:val="16"/>
          <w:szCs w:val="16"/>
          <w:color w:val="auto"/>
        </w:rPr>
        <w:t>We market Luvox CR for the treatment of obsessive compulsive disorder. Luvox CR received FDA approval in 2008. Luvox CR incorporates the SODAS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drug delivery technology, developed by Elan Pharma International Limited, which subsequently transferred its rights to Alkermes Pharma Ireland Limited, or Alkermes. The product is designed to minimize peak-to-trough plasma fluctuations over a 24-hour period and enable once-a-day dosing.</w:t>
      </w:r>
    </w:p>
    <w:p>
      <w:pPr>
        <w:spacing w:after="0" w:line="5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 xml:space="preserve">Obsessive compulsive disorder is a chronic anxiety disorder characterized by persistent, unwanted thoughts, or obsessions, and repetitive behaviors or rituals, or compulsions. According to the National Institute of Mental Health, obsessive compulsive disorder affects approximately 2.2 million adults in the United States. According to an article published in the </w:t>
      </w:r>
      <w:r>
        <w:rPr>
          <w:rFonts w:ascii="Arial" w:cs="Arial" w:eastAsia="Arial" w:hAnsi="Arial"/>
          <w:sz w:val="17"/>
          <w:szCs w:val="17"/>
          <w:i w:val="1"/>
          <w:iCs w:val="1"/>
          <w:color w:val="auto"/>
        </w:rPr>
        <w:t>International Journal of Clinical Practice</w:t>
      </w:r>
      <w:r>
        <w:rPr>
          <w:rFonts w:ascii="Arial" w:cs="Arial" w:eastAsia="Arial" w:hAnsi="Arial"/>
          <w:sz w:val="17"/>
          <w:szCs w:val="17"/>
          <w:color w:val="auto"/>
        </w:rPr>
        <w:t>, it is estimated that 60% of patients with obsessive compulsive disorder worldwide receive no treatment for their disorder. Patients with obsessive compulsive disorder often use rituals to help control anxiety related to their obsessive thoughts, and these rituals can become disruptive to their daily lives.</w:t>
      </w:r>
    </w:p>
    <w:p>
      <w:pPr>
        <w:spacing w:after="0" w:line="3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acquired the rights to market Luvox CR in the United States from Solvay Pharmaceuticals, Inc., or Solvay, which was subsequently acquired by Abbott Laboratories. Solvay assigned to us its rights and obligations under its license and supply agreement with Alkermes, and we sublicensed back to Solvay the rights under that agreement outside of the United States.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Luvox CR is not currently marketed outside of the United States.</w:t>
      </w:r>
    </w:p>
    <w:p>
      <w:pPr>
        <w:spacing w:after="0" w:line="9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Three companies have filed ANDAs requesting FDA approval to market a generic version of Luvox CR, and we brought lawsuits against each of them. In August 2010, we and Alkermes settled the lawsuit against one of the companies, Anchen Pharmaceuticals, Inc. (now owned by Par Pharmaceutical Companies, Inc.), or Anchen, and granted a sublicense to Anchen of our rights to have manufactured, market and sell a generic version of Luvox CR, which sublicense commenced in February 2013. As of a result of this settlement, a generic version of Luvox CR could be introduced as soon as Anchen obtains FDA approval of its ANDA. In April 2012, we and Alkermes entered into settlement agreements with the other two companies, Actavis Elizabeth, LLC, or Actavis, and Torrent Pharma Limited, or Torrent, respectively, and granted a sublicense to each of Actavis and Torrent of our rights to have manufactured, market and sell a generic version of Luvox CR in the United States. The sublicenses will commence on April 15, 2014, or earlier if a generic version of Luvox CR receives FDA approval.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other products that we sell in the United States include:</w:t>
      </w:r>
    </w:p>
    <w:p>
      <w:pPr>
        <w:spacing w:after="0" w:line="90" w:lineRule="exact"/>
        <w:rPr>
          <w:sz w:val="20"/>
          <w:szCs w:val="20"/>
          <w:color w:val="auto"/>
        </w:rPr>
      </w:pPr>
    </w:p>
    <w:p>
      <w:pPr>
        <w:ind w:left="740" w:right="640" w:hanging="327"/>
        <w:spacing w:after="0" w:line="21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Caphosol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(supersaturated calcium phosphate rinse), indicated for the treatment of oral mucositis, a common and debilitating side-effect of radiation therapy and high dose chemotherapy;</w:t>
      </w:r>
    </w:p>
    <w:p>
      <w:pPr>
        <w:spacing w:after="0" w:line="68"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indicated for the treatment of pain in patients whose cancer has spread to the bones;</w:t>
      </w:r>
    </w:p>
    <w:p>
      <w:pPr>
        <w:spacing w:after="0" w:line="37" w:lineRule="exact"/>
        <w:rPr>
          <w:rFonts w:ascii="Arial" w:cs="Arial" w:eastAsia="Arial" w:hAnsi="Arial"/>
          <w:sz w:val="17"/>
          <w:szCs w:val="17"/>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ProstaScint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(capromab pendetide), indicated for imaging the extent and spread of prostate cancer;</w:t>
      </w:r>
    </w:p>
    <w:p>
      <w:pPr>
        <w:spacing w:after="0" w:line="9" w:lineRule="exact"/>
        <w:rPr>
          <w:rFonts w:ascii="Arial" w:cs="Arial" w:eastAsia="Arial" w:hAnsi="Arial"/>
          <w:sz w:val="18"/>
          <w:szCs w:val="18"/>
          <w:color w:val="auto"/>
        </w:rPr>
      </w:pPr>
    </w:p>
    <w:p>
      <w:pPr>
        <w:ind w:left="740" w:right="100" w:hanging="327"/>
        <w:spacing w:after="0" w:line="20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Niravam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(alprazolam orally disintegrating tablets), indicated for the treatment of generalized anxiety disorder and also indicated for the treatment of panic disorder, with or without agoraphobia; and</w:t>
      </w:r>
    </w:p>
    <w:p>
      <w:pPr>
        <w:spacing w:after="0" w:line="68" w:lineRule="exact"/>
        <w:rPr>
          <w:rFonts w:ascii="Arial" w:cs="Arial" w:eastAsia="Arial" w:hAnsi="Arial"/>
          <w:sz w:val="18"/>
          <w:szCs w:val="18"/>
          <w:color w:val="auto"/>
        </w:rPr>
      </w:pPr>
    </w:p>
    <w:p>
      <w:pPr>
        <w:ind w:left="740" w:right="320" w:hanging="327"/>
        <w:spacing w:after="0" w:line="216"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Parcopa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(carbidopa and levodopa orally disintegrating tablets), indicated for the treatment of symptoms associated with idiopathic Parkinson’s disease.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our international division commercializes a portfolio of other products in oncology, critical care and oncology supportive care outside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including:</w:t>
      </w:r>
    </w:p>
    <w:p>
      <w:pPr>
        <w:spacing w:after="0" w:line="76"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Caphosol;</w:t>
      </w:r>
    </w:p>
    <w:p>
      <w:pPr>
        <w:spacing w:after="0" w:line="90" w:lineRule="exact"/>
        <w:rPr>
          <w:rFonts w:ascii="Arial" w:cs="Arial" w:eastAsia="Arial" w:hAnsi="Arial"/>
          <w:sz w:val="18"/>
          <w:szCs w:val="18"/>
          <w:color w:val="auto"/>
        </w:rPr>
      </w:pPr>
    </w:p>
    <w:p>
      <w:pPr>
        <w:ind w:left="740" w:right="320" w:hanging="327"/>
        <w:spacing w:after="0" w:line="21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Collatamp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(lyophilized collagen implant impregnated with the aminoglycoside antibiotic gentamicin), a surgical implant impregnated with the antibiotic gentamicin;</w:t>
      </w:r>
    </w:p>
    <w:p>
      <w:pPr>
        <w:spacing w:after="0" w:line="68"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Fomepizole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(fomepizole), indicated for the treatment of ethylene glycol poisoning;</w:t>
      </w:r>
    </w:p>
    <w:p>
      <w:pPr>
        <w:spacing w:after="0" w:line="25"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Kidrolase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(Escherichia coli L-asparaginase), indicated in the treatment of ALL, Leukaemic meningitis and Non-Hodgkin’s lymphoma;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Xenazine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(tetrabenazine), indicated for the treatment of movement disorders associated with Huntington’s chorea and hemiballismus; and</w:t>
      </w:r>
    </w:p>
    <w:p>
      <w:pPr>
        <w:spacing w:after="0" w:line="21" w:lineRule="exact"/>
        <w:rPr>
          <w:rFonts w:ascii="Arial" w:cs="Arial" w:eastAsia="Arial" w:hAnsi="Arial"/>
          <w:sz w:val="17"/>
          <w:szCs w:val="17"/>
          <w:color w:val="auto"/>
        </w:rPr>
      </w:pPr>
    </w:p>
    <w:p>
      <w:pPr>
        <w:ind w:left="740" w:right="340" w:hanging="327"/>
        <w:spacing w:after="0" w:line="208"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Custodiol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(solution HTK), a ready to use solution used in organ transplantation for rinsing and hypothermic storage for preservation of organs (heart, kidney, liver and pancreas) since their removal from the donor to the graft in the recipient.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Projects</w:t>
      </w:r>
    </w:p>
    <w:p>
      <w:pPr>
        <w:spacing w:after="0" w:line="94" w:lineRule="exact"/>
        <w:rPr>
          <w:sz w:val="20"/>
          <w:szCs w:val="20"/>
          <w:color w:val="auto"/>
        </w:rPr>
      </w:pPr>
    </w:p>
    <w:p>
      <w:pPr>
        <w:ind w:firstLine="432"/>
        <w:spacing w:after="0" w:line="249" w:lineRule="auto"/>
        <w:rPr>
          <w:sz w:val="20"/>
          <w:szCs w:val="20"/>
          <w:color w:val="auto"/>
        </w:rPr>
      </w:pPr>
      <w:r>
        <w:rPr>
          <w:rFonts w:ascii="Arial" w:cs="Arial" w:eastAsia="Arial" w:hAnsi="Arial"/>
          <w:sz w:val="17"/>
          <w:szCs w:val="17"/>
          <w:color w:val="auto"/>
        </w:rPr>
        <w:t xml:space="preserve">Our development pipeline projects currently include line extensions for existing products, the generation of additional clinical data for existing products, and clinical development of new product candidates. These projects include two clinical trials involving Erwinaze: an ongoing pharmacokinetic clinical trial of the intravenous administration of Erwinaze in North America; and a planned clinical trial including pharmacokinetic efficacy measures to evaluate Erwinaze in adolescents and young adults with ALL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which is expected to begin in the second half of 2013. In addition, we are developing two product candidates, including a Phase I clinical trial in Europe of Asparec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(mPEG-r-crisantaspase), a pegylated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for the treatment of patients with ALL with </w:t>
      </w:r>
      <w:r>
        <w:rPr>
          <w:rFonts w:ascii="Arial" w:cs="Arial" w:eastAsia="Arial" w:hAnsi="Arial"/>
          <w:sz w:val="17"/>
          <w:szCs w:val="17"/>
          <w:i w:val="1"/>
          <w:iCs w:val="1"/>
          <w:color w:val="auto"/>
        </w:rPr>
        <w:t>E. coli</w:t>
      </w:r>
      <w:r>
        <w:rPr>
          <w:rFonts w:ascii="Arial" w:cs="Arial" w:eastAsia="Arial" w:hAnsi="Arial"/>
          <w:sz w:val="17"/>
          <w:szCs w:val="17"/>
          <w:color w:val="auto"/>
        </w:rPr>
        <w:t xml:space="preserve"> asparaginase hypersensitivity; and a Phase III clinical trial in Europe of Leukotac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(inolimomab), an anti-CD25 monoclonal antibody for the treatment of steroid-refractory acute graft vs. host disease. Worldwide rights to develop and commercialize Asparec were licensed by EUSA Pharma from Alizé Pharma II, or Alizé, in 2009. Under our license agreement with Alizé, we are subject to contractual obligations to meet certain development milestones within certain timeframes. We submitted an investigational new drug application, or IND, to conduct studies relating to Asparec to the FDA in November 2012, and we received FDA confirmation in December 2012 that we may proceed with the studies. EUSA Pharma acquired the rights for Leukotac from Biotest AG in 2003.</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As of February 20, 2013, our commercial activities in the United States were dedicated to our marketed products Xyrem, Erwinaze, Prialt and our psychiatry products (FazaClo LD, FazaClo HD and Luvox CR), as well as preparing for the launch of Versacloz and providing support for sales of certain of our other products. We have approximately 170 trained, experienced sales professionals who detail our marketed products to physicians in specialties appropriate for each marketed product in the United States. In addition, our international division employs approximately 30 sales professionals to promote Erwinase in a number of European countries where Erwinase is fully registered. Our international division also sells products in oncology, oncology supportive care and critical care outside of the United States through a network of local distributors and wholesalers in more than 80 countries.</w:t>
      </w:r>
    </w:p>
    <w:p>
      <w:pPr>
        <w:spacing w:after="0" w:line="3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commercial activities include marketing and related services and commercial support services such as commercial operations, managed markets and commercial analytics. We also employ third party vendors, such as advertising agencies, market research firms and suppliers of marketing and other sales support related services, to assist with our commercial activities.</w:t>
      </w:r>
    </w:p>
    <w:p>
      <w:pPr>
        <w:spacing w:after="0" w:line="46"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currently have a relatively small number of sales representatives compared with the number of sales representatives of most other pharmaceutical companies with marketed products. Each of our sales representatives is responsible for a territory of significant size. We believe that the size of our sales force is appropriate to effectively reach our target audience for our marketed products in the specialty markets in which we currently operate. The continued growth of our current products and the launch of any future products may require expansion of our sales force and sales support organization in the United States and internationally, and we may need to commit significant additional funds, management and other resources to the growth of our sales organization.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pharmaceutical industry is highly competitive and characterized by a number of established, large pharmaceutical companies as well as specialty pharmaceutical companies that market neurology, oncology, pain, psychology and other products. Many of these companies,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FDA or other regulatory approvals for their product candidates more rapidly than we may and may market their products more effectively than we do. Smaller or earlier stage companies may also prove to be significant competitors, particularly through collaborative arrangements with large, established companies.</w:t>
      </w:r>
    </w:p>
    <w:p>
      <w:pPr>
        <w:spacing w:after="0" w:line="3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ability to continue to grow requires that we compete successfully with other specialty pharmaceutical companies for product and product candidate acquisition and in-licensing opportunities. Some of these competitors include Valeant, Shire Pharmaceuticals, Inc., Endo Pharmaceuticals Holdings, Inc., Forest Laboratories, Inc., Sigma-Tau Pharmaceuticals Inc. and Teva. These established companies may have a competitive advantage over us due to their size and financial resources.</w:t>
      </w:r>
    </w:p>
    <w:p>
      <w:pPr>
        <w:spacing w:after="0" w:line="5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also face competition from manufacturers of generic drugs. Generic competition often results in decreases in the prices at which branded products can be sold, particularly when there is more than one generic available in the marketplace. In addition, legislation enacted in the United States allows for, and in a few instances in the absence of specific instructions from the prescribing physician mandates, the dispensing of generic products rather than branded products where a generic version is available.</w:t>
      </w:r>
    </w:p>
    <w:p>
      <w:pPr>
        <w:spacing w:after="0" w:line="52"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Our products and product candidates may also compete in the future with new products currently under development by others. Any products that we develop are likely to be in a highly competitive market, and many of our competitors may succeed in developing products that may render our products obsolete or noncompetitive. In particular, our marketed products and product candidates face competition as described below:</w:t>
      </w:r>
    </w:p>
    <w:p>
      <w:pPr>
        <w:spacing w:after="0" w:line="30" w:lineRule="exact"/>
        <w:rPr>
          <w:sz w:val="20"/>
          <w:szCs w:val="20"/>
          <w:color w:val="auto"/>
        </w:rPr>
      </w:pPr>
    </w:p>
    <w:p>
      <w:pPr>
        <w:ind w:left="740" w:hanging="327"/>
        <w:spacing w:after="0" w:line="235"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Xyrem</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(sodium oxybate) oral solution</w:t>
      </w:r>
      <w:r>
        <w:rPr>
          <w:rFonts w:ascii="Arial" w:cs="Arial" w:eastAsia="Arial" w:hAnsi="Arial"/>
          <w:sz w:val="17"/>
          <w:szCs w:val="17"/>
          <w:color w:val="auto"/>
        </w:rPr>
        <w:t>. Xyrem is the only product approved for the treatment of both cataplexy and excessive daytime sleepiness in</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with narcolepsy. No product other than Xyrem is approved for the treatment of cataplexy. The only other products approved by the FDA for the treatment of excessive daytime sleepiness in patients with narcolepsy are Provigil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(modafinil) and Nuvigil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(armodafinil), which are marketed by Teva, and the generic versions of Provigil. Provigil, its generic equivalents and Nuvigil are also approved for the treatment of excessive daytime sleepiness in patients with obstructive sleep apnea/hypopnea syndrome and shift work sleep disorder. Xyrem is often used in conjunction with stimulants and wakefulness promoting drugs, which are administered during the day.</w:t>
      </w:r>
    </w:p>
    <w:p>
      <w:pPr>
        <w:spacing w:after="0" w:line="71" w:lineRule="exact"/>
        <w:rPr>
          <w:rFonts w:ascii="Arial" w:cs="Arial" w:eastAsia="Arial" w:hAnsi="Arial"/>
          <w:sz w:val="17"/>
          <w:szCs w:val="17"/>
          <w:color w:val="auto"/>
        </w:rPr>
      </w:pPr>
    </w:p>
    <w:p>
      <w:pPr>
        <w:ind w:left="740" w:right="100"/>
        <w:spacing w:after="0" w:line="264" w:lineRule="auto"/>
        <w:rPr>
          <w:rFonts w:ascii="Arial" w:cs="Arial" w:eastAsia="Arial" w:hAnsi="Arial"/>
          <w:sz w:val="17"/>
          <w:szCs w:val="17"/>
          <w:color w:val="auto"/>
        </w:rPr>
      </w:pPr>
      <w:r>
        <w:rPr>
          <w:rFonts w:ascii="Arial" w:cs="Arial" w:eastAsia="Arial" w:hAnsi="Arial"/>
          <w:sz w:val="18"/>
          <w:szCs w:val="18"/>
          <w:color w:val="auto"/>
        </w:rPr>
        <w:t>As alternatives to Xyrem, cataplexy is often treated with tricyclic antidepressants and selective serotonin reuptake inhibitors, or SSRIs, or selective norepinephrine reuptake inhibitors, or SNRIs, although these products are not approved by the FDA for the treatment of cataplexy. Tricyclic antidepressants are a class of antidepressant drugs first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right="120"/>
        <w:spacing w:after="0" w:line="259" w:lineRule="auto"/>
        <w:rPr>
          <w:sz w:val="20"/>
          <w:szCs w:val="20"/>
          <w:color w:val="auto"/>
        </w:rPr>
      </w:pPr>
      <w:r>
        <w:rPr>
          <w:rFonts w:ascii="Arial" w:cs="Arial" w:eastAsia="Arial" w:hAnsi="Arial"/>
          <w:sz w:val="18"/>
          <w:szCs w:val="18"/>
          <w:color w:val="auto"/>
        </w:rPr>
        <w:t>used in the 1950s. The use of these drugs can often result in somnolence, which exacerbates the excessive daytime sleepiness already experienced by all patients with narcolepsy. SSRIs and SNRIs are compounds typically used for the treatment of clinical depression. Somnolence and insomnia are commonly reported side effects with SSRIs while loss of sleep is a commonly reported side effect with SNRIs. These side effects may be problematic for patients with narcolepsy.</w:t>
      </w:r>
    </w:p>
    <w:p>
      <w:pPr>
        <w:spacing w:after="0" w:line="52" w:lineRule="exact"/>
        <w:rPr>
          <w:sz w:val="20"/>
          <w:szCs w:val="20"/>
          <w:color w:val="auto"/>
        </w:rPr>
      </w:pPr>
    </w:p>
    <w:p>
      <w:pPr>
        <w:ind w:left="740" w:right="60" w:hanging="327"/>
        <w:spacing w:after="0" w:line="253"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Erwinaze</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(asparaginase Erwinia chrysanthemi)</w:t>
      </w:r>
      <w:r>
        <w:rPr>
          <w:rFonts w:ascii="Arial" w:cs="Arial" w:eastAsia="Arial" w:hAnsi="Arial"/>
          <w:sz w:val="17"/>
          <w:szCs w:val="17"/>
          <w:color w:val="auto"/>
        </w:rPr>
        <w:t>. Erwinaze is a biologic product used in conjunction with chemotherapy and is indicated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patients with ALL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While there is currently no direct competition to Erwinaze to treat ALL patients with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 other companies are developing new treatments for ALL, including new asparaginase treatments that could reduce the rate of hypersensitivity in patients with ALL and new treatment protocols for ALL that may not include asparaginase-containing regimens. Any of these potential new treatments could compete with, or reduce the market for, Erwinaze. As a biologic product, Erwinaze also faces potential competition from biosimilar products.</w:t>
      </w:r>
    </w:p>
    <w:p>
      <w:pPr>
        <w:spacing w:after="0" w:line="56" w:lineRule="exact"/>
        <w:rPr>
          <w:rFonts w:ascii="Arial" w:cs="Arial" w:eastAsia="Arial" w:hAnsi="Arial"/>
          <w:sz w:val="17"/>
          <w:szCs w:val="17"/>
          <w:color w:val="auto"/>
        </w:rPr>
      </w:pPr>
    </w:p>
    <w:p>
      <w:pPr>
        <w:ind w:left="740" w:right="180" w:hanging="327"/>
        <w:spacing w:after="0" w:line="226" w:lineRule="auto"/>
        <w:tabs>
          <w:tab w:leader="none" w:pos="7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Prialt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(ziconotide) intrathecal infusion</w:t>
      </w:r>
      <w:r>
        <w:rPr>
          <w:rFonts w:ascii="Arial" w:cs="Arial" w:eastAsia="Arial" w:hAnsi="Arial"/>
          <w:sz w:val="18"/>
          <w:szCs w:val="18"/>
          <w:color w:val="auto"/>
        </w:rPr>
        <w:t>. Prialt is the only FDA-approved non-opioid intrathecal analgesic. It competes with intrathecally</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morphine, which is the only other product approved by the FDA for the intrathecal treatment of severe chronic pain. Other drugs are also used intrathecally by physicians, including hydromorphone, clonidine, baclofen and sufentanil.</w:t>
      </w:r>
    </w:p>
    <w:p>
      <w:pPr>
        <w:spacing w:after="0" w:line="68" w:lineRule="exact"/>
        <w:rPr>
          <w:rFonts w:ascii="Arial" w:cs="Arial" w:eastAsia="Arial" w:hAnsi="Arial"/>
          <w:sz w:val="18"/>
          <w:szCs w:val="18"/>
          <w:i w:val="1"/>
          <w:iCs w:val="1"/>
          <w:color w:val="auto"/>
        </w:rPr>
      </w:pPr>
    </w:p>
    <w:p>
      <w:pPr>
        <w:ind w:left="740" w:right="20" w:hanging="327"/>
        <w:spacing w:after="0" w:line="236" w:lineRule="auto"/>
        <w:tabs>
          <w:tab w:leader="none" w:pos="7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FazaClo</w:t>
      </w:r>
      <w:r>
        <w:rPr>
          <w:rFonts w:ascii="Arial" w:cs="Arial" w:eastAsia="Arial" w:hAnsi="Arial"/>
          <w:sz w:val="24"/>
          <w:szCs w:val="24"/>
          <w:b w:val="1"/>
          <w:bCs w:val="1"/>
          <w:i w:val="1"/>
          <w:iCs w:val="1"/>
          <w:color w:val="auto"/>
          <w:vertAlign w:val="superscript"/>
        </w:rPr>
        <w:t>®</w:t>
      </w:r>
      <w:r>
        <w:rPr>
          <w:rFonts w:ascii="Arial" w:cs="Arial" w:eastAsia="Arial" w:hAnsi="Arial"/>
          <w:sz w:val="17"/>
          <w:szCs w:val="17"/>
          <w:i w:val="1"/>
          <w:iCs w:val="1"/>
          <w:color w:val="auto"/>
        </w:rPr>
        <w:t xml:space="preserve"> LD (clozapine, USP) Orally Disintegrating Tablet, FazaClo</w:t>
      </w:r>
      <w:r>
        <w:rPr>
          <w:rFonts w:ascii="Arial" w:cs="Arial" w:eastAsia="Arial" w:hAnsi="Arial"/>
          <w:sz w:val="24"/>
          <w:szCs w:val="24"/>
          <w:b w:val="1"/>
          <w:bCs w:val="1"/>
          <w:i w:val="1"/>
          <w:iCs w:val="1"/>
          <w:color w:val="auto"/>
          <w:vertAlign w:val="superscript"/>
        </w:rPr>
        <w:t>®</w:t>
      </w:r>
      <w:r>
        <w:rPr>
          <w:rFonts w:ascii="Arial" w:cs="Arial" w:eastAsia="Arial" w:hAnsi="Arial"/>
          <w:sz w:val="17"/>
          <w:szCs w:val="17"/>
          <w:i w:val="1"/>
          <w:iCs w:val="1"/>
          <w:color w:val="auto"/>
        </w:rPr>
        <w:t xml:space="preserve"> HD (clozapine, USP) Orally Disintegrating Tablet and Versacloz</w:t>
      </w:r>
      <w:r>
        <w:rPr>
          <w:rFonts w:ascii="Arial" w:cs="Arial" w:eastAsia="Arial" w:hAnsi="Arial"/>
          <w:sz w:val="17"/>
          <w:szCs w:val="17"/>
          <w:i w:val="1"/>
          <w:iCs w:val="1"/>
          <w:color w:val="auto"/>
          <w:vertAlign w:val="superscript"/>
        </w:rPr>
        <w:t>TM</w:t>
      </w:r>
      <w:r>
        <w:rPr>
          <w:rFonts w:ascii="Arial" w:cs="Arial" w:eastAsia="Arial" w:hAnsi="Arial"/>
          <w:sz w:val="17"/>
          <w:szCs w:val="17"/>
          <w:i w:val="1"/>
          <w:iCs w:val="1"/>
          <w:color w:val="auto"/>
        </w:rPr>
        <w:t xml:space="preserve"> (clozapine, USP) oral suspension</w:t>
      </w:r>
      <w:r>
        <w:rPr>
          <w:rFonts w:ascii="Arial" w:cs="Arial" w:eastAsia="Arial" w:hAnsi="Arial"/>
          <w:sz w:val="17"/>
          <w:szCs w:val="17"/>
          <w:color w:val="auto"/>
        </w:rPr>
        <w:t>. FazaClo LD, the authorized generic version of FazaClo LD launched in 2012 and FazaClo HD are the only orally</w:t>
      </w:r>
      <w:r>
        <w:rPr>
          <w:rFonts w:ascii="Arial" w:cs="Arial" w:eastAsia="Arial" w:hAnsi="Arial"/>
          <w:sz w:val="17"/>
          <w:szCs w:val="17"/>
          <w:i w:val="1"/>
          <w:iCs w:val="1"/>
          <w:color w:val="auto"/>
        </w:rPr>
        <w:t xml:space="preserve"> </w:t>
      </w:r>
      <w:r>
        <w:rPr>
          <w:rFonts w:ascii="Arial" w:cs="Arial" w:eastAsia="Arial" w:hAnsi="Arial"/>
          <w:sz w:val="17"/>
          <w:szCs w:val="17"/>
          <w:color w:val="auto"/>
        </w:rPr>
        <w:t>disintegrating tablet formulations of clozapine available. FazaClo LD competes against the authorized generic. The bulk of prescriptions for clozapine are generic tablets, which compete with both FazaClo LD and FazaClo HD. In addition, prior to prescribing clozapine, most physicians choose other branded products as treatment options, including Seroquel</w:t>
      </w:r>
      <w:r>
        <w:rPr>
          <w:rFonts w:ascii="Arial" w:cs="Arial" w:eastAsia="Arial" w:hAnsi="Arial"/>
          <w:sz w:val="24"/>
          <w:szCs w:val="24"/>
          <w:color w:val="auto"/>
          <w:vertAlign w:val="superscript"/>
        </w:rPr>
        <w:t>®</w:t>
      </w:r>
      <w:r>
        <w:rPr>
          <w:rFonts w:ascii="Arial" w:cs="Arial" w:eastAsia="Arial" w:hAnsi="Arial"/>
          <w:sz w:val="17"/>
          <w:szCs w:val="17"/>
          <w:color w:val="auto"/>
        </w:rPr>
        <w:t>, marketed by AstraZeneca, Risperdal</w:t>
      </w:r>
      <w:r>
        <w:rPr>
          <w:rFonts w:ascii="Arial" w:cs="Arial" w:eastAsia="Arial" w:hAnsi="Arial"/>
          <w:sz w:val="24"/>
          <w:szCs w:val="24"/>
          <w:color w:val="auto"/>
          <w:vertAlign w:val="superscript"/>
        </w:rPr>
        <w:t>®</w:t>
      </w:r>
      <w:r>
        <w:rPr>
          <w:rFonts w:ascii="Arial" w:cs="Arial" w:eastAsia="Arial" w:hAnsi="Arial"/>
          <w:sz w:val="17"/>
          <w:szCs w:val="17"/>
          <w:color w:val="auto"/>
        </w:rPr>
        <w:t>, marketed by Janssen, and Zyprexa</w:t>
      </w:r>
      <w:r>
        <w:rPr>
          <w:rFonts w:ascii="Arial" w:cs="Arial" w:eastAsia="Arial" w:hAnsi="Arial"/>
          <w:sz w:val="24"/>
          <w:szCs w:val="24"/>
          <w:color w:val="auto"/>
          <w:vertAlign w:val="superscript"/>
        </w:rPr>
        <w:t>®</w:t>
      </w:r>
      <w:r>
        <w:rPr>
          <w:rFonts w:ascii="Arial" w:cs="Arial" w:eastAsia="Arial" w:hAnsi="Arial"/>
          <w:sz w:val="17"/>
          <w:szCs w:val="17"/>
          <w:color w:val="auto"/>
        </w:rPr>
        <w:t>, marketed by Eli Lilly. Versacloz is currently the only oral suspension formation of clozapine approved by the FDA.</w:t>
      </w:r>
    </w:p>
    <w:p>
      <w:pPr>
        <w:spacing w:after="0" w:line="2" w:lineRule="exact"/>
        <w:rPr>
          <w:rFonts w:ascii="Arial" w:cs="Arial" w:eastAsia="Arial" w:hAnsi="Arial"/>
          <w:sz w:val="17"/>
          <w:szCs w:val="17"/>
          <w:i w:val="1"/>
          <w:iCs w:val="1"/>
          <w:color w:val="auto"/>
        </w:rPr>
      </w:pPr>
    </w:p>
    <w:p>
      <w:pPr>
        <w:ind w:left="740" w:hanging="327"/>
        <w:spacing w:after="0" w:line="23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Luvox CR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(fluvoxamine maleate) Extended-Release Capsules</w:t>
      </w:r>
      <w:r>
        <w:rPr>
          <w:rFonts w:ascii="Arial" w:cs="Arial" w:eastAsia="Arial" w:hAnsi="Arial"/>
          <w:sz w:val="18"/>
          <w:szCs w:val="18"/>
          <w:color w:val="auto"/>
        </w:rPr>
        <w:t>. The market for drugs to treat obsessive compulsive disorder is very fragmented.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in addition to Luvox CR, a large number of branded and generic drugs are used for the treatment of this disorder. Seven branded products, including Luvox CR, and generic equivalents of many of these, have been approved by the FDA for the treatment of obsessive compulsive disorder, and we believe that other products are regularly used to treat this disorder. A generic version of Luvox CR could be introduced as soon as the FDA approves Anchen’s ANDA.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With respect to all of our products and product candidates, we believe that our ability to successfully compete will depend on, among other things:</w:t>
      </w:r>
    </w:p>
    <w:p>
      <w:pPr>
        <w:spacing w:after="0" w:line="102"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existence of competing or alternative products in the marketplace, including generic competition, and the relative price of those products;</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safety and reliability of our products and product candidates compared to competing or alternative products;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acceptance by physicians, other health care providers and patients;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protection of our proprietary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reimbursement for our products in approved indications;</w:t>
      </w:r>
    </w:p>
    <w:p>
      <w:pPr>
        <w:spacing w:after="0" w:line="90" w:lineRule="exact"/>
        <w:rPr>
          <w:rFonts w:ascii="Arial" w:cs="Arial" w:eastAsia="Arial" w:hAnsi="Arial"/>
          <w:sz w:val="18"/>
          <w:szCs w:val="18"/>
          <w:color w:val="auto"/>
        </w:rPr>
      </w:pPr>
    </w:p>
    <w:p>
      <w:pPr>
        <w:ind w:left="740" w:right="360" w:hanging="327"/>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complete clinical development and obtain regulatory approvals for our product candidates, and the timing and scope of regulatory approvals;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supply commercial quantities of a product to the market;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and retain skilled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Information About Geographic Areas</w:t>
      </w:r>
    </w:p>
    <w:p>
      <w:pPr>
        <w:spacing w:after="0" w:line="9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In the United States, Xyrem is sold to one specialty pharmacy, ESSDS, which ships Xyrem directly to patients. Erwinaze is sold through an exclusive wholesaler and distributor, Accredo Health Group, Inc., to hospitals in the United States. The other products that we sell in the United States are sold primarily to distributors who distribute the product to pharmacies and hospitals. In 2012, the principal distributors for our products in the United States were Cardinal Health, Inc., McKesson Corporation and AmerisourceBergen Corporation and its subsidiary, Integrated Commercialization Solutions Inc. We have standard industry agreements made in the ordinary course of business with these distributors, which include prompt payment discounts and various standard fee or rebate arrangements. Purchases are made on a purchase order basis.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Outside of the United States, UCB has rights to market Xyrem in 54 countries, and Valeant has rights for Canada. Xyrem is currently sold in 18 countries by UCB and in Canada by Valeant. Our international division distributes Erwinase through Durbin PLC, a U.K.-based wholesaler and distributor, to hospitals and local wholesalers in Europe where it markets Erwinase directly and, in markets where it does not market Erwinase directly, to local distributors and wholesalers in Europe and elsewhere in the world. Our international division also sells other products both directly and through local distributors and wholesalers in Europe and elsewhere in the world in accordance with local regulatory approval status. We do not have rights outside of the United States to our psychiatry products. Eisai has rights to market Prialt in 34 countries outside of the United States. While we retain the rights to Prialt in the rest of the non-U.S. territories, we are not currently selling the product outside of the United States.</w:t>
      </w:r>
    </w:p>
    <w:p>
      <w:pPr>
        <w:spacing w:after="0" w:line="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Information on our total revenues attributed to U.S. and non-U.S. sources and customers who represented at least 10% of total revenues in each of 2012, 2011 and 2010, as well as the location of our long-lived assets, is included in Note 15 to our consolidated financial statements.</w:t>
      </w:r>
    </w:p>
    <w:p>
      <w:pPr>
        <w:spacing w:after="0" w:line="3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With the completion of the EUSA Acquisition and the Azur Merger in 2012, our international footprint now includes headquarters in Dublin, Ireland and multiple offices in the United States, the United Kingdom and other countries in Europe, with approximately 610 employees in 11 countries. For a discussion of risks related to our non-U.S. operations, see “Risk Factors—Risks Related to Our Business,” “—Risks Related to Our Industry” and “—Risks Relating to Our Financial Condition” in Item 1A, “Government Regulation—Ex-U.S. Regulations” in this Item 1, and “Quantitative and Qualitative Disclosure about Market Risk” in Item 7A.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do not have our own manufacturing capability for our products or product candidates, or their active pharmaceutical ingredients, or the capability to package our products. We have engaged third parties for these activities. Currently, we have a single source of supply for each of our marketed products and for the active pharmaceutical ingredients used in these products. Our ability to develop and deliver products in a timely and competitive manner depends on our third party suppliers and manufacturers being able to continue to meet our ongoing commercial needs. Manufacturers of pharmaceutical products often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These difficulties can be heightened when a supplier or manufacturer is required to scale up to produce increased quantities to meet growing demand.</w:t>
      </w:r>
    </w:p>
    <w:p>
      <w:pPr>
        <w:spacing w:after="0" w:line="4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April 2010, we entered into an agreement with Siegfried (USA) Inc., or Siegfried, for the supply of sodium oxybate, the active pharmaceutical ingredient of Xyrem. Siegfried was approved by the FDA as our supplier in November 2011. Although Siegfried became our only supplier of sodium oxybate in 2012, we have the right to purchase a portion of our worldwide requirements of sodium oxybate from other suppliers. Under the agreement, we provide periodic rolling forecasts to Siegfried, and a portion of each rolling forecast constitutes a firm purchase order. The agreement with Siegfried expires in April 2015, subject to automatic three-year extensions until either party provides notice to the other of its intent to terminate the agreement at least 18 months before the end of the then-current term. Either party has the right to terminate the agreement in the event of the other party’s uncured material breach or insolvency. During the term of the agreement and, under certain circumstances for 18 months after the agreement terminates, Siegfried is not permitted to manufacture sodium oxybate for any other company.</w:t>
      </w:r>
    </w:p>
    <w:p>
      <w:pPr>
        <w:spacing w:after="0" w:line="4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an exclusive agreement with Patheon Pharmaceuticals, or Patheon, which became effective in 2008, under which we have agreed to purchase exclusively from Patheon (except in very limited circumstances), and Patheon has agreed to manufacture, supply and package, our worldwide supply of Xyrem. The current term of the agreement with Patheon, which is our sole supplier of Xyrem, extends until July 2014 and may be extended, at our option, for additional two-year terms with written notice at least twelve months before the end of the then current term. Either party has the right to terminate the agreement in the event of the other party’s uncured material breach or insolvency.</w:t>
      </w:r>
    </w:p>
    <w:p>
      <w:pPr>
        <w:spacing w:after="0" w:line="53"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Quotas from the U.S. Drug Enforcement Administration, or DEA, are required in order to manufacture and package sodium oxybate and Xyrem. DEA quotas are required for Siegfried to supply us with sodium oxybate and for Patheon to supply us with Xyrem. Since the DEA typically grants quota on an annual basis and requires a detailed submission and justification for a quota request, obtaining a sufficient DEA quota can be a difficult and time consuming process. The need for quota has prevented us in the past, and may prevent us in the future, from building significant inventories. For information related to this quota requirement by the DEA, see “Government Regulation—U.S. Regulations-Other Regulatory Requirements” in this Item 1.</w:t>
      </w:r>
    </w:p>
    <w:p>
      <w:pPr>
        <w:spacing w:after="0" w:line="2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have an agreement with the HPA under which Erwinaze is exclusively licensed to us for worldwide marketing, sales and distribution, and is manufactured for us, by the HPA. The HPA is our sole supplier for Erwinaze. The agreement with the HPA expires in December 2020, subject to automatic extension for additional five-year periods unless terminated by either party in writing at least a fixed period before the end of the then-current term. Either party has the right to terminate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agreement in the event of the other party’s uncured material breach or insolvency. We provide periodic rolling forecasts to the HPA, and a portion of each rolling forecast constitutes a firm purchase order. We are obligated to make tiered royalty payments to the HPA based on worldwide net sales of Erwinaze and Erwinase. During the review and approval process by the FDA of the BLA for Erwinaze, EUSA Pharma agreed to a number of post-marketing commitments related to the manufacture of Erwinaze by the HPA. In the past, there has been a disruption of supply of Erwinase in the European market due to manufacturing challenges. We have limited inventory of Erwinaze. If the HPA experiences a disruption in supply or capacity constraints as a result of increased demand, we do not have the right to engage a backup supplier for Erwinaze except in very limited circumstances, such as following the termination of the agreement by us due to the uncured material breach by the HPA or the cessation of HPA’s business. If we are required to engage a backup or alternative supplier, the transfer of technical expertise and manufacturing process to the backup or alternative supplier would be difficult, costly and time-consuming and would increase the likelihood of a delay or interruption in manufacturing or a shortage of supply of Erwinaze.</w:t>
      </w:r>
    </w:p>
    <w:p>
      <w:pPr>
        <w:spacing w:after="0" w:line="3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are in the process of changing our supplier for ziconotide, the active ingredient in Prialt, and have commenced the transfer to the new supplier. We believe that we have sufficient supply of ziconotide to meet our commercial requirements for finished product for a number of years, which we expect to be sufficient time to complete the transfer to the new supplier. We are also in the process of changing our finished product manufacturer for Prialt. We believe that we have sufficient supply to meet commercial requirements for Prialt through the end of 2013. Our new manufacturer of finished product was approved by the FDA in December 2012 but has not yet needed to manufacture commercial supplies of Prialt for us.</w:t>
      </w:r>
    </w:p>
    <w:p>
      <w:pPr>
        <w:spacing w:after="0" w:line="2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FazaClo LD, FazaClo HD and Luvox CR, we have single sources of supply for both the active pharmaceutical ingredient and finished product, and should it become necessary to change suppliers, the process could take two years or longer. Pursuant to our agreement, Douglas Pharmaceuticals has agreed to supply Versacloz finished product to us.</w:t>
      </w:r>
    </w:p>
    <w:p>
      <w:pPr>
        <w:spacing w:after="0" w:line="4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active pharmaceutical ingredient and finished product manufacturers may not be able to continue to meet our requirements for quality, quantity and timeliness. In addition, our manufacturers and suppliers are subject to the FDA’s current Good Manufacturing Practices, or cGMP, requirements, DEA regulations and other rules and regulations prescribed by non-U.S. regulatory authorities. We depend on our third party suppliers and manufacturers for continued compliance with these requirements, and they may not be able to do 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research, testing, manufacturing, labeling, packaging, adverse event reporting, storage, advertising, promotion, sale, distribution, recordkeeping, importing and exporting of pharmaceutical products are subject to extensive regulation by the FDA and other regulatory authorities, and regulations differ from country to country. In the United States, the FDA, under the Federal Food, Drug and Cosmetic Act, or FDCA, and its implementing regulations, regulates the review, approval, manufacturing and marketing of pharmaceutical products. We are not permitted to market medicines in the United States or countries in Europe until we receive approval from the FDA or the competent European authorities, respectively, generally of an NDA or a BLA, or their non-U.S. equivalent. The application must contain information on the proposed product, including data from preclinical and clinical trials, information pertaining to the preparation of the drug or biologic, analytical methods, product formulation, details on the manufacture of finished products, proposed product packaging, labeling and stability.</w:t>
      </w:r>
    </w:p>
    <w:p>
      <w:pPr>
        <w:spacing w:after="0" w:line="5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Xyrem is also regulated as a controlled substance and is subject to additional regulation by the DEA under the Controlled Substances Act, or CSA, and its implementing regulations.</w:t>
      </w:r>
    </w:p>
    <w:p>
      <w:pPr>
        <w:spacing w:after="0" w:line="3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Failure of us or any of our third party partners to comply with applicable requirements could subject us to administrative or judicial sanctions or other negative consequences, such as delays in approval or refusal to approve a product candidate, withdrawal of product approval, notices of violation, untitled letters, warning letters, fines and other monetary penalties, unanticipated expenditures, product recall or seizure, total or partial suspension of production or distribution, interruption of manufacturing or clinical trials, operating restrictions, injunctions, suspension of licenses, civil penalties and/or criminal prosecution.</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Regulations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Drug and Biologic Approval Process</w:t>
      </w:r>
    </w:p>
    <w:p>
      <w:pPr>
        <w:spacing w:after="0" w:line="94"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To obtain FDA approval of a product candidate, an applicant, also called a sponsor, must, among other things, submit the results of the preclinical and clinical trials with data supporting safety and efficacy, together with, among other things, detailed information on the manufacture and composition of the product candidate and proposed labeling. The submission is in the form of an NDA or BLA, as applicable, and includes payment of a user fee.</w:t>
      </w:r>
    </w:p>
    <w:p>
      <w:pPr>
        <w:spacing w:after="0" w:line="1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testing and collection of data and the preparation of necessary applications are expensive and time-consuming. The steps required before a drug or biologic product may be approved for marketing in the United States generally include: preclinical laboratory tests and animal tests; submission to the FDA of an IND for human clinical testing, which must become effective before human clinical trials commence; adequate and well-controlled human clinical trials to establish the safety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efficacy of the drug product for each indication; the submission to the FDA of a marketing application; satisfactory completion of an FDA inspection of the manufacturing facilities at which the product is made, analyzed and stored to assess compliance with cGMP; potential FDA audit of the nonclinical and clinical trial sites that generated the data in support of the application; and FDA review and approval of the application.</w:t>
      </w:r>
    </w:p>
    <w:p>
      <w:pPr>
        <w:spacing w:after="0" w:line="3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FDA reviews all applications submitted before it accepts them for filing and may request additional information rather than, or before, accepting an NDA or BLA for filing. Once the submission is accepted for filing, the FDA begins an in-depth review of the application. Under the goals and policies agreed to by the FDA under the Prescription Drug User Fee Act, or PDUFA, the FDA has twelve months in which to complete its initial review of a standard application and respond to the applicant, and eight months for a priority application. The FDA does not always meet its PDUFA goal dates, and in certain circumstances the PDUFA goal date may be extended. The FDA may not act quickly or favorably in reviewing applications, and we may encounter significant difficulties or costs in any efforts to obtain FDA approvals, which could delay or preclude us from marketing our product candidates.</w:t>
      </w:r>
    </w:p>
    <w:p>
      <w:pPr>
        <w:spacing w:after="0" w:line="30"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If the FDA determines that a REMS is necessary to ensure that the benefits of the drug outweigh the risks, a sponsor may be required to include, as part of the application or after approval, a proposed REMS, which may include a patient package insert or a medication guide to provide information to consumers about the product’s risks and benefits, a plan for communication to healthcare providers, and restrictions on the product’s distribution referred to as “elements to assure safe use,” or ETASU. For example, Xyrem is required to have a REMS. While elements of the Xyrem Risk Management Program, adopted in 2002 before the FDA had authority to require REMS, are deemed to be an approved REMS pursuant to the Food and Drug Administration Amendments Act of 2007, or FDAAA, the program is not in the form that is now required for REMS. FDAAA, which amended FDCA, requires that certain products’ risk management programs and related documents that existed prior to the adoption of FDAAA, including the Xyrem Risk Management Program, be updated to comply with the current requirements for REMS documents. We have submitted updated REMS documents to the FDA, which are intended to conform the relevant elements of the Xyrem Risk Management Program to the current REMS formatting requirements, as well as to make other updates to the program and its documentation. We have had communications with the FDA with respect to our submitted REMS documents. These communications are ongoing, and we cannot predict the timing of finalization, or the final terms, of our updated REMS documents. The FDA may impose new requirements for certain elements that we have implemented in our Xyrem Risk Management Program, or require us to modify our current practices. Any such requirements, depending on their substance and the extent of modifications required, could make it more difficult or expensive for us to distribute Xyrem, make it easier for future generic competitors, and/or negatively affect sales of Xyrem. See the discussion below regarding REMS in the context of potential generic competition under “The Hatch-Waxman Act” and in the risk factor in Item 1A entitled “</w:t>
      </w:r>
      <w:r>
        <w:rPr>
          <w:rFonts w:ascii="Arial" w:cs="Arial" w:eastAsia="Arial" w:hAnsi="Arial"/>
          <w:sz w:val="16"/>
          <w:szCs w:val="16"/>
          <w:i w:val="1"/>
          <w:iCs w:val="1"/>
          <w:color w:val="auto"/>
        </w:rPr>
        <w:t>The manufacture, distribution and sale of Xyrem are subject to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oversight and restrictions and the requirements of a risk management program, and these restrictions and requirements subject us to increased risks and uncertainties, any of which could negatively impact sales of Xyrem.</w:t>
      </w:r>
      <w:r>
        <w:rPr>
          <w:rFonts w:ascii="Arial" w:cs="Arial" w:eastAsia="Arial" w:hAnsi="Arial"/>
          <w:sz w:val="16"/>
          <w:szCs w:val="16"/>
          <w:color w:val="auto"/>
        </w:rPr>
        <w:t>”</w:t>
      </w:r>
    </w:p>
    <w:p>
      <w:pPr>
        <w:spacing w:after="0" w:line="4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have a risk management plan for FazaClo LD and FazaClo HD that is deemed to be an approved REMS, but, as with Xyrem, the program is not in the form that is now required for REMS. In 2012, the FDA notified us, along with other holders of applications for products containing clozapine, including FazaClo LD, FazaClo HD and Versacloz, that a single shared system should be used to implement the REMS for all members of this class of products. We are working with other manufacturers of clozapine products to address the FDA’s requirements.</w:t>
      </w:r>
    </w:p>
    <w:p>
      <w:pPr>
        <w:spacing w:after="0" w:line="52"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After the FDA evaluates a marketing application, including a REMS program when applicable, it also evaluates any manufacturing facilities for the proposed product. When the FDA’s evaluation is complete, it issues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may also refer an application to the appropriate advisory committee, typically a panel of clinicians, for review, evaluation and a recommendation as to whether the application should be approved. The FDA is not bound by the recommendations of the advisory committee.</w:t>
      </w:r>
    </w:p>
    <w:p>
      <w:pPr>
        <w:spacing w:after="0" w:line="43"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The FDA has and has used various programs, including fast track, priority review, breakthrough therapy and accelerated approval (Subpart H and E), that are intended to expedite or simplify the process for reviewing certain applications, and/or provide for approval on the basis of surrogate endpoints or restricted distribution. Generally, drugs and biologics may be eligible for one or more of these programs if they are intended for serious or life-threatening diseases or conditions, have potential to address unmet medical needs, or may provide meaningful benefit over existing treatments. We cannot be sure that any of our product candidates will qualify for any of these programs, or that, if a product candidate does qualify, that the review time will be shorter than a standard review.</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Post-Approval Regulation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approval, certain changes to the approved product, such as adding new indications, making certain manufacturing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changes, or making certain additional labeling claims, are subject to further FDA review and approval. Obtaining approval for a new indication generally requires that additional clinical studies be conducted.</w:t>
      </w:r>
    </w:p>
    <w:p>
      <w:pPr>
        <w:spacing w:after="0" w:line="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Often, even after a drug or biologic has been approved by the FDA for sale, the FDA may require that certain post-approval requirements be satisfied, including the conduct of additional clinical studies and trials. If such post-approval conditions are not satisfied, the FDA may impose civil money penalties, declare the product misbranded or prohibit the introduction of the drug in interstate commerce. In addition, holders of an approved NDA or BLA are required to: report certain adverse reactions to the FDA; comply with certain requirements concerning advertising and promotional labeling for their products; submit drug safety or adverse event reports; and continue to have quality control and manufacturing procedures conform to cGMP after approval. For example, during the review and approval process by the FDA of the BLA for Erwinaze, EUSA Pharma agreed to a number of post-marketing commitments related to the manufacture of Erwinaze by the HPA.</w:t>
      </w:r>
    </w:p>
    <w:p>
      <w:pPr>
        <w:spacing w:after="0" w:line="5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monitor adverse events resulting from the use of our commercial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or conduct other actions. From time to time, the FDA issues drug safety communications on its adverse event reporting system based on its review of reported adverse events. In December 2012, the FDA issued a drug safety communication reminding physicians and patients that the use of Xyrem with alcohol or central nervous system depressants can impair consciousness and lead to severe breathing problems. Also in December 2012, we agreed with the FDA on a change to our label that included a new contraindication for the use of alcohol with Xyrem. See also the risk factor in Item 1A entitled “</w:t>
      </w:r>
      <w:r>
        <w:rPr>
          <w:rFonts w:ascii="Arial" w:cs="Arial" w:eastAsia="Arial" w:hAnsi="Arial"/>
          <w:sz w:val="17"/>
          <w:szCs w:val="17"/>
          <w:i w:val="1"/>
          <w:iCs w:val="1"/>
          <w:color w:val="auto"/>
        </w:rPr>
        <w:t>The manufacture, distribution and sale of Xyrem are subject to significant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oversight and restrictions and the requirements of a risk management program, and these restrictions and requirements subject us to increased risks and uncertainties, any of which could negatively impact sales of Xyrem.</w:t>
      </w:r>
      <w:r>
        <w:rPr>
          <w:rFonts w:ascii="Arial" w:cs="Arial" w:eastAsia="Arial" w:hAnsi="Arial"/>
          <w:sz w:val="17"/>
          <w:szCs w:val="17"/>
          <w:color w:val="auto"/>
        </w:rPr>
        <w:t>”</w:t>
      </w:r>
    </w:p>
    <w:p>
      <w:pPr>
        <w:spacing w:after="0" w:line="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FDA also periodically inspects the sponsor’s records related to safety reporting and/or manufacturing facilities; this latter effort includes assessment of compliance with cGMP. Accordingly, manufacturers must continue to expend time, money, and effort in the area of production and quality control to maintain cGMP compliance. Discovery of problems with a product after approval may result in restrictions on a product, manufacturer, or holder of an approved product, including withdrawal of the product from the market.</w:t>
      </w:r>
    </w:p>
    <w:p>
      <w:pPr>
        <w:spacing w:after="0" w:line="52"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FDA and other governmental authorities also actively enforce regulations prohibiting off-label promotion, and the government has levied large civil and criminal fines against companies for alleged improper promotion. The government has also required companies to enter into complex corporate integrity agreements and/or non-prosecution agreements that impose significant reporting and other burdens on the affected companies.</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Hatch-Waxman Act</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approval process described above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studies and clinical trials, together with detailed information on the manufacture and composition of the product, in addition to other information.</w:t>
      </w:r>
    </w:p>
    <w:p>
      <w:pPr>
        <w:spacing w:after="0" w:line="5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Alternatively, the Drug Price Competition and Patent Term Restoration Act of 1984, or the Hatch-Waxman Act, which updated certain sections of the FDCA, establishes two abbreviated approval pathways for drug products that are in some way follow-on versions of products already covered by an approved NDA. The first path, under Section 505(b)(2), is for the approval of a product that is similar, but not identical, to a previously-approved product. Under this path, the applicant is permitted to rely to some degree on the FDA’s finding that the referenced drug is safe and effective, and must submit its own product-specific data of safety and effectiveness to an extent necessary because of the differences between the products. The FDA may then approve the new drug product for all or some of the label indications for which the referenced product has been approved, or for a new indication sought by the Section 505(b)(2) applicant.</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second path established under the Hatch-Waxman Act is for the approval of generic drugs. Section 505(j) of the FDCA permits the submission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 abbreviated new drug application, or ANDA, for a generic version of an approved, brand-name drug. Generally, an ANDA must contain data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showing that the proposed generic product and the approved, brand-name drug, which is referred to as the “referenced drug,” (1) have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active ingredient, in the same strength and dosage form, to be delivered via the same route of administration, (2) are intended for the same uses, and (3)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bioequivalent. This data and information are provided instead of independently demonstrating the proposed generic product’s safety and effectiveness,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inferred from the fact that the generic product is the same as the referenced drug, which the FDA previously found to be safe and effective.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18, 2010, we received notice from Roxane Laboratories, Inc., or Roxane, that it had submitted an ANDA to the FDA requesting approval to market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generic version of Xyrem, and, on December 10, 2012, we received notice from Amneal Pharmaceuticals, LLC , or Amneal, that it had submitted an ANDA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334" w:lineRule="auto"/>
        <w:rPr>
          <w:sz w:val="20"/>
          <w:szCs w:val="20"/>
          <w:color w:val="auto"/>
        </w:rPr>
      </w:pPr>
      <w:r>
        <w:rPr>
          <w:rFonts w:ascii="Arial" w:cs="Arial" w:eastAsia="Arial" w:hAnsi="Arial"/>
          <w:sz w:val="16"/>
          <w:szCs w:val="16"/>
          <w:color w:val="auto"/>
        </w:rPr>
        <w:t>FDA seeking regulatory approval to market a generic version of Xyrem. ANDAs have been filed in the past seeking approval to market generic versions of certain of our other products, and additional ANDAs may be filed in the future seeking approval to market generic forms of Xyrem and/or other products.</w:t>
      </w:r>
    </w:p>
    <w:p>
      <w:pPr>
        <w:spacing w:after="0" w:line="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To the extent that an ANDA or a Section 505(b)(2) NDA applicant is relying on the FDA’s findings for an already-approved product, the applicant is required to certify that there are no patents listed for that product in the FDA’s publication “Approved Drug Products with Therapeutic Equivalence Evaluations,” or Orange Book, or that for each Orange-Book-listed patent the listed patent has expired, or will expire on a particular date and approval is sought after patent expiration, or the listed patent is invalid or will not be infringed by the manufacture, use or sale of the new product. A certification that the new product will not infringe the referenced product’s Orange-Book-listed patents or that such patents are invalid is called a Paragraph IV Certification. If the applicant does not challenge the listed patents, the ANDA or the Section 505(b)(2) NDA will not be approved until all the listed patents claiming the referenced product have expired, as well as any additional period of exclusivity that might be obtained for completing pediatric studies pursuant to the FDA’s written request. The ANDA or the Section 505(b)(2) NDA may also be subject to delay in review or approval based on applicable non-patent exclusivities, such as exclusivity that results from obtaining approval of a new chemical entity or of a new use of a previously approved active ingredient.</w:t>
      </w:r>
    </w:p>
    <w:p>
      <w:pPr>
        <w:spacing w:after="0" w:line="32"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If the applicant has provided a Paragraph IV Certification to the FDA, the applicant must also send notice of the Paragraph IV Certification to the holder of the NDA and the relevant patent holders once the ANDA or the Section 505(b)(2) NDA has been accepted for filing by the FDA. The NDA and patent holders may then initiate a legal challenge to the proposed generic product for infringing the patent. The filing of a patent infringement lawsuit within 45 days of receipt of a Paragraph IV Certification automatically prevents the FDA from approving the ANDA or the Section 505(b)(2) NDA until the earliest of 30 months after the NDA holder’s receipt of the notice of the Paragraph IV Certification, expiration of the patent, settlement of the lawsuit or a decision in the infringement case that is favorable to the ANDA sponsor. The 30-month stay period may also be shortened or lengthened upon order of the court in the infringement lawsuit. For drugs with five-year exclusivity, if an action for patent infringement is initiated after year four of that exclusivity period, then the 30-month stay period is extended by such amount of time so that 7.5 years has elapsed since the approval of the reference drug NDA. This period could be extended by six months if the NDA sponsor obtains pediatric exclusivity. Alternatively, if the listed patent holder does not file a patent infringement lawsuit within the required 45-day period, the applicant will not be subject to the 30-month stay. The FDA may issue tentative approval of an ANDA if the generic applicant meets all conditions for approval but cannot receive effective approval because the 30-month stay or a period of statutory exclusivity has not expired.</w:t>
      </w:r>
    </w:p>
    <w:p>
      <w:pPr>
        <w:spacing w:after="0" w:line="4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intend to submit for Orange Book listing all relevant patents for our products and product candidates, and to vigorously defend any patents for our approved products, including Orange Book-listed patents. In November 2010, we filed a lawsuit against Roxane in response to Roxane’s Paragraph IV Certification relating to Xyrem in connection with Roxane’s ANDA filing. In January 2013, we filed a lawsuit against Amneal in response to Amneal’s Paragraph IV Certification relating to Xyrem in connection with Amneal’s ANDA filing. For a description of these matters, please see Item 3. “Legal Proceedings.” If an ANDA is approved after the 30-month stay and before conclusion of any relevant patent litigation at the district, and potentially appellate, court, a generic manufacturer could nonetheless choose to commercialize the generic product. In the event of such commercialization, the generic manufacturer generally would be liable to the NDA holder for damages in the event the NDA holder ultimately prevails in the patent litigation.</w:t>
      </w:r>
    </w:p>
    <w:p>
      <w:pPr>
        <w:spacing w:after="0" w:line="32"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Section 505-1(i)(1) of the FDCA provides that (i) an ANDA with a referenced drug subject to the REMS requirements is required to have a REMS with the same or comparable elements as the referenced drug, such as a medication guide, a patient package insert and other ETASU, and (ii) the ANDA drug and the referenced drug shall use a single shared system to assure safe use. However, the FDA may waive this requirement for a single shared system and permit the ANDA holder to submit a separate but comparable REMS if the FDA determines that the burden of creating such a system outweighs its benefit or if the ANDA applicant certifies that it has been unable to obtain a license to any aspects of the REMS for the referenced drug product that are covered by a patent or a trade secret entitled to protection. The FDCA provides that the FDA may seek to negotiate a license between the ANDA sponsor and the sponsor of the listed product before granting a waiver. The FDCA further states that a REMS shall not be used by an NDA holder to block or delay generic drugs from entering the market. Accordingly, from time to time we may face pressure to license or share our Xyrem Risk Management Program, or elements of it, with generic competitors. We cannot predict the outcome or impact on our business of any future action that may be taken by a third party to seek to license or share our REMS program. Furthermore, if we do not share our REMS with a generic competitor, the FDA may grant the generic competitor a waiver and allow the generic competitor to market a generic drug with a comparable REMS.</w:t>
      </w:r>
    </w:p>
    <w:p>
      <w:pPr>
        <w:spacing w:after="0" w:line="4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On July 10, 2012, we submitted a Citizen Petition to the FDA that addressed the requirements for submission of any ANDA referencing Xyrem. This petition focused on our view that any ANDA referencing Xyrem must contain a proposed risk management system at the time it was or is filed in order to demonstrate, as required by law, that the new generic drug product would have the same labeling and conditions of use as Xyrem. Among other actions requested of the FDA, this petition asked the FDA to rescind the acceptance of any previously-accepted ANDA referencing Xyrem, including the Roxane ANDA, which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did not contain a proposed risk management system at the time it was accepted for review. On December 13, 2012, the FDA denied this Citizen Petition. In the FDA’s response, the FDA stated that when the NDA holder has a deemed REMS, the FDA directs the ANDA applicant to work with the NDA holder to create a single shared system to implement the ETASU that will be approved as a final REMS. We cannot predict the outcome or impact on our business of any discussions with any ANDA applicant with respect to the potential creation of a single shared system. See the risk factor in Item 1A entitled “</w:t>
      </w:r>
      <w:r>
        <w:rPr>
          <w:rFonts w:ascii="Arial" w:cs="Arial" w:eastAsia="Arial" w:hAnsi="Arial"/>
          <w:sz w:val="18"/>
          <w:szCs w:val="18"/>
          <w:i w:val="1"/>
          <w:iCs w:val="1"/>
          <w:color w:val="auto"/>
        </w:rPr>
        <w:t>We may</w:t>
      </w:r>
      <w:r>
        <w:rPr>
          <w:rFonts w:ascii="Arial" w:cs="Arial" w:eastAsia="Arial" w:hAnsi="Arial"/>
          <w:sz w:val="18"/>
          <w:szCs w:val="18"/>
          <w:color w:val="auto"/>
        </w:rPr>
        <w:t xml:space="preserve"> </w:t>
      </w:r>
      <w:r>
        <w:rPr>
          <w:rFonts w:ascii="Arial" w:cs="Arial" w:eastAsia="Arial" w:hAnsi="Arial"/>
          <w:sz w:val="18"/>
          <w:szCs w:val="18"/>
          <w:i w:val="1"/>
          <w:iCs w:val="1"/>
          <w:color w:val="auto"/>
        </w:rPr>
        <w:t>incur substantial costs as a result of litigation or other proceedings relating to patents and other intellectual property rights, and we may be unable to protect our rights to, or commercialize, our products.</w:t>
      </w:r>
      <w:r>
        <w:rPr>
          <w:rFonts w:ascii="Arial" w:cs="Arial" w:eastAsia="Arial" w:hAnsi="Arial"/>
          <w:sz w:val="18"/>
          <w:szCs w:val="18"/>
          <w:color w:val="auto"/>
        </w:rPr>
        <w:t>”</w:t>
      </w:r>
    </w:p>
    <w:p>
      <w:pPr>
        <w:spacing w:after="0" w:line="5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It is also possible that the FDA may take the position that a potential generic competitor does not need to share or license aspects of our deemed REMS program in order to obtain approval of its ANDA. In the December 13, 2012 denial of our Citizen Petition described above, the FDA stated that if the FDA determines that an ANDA may be ready for approval before final approval of the REMS of a sponsor holding a deemed REMS, the FDA will direct the ANDA applicant to submit a proposed risk management plan with ETASU that are comparable to the ETASU that are approved for the referenced drug to have adequate risk management elements in place for the ANDA until the final REMS is approved. Thus, it is possible that the FDA may rely on this position as a basis to grant approval or tentative approval of an ANDA without a final REMS.</w:t>
      </w:r>
    </w:p>
    <w:p>
      <w:pPr>
        <w:spacing w:after="0" w:line="4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Under the Hatch-Waxman Act, newly-approved drugs and indications may benefit from a statutory period of non-patent 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prohibits the FDA accepting for review an ANDA or a Section 505(b)(2) NDA for another version of such drug during the five-year exclusive period; however, as explained above, submission of an ANDA or Section 505(b)(2) NDA containing a Paragraph IV Certification is permitted after four years, which may trigger litigation leading to a 30-month stay of approval of the ANDA or Section 505(b)(2) NDA that could extend to 7.5 years after approval of the referenced drug. Protection under the Hatch-Waxman Act will not prevent the submission or approval of another “full” NDA; however, the applicant would be required to conduct its own preclinical and adequate and well-controlled clinical trials to demonstrate safety and effectiveness. The Hatch-Waxman Act also provides three years of marketing exclusivity for the approval of new and supplemental NDAs, including Section 505(b)(2) NDAs, for, among other things, new indications, dosages, or strengths of an existing drug, if new clinical investigations that were conducted or sponsored by the applicant are determined by the FDA to be essential to the approval of the application.</w:t>
      </w:r>
    </w:p>
    <w:p>
      <w:pPr>
        <w:spacing w:after="0" w:line="48"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Hatch-Waxman Act also permits a patent term extension of up to five years as compensation for patent term lost during product development and the FDA regulatory review process. However, a patent term extension cannot extend the remaining term of a patent beyond a total of 14 years after the FDA approves a marketing application. The patent term extension period is generally equal to the sum of one-half the time between the effective date of an IND and the submission date of an NDA, and all of the time between the submission date of an NDA and the approval of that application, up to a total of five years. Only one patent applicable to a regulatory review period, that represents the first commercial marketing of that drug, is eligible for the extension, and it must be applied for prior to expiration of the patent. The U.S. Patent and Trademark Office, or the USPTO, in consultation with the FDA, reviews and approves the application for patent term extension. We will consider applying for a patent term extension for some of our patents to add patent life beyond the expiration date, if we meet the legal requirements permitting an extension and depending on the expected length of clinical trials and other factors involved in the submission of an NDA.</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Orphan Drug and Other Exclusivities</w:t>
      </w:r>
    </w:p>
    <w:p>
      <w:pPr>
        <w:spacing w:after="0" w:line="94" w:lineRule="exact"/>
        <w:rPr>
          <w:sz w:val="20"/>
          <w:szCs w:val="20"/>
          <w:color w:val="auto"/>
        </w:rPr>
      </w:pPr>
    </w:p>
    <w:p>
      <w:pPr>
        <w:ind w:right="160" w:firstLine="432"/>
        <w:spacing w:after="0" w:line="288" w:lineRule="auto"/>
        <w:rPr>
          <w:sz w:val="20"/>
          <w:szCs w:val="20"/>
          <w:color w:val="auto"/>
        </w:rPr>
      </w:pPr>
      <w:r>
        <w:rPr>
          <w:rFonts w:ascii="Arial" w:cs="Arial" w:eastAsia="Arial" w:hAnsi="Arial"/>
          <w:sz w:val="16"/>
          <w:szCs w:val="16"/>
          <w:color w:val="auto"/>
        </w:rPr>
        <w:t>Some jurisdictions, including the United States and Europe, may designate drugs or biologics for relatively small patient populations as orphan drugs. The FDA grants orphan drug designation to drugs or biologics intended to treat a rare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product. In the United States, in order to obtain orphan drug designation, this designation must be requested before submitting an application for marketing approval. An orphan drug designation does not shorten the duration of the regulatory review and approval process. If a product that has an orphan drug designation subsequently receives the first FDA approval for the indication for which it has such designation, the product is entitled to orphan drug exclusivity, which means the FDA may not approve any other application to market the same product for the same indication for a period of seven years from the time of FDA approval, except in limited circumstances, such as a showing of clinical superiority to the product with orphan drug exclusivity. Competitors may receive approval of different drugs or biologics for the indications for which the orphan product has exclusivity.</w:t>
      </w:r>
    </w:p>
    <w:p>
      <w:pPr>
        <w:spacing w:after="0" w:line="3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FDA designated and approved Xyrem as an orphan drug for treatment of excessive daytime sleepiness and cataplexy in patients with narcolepsy. The period of orphan drug exclusivity for cataplexy in patients with narcolepsy expired in July 2009, and the period of orphan drug exclusivity for excessive daytime sleepiness in patients with narcolepsy expired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November 2012. In addition, Erwinaze has orphan drug exclusivity until November 2018, seven years from its FDA approval. Our product candidate Asparec was also granted orphan drug designation by the FDA, subject to certain conditions.</w:t>
      </w:r>
    </w:p>
    <w:p>
      <w:pPr>
        <w:spacing w:after="0" w:line="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Separately, Erwinaze, as a biologic product approved under a BLA, is subject to the BPCIA. The BPCIA establishes a period of twelve years of data exclusivity for reference products in order to preserve incentives for future innovation, protecting data included by the applicant in a BLA by prohibiting others from gaining FDA approval based in part on reliance on, or reference to, the data in the BLA during a twelve-year period. The FDA is in the process of implementing the BPCIA and has not established final guidelines for administering the review and approval of applications for data exclusivity. We expect that Erwinaze would receive data exclusivity in the United States through 2023 under the BPCIA.</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United States Healthcare Reform</w:t>
      </w:r>
    </w:p>
    <w:p>
      <w:pPr>
        <w:spacing w:after="0" w:line="94"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Affordability Reconciliation Act of 2010, together the Healthcare Reform Act, was adopted in the United States. This law substantially changes the way healthcare is financed by both governmental and private insurers, and significantly impacts the pharmaceutical industry. The Healthcare Reform Act contains a number of provisions that are expected to impact our business and operations, in some cases in ways we cannot currently predict. Changes that may affect our business include those governing enrollment in federal healthcare programs, reimbursement changes, rules regarding prescription drug benefits under the health insurance exchanges, and fraud and abuse and enforcement. These changes will impact existing government healthcare programs and will result in the development of new programs, including Medicare payment for performance initiatives and improvements to the physician quality reporting system and feedback program.</w:t>
      </w:r>
    </w:p>
    <w:p>
      <w:pPr>
        <w:spacing w:after="0" w:line="3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Additional provisions of the Healthcare Reform Act, some of which became effective in 2011, may negatively affect our revenues in the future. For example, as part of the Healthcare Reform Act’s provisions closing a funding gap that currently exists in the Medicare Part D prescription drug program (commonly known as the “donut hole”), we are required to provide a 50% discount on branded prescription drugs dispensed to beneficiaries within this donut hole. The Healthcare Reform Act also makes changes to the Medicaid Drug Rebate Program, discussed in more detail below, including increasing the minimum rebate from 15.1% to 23.1% of the average manufacturer price for most innovator products and from 11% to 13% for non-innovator products.</w:t>
      </w:r>
    </w:p>
    <w:p>
      <w:pPr>
        <w:spacing w:after="0" w:line="2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Many of the Healthcare Reform Act’s most significant reforms do not take effect until 2014 and thereafter, and their details will be shaped significantly by implementing regulations that have yet to be finalized. In 2012, the Supreme Court of the United States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the Supreme Court struck down a provision in the Healthcare Reform Act that penalized states that choose not to expand their Medicaid programs through an increase in the Medicaid eligibility income limit from a state’s current eligibility levels to 133% of the federal poverty limit. As a result of the Supreme Court’s ruling, it is unclear whether states will expand their Medicaid programs by raising the income limit to 133% of the federal poverty level and whether there will be more uninsured patients in 2014 than anticipated when Congress passed the Healthcare Reform Act. For each state that does not choose to expand its Medicaid program, there will be fewer insured patients overall, which could impact our sales, business and financial condition.</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Regulatory Requirements</w:t>
      </w:r>
    </w:p>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are also subject to regulation by other regional, national, state and local agencies, including the DEA, the Department of Justice, the Federal Trade Commission, or FTC, the U.S. Department of Commerce, the Office of Inspector General of the U.S. Department of Health and Human Services and other regulatory bodies, as well as governmental authorities in those non-U.S. countries in which we commercialize our products. In addition to the FDCA, other federal, state and non-U.S.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manufacturers and distributors and the central pharmacy for Xyrem, are subject to many of the same requirements.</w:t>
      </w:r>
    </w:p>
    <w:p>
      <w:pPr>
        <w:spacing w:after="0" w:line="3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These requirements include obtaining sufficient quota from the DEA each year to manufacture sodium oxybate and Xyrem. In addition to quota requirements, the DEA imposes various registration, recordkeeping and reporting requirements, labeling and packaging requirements, importing, exporting, security controls and a restriction on prescription refills on certain pharmaceutical products under the CSA. The states also impose similar requirements for handling controlled substances. A principal factor in determining the particular requirements, if any, applicable to a product is the actual or potential abuse profile. Sodium oxybate, in the form of an active pharmaceutical ingredient, is regulated by the DEA as a Schedule I controlled substance, a category reserved for products believed to present the highest risk of substance abuse and with no approved medicinal use. When contained in Xyrem, sodium oxybate is regulated as a Schedule III controlled substance. Controlled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substances are subject to DEA and state regulations relating to manufacturing, storage, distribution and physician prescription procedures, and the DEA regulates the amount of the scheduled substance that would be available for clinical trials and commercial distribution. As a Schedule III drug, Xyrem is subject to limitations on prescription refills. Sodium oxybate, as a Schedule I substance, is subject to additional controls, including quotas that limit the amount of product that can be manufactured each year. The DEA publishes an annual aggregate quota for the active pharmaceutical ingredient of Xyrem, and our supplier is required to request and justify allocation of sufficient annual manufacturing quota, as well as additional manufacturing quota if needed throughout the year. Until 2011, our active pharmaceutical ingredient supplier obtained substantially all of the published annual aggregate quota for use in the manufacture of Xyrem. However, for each of 2012 and 2013, our supplier has been allocated only a portion of the published annual aggregate quota for the active pharmaceutical ingredient. As a result, a generic manufacturer may be able to obtain a portion of the annual aggregate active pharmaceutical ingredient quota. In addition, our supplier has been allocated only a portion of the requested quota for 2013 to make the active pharmaceutical ingredient of Xyrem. Our finished product manufacturer for Xyrem was similarly allocated only a portion of the requested quota to make finished product. As a result, we anticipate that both our active pharmaceutical ingredient supplier and our finished product manufacturer will need to obtain increased quotas from the DEA for 2013.</w:t>
      </w:r>
    </w:p>
    <w:p>
      <w:pPr>
        <w:spacing w:after="0" w:line="38"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The third parties who perform our clinical and commercial manufacturing, distribution, dispensing and clinical studies for Xyrem are required to maintain necessary DEA registrations and state licenses. The DEA periodically inspects facilities for compliance with its rules and regulations. Failure to comply with current and future regulations of the DEA or relevant state authorities could lead to a variety of sanctions, including revocation or denial of renewal of DEA registrations, fines, injunctions, or civil or criminal penalties, and could have an adverse effect on our business and financial condition.</w:t>
      </w:r>
    </w:p>
    <w:p>
      <w:pPr>
        <w:spacing w:after="0" w:line="19"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In addition, pursuant to the Export Administration Regulations, we are required to obtain a license from the U.S. Department of Commerce prior to the exportation of certain materials and technical information related to Prialt, a synthesized conotoxin, which is a designated controlled biological toxin.</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Iran Related Disclosures</w:t>
      </w:r>
    </w:p>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Section 219 of the Iran Threat Reduction and Syria Human Rights Act of 2012 added a new subsection (r) to Section 13 of the Securities Exchange Act of 1934, as amended, or the Exchange Act, that requires a public company to disclose in its annual or quarterly reports whether it or any of its affiliates have knowingly engaged in specified activities or transactions relating to Iran, including activities not prohibited by U.S. law and conducted outside the U.S. by non-U.S. affiliates in compliance with local law. The following disclosure is made pursuant to Section 13(r) of the Exchange Act.</w:t>
      </w:r>
    </w:p>
    <w:p>
      <w:pPr>
        <w:spacing w:after="0" w:line="1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June 12, 2012, we completed the EUSA Acquisition. Prior to the completion of the EUSA Acquisition, a French subsidiary of EUSA Pharma entered into a contract to sell Kidrolase (Escherichia coli L-asparaginase), a life-saving cancer drug produced outside of the United States, to Medical Equipment and Pharmaceutical Holding Co., or MEPH, which we understand is an affiliate of the Iranian Ministry of Health. Following the completion of the EUSA Acquisition, the French subsidiary of EUSA Pharma shipped Kidrolase to MEPH pursuant to the pre-existing contract. The Kidrolase contract was entered into prior to our acquisition of EUSA Pharma, was performed entirely by the French subsidiary, and we believe that the post-acquisition shipment of Kidrolase was not prohibited by or sanctionable under applicable law at the time. Our anticipated gross revenue from this shipment of Kidrolase was approximately 92,000 Euros. The French subsidiary of EUSA Pharma, which is now our wholly-owned subsidiary, has sought payment from MEPH for this shipment. To date, no such payment has been received. No additional sales or shipments of Kidrolase to MEPH were made following the June 2012 shipment.</w:t>
      </w:r>
    </w:p>
    <w:p>
      <w:pPr>
        <w:spacing w:after="0" w:line="3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mission is to improve patients’ lives by identifying, developing and commercializing products that address unmet medical needs. As part of fulfilling our mission, we intend to provide access to important and life-saving pharmaceutical products to patients wherever they may be located, including in Iran, to the extent permitted by applicable U.S. and non-U.S. laws and regulations. For that reason, we expect that we may make future sales of Kidrolase to MEPH in accordance with applicable law.</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Ex-U.S. Regulations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also subject to a variety of regulations and oversight in countries outside of the United States governing medicinal products and medical devices, including with respect to pre- and post-authorization clinical studies, product manufacturing, advertising and promotion, distribution, and safety reporting. Outside of the United States, our ability to market a product generally depends upon receiving a marketing authorization from the appropriate regulatory authorities. The requirements governing the conduct of clinical trials, marketing authorization, pricing and reimbursement vary widely from country to country. In any country, however, we will generally be permitted to commercialize our products if the appropriate regulatory authority is satisfied that we have presented adequate evidence of safety, quality and efficacy. In addition, many countries have adopted specific legal frameworks and procedures to enable the supply of unauthorized medicinal products in the context of named patient or compassionate use programs. These programs are subject to different requirements and subject to different rules in the countries where we operate.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Most of the countries where we market our products have product authorization and post-authorization regulatory processes. In the European Union, or the EU, marketing authorization for medicinal products can be obtained through several different procedures. The centralized procedure allows a company to submit a single application to the European Medicines Agency, or EMA, which approves the application if it meets certain quality, safety, and efficacy requirements. A centralized marketing authorization is valid in all EU member states. The centralized procedure is mandatory for certain medicinal products, including orphan medicinal products and advanced therapy medicinal products, and optional for certain other products. Unlike the centralized procedure, the national procedure requires a separate application to, and leads to separate approval by, each EU member state. The decentralized procedure allows applicants to file identical applications to several EU member states and receive simultaneous national approvals based on the recognition by EU member states of an assessment by a reference member state, and the mutual recognition procedure similarly is based on the acceptance by EU member states of the assessment and/or authorization of a medicinal product by a reference member state. The making available or placing on the EU market of unauthorized medicinal products is generally prohibited, but EU Member States may exceptionally and temporarily allow the making available of such products to individual patients or a group of patients. Clinical studies must be conducted in accordance with the requirements of the EU Clinical Trial Directive and applicable good clinical practice standards. The time needed to secure approval for medicinal products may be longer or shorter than that required for FDA approval. The regulatory approval and oversight process in other countries includes all of the risks associated with regulation by the FDA and certain state regulatory agencies as described above.</w:t>
      </w:r>
    </w:p>
    <w:p>
      <w:pPr>
        <w:spacing w:after="0" w:line="5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Irrespective of the different marketing authorization tracks, various additional requirements apply to the manufacturing and placing on the EU market of medicinal products. The manufacturing of medicinal products in the EU requires a manufacturing authorization, and the manufacturing authorization holder must comply with various requirements set out in the EU Medicinal Products Directive, as amended by the EU Falsified Medicines Directive aimed at preventing falsified medicines from entering into the legal supply chain. These requirements include compliance with EU equivalent cGMP standards when manufacturing active pharmaceutical ingredients outside of the EU with the intention to import the active pharmaceutical ingredients into the EU.</w:t>
      </w:r>
    </w:p>
    <w:p>
      <w:pPr>
        <w:spacing w:after="0" w:line="23"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holder of an EU marketing authorization for a medicinal product must also comply with the EU’s revised pharmacovigilance legislation adopted in 2010, which entered into force in mid-2012 and entails many new and revised requirements for conducting pharmacovigilance, as well as the codification of various existing requirements previously set out in guidance. EU regulators now can, for example, require post-authorization efficacy studies at the time of approval of a medicinal product or afterwards, and require additional monitoring of products placed on the EU market. Compliance with the pharmacovigilance requirements, as well as the requirements of the EU Paediatric Regulation, is subject to the EU Penalties Regulation, which enables the European Commission to impose financial penalties on central marketing authorization holders for violation of specific pharmacovigilance and paediatric requirements. National marketing authorization holders may be subject to civil, criminal or administrative sanctions in case of non-compliance with the EU requirements applicable to the manufacturing and marketing of medicinal products.</w:t>
      </w:r>
    </w:p>
    <w:p>
      <w:pPr>
        <w:spacing w:after="0" w:line="4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United States is a party to the Convention on Psychotropic Substances (1971), the 1971 Convention. In October 2012, the World Health Organization, or WHO, sent a recommendation to the United Nations Commission on Narcotic Drugs, or CND, to reschedule gamma-hydroxybutyrate, or GHB, under the 1971 Convention from its current Schedule IV status to Schedule II status. While the DEA imposes its own scheduling requirements in the United States under the CSA, the United States is obligated as a signatory to the 1971 Convention to ensure that drug scheduling in the United States is consistent with its obligations under the international treaties. Because sodium oxybate, the active pharmaceutical ingredient in Xyrem, is a derivative of GHB, if GHB is rescheduled internationally, Xyrem and/or sodium oxybate may be subject to more restrictive registration, recordkeeping, reporting, importing, exporting and other requirements. In the United States, under DEA regulations, the Xyrem finished product is currently classified as a Schedule III controlled substance, with sodium oxybate, classified as a Schedule I controlled substance. Although sodium oxybate and Xyrem are already subject to more restrictive regulations in the United States than required under the 1971 Convention, a decision by the CND to reschedule GHB would result in sodium oxybate and Xyrem being subject to more restrictive registration, recordkeeping, importing, exporting, reporting and other requirements in Europe and certain other countries than are currently in place given GHB’s Schedule IV status under the 1971 Convention. The CND is expected to review the WHO recommendation at its annual meeting in March 2013. If GHB is rescheduled as a Schedule II substance under the 1971 Convention, we will likely be subject to additional regulatory requirements outside of the United States and may be subject to additional regulatory requirements in the United States.</w:t>
      </w:r>
    </w:p>
    <w:p>
      <w:pPr>
        <w:spacing w:after="0" w:line="4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international business activities face a variety of additional legal and compliance requirements. For example, our interactions with health care professionals are subject to the U.S. Foreign Corrupt Practices Act, or the FCPA, which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are also subject to applicable anti-bribery laws 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countries in which we operate, such as the U.K. Bribery Act of 2010, or the UK Bribery Act, which became effective on July 1, 2011. The UK Bribery Act prohibits companies which do business with the United Kingdom and their employees and representatives from giving, offering, or promising bribes to any person, including non-UK government officials, as well as requesting, agreeing to receive, or accepting bribes from any person. In addition, under the UK Bribery Act, companies may be held liable for failing to prevent employees and persons associated with the company from violating the Act. Other countries in which we operate have enacted similar laws. We have ongoing efforts that are designed to ensure our compliance with these laws, including training, policies, procedures, and internal controls. However, there is no certainty that all employees and third-party business partners (including our distributors, wholesalers, agents, contractors, and other partners) will comply with anti-bribery laws. In particular, we do not control the actions of manufacturers and other third party agents, although we may be liable for their actions. Any violation of these laws may result in civil and criminal penalties, and could have a material adverse impact on our business.</w:t>
      </w:r>
    </w:p>
    <w:p>
      <w:pPr>
        <w:spacing w:after="0" w:line="6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also subject to laws and regulations in non-U.S. countries covering data privacy and the protection of health-related and other personal information. 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Failing to comply with these laws could lead to government enforcement actions and significant penalties against us, and adversely impact our operating results. A proposal for an EU Data Protection Regulation, intended to replace the current EU Data Protection Directive, is currently under consideration and, if adopted, could lead to additional and stricter requirements and penalties in the event of non-compliance.</w:t>
      </w:r>
    </w:p>
    <w:p>
      <w:pPr>
        <w:spacing w:after="0" w:line="43" w:lineRule="exact"/>
        <w:rPr>
          <w:sz w:val="20"/>
          <w:szCs w:val="20"/>
          <w:color w:val="auto"/>
        </w:rPr>
      </w:pPr>
    </w:p>
    <w:p>
      <w:pPr>
        <w:ind w:right="680" w:firstLine="432"/>
        <w:spacing w:after="0" w:line="264" w:lineRule="auto"/>
        <w:rPr>
          <w:sz w:val="20"/>
          <w:szCs w:val="20"/>
          <w:color w:val="auto"/>
        </w:rPr>
      </w:pPr>
      <w:r>
        <w:rPr>
          <w:rFonts w:ascii="Arial" w:cs="Arial" w:eastAsia="Arial" w:hAnsi="Arial"/>
          <w:sz w:val="18"/>
          <w:szCs w:val="18"/>
          <w:color w:val="auto"/>
        </w:rPr>
        <w:t>Additional requirements and restrictions regarding, among other things, the export and importation of products, intellectual property rights, the environment, taxation and work safety apply in individual countries, and non-compliance with such requirements may result in civil, criminal or administrative sanctions.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94"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both U.S. and non-U.S. markets, our ability to commercialize our products successfully, and to attract commercialization partners for our products, depends in significant part on the availability of adequate financial coverage and reimbursement from third party payors, including, in the United States, governmental payors such as the Medicare and Medicaid programs, managed care organizations, and private health insurers. Third party payors decide which drugs they will pay for and establish reimbursement and co-pay levels. Third party payors are increasingly challenging the prices charged for medical products and services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cost-effective than other products, and third party payors may not provide coverage and reimbursement for our products or any of our product candidates that we commercialize, in whole or in part.</w:t>
      </w:r>
    </w:p>
    <w:p>
      <w:pPr>
        <w:spacing w:after="0" w:line="5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expect to experience pricing pressure in the United States in connection with the sale of our products due to managed healthcare, the increasing influence of health maintenance organizations and additional legislative proposals. We anticipate that the U.S. Congress, state legislatures and the private sector will continue to consider and may adopt healthcare policies intended to curb rising healthcare costs. These cost containment measures include: controls on government-funded reimbursement for drugs; new or increased requirements to pay prescription drug rebates to government health 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 party payors to make coverage and payment decisions.</w:t>
      </w:r>
    </w:p>
    <w:p>
      <w:pPr>
        <w:spacing w:after="0" w:line="34"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Payors also are increasingly considering new metrics as the basis for reimbursement rates, such as average sales price, or ASP, average manufacturer price and Actual Acquisition Cost. The existing data for reimbursement based on these metrics is relatively limited, although certain states have begun to survey acquisition cost data for the purpose of setting Medicaid reimbursement rates, and the Centers for Medicare and Medicare Services, or CMS, the federal agency that administers the Medicaid Drug Rebate program, has begun making pharmacy National Average Drug Acquisition Cost and National Average Retail Price data publicly available on at least a monthly basis. Therefore, it may be difficult to project the impact of these evolving reimbursement mechanics on the willingness of payors to cover our products.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participate in the Medicaid Drug Rebate program, established by the Omnibus Budget Reconciliation Act of 1990 and amended by the Veterans Health Care Act of 1992 as well as subsequent legislation. We also participate in and have certain price reporting obligations to several state Medicaid supplemental rebate programs and other governmental pricing programs, and we have obligations to report ASP for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the CMS. These data include the average manufacturer price and, in the case of innovator products, the best price for each drug. A significant portion of our revenue from sales of Erwinaze is obtained through government payors, including Medicaid, and any failure to qualify for reimbursement for Erwinaze under those programs would have a material adverse effect on revenues from sales of Erwinaze.</w:t>
      </w:r>
    </w:p>
    <w:p>
      <w:pPr>
        <w:spacing w:after="0" w:line="4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Federal law also requires that a company that participates in the Medicaid rebate program report ASP information to CMS for certain categories of drugs that are paid under Part B of the Medicare program. Manufacturers calculate ASP based on a statutorily defined formula and interpretations of the statute by CMS as to what should or should not be considered in computing ASP. An ASP for each National Drug Code for a product that is subject to the ASP reporting requirement must be submitted to CMS no later than 30 days after the end of each calendar quarter. CMS uses these submissions to determine payment rates for drugs under Medicare Part B. Changes affecting the calculation of ASP could affect the ASP calculations for our products and the resulting Medicare payment rate, and could negatively impact our results of operations.</w:t>
      </w:r>
    </w:p>
    <w:p>
      <w:pPr>
        <w:spacing w:after="0" w:line="4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Federal law requires that any company that participates in the Medicaid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statutorily-defined covered entities no more than the 340B “ceiling price” for the manufacturer’s covered outpatient drugs. The 340B ceiling price is calculated using a statutory formula, which is based on the average manufacturer price and rebate amount for the covered outpatient drug as calculated under the Medicaid rebate program. Changes to the definition of average manufacturer price and the Medicaid rebate amount under the Healthcare Reform Act and CMS’s issuance of final regulations implementing those changes also could affect our 340B ceiling price calculations and negatively impact our results of operations.</w:t>
      </w:r>
    </w:p>
    <w:p>
      <w:pPr>
        <w:spacing w:after="0" w:line="54"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order to be eligible to have our products paid for with federal funds under the Medicaid and Medicare Part B programs and purchased by certain federal agencies, we participate in the Department of Veterans Affairs Federal Supply Schedule, or FSS, pricing program, established by Section 603 of the Veterans Health Care Act of 1992. Under this program, we are obligated to make our product available for procurement on an FSS contract and charge a price to four federal agencies, Department of Veterans Affairs, Department of Defense, Public Health Service and Coast Guard, that is no higher than the statutory Federal Ceiling Price, or FCP. The FCP is based on the non-federal average manufacturer price, or Non-FAMP, which we calculate and report to the Department of Veterans Affairs on a quarterly and annual basis. We also participate in the Tricare Retail Pharmacy program, established by Section 703 of the National Defense Authorization Act for FY 2008 and related regulations, under which we pay quarterly rebates on utilization of innovator products that are dispensed through the Tricare Retail Pharmacy network to Tricare beneficiaries. The rebates are calculated as the difference between Annual Non-FAMP and FCP.</w:t>
      </w:r>
    </w:p>
    <w:p>
      <w:pPr>
        <w:spacing w:after="0" w:line="6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Outside of the United States, political, economic and regulatory developments are also subjecting the healthcare industry to fundamental changes and challenges. Pressure by governments and other stakeholders on prices and reimbursement levels continue to exist. In various European countries we expect to be subject to continuous cost-cutting measures, such as lower maximum prices, lower or lack of reimbursement coverage and incentives to use cheaper, usually generic, products as an alternative. In the EU, our products are marketed through various channels and within different legal frameworks. In certain EU Member States, reimbursement is provided for unauthorized products provided through national named patient or compassionate use programs. Such reimbursement may no longer be available if authorization for named patient or compassionate use programs expire or are terminated. In other EU Member States, authorization and reimbursement policies may also delay commercialization of our products, or may adversely affect our ability to sell our products on a profitable basis.</w:t>
      </w:r>
    </w:p>
    <w:p>
      <w:pPr>
        <w:spacing w:after="0" w:line="44"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including those listed above, or other healthcare system reforms that are adopted, could have a material adverse effect on our ability to operate profitably in the EU.</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We actively seek to patent, or to obtain licenses to or to acquire third party patents, to protect our products, inventions and improvements that we consider important to our business. We own a portfolio of U.S. and non-U.S. patents and patent applications and have licensed rights to a number of issued patents and patent applications. Our owned and licensed patents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patent applications cover formulations of our products and product candidates, uses of our products and product candidates to treat particular conditions, drug delivery technologies and delivery profiles relating to our products and product candidates and methods for producing our products and product candidates. Patents extend for varying periods according to the date of the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 The patents and patent applications that relate to our products and product candidates include the following:</w:t>
      </w:r>
    </w:p>
    <w:p>
      <w:pPr>
        <w:spacing w:after="0" w:line="58" w:lineRule="exact"/>
        <w:rPr>
          <w:sz w:val="20"/>
          <w:szCs w:val="20"/>
          <w:color w:val="auto"/>
        </w:rPr>
      </w:pPr>
    </w:p>
    <w:p>
      <w:pPr>
        <w:ind w:left="740" w:hanging="327"/>
        <w:spacing w:after="0" w:line="277"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Xyrem</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(sodium oxybate) oral solution</w:t>
      </w:r>
      <w:r>
        <w:rPr>
          <w:rFonts w:ascii="Arial" w:cs="Arial" w:eastAsia="Arial" w:hAnsi="Arial"/>
          <w:sz w:val="16"/>
          <w:szCs w:val="16"/>
          <w:color w:val="auto"/>
        </w:rPr>
        <w:t>. Xyrem is covered by eleven U.S. patents that expire at various times from December 2019 to June 2024.</w:t>
      </w:r>
      <w:r>
        <w:rPr>
          <w:rFonts w:ascii="Arial" w:cs="Arial" w:eastAsia="Arial" w:hAnsi="Arial"/>
          <w:sz w:val="16"/>
          <w:szCs w:val="16"/>
          <w:i w:val="1"/>
          <w:iCs w:val="1"/>
          <w:color w:val="auto"/>
        </w:rPr>
        <w:t xml:space="preserve"> </w:t>
      </w:r>
      <w:r>
        <w:rPr>
          <w:rFonts w:ascii="Arial" w:cs="Arial" w:eastAsia="Arial" w:hAnsi="Arial"/>
          <w:sz w:val="16"/>
          <w:szCs w:val="16"/>
          <w:color w:val="auto"/>
        </w:rPr>
        <w:t>These patents relate to Xyrem’s stable and microbially resistant formulation, its manufacturing process, and its method of use, including its restricted distribution system. Nine of these eleven patents are listed in the Orange Book. Of the patents listed in the Orange Book, two are formulation patents expiring in July 2020; four are method of use patents covering the distribution of Xyrem, three of which expire in June 2024 and one of which expires in December 2022; two are method of use patents covering Xyrem’s use in narcolepsy, both of which expire in December 2019; and one is formulation and method of use patent expiring in December 2019. A process patent and a distribution system patent not listed in the Orange Book also cover the product and expire in December 2019 and June 2024, respectively. A Xyrem formulation patent has issued in 19 other countries and will expire in December 2019. This formulation patent is currently pending in two additional countries. In addition to our issued patents, we have patent applications relating to Xyrem pending in the United States. The patent laws of non-U.S. countries differ from those in United States, and the degree of protection afforded by non-U.S. patents may be different from the protection offered by U.S. patents. Two companies have notified us that they have filed ANDAs with the FDA seeking FDA approval to market a generic version of Xyrem. We initiated lawsuits against each of these companies and are currently involved in litigation with both companies.</w:t>
      </w:r>
    </w:p>
    <w:p>
      <w:pPr>
        <w:spacing w:after="0" w:line="46" w:lineRule="exact"/>
        <w:rPr>
          <w:rFonts w:ascii="Arial" w:cs="Arial" w:eastAsia="Arial" w:hAnsi="Arial"/>
          <w:sz w:val="16"/>
          <w:szCs w:val="16"/>
          <w:color w:val="auto"/>
        </w:rPr>
      </w:pPr>
    </w:p>
    <w:p>
      <w:pPr>
        <w:ind w:left="740" w:right="40" w:hanging="327"/>
        <w:spacing w:after="0" w:line="235" w:lineRule="auto"/>
        <w:tabs>
          <w:tab w:leader="none" w:pos="7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Prialt</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(ziconotide) intrathecal infusion</w:t>
      </w:r>
      <w:r>
        <w:rPr>
          <w:rFonts w:ascii="Arial" w:cs="Arial" w:eastAsia="Arial" w:hAnsi="Arial"/>
          <w:sz w:val="18"/>
          <w:szCs w:val="18"/>
          <w:color w:val="auto"/>
        </w:rPr>
        <w:t>. Prialt is covered by a portfolio of four U.S. patents for a formulation and methods of use. Two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patents are listed in the Orange Book. These patents will expire from June 2015 to December 2016. Also, there are four non-U.S. patents that will expire in June 2016. There are also six additional U.S. patents issued on a formulation containing Prialt and other active ingredients and methods for their use. These U.S. patents will expire in October 2024. We also have equivalent non-U.S. applications to these additional patents pending in Canada and Japan that, if issued, would expire in October 2024.</w:t>
      </w:r>
    </w:p>
    <w:p>
      <w:pPr>
        <w:spacing w:after="0" w:line="69" w:lineRule="exact"/>
        <w:rPr>
          <w:rFonts w:ascii="Arial" w:cs="Arial" w:eastAsia="Arial" w:hAnsi="Arial"/>
          <w:sz w:val="18"/>
          <w:szCs w:val="18"/>
          <w:i w:val="1"/>
          <w:iCs w:val="1"/>
          <w:color w:val="auto"/>
        </w:rPr>
      </w:pPr>
    </w:p>
    <w:p>
      <w:pPr>
        <w:ind w:left="740" w:right="20" w:hanging="327"/>
        <w:spacing w:after="0" w:line="239" w:lineRule="auto"/>
        <w:tabs>
          <w:tab w:leader="none" w:pos="7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FazaClo</w:t>
      </w:r>
      <w:r>
        <w:rPr>
          <w:rFonts w:ascii="Arial" w:cs="Arial" w:eastAsia="Arial" w:hAnsi="Arial"/>
          <w:sz w:val="25"/>
          <w:szCs w:val="25"/>
          <w:b w:val="1"/>
          <w:bCs w:val="1"/>
          <w:i w:val="1"/>
          <w:iCs w:val="1"/>
          <w:color w:val="auto"/>
          <w:vertAlign w:val="superscript"/>
        </w:rPr>
        <w:t>®</w:t>
      </w:r>
      <w:r>
        <w:rPr>
          <w:rFonts w:ascii="Arial" w:cs="Arial" w:eastAsia="Arial" w:hAnsi="Arial"/>
          <w:sz w:val="18"/>
          <w:szCs w:val="18"/>
          <w:i w:val="1"/>
          <w:iCs w:val="1"/>
          <w:color w:val="auto"/>
        </w:rPr>
        <w:t xml:space="preserve"> LD (clozapine, USP) Orally Disintegrating Tablet and FazaClo</w:t>
      </w:r>
      <w:r>
        <w:rPr>
          <w:rFonts w:ascii="Arial" w:cs="Arial" w:eastAsia="Arial" w:hAnsi="Arial"/>
          <w:sz w:val="25"/>
          <w:szCs w:val="25"/>
          <w:b w:val="1"/>
          <w:bCs w:val="1"/>
          <w:i w:val="1"/>
          <w:iCs w:val="1"/>
          <w:color w:val="auto"/>
          <w:vertAlign w:val="superscript"/>
        </w:rPr>
        <w:t>®</w:t>
      </w:r>
      <w:r>
        <w:rPr>
          <w:rFonts w:ascii="Arial" w:cs="Arial" w:eastAsia="Arial" w:hAnsi="Arial"/>
          <w:sz w:val="18"/>
          <w:szCs w:val="18"/>
          <w:i w:val="1"/>
          <w:iCs w:val="1"/>
          <w:color w:val="auto"/>
        </w:rPr>
        <w:t xml:space="preserve"> HD (clozapine, USP) Orally Disintegrating Tablet. </w:t>
      </w:r>
      <w:r>
        <w:rPr>
          <w:rFonts w:ascii="Arial" w:cs="Arial" w:eastAsia="Arial" w:hAnsi="Arial"/>
          <w:sz w:val="18"/>
          <w:szCs w:val="18"/>
          <w:color w:val="auto"/>
        </w:rPr>
        <w:t>FazaClo LD and</w:t>
      </w:r>
      <w:r>
        <w:rPr>
          <w:rFonts w:ascii="Arial" w:cs="Arial" w:eastAsia="Arial" w:hAnsi="Arial"/>
          <w:sz w:val="18"/>
          <w:szCs w:val="18"/>
          <w:i w:val="1"/>
          <w:iCs w:val="1"/>
          <w:color w:val="auto"/>
        </w:rPr>
        <w:t xml:space="preserve"> </w:t>
      </w:r>
      <w:r>
        <w:rPr>
          <w:rFonts w:ascii="Arial" w:cs="Arial" w:eastAsia="Arial" w:hAnsi="Arial"/>
          <w:sz w:val="18"/>
          <w:szCs w:val="18"/>
          <w:color w:val="auto"/>
        </w:rPr>
        <w:t>FazaClo HD are covered by three U.S. formulation patents. All are licensed by us, one from Ethypharm, expiring in December 2017, and the other two from CIMA, expiring April 2018. The three patents are listed in the Orange Book. The two patents licensed from CIMA are subject to ongoing re-examination proceedings at the USPTO, as described in “Marketed Products” in this Item 1. As part of its settlement with Teva in 2011, Azur Pharma granted a sublicense to an affiliate of Teva of its rights to have manufactured, market and sell a generic version of both FazaClo LD and FazaClo HD. The sublicenses for FazaClo LD commenced in July 2012, and the sublicense for FazaClo HD will commence in May 2015, or earlier upon the occurrence of certain events.</w:t>
      </w:r>
    </w:p>
    <w:p>
      <w:pPr>
        <w:spacing w:after="0" w:line="70" w:lineRule="exact"/>
        <w:rPr>
          <w:rFonts w:ascii="Arial" w:cs="Arial" w:eastAsia="Arial" w:hAnsi="Arial"/>
          <w:sz w:val="18"/>
          <w:szCs w:val="18"/>
          <w:i w:val="1"/>
          <w:iCs w:val="1"/>
          <w:color w:val="auto"/>
        </w:rPr>
      </w:pPr>
    </w:p>
    <w:p>
      <w:pPr>
        <w:ind w:left="740" w:right="42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Versacloz</w:t>
      </w:r>
      <w:r>
        <w:rPr>
          <w:rFonts w:ascii="Arial" w:cs="Arial" w:eastAsia="Arial" w:hAnsi="Arial"/>
          <w:sz w:val="18"/>
          <w:szCs w:val="18"/>
          <w:i w:val="1"/>
          <w:iCs w:val="1"/>
          <w:color w:val="auto"/>
          <w:vertAlign w:val="superscript"/>
        </w:rPr>
        <w:t>TM</w:t>
      </w:r>
      <w:r>
        <w:rPr>
          <w:rFonts w:ascii="Arial" w:cs="Arial" w:eastAsia="Arial" w:hAnsi="Arial"/>
          <w:sz w:val="18"/>
          <w:szCs w:val="18"/>
          <w:i w:val="1"/>
          <w:iCs w:val="1"/>
          <w:color w:val="auto"/>
        </w:rPr>
        <w:t xml:space="preserve"> (clozapine, USP) oral suspension</w:t>
      </w:r>
      <w:r>
        <w:rPr>
          <w:rFonts w:ascii="Arial" w:cs="Arial" w:eastAsia="Arial" w:hAnsi="Arial"/>
          <w:sz w:val="18"/>
          <w:szCs w:val="18"/>
          <w:color w:val="auto"/>
        </w:rPr>
        <w:t>. Versacloz is covered by a U.S. formulation patent and a pending U.S. patent application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from Douglas Pharmaceuticals. The patent expires in May 2028.</w:t>
      </w:r>
    </w:p>
    <w:p>
      <w:pPr>
        <w:spacing w:after="0" w:line="35" w:lineRule="exact"/>
        <w:rPr>
          <w:rFonts w:ascii="Arial" w:cs="Arial" w:eastAsia="Arial" w:hAnsi="Arial"/>
          <w:sz w:val="18"/>
          <w:szCs w:val="18"/>
          <w:color w:val="auto"/>
        </w:rPr>
      </w:pPr>
    </w:p>
    <w:p>
      <w:pPr>
        <w:ind w:left="740" w:right="20" w:hanging="327"/>
        <w:spacing w:after="0" w:line="23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Luvox CR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(fluvoxamine maleate) Extended-Release Capsules</w:t>
      </w:r>
      <w:r>
        <w:rPr>
          <w:rFonts w:ascii="Arial" w:cs="Arial" w:eastAsia="Arial" w:hAnsi="Arial"/>
          <w:sz w:val="18"/>
          <w:szCs w:val="18"/>
          <w:color w:val="auto"/>
        </w:rPr>
        <w:t>. Luvox CR is covered by a U.S. formulation patent owned by Alkermes that is listed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Orange Book and will expire in 2020. A continuation application is pending in the United States. Pursuant to our settlement agreements with three companies, we granted a sublicense to each of these companies of our rights to have manufactured, market and sell a generic version of Luvox CR in the United States. The first of such sublicenses commenced in February 2013, and a generic version of Luvox CR could be introduced as soon as the FDA approves the generic company’s ANDA. The other two sublicenses will commence in April 2014, or earlier if a generic version of Luvox CR receives FDA approval.</w:t>
      </w:r>
    </w:p>
    <w:p>
      <w:pPr>
        <w:spacing w:after="0" w:line="71" w:lineRule="exact"/>
        <w:rPr>
          <w:rFonts w:ascii="Arial" w:cs="Arial" w:eastAsia="Arial" w:hAnsi="Arial"/>
          <w:sz w:val="18"/>
          <w:szCs w:val="18"/>
          <w:color w:val="auto"/>
        </w:rPr>
      </w:pPr>
    </w:p>
    <w:p>
      <w:pPr>
        <w:ind w:left="740" w:right="260" w:hanging="327"/>
        <w:spacing w:after="0" w:line="216"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Product candidate</w:t>
      </w:r>
      <w:r>
        <w:rPr>
          <w:rFonts w:ascii="Arial" w:cs="Arial" w:eastAsia="Arial" w:hAnsi="Arial"/>
          <w:sz w:val="18"/>
          <w:szCs w:val="18"/>
          <w:color w:val="auto"/>
        </w:rPr>
        <w:t>. Asparec</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(mPEG-r-crisantaspase) is not yet covered by any issued patents. We have rights to patent applications for Asparec</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in the United States and many other countries that, if issued, would expire in July 2030.</w:t>
      </w:r>
    </w:p>
    <w:p>
      <w:pPr>
        <w:spacing w:after="0" w:line="68" w:lineRule="exact"/>
        <w:rPr>
          <w:sz w:val="20"/>
          <w:szCs w:val="20"/>
          <w:color w:val="auto"/>
        </w:rPr>
      </w:pPr>
    </w:p>
    <w:p>
      <w:pPr>
        <w:ind w:right="500" w:firstLine="432"/>
        <w:spacing w:after="0" w:line="216" w:lineRule="auto"/>
        <w:rPr>
          <w:sz w:val="20"/>
          <w:szCs w:val="20"/>
          <w:color w:val="auto"/>
        </w:rPr>
      </w:pPr>
      <w:r>
        <w:rPr>
          <w:rFonts w:ascii="Arial" w:cs="Arial" w:eastAsia="Arial" w:hAnsi="Arial"/>
          <w:sz w:val="18"/>
          <w:szCs w:val="18"/>
          <w:color w:val="auto"/>
        </w:rPr>
        <w:t>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has no patent protection, and we therefore rely on trade secrets and other unpatented proprietary information to protect our commercial position, which we may be unable to do.</w:t>
      </w:r>
    </w:p>
    <w:p>
      <w:pPr>
        <w:spacing w:after="0" w:line="68"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We cannot be certain that any of our patent applications, or those of our licensors, will result in issued patents. Changes in patent laws could increase the uncertainties and costs surrounding the prosecution of our patent applications and the enforcement or defense of our issued patents. In addition, because the patent positions of pharmaceutical companies are highly uncertain and involve complex legal and factual questions, the patents we own and license, or any additional patents we may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color w:val="auto"/>
        </w:rPr>
        <w:t>own or license, may not prevent other companies from developing similar or therapeutically equivalent products. In recent years, several companies have been extremely aggressive in challenging patents covering pharmaceutical products, and the challenges have often been successful.</w:t>
      </w:r>
    </w:p>
    <w:p>
      <w:pPr>
        <w:spacing w:after="0" w:line="1"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As reflected above, generic manufacturers have challenged our patents covering Xyrem, FazaClo LD, FazaClo HD and Luvox CR. Azur Pharma settled a suit against Teva relating to FazaClo LD and FazaClo HD, and we settled three suits against Anchen, Actavis and Torrent, relating to Luvox CR. Other suits are ongoing. See Item 3. “Legal Proceedings.” We cannot assure you that our patents will not be further challenged by third parties or that we will be successful in any defense we undertake. Failure to successfully defend a patent challenge could materially and adversely affect our business.</w:t>
      </w:r>
    </w:p>
    <w:p>
      <w:pPr>
        <w:spacing w:after="0" w:line="1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cannot ensure that others will not be issued patents that may prevent the sale of our products or require licensing and the payment of significant fees or royalties. Furthermore, to the extent that any of our future products or methods is not patentable or infringes the patents of third parties, or in the event that our patents or future patents fail to give us an exclusive position in the subject matter claimed by those patents, our business could be adversely affected. We may be unable to avoid infringement of third party patents and may have to obtain a license, defend an infringement action, or challenge the validity of the patents in court. A license may be unavailable on terms and conditions acceptable to us, if at all. Patent litigation is costly and time consuming, and we may be unable to prevail in any such patent litigation or devote sufficient resources to even pursue such litigation. If we do not obtain a license under necessary patents, are found liable for infringement, or are not able to have such patents declared invalid, we may be liable for significant money damages, encounter significant delays in bringing products to market, or be precluded from participating in the manufacture, use or sale of products or methods of treatment requiring such licenses.</w:t>
      </w:r>
    </w:p>
    <w:p>
      <w:pPr>
        <w:spacing w:after="0" w:line="4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also applied for a number of trademarks and service marks to further protect the proprietary position of our products. We have approximately 80 registered trademarks and service marks in the United States and approximately 390 registered trademarks and service marks in other jurisdictions. We also have pending trademark and service mark applications in the United States. We also rely on our trade secrets and those of our licensors, as well as other unpatented proprietary information, to protect our products. To the extent that our products have a competitive edge as a result of our reliance on trade secrets and unpatented know-how, our competitive position may be compromised if others independently develop products using the same or similar technologies or trade secrets.</w:t>
      </w:r>
    </w:p>
    <w:p>
      <w:pPr>
        <w:spacing w:after="0" w:line="5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seek to protect our trade secrets and proprietary knowledge in part through confidentiality agreements with our employees, consultants, advisors and collaboration partners. Nevertheless, these agreements may not effectively prevent disclosure of our confidential information and may not provide us with an adequate remedy in the event of unauthorized disclosure of our confidential information. In addition, if our employees, consultants, advisors or collaboration partners develop inventions or processes independently or jointly with us that may be applicable to our products under development, disputes may arise about ownership or proprietary rights to those inventions and processes. Such inventions and processes will not necessarily become our property, but may remain the property of those third parties or their employers. Protracted and costly litigation could be necessary to enforce and determine the scope of our proprietary rights. Failure to obtain or maintain patent and trade secret protection, for any reason, could have a material adverse effect on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20, 2013, we had approximately 610 employees. We consider our employee relations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Pharmaceuticals plc</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Jazz Pharmaceuticals plc is a public limited company formed under the laws of Ireland (registered number 399192) and is the ultimate parent company to the Jazz Pharmaceuticals group of companies. The Jazz Pharmaceuticals plc corporate entity was originally formed as a private limited liability company in March 2005 under the name Azur Pharma Limited, and was subsequently re-registered as a public limited company under the name Azur Pharma Public Limited Company in October 2011. On January 18, 2012, the business of Jazz Pharmaceuticals, Inc. and Azur Pharma were combined in the Azur Merger in connection with which Azur Pharma was re-named Jazz Pharmaceuticals plc and we became the parent company of and successor to Jazz Pharmaceuticals, Inc. Jazz Pharmaceuticals, Inc. was treated as the acquiring company in the Azur Merger for accounting purposes and the transaction was accounted for as a reverse acquisition under the acquisition method of accounting for business combinations. Our predecessor, Jazz Pharmaceuticals, Inc., was originally incorporated in California in March 2003 and was reincorporated in Delaware in January 2004. In the Azur Merger, all outstanding shares of Jazz Pharmaceuticals, Inc.’s common stock were canceled and converted into the right to receive, on a one-for-one basis, our ordinary shares. Our ordinary shares trade on the same exchange, The NASDAQ Global Select Market, and under the same trading symbol, “JAZZ,” as the Jazz Pharmaceuticals, Inc. common stock prior to the Azur Merger.</w:t>
      </w:r>
    </w:p>
    <w:p>
      <w:pPr>
        <w:spacing w:after="0" w:line="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principal offices are located at One Burlington Road, Dublin, 4 Ireland, and our telephone number is 353-1-634-7800. Our U.S. operations are located in Palo Alto, California and Philadelphia and Langhorne, Pennsylvania. Our international division is headquartered in Oxford, United Kingdom, with offices in Lyon, France and elsewhere in Europe.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website address is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Information found on, or accessible through, our website is not a part of, and is not incorporated into, this Annual Report on Form 10-K. Service marks, trademarks and trade names appearing in this Annual Report on Form 10-K are the property of their respective owners.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 xml:space="preserve">We file our annual reports on Form 10-K, quarterly reports on Form 10-Q, current reports on Form 8-K and amendments to those reports filed or furnished pursuant to Section 13(a) or 15(d) of the Exchange Act, electronically with the U.S. Securities and Exchange Commission, or SEC. We make available on our website at </w:t>
      </w:r>
      <w:r>
        <w:rPr>
          <w:rFonts w:ascii="Arial" w:cs="Arial" w:eastAsia="Arial" w:hAnsi="Arial"/>
          <w:sz w:val="16"/>
          <w:szCs w:val="16"/>
          <w:i w:val="1"/>
          <w:iCs w:val="1"/>
          <w:color w:val="auto"/>
        </w:rPr>
        <w:t>www.jazzpharmaceuticals.com</w:t>
      </w:r>
      <w:r>
        <w:rPr>
          <w:rFonts w:ascii="Arial" w:cs="Arial" w:eastAsia="Arial" w:hAnsi="Arial"/>
          <w:sz w:val="16"/>
          <w:szCs w:val="16"/>
          <w:color w:val="auto"/>
        </w:rPr>
        <w:t>, free of charge, copies of these reports as soon as reasonably practicable after we electronically file such material with, or furnish it to, the SEC. Further copies of these reports are located at the SEC’s Public Reference Room at 100 F Street, NE, Washington, D.C. 20549. Information on the operation of the Public Reference Room can be obtained by calling the SEC at 1-800-SEC-0330. The SEC maintains a website that contains reports, proxy and information statements, and other information regarding our filings, at www.sec.gov.</w:t>
      </w:r>
    </w:p>
    <w:p>
      <w:pPr>
        <w:spacing w:after="0" w:line="10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refer to the other information contained in this Annual Report on Form 10-K, including our consolidated financial statements and related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Xyrem and the Significant Impact of Xyrem Sales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Xyrem is our largest selling product, and our inability to maintain or increase sales of Xyrem would have a material adverse effect on our business, financial condition, results of operations and growth prospects.</w:t>
      </w:r>
    </w:p>
    <w:p>
      <w:pPr>
        <w:spacing w:after="0" w:line="35" w:lineRule="exact"/>
        <w:rPr>
          <w:sz w:val="20"/>
          <w:szCs w:val="20"/>
          <w:color w:val="auto"/>
        </w:rPr>
      </w:pPr>
    </w:p>
    <w:p>
      <w:pPr>
        <w:ind w:firstLine="432"/>
        <w:spacing w:after="0" w:line="237" w:lineRule="auto"/>
        <w:rPr>
          <w:sz w:val="20"/>
          <w:szCs w:val="20"/>
          <w:color w:val="auto"/>
        </w:rPr>
      </w:pPr>
      <w:r>
        <w:rPr>
          <w:rFonts w:ascii="Arial" w:cs="Arial" w:eastAsia="Arial" w:hAnsi="Arial"/>
          <w:sz w:val="18"/>
          <w:szCs w:val="18"/>
          <w:color w:val="auto"/>
        </w:rPr>
        <w:t>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largest selling product and our financial results are significantly influenced by sales of Xyrem, which accounted for 65% of our net product sales for the year ended December 31, 2012 and 88% of our net product sales for the year ended December 31, 2011, and our future plans assume that sales of Xyrem will increase. While Xyrem product sales grew from 2010 to 2011 and from 2011 to 2012, we cannot assure you that we can maintain sales of Xyrem at or near current levels, or that Xyrem sales will continue to grow. We have periodically increased the price of Xyrem, most recently in February 2013, and we cannot assure you that price adjustments we have taken or may take in the future have not already negatively affected, or will not in the future negatively affect, Xyrem sales volumes.</w:t>
      </w:r>
    </w:p>
    <w:p>
      <w:pPr>
        <w:spacing w:after="0" w:line="7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addition to other risks described herein, our ability to maintain or increase Xyrem product sales is subject to a number of risks and uncertainties, the most important of which are discussed below, including those related to:</w:t>
      </w:r>
    </w:p>
    <w:p>
      <w:pPr>
        <w:spacing w:after="0" w:line="62"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introduction of a generic version of Xyrem;</w:t>
      </w:r>
    </w:p>
    <w:p>
      <w:pPr>
        <w:spacing w:after="0" w:line="117" w:lineRule="exact"/>
        <w:rPr>
          <w:rFonts w:ascii="Arial" w:cs="Arial" w:eastAsia="Arial" w:hAnsi="Arial"/>
          <w:sz w:val="18"/>
          <w:szCs w:val="18"/>
          <w:color w:val="auto"/>
        </w:rPr>
      </w:pPr>
    </w:p>
    <w:p>
      <w:pPr>
        <w:jc w:val="both"/>
        <w:ind w:left="740" w:right="120" w:hanging="327"/>
        <w:spacing w:after="0" w:line="286"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changed or increased regulatory restrictions, including changes to our risk management program, and the terms of the final REMS documents, for Xyrem, or regulatory actions by the FDA as a result of, or related to the matters raised in, the warning letter we received from the FDA in October 2011 or the Form FDA 483 we received in May 2012, as discussed in more detail in the risk factors below;</w:t>
      </w:r>
    </w:p>
    <w:p>
      <w:pPr>
        <w:spacing w:after="0" w:line="57" w:lineRule="exact"/>
        <w:rPr>
          <w:rFonts w:ascii="Arial" w:cs="Arial" w:eastAsia="Arial" w:hAnsi="Arial"/>
          <w:sz w:val="17"/>
          <w:szCs w:val="17"/>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manufacturing partners’ ability to obtain sufficient quota from the DEA to satisfy our needs for Xyrem;</w:t>
      </w:r>
    </w:p>
    <w:p>
      <w:pPr>
        <w:spacing w:after="0" w:line="117" w:lineRule="exact"/>
        <w:rPr>
          <w:rFonts w:ascii="Arial" w:cs="Arial" w:eastAsia="Arial" w:hAnsi="Arial"/>
          <w:sz w:val="18"/>
          <w:szCs w:val="18"/>
          <w:color w:val="auto"/>
        </w:rPr>
      </w:pPr>
    </w:p>
    <w:p>
      <w:pPr>
        <w:ind w:left="740" w:right="30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supply, manufacturing or distribution problems arising with any of our manufacturing and distribution partners, all of whom are sole source providers for us;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reimbursement from third party payors;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healthcare laws and policy, including changes in requirements for rebates, reimbursement and coverage by federal healthcare programs;</w:t>
      </w:r>
    </w:p>
    <w:p>
      <w:pPr>
        <w:spacing w:after="0" w:line="140" w:lineRule="exact"/>
        <w:rPr>
          <w:rFonts w:ascii="Arial" w:cs="Arial" w:eastAsia="Arial" w:hAnsi="Arial"/>
          <w:sz w:val="16"/>
          <w:szCs w:val="16"/>
          <w:color w:val="auto"/>
        </w:rPr>
      </w:pPr>
    </w:p>
    <w:p>
      <w:pPr>
        <w:ind w:left="740" w:right="280" w:hanging="32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acceptance of Xyrem as safe and effective by physicians and patients, even in the face of negative publicity that surfaces from time to time; and</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to our label, including new safety warnings or changes to our boxed warning, that further restrict how we market and sell Xyrem.</w:t>
      </w:r>
    </w:p>
    <w:p>
      <w:pPr>
        <w:spacing w:after="0" w:line="1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These and the other risks described below related to Xyrem product sales and protection of our proprietary rights could have a material adverse effect on our ability to maintain or increase sales of Xyrem.</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sales of Xyrem were to decline significantly, we might need to reduce our operating expenses or to seek to raise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 funds, which would have a material adverse effect on our business, financial condition, results of operations and growth prospects, or we might not be able to acquire, in-license or develop new products in the future to grow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generic products that compete with Xyrem are approved and launched, sales of Xyrem would be adversely affected.</w:t>
      </w:r>
    </w:p>
    <w:p>
      <w:pPr>
        <w:spacing w:after="0" w:line="90"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Although Xyrem is covered by patents covering its formulation, distribution system and method of use, two third parties have filed ANDAs seeking FDA approval of generic versions of Xyrem, and additional third parties may also seek to introduce generic versions of Xyrem. If one or more companies receive FDA approval of an ANDA, it is possible that such company or companies could introduce generic versions of Xyrem before our patents expire if they do not infringe our patents or if it is determined that our patents are invalid or unenforceable.</w:t>
      </w:r>
    </w:p>
    <w:p>
      <w:pPr>
        <w:spacing w:after="0" w:line="3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October 18, 2010, we received notice from Roxane that it had submitted an ANDA to the FDA requesting approval to market a generic version of Xyrem before expiration of the Orange-Book-listed patents relating to Xyrem. On December 10, 2012, we received notice from Amneal that Amneal has submitted an ANDA to the FDA seeking regulatory approval to market a generic version of Xyrem before expiration of the Orange-Book-listed patents relating to Xyrem. We have sued both Roxane and Amneal seeking to prevent them from introducing a generic version of Xyrem that would infringe our patents, but we cannot assure you that any of the lawsuits will prevent the introduction of a generic version of Xyrem for any particular length of time, or at all. Additional ANDAs could also be filed requesting approval to market generic forms of Xyrem. If an ANDA is approved, and a generic version of Xyrem is introduced, our sales of Xyrem would be adversely affected. In accordance with the Hatch-Waxman Act, as a result of having filed a timely lawsuit against Roxane, FDA approval of Roxane’s ANDA is stayed until the earlier of (i) April 18, 2013 or (ii) a District Court decision finding that the patents that are the subject of our litigation with Roxane are invalid, unenforceable or not infringed. Our lawsuits with Roxane are ongoing. Although no trial date has been established, we do not expect a trial date or any decision by the District Court until after April 18, 2013. We do not know the status of Roxane’s ANDA and cannot predict what actions the FDA or Roxane may take with respect to Roxane’s ANDA. If Roxane’s ANDA is approved before or at any time after the stay provided for under the Hatch-Waxman Act is lifted, Roxane may seek to launch a generic version of Xyrem prior to a District Court, or potential appellate court, decision in our ongoing patent litigation. While, in the event of such commercialization, Roxane would be liable to us for damages in the event we ultimately prevail in the patent litigation, we expect that the introduction of generic competition for Xyrem would have a material adverse effect on our business, financial condition, results of operations and growth prospects.</w:t>
      </w:r>
    </w:p>
    <w:p>
      <w:pPr>
        <w:spacing w:after="0" w:line="48"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On May 18, 2012, we submitted a Citizen Petition to the FDA that addressed the legal and scientific bases for requiring in vivo bioequivalence studies for generic formulations of Xyrem Among other actions requested of the FDA, this petition requested that the FDA (i) not accept for review, review, or approve any ANDA referencing Xyrem unless and until the FDA has published bioequivalence requirements in the Orange Book specifying whether in vitro bioequivalence studies, in vivo bioequivalence studies, or both, are required for such ANDAs and (ii) require in vivo bioequivalence studies for any sodium oxybate drug product for which approval is sought in an ANDA referencing Xyrem to the extent such drug product differs from Xyrem in manufacturing process, pH, excipients, impurities, degradants or contaminants. On November 13, 2012, the FDA denied this Citizen Petition. On July 10, 2012, we submitted a second Citizen Petition to the FDA that addressed the requirements for submission of any ANDA referencing Xyrem. This petition focused on our view that any ANDA referencing Xyrem must contain a proposed risk management system at the time it was or is filed in order to demonstrate, as required by law, that the new generic drug product would have the same labeling and conditions of use as Xyrem. Among other actions requested of the FDA, this petition asked the FDA to rescind the acceptance of any previously-accepted ANDA referencing Xyrem, including the Roxane ANDA, which did not contain a proposed risk management system at the time it was accepted for review. On December 13, 2012, the FDA denied this Citizen Petition.</w:t>
      </w:r>
    </w:p>
    <w:p>
      <w:pPr>
        <w:spacing w:after="0" w:line="38"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are evaluating the FDA’s responses to both Citizen Petitions and potential further actions that we may take with respect to the issues raised in, and the FDA’s denials of, the Citizen Petitions. The FDA’s denial of the Citizen Petitions does not have a direct impact on the merits of our ongoing lawsuits with Roxane and Amneal. However, we cannot predict the effect of the denial of either of our Citizen Petitions, or the FDA’s stated positions in its responses to the Citizen Petitions, on the timing of the potential introduction of a generic version of Xyrem. See the next risk factor in this Item 1A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manufacture, distribution and sale of Xyrem are subject to significant regulatory oversight and restrictions and the requirements of a risk management program, and these restrictions and requirements subject us to increased risks and uncertainties, any of which could negatively impact sales of Xyrem.”</w:t>
      </w:r>
    </w:p>
    <w:p>
      <w:pPr>
        <w:spacing w:after="0" w:line="3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 generic manufacturer would need to obtain quota from the DEA in order to manufacture both the active pharmaceutical ingredient and the finished product for a generic version of Xyrem. The DEA publishes an annual aggregate quota for the active pharmaceutical ingredient of Xyrem, and our supplier is required to request and justify allocation of sufficient annual manufacturing quota as well as additional manufacturing quota if needed throughout the year. Until 2011, our active pharmaceutical ingredient supplier obtained substantially all of the published annual aggregate quota for use in the manufacture of Xyrem. However, for each of 2012 and 2013, our supplier has been allocated only a portion of the published annual aggregate quota for the active pharmaceutical ingredient. As a result, a generic manufacturer may be able to obtain a portion of the annual aggregate active pharmaceutical ingredient quota. In addition, our supplier has been allocated only a portion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requested quota for 2013 to make the active pharmaceutical ingredient of Xyrem. Our finished product manufacturer for Xyrem was similarly allocated only a portion of the requested quota to make finished product. As a result, we anticipate that both our active pharmaceutical ingredient supplier and our finished product manufacturer will need to obtain increased quotas from the DEA for 2013.</w:t>
      </w:r>
    </w:p>
    <w:p>
      <w:pPr>
        <w:spacing w:after="0" w:line="46"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After any introduction of a generic competitor, a significant percentage of the prescriptions written for Xyrem may be filled with the generic version, resulting in a loss in sales of Xyrem. Generic competition often results in decreases in the prices at which branded products can be sold, particularly when there is more than one generic available in the marketplace. In addition, legislation enacted in the United States allows for, and in a few instances in the absence of specific instructions from the prescribing physician mandates, the dispensing of generic products rather than branded products where a generic version is available. We expect that generic competition for Xyrem would have a material adverse effect on our business, financial condition, results of operations and growth prospects.</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The manufacture, distribution and sale of Xyrem are subject to significant regulatory oversight and restrictions and the requirements of a risk management program, and these restrictions and requirements subject us to increased risks and uncertainties, any of which could negatively impact sales of Xyrem.</w:t>
      </w:r>
    </w:p>
    <w:p>
      <w:pPr>
        <w:spacing w:after="0" w:line="46"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As a condition of approval of Xyrem, the FDA mandated that we maintain a risk management and controlled distribution system that was implemented at the time Xyrem was approved, which includes parts of the Xyrem Success Program, to ensure the safe distribution of Xyrem and minimize the risk of misuse, abuse and diversion of sodium oxybate. Our Xyrem Risk Management Program includes patient and physician education, a database of information so that we may track and report certain information and other elements. It also includes unique features that provide information about adverse events, including deaths, which is generally not available for other products that are not subject to similar risk management programs. As required by the FDA and other regulatory agencies, the adverse event information that we collect for Xyrem is regularly reported to the FDA and could result in the FDA requiring changes to the Xyrem label or taking or requiring us to take other actions that could have an adverse effect on Xyrem’s commercial success.</w:t>
      </w:r>
    </w:p>
    <w:p>
      <w:pPr>
        <w:spacing w:after="0" w:line="3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While elements of the Xyrem Risk Management Program, adopted in 2002 before the FDA had authority to require REMS, are deemed to be an approved REMS pursuant to the Food and Drug Administration Amendments Act of 2007, or the FDAAA, the program is not in the form that is now required for REMS. FDAAA requires that certain products’ risk management programs and related documents that existed prior to the adoption of FDAAA, including the Xyrem Risk Management Program, be updated to comply with the current requirements for REMS documents. We have submitted updated REMS documents to the FDA, which are intended to conform the relevant elements of the Xyrem Risk Management Program to the current REMS formatting requirements, as well as to make other updates to the program and its documents. We have had communications with the FDA with respect to our submitted REMS documents. These communications are ongoing, and we cannot predict the timing of finalization, or the final terms of, of our updated REMS documents. The FDA may impose new requirements for certain elements that we have implemented in our Xyrem Risk Management Program, or require us to modify our current practices. Any such requirements, depending on their substance and the extent of modifications required, could make it more difficult or expensive for us to distribute Xyrem, make it easier for future generic competitors, and/or negatively affect sales of Xyrem.</w:t>
      </w:r>
    </w:p>
    <w:p>
      <w:pPr>
        <w:spacing w:after="0" w:line="3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addition, Section 505-1(i)(1) of the FDCA provides that (i) an ANDA with a referenced drug subject to the REMS requirements is required to have a REMS with the same or comparable elements as the referenced drug, such as a medication guide, a patient package insert and other “elements to assure safe use,” or ETASU, and (ii) the ANDA drug and the referenced drug shall use a single shared system to assure safe use. However, the FDA may waive this requirement for a single shared system and permit the ANDA holder to submit a separate but comparable REMS if the FDA determines that the burden of creating such a system outweighs its benefit or if the ANDA applicant certifies that it has been unable to obtain a license to any aspects of the REMS for the referenced drug product that are covered by a patent or a trade secret entitled to protection. The FDCA provides that the FDA may seek to negotiate a license between the ANDA sponsor and the sponsor of the listed product before granting a waiver. The FDCA further states that a REMS shall not be used by an NDA holder to block or delay generic drugs from entering the market. Accordingly, from time to time we may be face pressure to license or share our Xyrem Risk Management Program, or elements of it, with generic competitors. We cannot predict the outcome or impact on our business of any future action that may be taken by a third party to seek to license or share our REMS program. Furthermore, if we do not share our REMS with a generic competitor, the FDA may grant the generic competitor a waiver and allow the generic competitor to market a generic drug with a comparable REMS. In addition, the FTC has been paying increasing attention to the use of REMS by companies selling branded products, in particular whether REMS may be being deliberately used to reduce the risk of competition from generic drugs in a way that may be deemed to be anticompetitive. It is possible that the FTC or others could claim that our REMS or other practices are being used in an anticompetitive manner.</w:t>
      </w:r>
    </w:p>
    <w:p>
      <w:pPr>
        <w:spacing w:after="0" w:line="5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July 10, 2012, we submitted a Citizen Petition to the FDA that addressed the requirements for submission of any ANDA referencing Xyrem. This petition focused on our view that any ANDA referencing Xyrem must contain a proposed risk management system at the time it was or is filed in order to demonstrate, as required by law, that the new generic drug product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would have the same labeling and conditions of use as Xyrem. Among other actions requested of the FDA, this petition asked the FDA to rescind the acceptance of any previously-accepted ANDA referencing Xyrem, including the Roxane ANDA, which did not contain a proposed risk management system at the time it was accepted for review. On December 13, 2012, the FDA denied this Citizen Petition. In the FDA’s response, the FDA stated that when the NDA holder has a deemed REMS, the FDA directs the ANDA applicant to work with the NDA holder to create a single shared system to implement the ETASU that will be approved as a final REMS. We cannot predict the outcome or impact on our business of any discussions with any ANDA applicant with respect to the potential creation of a single shared system. See the risk factor in this Item 1A entitled “</w:t>
      </w:r>
      <w:r>
        <w:rPr>
          <w:rFonts w:ascii="Arial" w:cs="Arial" w:eastAsia="Arial" w:hAnsi="Arial"/>
          <w:sz w:val="18"/>
          <w:szCs w:val="18"/>
          <w:i w:val="1"/>
          <w:iCs w:val="1"/>
          <w:color w:val="auto"/>
        </w:rPr>
        <w:t>We may incur substantial costs as a result of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other proceedings relating to patents and other intellectual property rights, and we may be unable to protect our rights to, or commercialize, our products.</w:t>
      </w:r>
      <w:r>
        <w:rPr>
          <w:rFonts w:ascii="Arial" w:cs="Arial" w:eastAsia="Arial" w:hAnsi="Arial"/>
          <w:sz w:val="18"/>
          <w:szCs w:val="18"/>
          <w:color w:val="auto"/>
        </w:rPr>
        <w:t>”</w:t>
      </w:r>
    </w:p>
    <w:p>
      <w:pPr>
        <w:spacing w:after="0" w:line="5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It is also possible that the FDA may take the position that a potential generic competitor does not need to share or license aspects of our deemed REMS program in order to obtain approval of its ANDA. In the December 13, 2012 denial of our Citizen Petition described above, the FDA stated that if the FDA determines that an ANDA may be ready for approval before final approval of the REMS of a sponsor holding a deemed REMS, the FDA will direct the ANDA applicant to submit a proposed risk management plan with ETASU that are comparable to the ETASU that are approved for the referenced drug to have adequate risk management elements in place for the ANDA until the final REMS is approved. Thus, it is possible that the FDA may rely on this position as a basis to grant approval or tentative approval of an ANDA without a final REMS. We expect that the approval or tentative approval of an ANDA resulting in the launch of a generic version of Xyrem would have a material adverse effect on our business, financial condition, results of operations and growth prospects.</w:t>
      </w:r>
    </w:p>
    <w:p>
      <w:pPr>
        <w:spacing w:after="0" w:line="5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Currently, our Xyrem Risk Management Program requires that all of the Xyrem sold in the United States must be shipped directly to patients through a single central pharmacy. The process under which patients receive Xyrem under our program is cumbersome. While we have an exclusive agreement with the central pharmacy for Xyrem, ESSDS, through June 2015, if the central pharmacy does not fulfill its contractual obligations to us, or refuses or fails to adequately serve patients, shipments of Xyrem and our sales would be adversely affected. If we change our central pharmacy new contracts might be required with government and other insurers who pay for Xyrem, and the terms of any new contracts could be less favorable to us than current agreements. In addition, any new central pharmacy would need to be registered with the DEA and would also need to implement the particular processes, procedures and activities necessary to distribute Xyrem under our Xyrem Risk Management Program or any REMS that we are subject to in the future. Transitioning to a new central pharmacy could result in product shortages, which would adversely affect sales of Xyrem in the United States, result in additional costs and expenses for us, and/or take a significant amount of time, any of which could materially and adversely affect our business, financial condition, results of operations and growth prospects.</w:t>
      </w:r>
    </w:p>
    <w:p>
      <w:pPr>
        <w:spacing w:after="0" w:line="4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 April 2011, we learned that deaths of patients who had been prescribed Xyrem between 2003 and 2010 had not always been reported to us by ESSDS and therefore to the FDA by us, as required. We reported these cases to the FDA when we discovered them, investigated the related data from ESSDS, as well as additional data we gathered, and submitted an analysis of the data to the FDA. In July 2012, we held a telephonic meeting with the FDA with respect to our analysis. Based in part on this meeting and our agreement with the FDA on a revised Xyrem label in December 2012, we believe that the FDA will not require any further data or analysis with respect to mortality during the historical period that was covered by our investigation and evaluation, and that no further action is required by us. However, there can be no assurance that the FDA will agree with our assessment, and the FDA may ultimately take, or require us to take, actions that may be costly or time consuming and/or that negatively affect the commercial success of Xyrem.</w:t>
      </w:r>
    </w:p>
    <w:p>
      <w:pPr>
        <w:spacing w:after="0" w:line="3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In October 2011, we received a warning letter from the FDA following a 2011 Form FDA 483 covering certain aspects of our adverse event reporting system for Xyrem and drug safety procedures related to the unreported deaths uncovered in April 2011. In May 2012, we received a Form FDA 483 at the conclusion of an FDA inspection conducted in May 2012, which noted the FDA investigators’ observations with respect to our incomplete review of information from ESSDS related to potential Xyrem-related adverse events prior to 2011 and determination of whether there are additional adverse events that are required to be reported to the FDA based on such review; our investigation of serious unexpected adverse drug experiences, including insufficient documentation to demonstrate the past investigation; and our lack of a written procedure relating to one administrative aspect of our current drug safety monitoring procedures. We have completed the actions that we believe are required to address the observations in the May 2012 Form FDA 483, and we believe that we have submitted all data and completed all actions that are necessary to fully address the matters raised in the warning letter. We have submitted a request to the FDA to close out the warning letter, but we do not know whether the FDA will require further information or actions. In any event, we expect that the FDA will conduct a re-inspection before closing out the warning letter. We cannot predict either the timing or the final outcome of the FDA’s regulatory compliance review. We do not know whether the FDA will take further action, or require us to take further action, with respect to our adverse event reporting, or whether the FDA will ultimately conclude we have not taken all appropriate corrective actions with respect to the May 2012 Form FDA 483 or the warning letter.</w:t>
      </w:r>
    </w:p>
    <w:p>
      <w:pPr>
        <w:spacing w:after="0" w:line="5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Regulatory authorities in other countries where Xyrem is sold may take similar actions. Any failure to demonstrate our substantial compliance with applicable regulatory requirements to the FDA’s or any other regulatory authority’s satisfaction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could have a material and adverse effect on Xyrem sales and therefore on our business, financial condition, results of operations and growth prospects.</w:t>
      </w:r>
    </w:p>
    <w:p>
      <w:pPr>
        <w:spacing w:after="0" w:line="102"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The FDA has required that Xyrem’s label include a boxed warning regarding the risk of abuse. A boxed warning is the strongest type of warning that the FDA can require for a drug product and warns prescribers that the drug carries a significant risk of serious or even life-threatening adverse effects. A boxed warning also means, among other things, that the product cannot be advertised through reminder ads, or ads that mention the pharmaceutical brand name but not the indication or medical condition it treats. In addition, Xyrem’s FDA approval under the FDA’s Subpart H regulations requires that all of the promotional materials for Xyrem be provided to the FDA for review at least 30 days prior to the intended time of first use. We cannot predict whether the FDA will require additional warnings, including boxed warnings, to be included on Xyrem’s label. For example, in December 2012, we updated our Xyrem label in conjunction with the FDA to include a new contraindication for the use of alcohol with Xyrem. Warnings in the Xyrem label and any limitations on our ability to advertise and promote Xyrem may have affected, and could in the future negatively affect, Xyrem sales and therefore our business, financial condition, results of operations and growth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5" w:lineRule="exact"/>
        <w:rPr>
          <w:sz w:val="20"/>
          <w:szCs w:val="20"/>
          <w:color w:val="auto"/>
        </w:rPr>
      </w:pPr>
    </w:p>
    <w:p>
      <w:pPr>
        <w:ind w:right="400"/>
        <w:spacing w:after="0" w:line="334" w:lineRule="auto"/>
        <w:rPr>
          <w:sz w:val="20"/>
          <w:szCs w:val="20"/>
          <w:color w:val="auto"/>
        </w:rPr>
      </w:pPr>
      <w:r>
        <w:rPr>
          <w:rFonts w:ascii="Arial" w:cs="Arial" w:eastAsia="Arial" w:hAnsi="Arial"/>
          <w:sz w:val="16"/>
          <w:szCs w:val="16"/>
          <w:b w:val="1"/>
          <w:bCs w:val="1"/>
          <w:i w:val="1"/>
          <w:iCs w:val="1"/>
          <w:color w:val="auto"/>
        </w:rPr>
        <w:t>While Xyrem remains our largest product, our success also depends on our ability to effectively commercialize our other marketed products, and our inability to do so could have a material adverse effect on our business, financial condition, results of operations and growth prospects.</w:t>
      </w:r>
    </w:p>
    <w:p>
      <w:pPr>
        <w:spacing w:after="0" w:line="1"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addition to Xyrem</w:t>
      </w:r>
      <w:r>
        <w:rPr>
          <w:rFonts w:ascii="Arial" w:cs="Arial" w:eastAsia="Arial" w:hAnsi="Arial"/>
          <w:sz w:val="25"/>
          <w:szCs w:val="25"/>
          <w:color w:val="auto"/>
          <w:vertAlign w:val="superscript"/>
        </w:rPr>
        <w:t>®</w:t>
      </w:r>
      <w:r>
        <w:rPr>
          <w:rFonts w:ascii="Arial" w:cs="Arial" w:eastAsia="Arial" w:hAnsi="Arial"/>
          <w:sz w:val="18"/>
          <w:szCs w:val="18"/>
          <w:color w:val="auto"/>
        </w:rPr>
        <w:t>, we have a portfolio of marketed products, including Erwinaze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(called Erwinase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ex-U.S. markets) and Prialt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Erwinaze, a biologic product, is used in conjunction with chemotherapy to treat patients with ALL with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Erwinaze is exclusively licensed to us, and manufactured for us, by the HPA and was approved by the FDA under a BLA, in November 2011 and launched in the U.S. market in the same month. It is also being sold under marketing authorizations, named patient programs, temporary use authorizations or similar authorizations in multiple countries in Europe and elsewhere.</w:t>
      </w:r>
    </w:p>
    <w:p>
      <w:pPr>
        <w:spacing w:after="0" w:line="70"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 xml:space="preserve">Erwinaze represents an important part of our strategy to grow sales of our existing products. However, our ability to successfully and sustainably grow sales of Erwinaze is subject to a number of challenges, including the limited population of patients with ALL and the incidence of hypersensitivity reactions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within that population. Another challenge to growth is our need to assure sufficient supply of product on a timely basis as well as to apply for and receive marketing authorizations, through a mutual recognition process or otherwise, in certain additional countries so we can launch promotional efforts in those countries. We also face numerous risks that may impact Erwinaze sales, including manufacturing risks, regulatory risks, the development of new asparaginase treatments that could reduce the rate of hypersensitivity in patients with ALL, the development of new treatment protocols for ALL that may not include asparaginase-containing regimens, difficulties with obtaining and maintaining profitable pricing and reimbursement arrangements and potential competition from biosimilar products. In addition, if we fail to comply with our obligations under our agreement with the HPA and lose exclusive rights to Erwinaze, or otherwise fail to maintain and grow sales of Erwinaze, our growth prospects could be negatively affected.</w:t>
      </w:r>
    </w:p>
    <w:p>
      <w:pPr>
        <w:spacing w:after="0" w:line="3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Prialt, an intrathecally administered infusion of ziconotide, was approved by the FDA in December 2004 for the management of severe chronic pain in patients for whom intrathecal therapy is warranted and who are intolerant of or refractory to other treatment, such as systemic analgesics, adjunctive therapies or intrathecal morphine. We face many challenges in maintaining and growing sales of Prialt, including acceptance of intrathecal administration by patients and physicians and challenges for physicians with timely reimbursement for use of Prialt. In addition, the FDA has required that Prialt’s label include a boxed warning regarding the risk of psychiatric symptoms and neurological impairment. We cannot predict whether the FDA will require additional warnings, or place any additional limitations on our ability to advertise and promote Prialt, which could negatively impact Prialt sales. In the fourth quarter of 2012, we began the roll-out of the NAVIGATOR Reimbursement and Access Program</w:t>
      </w:r>
      <w:r>
        <w:rPr>
          <w:rFonts w:ascii="Arial" w:cs="Arial" w:eastAsia="Arial" w:hAnsi="Arial"/>
          <w:sz w:val="16"/>
          <w:szCs w:val="16"/>
          <w:color w:val="auto"/>
          <w:vertAlign w:val="superscript"/>
        </w:rPr>
        <w:t>TM</w:t>
      </w:r>
      <w:r>
        <w:rPr>
          <w:rFonts w:ascii="Arial" w:cs="Arial" w:eastAsia="Arial" w:hAnsi="Arial"/>
          <w:sz w:val="16"/>
          <w:szCs w:val="16"/>
          <w:color w:val="auto"/>
        </w:rPr>
        <w:t>, a new centralized distribution system for Prialt. In connection with the implementation of the new distribution system, we could experience disruptions that could negatively affect product sales.</w:t>
      </w:r>
    </w:p>
    <w:p>
      <w:pPr>
        <w:spacing w:after="0" w:line="31"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Failure to maintain or increase prescriptions and revenue from sales of our marketed products other than Xyrem, including Erwinaze and Prialt, could have a material adverse effect on our business, financial condition, results of operations and growth prospects. We may choose to increase the price of our marketed products, and we cannot assure you that price adjustments will not negatively affect our sales volumes. In addition, sales of Erwinaze may fluctuate significantly from quarter to quarter, depending on the number of patients receiving treatment, the dosing requirements of treated patients and other factors, and it may be difficult for us or investors to estimate Erwinaze revenue until we have more experience selling the product. The market price of our ordinary shares may decline if the sales of our products do not continue or grow at the rates anticipated by financial analysts or investors.</w:t>
      </w:r>
    </w:p>
    <w:p>
      <w:pPr>
        <w:spacing w:after="0" w:line="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addition, if we fail to obtain approvals for certain of our existing products in new indications or formulations, we will be unable to commercialize our products in new indications or formulations, which could have a material adverse effect on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business, financial condition, results of operations and growth prospects.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depend on single source suppliers and manufacturers for each of our products, product candidates and their active pharmaceutical ingredients. The loss of any of these suppliers or manufacturers, or delays or problems in the supply or manufacture of our products for commercial sale or our product candidates for use in our clinical trials, could materially and adversely affect our business, financial condition, results of operations and growth prospects.</w:t>
      </w:r>
    </w:p>
    <w:p>
      <w:pPr>
        <w:spacing w:after="0" w:line="5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process controls required to consistently produce the active pharmaceutical ingredient and the finished product in sufficient quantities that meet detailed product specifications on a repeated basis. Manufacturers of pharmaceutical products often encounter difficulties in production, including difficulties with production costs and yields, process controls, quality control and quality assurance, including testing of stability, impurities and impurity levels and other product specifications by validated test methods, and compliance with strictly enforced U.S., state and non-U.S. regulations. If we or any of our third party suppliers or manufacturers encounter these or any other manufacturing, quality or compliance difficulties with respect to any of our products, we may be unable to meet the commercial demand for such products, which could adversely affect our business, financial condition, results of operations and growth prospects.</w:t>
      </w:r>
    </w:p>
    <w:p>
      <w:pPr>
        <w:spacing w:after="0" w:line="3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do not have our own manufacturing or packaging capability for our products or product candidates, or their active pharmaceutical ingredients. The availability of our products for commercial sale depends upon our ability to procure the ingredients, raw materials, packaging materials and finished products we need from third parties. In part due to the limited market size for our products and product candidates, we have entered into supply and manufacturing agreements with suppliers and manufacturers, each of which is currently our single source for each of our marketed products and for the active pharmaceutical ingredients used in some of these products.</w:t>
      </w:r>
    </w:p>
    <w:p>
      <w:pPr>
        <w:spacing w:after="0" w:line="5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We maintain very limited inventories of certain of our products, including Xyrem and Erwinaze, as well as the ingredients or raw materials used to make our products. Our limited inventory puts us at significant risk of not being able to meet product demand. If our suppliers and manufacturers, including any new suppliers without a track record of meeting our supply needs, for any reason do not continue to supply us with our products or product candidates in a timely fashion and in compliance with applicable quality and regulatory requirements, or otherwise fail or refuse to comply with their obligations to us under our supply and manufacturing arrangements, we may not have adequate remedies for any breach, and their failure to supply us could result in a shortage of our products or product candidates, which could adversely affect our business, financial condition, results of operations and growth prospects.</w:t>
      </w:r>
    </w:p>
    <w:p>
      <w:pPr>
        <w:spacing w:after="0" w:line="3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In addition, if one of our suppliers or manufacturers fails or refuses to supply us for any reason, it would take a significant amount of time and expense to qualify a new supplier or manufacturer. The loss of one of our suppliers or manufacturers could require us to obtain regulatory clearance in the form of a “prior approval supplement” and to incur validation and other costs associated with the transfer of the active pharmaceutical ingredient or product manufacturing process. We believe that it could take up to two years, or longer in certain cases, to qualify a new supplier or manufacturer, and we may not be able to obtain active pharmaceutical ingredients or finished products from new suppliers or manufacturers on acceptable terms and at reasonable prices, or at all. Should we lose either an active pharmaceutical ingredient supplier or a finished product manufacturer, we could run out of salable product to meet market demands or investigational product for use in clinical trials while we wait for FDA or similar international regulatory body approval of a new supplier or manufacturer.</w:t>
      </w:r>
    </w:p>
    <w:p>
      <w:pPr>
        <w:spacing w:after="0" w:line="5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DEA limits the quantity of certain Schedule I controlled substances that may be produced in the United States in any given calendar year through a quota system. Because the active pharmaceutical ingredient of Xyrem, sodium oxybate, is a Schedule I controlled substance, our supplier of sodium oxybate, as well as our finished product manufacturer, must each obtain separate DEA quotas in order to supply us with sodium oxybate and Xyrem. Since the DEA typically grants quotas on an annual basis, our sodium oxybate supplier and Xyrem manufacturer are required to request and justify allocation of sufficient annual DEA quotas as well as additional DEA quotas if our commercial or clinical requirements exceed the allocated quotas throughout the year. In the past, we have had to engage in lengthy legal and other efforts to obtain the needed quotas after the original annual quotas had first been allocated. For 2013, our supplier has been allocated only a portion of the requested quota to make the active pharmaceutical ingredient of Xyrem. Our finished product manufacturer for Xyrem was similarly allocated only a portion of the requested quota to make finished product. As a result, we anticipate that both our active pharmaceutical ingredient supplier and our finished product manufacturer will need to obtain increased quotas from the DEA for 2013. We cannot assure you sufficient quotas will be received from the DEA to meet our needs, and if we and our supplier and manufacturer cannot obtain the quotas that are needed on a timely basis, or at all, our business, financial condition, results of operations and growth prospects could be materially and adversely affected.</w:t>
      </w:r>
    </w:p>
    <w:p>
      <w:pPr>
        <w:spacing w:after="0" w:line="3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the FDA and similar international regulatory bodies must approve manufacturers of the active and inactive pharmaceutical ingredients and certain packaging materials used in our products. If there are delays in qualifying new manufacturers or facilities or a new manufacturer is unable to obtain a sufficient quota from the DEA, if required, or to otherwise meet FDA or similar international regulatory body’s requirements for approval, there could be a shortage of the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affected products for the marketplace or for use in clinical studies, or both, particularly since we do not have secondary sources for supply and manufacture of the active pharmaceutical ingredient or backup manufacturers for our products and product candidates.</w:t>
      </w:r>
    </w:p>
    <w:p>
      <w:pPr>
        <w:spacing w:after="0" w:line="3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Our current supplier of sodium oxybate, Siegfried, was approved by the FDA in late 2011 and became our sole supplier in 2012. While we expect Siegfried will continue to be our sole supplier of sodium oxybate for the foreseeable future, we cannot assure you that Siegfried can or will continue to supply on a timely basis, or at all, sufficient quantities of active pharmaceutical ingredient to enable the manufacture of the quantities of Xyrem that we need.</w:t>
      </w:r>
    </w:p>
    <w:p>
      <w:pPr>
        <w:spacing w:after="0" w:line="1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Erwinaze is licensed to us, and manufactured for us, by the HPA, which is our sole supplier for Erwinaze. During the review and approval process by the FDA of the BLA for Erwinaze, EUSA Pharma agreed to a number of post-marketing commitments related to the manufacture of Erwinaze by the HPA. In the past, there has been a disruption of supply of Erwinase in the European market due to manufacturing challenges. Failure by the HPA to comply with regulatory requirements, including post-marketing commitments, could adversely affect its ability to supply Erwinaze to us and could result in FDA approval being revoked or product recalls, either of which could have a material adverse effect on our sales of and revenues from Erwinaze and limit our potential future maintenance and growth of the market for this product. We cannot assure you that the HPA will be able to continue to supply our ongoing commercial needs of Erwinaze in a timely manner, or at all, especially if our demand for product continues to increase. We have limited inventory of Erwinaze. If the HPA experiences a disruption in supply or capacity constraints as a result of increased demand, we do not have the right to engage a backup supplier for Erwinaze except in very limited circumstances, such as following the termination of the agreement by us due to the uncured material breach by the HPA or the cessation of the HPA’s business. If we are required to engage a backup or alternative supplier, the transfer of technical expertise and manufacturing process to the backup or alternative supplier would be difficult, costly and time-consuming and would increase the likelihood of a delay or interruption in manufacturing or a shortage of supply of Erwinaze. Any failure of the HPA to supply necessary quantities of Erwinaze could have a material adverse effect on our business, financial condition, results of operations and growth prospects. In addition, if the FDA or any non-U.S. regulatory authority mandates any changes to the specifications for Erwinaze, we may face challenges having product produced to meet such specifications, and the HPA may charge us more to supply Erwinaze meeting such specifications, which may result in additional costs to us and may decrease any profit we would otherwise achieve with Erwinaze.</w:t>
      </w:r>
    </w:p>
    <w:p>
      <w:pPr>
        <w:spacing w:after="0" w:line="4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are in the process of changing our supplier for ziconotide, the active ingredient in Prialt, and have commenced the transfer to the new supplier. We are also in the process of changing our finished product manufacturer for Prialt. There can be no assurance that the new supplier of ziconotide will be approved by the FDA or non-U.S. regulatory authorities or that the new manufacturer of Prialt will be approved by non-U.S. regulatory authorities, or that our commercial supplies of such products will be sufficient until such approvals have been obtained. Any failure to obtain and maintain sufficient commercial supplies could have a material adverse effect on our business, financial condition, results of operations and growth prospects.</w:t>
      </w:r>
    </w:p>
    <w:p>
      <w:pPr>
        <w:spacing w:after="0" w:line="2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For FazaClo LD, FazaClo HD and Luvox CR, we have single sources of supply for both the active pharmaceutical ingredient and finished product, and should it become necessary to change suppliers, the process could take two years or longer. Pursuant to our agreement, Douglas Pharmaceuticals has agreed to supply Versacloz finished product to us.</w:t>
      </w:r>
    </w:p>
    <w:p>
      <w:pPr>
        <w:spacing w:after="0" w:line="46"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Failure by our third party manufacturers to comply with regulatory requirements could adversely affect their ability to supply products or ingredients to us. All facilities and manufacturing techniques used for the manufacture of pharmaceutical products must be operated in conformity with the FDA’s current cGMP requirements. In complying with cGMP requirements, our suppliers must continually expend time, money and effort in production, record-keeping and quality assurance and control to ensure that our products and product candidates meet applicable specifications and other requirements for product safety, efficacy and quality. DEA regulations also govern facilities where controlled substances such as sodium oxybate are manufactured. Manufacturing facilities are subject to periodic unannounced inspection by the FDA, the DEA and other regulatory authorities, including state authorities and similar authorities in non-U.S. jurisdictions. Failure to comply with applicable legal requirements subjects the suppliers to possible legal or regulatory action, including shutdown, which may adversely affect their ability to supply us with the ingredients or finished products we need.</w:t>
      </w:r>
    </w:p>
    <w:p>
      <w:pPr>
        <w:spacing w:after="0" w:line="3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ability to develop and deliver products in a timely and competitive manner depends on our third party suppliers and manufacturers being able to continue to meet our ongoing commercial needs. Any delay in supplying, or failure to supply, products by any of our suppliers could result in our inability to meet the commercial demand for our products, or our needs for use in clinical trials, and could adversely affect our business, financial condition, results of operations and growth prospects.</w:t>
      </w:r>
    </w:p>
    <w:p>
      <w:pPr>
        <w:spacing w:after="0" w:line="13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may not be able to successfully identify and acquire, in-license or develop additional products or product candidates to grow our business, and, even if we are able to do so, we may not be able to successfully manage the risks associated with integrating any products or product candidates we may acquire in the future into our product portfolio or we may otherwise fail to realize the anticipated benefits of these acquisitions.</w:t>
      </w:r>
    </w:p>
    <w:p>
      <w:pPr>
        <w:spacing w:after="0" w:line="1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intend to grow our business over the long term by acquiring or in-licensing and developing additional products and product candidates that we believe have significant commercial potential. Future growth through acquisition or in-licensing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will depend upon the availability of suitable products and product candidates for acquisition or in-licensing on acceptable prices, terms and conditions. Any growth through development will depend upon our identifying and obtaining product candidates, our ability to develop those product candidates and the availability of funding to complete the development of, obtain regulatory approval for and commercialize these product candidates. Even if appropriate opportunities are available, we may not be able to successfully identify them, or we may not have the financial resources necessary to pursue them. Other companies, many of which may have substantially greater financial, marketing and sales resources, compete with us for these opportunities.</w:t>
      </w:r>
    </w:p>
    <w:p>
      <w:pPr>
        <w:spacing w:after="0" w:line="23"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cannot assure you that we will be able to successfully manage these risks or other anticipated and unanticipated problems in connection with an acquisition or in-licensing. We may not be able to realize the anticipated benefits of any acquisition or in-licensing for a variety of reasons, including the possibility that a product candidate proves not to be safe or effective in later clinical trials, a product fails to reach its forecasted commercial potential or the integration of a product or product candidate gives rise to unforeseen difficulties and expenditures. Any failure in identifying and managing these risks and uncertainties effectively would have a material adverse effect on our business.</w:t>
      </w:r>
    </w:p>
    <w:p>
      <w:pPr>
        <w:spacing w:after="0" w:line="1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financial and strategic benefits from the Azur Merger and/or the EUSA Acquisition or be able to successfully integrate the acquired businesses.</w:t>
      </w:r>
    </w:p>
    <w:p>
      <w:pPr>
        <w:spacing w:after="0" w:line="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Azur Merger, which was completed in January 2012, and the EUSA Acquisition, which was completed in June 2012, created numerous uncertainties and risks, and have required, and will continue to require, significant efforts and expenditures, including with respect to integrating the acquired businesses with our historical business. We may encounter unexpected difficulties, or incur unexpected costs, in connection with our transition activities and integration efforts, which include:</w:t>
      </w:r>
    </w:p>
    <w:p>
      <w:pPr>
        <w:spacing w:after="0" w:line="52" w:lineRule="exact"/>
        <w:rPr>
          <w:sz w:val="20"/>
          <w:szCs w:val="20"/>
          <w:color w:val="auto"/>
        </w:rPr>
      </w:pPr>
    </w:p>
    <w:p>
      <w:pPr>
        <w:ind w:left="740" w:right="460" w:hanging="327"/>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our lack of experience in new markets, including the oncology market, will not allow us to achieve growth in, or maintain current levels of, sales of our products in such markets;</w:t>
      </w:r>
    </w:p>
    <w:p>
      <w:pPr>
        <w:spacing w:after="0" w:line="35" w:lineRule="exact"/>
        <w:rPr>
          <w:rFonts w:ascii="Arial" w:cs="Arial" w:eastAsia="Arial" w:hAnsi="Arial"/>
          <w:sz w:val="18"/>
          <w:szCs w:val="18"/>
          <w:color w:val="auto"/>
        </w:rPr>
      </w:pPr>
    </w:p>
    <w:p>
      <w:pPr>
        <w:jc w:val="both"/>
        <w:ind w:left="740" w:right="280" w:hanging="327"/>
        <w:spacing w:after="0" w:line="334"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strain on, and need to expand, our existing operational, technical, financial and administrative infrastructure, including our financial controls and reporting systems and procedures and disaster recovery procedures, in connection with integrating three different businesses and operations;</w:t>
      </w:r>
    </w:p>
    <w:p>
      <w:pPr>
        <w:spacing w:after="0" w:line="1" w:lineRule="exact"/>
        <w:rPr>
          <w:rFonts w:ascii="Arial" w:cs="Arial" w:eastAsia="Arial" w:hAnsi="Arial"/>
          <w:sz w:val="16"/>
          <w:szCs w:val="16"/>
          <w:color w:val="auto"/>
        </w:rPr>
      </w:pPr>
    </w:p>
    <w:p>
      <w:pPr>
        <w:ind w:left="740" w:right="120" w:hanging="327"/>
        <w:spacing w:after="0" w:line="259"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acquisitions, including professional fees to comply with corporate and tax laws and financial reporting requirements in a number of countries in Europe, costs and expenses incurred in connection with travel, and additional costs we may incur going forward as a result of our corporate structure that includes an increased number of subsidiaries in multiple additional countries;</w:t>
      </w:r>
    </w:p>
    <w:p>
      <w:pPr>
        <w:spacing w:after="0" w:line="51"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w:t>
      </w:r>
    </w:p>
    <w:p>
      <w:pPr>
        <w:spacing w:after="0" w:line="90" w:lineRule="exact"/>
        <w:rPr>
          <w:rFonts w:ascii="Arial" w:cs="Arial" w:eastAsia="Arial" w:hAnsi="Arial"/>
          <w:sz w:val="18"/>
          <w:szCs w:val="18"/>
          <w:color w:val="auto"/>
        </w:rPr>
      </w:pPr>
    </w:p>
    <w:p>
      <w:pPr>
        <w:ind w:left="740" w:right="160" w:hanging="327"/>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unanticipated liabilities for activities of or related to Azur Pharma or EUSA Pharma or any of their operations, products or product candidates that occurred prior to the closing of the respective acquisitions or before adequate risk mitigation could be accomplished.</w:t>
      </w:r>
    </w:p>
    <w:p>
      <w:pPr>
        <w:spacing w:after="0" w:line="1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If any of these factors impairs our ability to integrate the acquired businesses successfully or on a timely basis, we may not be able to realize the anticipated financial and strategic benefits from combining the businesses. In addition, we may be required to spend additional time or money on integration activities that otherwise would be spent on the development and expansion of our business. If we fail to integrate or otherwise manage the acquired businesses successfully and in a timely manner, resulting operating inefficiencies could increase costs and expenses more than we planned, could negatively impact the market price of our ordinary shares and otherwise distract us from execution of our strategy. Failure to maintain effective financial controls and reporting systems and procedures could also impact our ability to produce timely and accurate financial statements.</w:t>
      </w:r>
    </w:p>
    <w:p>
      <w:pPr>
        <w:spacing w:after="0" w:line="4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a result of these transactions, we have grown rapidly, and our business and corporate structure has become substantially more complex. There can be no assurance that we will effectively manage the increased complexity without experiencing operating inefficiencies or control deficiencies. Significant management time and effort is required to effectively manage the increased complexity of the combined business and our failure to successfully do so could have a material adverse effect on our business, financial condition, results of operations and growth prospects. In addition, as a result of these transactions, our financial statements and results of operations in prior years may not provide meaningful guidance to form an assessment of the prospects or potential success of our future business operations.</w:t>
      </w:r>
    </w:p>
    <w:p>
      <w:pPr>
        <w:spacing w:after="0" w:line="13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but we do not have substantial experience in international markets and may not achieve the results that we or our shareholders expect.</w:t>
      </w:r>
    </w:p>
    <w:p>
      <w:pPr>
        <w:spacing w:after="0" w:line="3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are headquartered in Dublin, Ireland and have multiple offices in the United States, the United Kingdom, and other countries in Europe. Our headcount has grown from approximately 260 employees at the end of 2011 to approximately 610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February 2013. This includes employees in ten countries in Europe, a European commercial presence, and a complex distribution network for products in Europe and additional territories. In addition, we may expand our international operations into other countries in the future, either organically or by acquisition. While we have acquired significant management and other personnel with substantial international experience, because we are conducting a larger portion of our business outside of the United States, we are now subject to a variety of risks and complexities that may materially and adversely affect our business, results of operations and financial condition, including, among other things:</w:t>
      </w:r>
    </w:p>
    <w:p>
      <w:pPr>
        <w:spacing w:after="0" w:line="37"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w:t>
      </w:r>
    </w:p>
    <w:p>
      <w:pPr>
        <w:spacing w:after="0" w:line="90" w:lineRule="exact"/>
        <w:rPr>
          <w:rFonts w:ascii="Arial" w:cs="Arial" w:eastAsia="Arial" w:hAnsi="Arial"/>
          <w:sz w:val="18"/>
          <w:szCs w:val="18"/>
          <w:color w:val="auto"/>
        </w:rPr>
      </w:pPr>
    </w:p>
    <w:p>
      <w:pPr>
        <w:ind w:left="740" w:right="360" w:hanging="327"/>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diverse regulatory, financial and legal requirements, and any changes to such requirements in one or more countries where we are located or do business;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country-specific tax laws and regulations;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complying with applicable trade laws, tariffs, export quotas, custom duties or other trade restrictions and any changes to them;</w:t>
      </w:r>
    </w:p>
    <w:p>
      <w:pPr>
        <w:spacing w:after="0" w:line="90" w:lineRule="exact"/>
        <w:rPr>
          <w:rFonts w:ascii="Arial" w:cs="Arial" w:eastAsia="Arial" w:hAnsi="Arial"/>
          <w:sz w:val="18"/>
          <w:szCs w:val="18"/>
          <w:color w:val="auto"/>
        </w:rPr>
      </w:pPr>
    </w:p>
    <w:p>
      <w:pPr>
        <w:ind w:left="740" w:right="820" w:hanging="327"/>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non-U.S. currency rates;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relating to data security and the unauthorized use of, or access to, commercial and personal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effectively manage these risks could have a material adverse effect on our business.</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recent years, the global economy has been impacted by the effects of an ongoing global financial crisis, including the European sovereign debt crisis, which has caused extreme disruption in the financial markets, including severely diminished liquidity and credit availability. Continuing worldwide economic instability, including challenges faced by the Eurozone and certain of the countries in Europe, could adversely affect our revenues, financial condition or results of operations, if, for example, our customers in Europe fail to pay or delay payments owed to us for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commercial success of our products depends upon their market acceptance by physicians, patients, third party payors and the medical community.</w:t>
      </w:r>
    </w:p>
    <w:p>
      <w:pPr>
        <w:spacing w:after="0" w:line="1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Physicians may not prescribe our products, in which case we would not generate the revenues we anticipate from product sales. Market acceptance of any of our products by physicians, patients, third party payors and the medical community depends on:</w:t>
      </w:r>
    </w:p>
    <w:p>
      <w:pPr>
        <w:spacing w:after="0" w:line="35" w:lineRule="exact"/>
        <w:rPr>
          <w:sz w:val="20"/>
          <w:szCs w:val="20"/>
          <w:color w:val="auto"/>
        </w:rPr>
      </w:pPr>
    </w:p>
    <w:p>
      <w:pPr>
        <w:ind w:left="740" w:hanging="327"/>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a product is approved, including any restrictions placed upon the product in connection with its approval, such as a REMS, patient registry or labeling restrictions;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the severity of side effects;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advantages over alternative treatments;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the product is approved for inclusion on formularies of hospitals and managed care organizations;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parties.</w:t>
      </w:r>
    </w:p>
    <w:p>
      <w:pPr>
        <w:spacing w:after="0" w:line="90"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Because of our dependence upon market acceptance of our products, any adverse publicity associated with harm to patients or other adverse effects resulting from the use or misuse of our products or any similar products distributed by other companies could materially and adversely affect our business, financial condition, results of operations and growth prospects. For example, from time to time, there is negative publicity about illicit GHB, and its effects, including with respect to illegal use, overdoses, serious injury and death. Because sodium oxybate, the active pharmaceutical ingredient in Xyrem, is a derivative of GHB, Xyrem sometimes also receives negative mention in publicity relating to GHB. Patients, physicians and regulators may therefore view Xyrem as the same as or similar to illicit GHB. In addition, there are regulators and some law enforcement agencies that oppose the prescription and use of Xyrem generally because of its connection to GHB. Xyrem’s label includes information about adverse events from GHB.</w:t>
      </w:r>
    </w:p>
    <w:p>
      <w:pPr>
        <w:spacing w:after="0" w:line="11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greater resources, including larger sales organizations and more experience working with large and diverse product portfolios, than we have.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commercial opportunities of our products or potential future products may be reduced or eliminated if our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competitors develop or acquire and commercialize generic or branded products that are safer or more effective, have fewer side effects, are easier to administer or are less expensive than our products. Many of our competitors, particularly large pharmaceutical and life sciences companies, have substantially greater financial, operational and human resources than we do. They can spend more on, and have more expertise in, research and development, regulatory, manufacturing, distribution and sales activities. As a result, our competitors may obtain FDA or other regulatory approvals for their product candidates more rapidly than we may and may market their products more effectively than we do. Smaller or earlier stage companies may also prove to be significant competitors, particularly through collaborative arrangements with large, established companies.</w:t>
      </w:r>
    </w:p>
    <w:p>
      <w:pPr>
        <w:spacing w:after="0" w:line="43" w:lineRule="exact"/>
        <w:rPr>
          <w:sz w:val="20"/>
          <w:szCs w:val="20"/>
          <w:color w:val="auto"/>
        </w:rPr>
      </w:pPr>
    </w:p>
    <w:p>
      <w:pPr>
        <w:ind w:right="180" w:firstLine="432"/>
        <w:spacing w:after="0" w:line="270" w:lineRule="auto"/>
        <w:rPr>
          <w:sz w:val="20"/>
          <w:szCs w:val="20"/>
          <w:color w:val="auto"/>
        </w:rPr>
      </w:pPr>
      <w:r>
        <w:rPr>
          <w:rFonts w:ascii="Arial" w:cs="Arial" w:eastAsia="Arial" w:hAnsi="Arial"/>
          <w:sz w:val="17"/>
          <w:szCs w:val="17"/>
          <w:color w:val="auto"/>
        </w:rPr>
        <w:t>In addition, many of our competitors are able to deploy more personnel to market and sell their products than we do. We currently have a relatively small number of sales representatives compared with the number of sales representatives of most other pharmaceutical companies with marketed products. Each of our sales representatives is responsible for a territory of significant size. The continued growth of our current products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pharmaceutical and life sciences companies to recruit, hire, train and retain sales and marketing personnel, and turnover in our sales force and marketing personnel could negatively affect sales of our products. If our specialty sales forces and sales organization is not appropriately sized to adequately promote any current or potential future products, the commercial opportunity for our current or potential future products may be diminished.</w:t>
      </w:r>
    </w:p>
    <w:p>
      <w:pPr>
        <w:spacing w:after="0" w:line="43"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In 2012 we added Erwinaze, as well as other smaller products in the oncology supportive care market, to our product portfolio. We compete with a significant number of pharmaceutical and life sciences companies with extensive sales, marketing and promotional experience in the oncology and oncology supportive care markets, and our failure to compete effectively in this area could negatively affect our sales of Erwinaze and other products.</w:t>
      </w:r>
    </w:p>
    <w:p>
      <w:pPr>
        <w:spacing w:after="0" w:line="11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Conducting clinical trials is costly and time consuming, and the outcomes are uncertain. A failure to prove that our product candidates are safe and effective in clinical trials would require us to discontinue their development, which could materially and adversely affect our business, financial condition, results of operations and growth prospects.</w:t>
      </w:r>
    </w:p>
    <w:p>
      <w:pPr>
        <w:spacing w:after="0" w:line="46" w:lineRule="exact"/>
        <w:rPr>
          <w:sz w:val="20"/>
          <w:szCs w:val="20"/>
          <w:color w:val="auto"/>
        </w:rPr>
      </w:pPr>
    </w:p>
    <w:p>
      <w:pPr>
        <w:ind w:firstLine="432"/>
        <w:spacing w:after="0" w:line="242" w:lineRule="auto"/>
        <w:rPr>
          <w:sz w:val="20"/>
          <w:szCs w:val="20"/>
          <w:color w:val="auto"/>
        </w:rPr>
      </w:pPr>
      <w:r>
        <w:rPr>
          <w:rFonts w:ascii="Arial" w:cs="Arial" w:eastAsia="Arial" w:hAnsi="Arial"/>
          <w:sz w:val="17"/>
          <w:szCs w:val="17"/>
          <w:color w:val="auto"/>
        </w:rPr>
        <w:t>We expect to increase our research and development organization to pursue targeted development activities in 2013. We have several development pipeline projects, including the development of two product candidates: Asparec</w:t>
      </w:r>
      <w:r>
        <w:rPr>
          <w:rFonts w:ascii="Arial" w:cs="Arial" w:eastAsia="Arial" w:hAnsi="Arial"/>
          <w:sz w:val="24"/>
          <w:szCs w:val="24"/>
          <w:color w:val="auto"/>
          <w:vertAlign w:val="superscript"/>
        </w:rPr>
        <w:t>®</w:t>
      </w:r>
      <w:r>
        <w:rPr>
          <w:rFonts w:ascii="Arial" w:cs="Arial" w:eastAsia="Arial" w:hAnsi="Arial"/>
          <w:sz w:val="17"/>
          <w:szCs w:val="17"/>
          <w:color w:val="auto"/>
        </w:rPr>
        <w:t>, which is in a Phase I clinical trial in Europe, and Leukotac</w:t>
      </w:r>
      <w:r>
        <w:rPr>
          <w:rFonts w:ascii="Arial" w:cs="Arial" w:eastAsia="Arial" w:hAnsi="Arial"/>
          <w:sz w:val="24"/>
          <w:szCs w:val="24"/>
          <w:color w:val="auto"/>
          <w:vertAlign w:val="superscript"/>
        </w:rPr>
        <w:t>®</w:t>
      </w:r>
      <w:r>
        <w:rPr>
          <w:rFonts w:ascii="Arial" w:cs="Arial" w:eastAsia="Arial" w:hAnsi="Arial"/>
          <w:sz w:val="17"/>
          <w:szCs w:val="17"/>
          <w:color w:val="auto"/>
        </w:rPr>
        <w:t>, which is in a Phase III clinical trial also in Europe. We also intend to pursue clinical development of other product candidates that we may acquire or in-license in the future. Significant clinical, development and financial resources will be required to progress these product candidates to obtain necessary regulatory approvals and to develop them into commercially viable products. We have not been successful in developing any product candidates that received FDA approval in the past. If a product candidate fails at any stage of development, it will not receive regulatory approval, we will not be able to commercialize it, or potentially even to continue to receive modest revenue being generated as a result of sales under a named patient program, such as in the case of Leukotac, and we will not receive any return on our investment from that product candidate.</w:t>
      </w:r>
    </w:p>
    <w:p>
      <w:pPr>
        <w:spacing w:after="0" w:line="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a condition to regulatory approval, each drug product candidate must undergo extensive and expensive clinical trials to demonstrate to a statistically significant degree that the product candidate is safe and effective. Clinical testing can take many years to complete and failure can occur any time during the clinical trial process. Any failure or delay in completing clinical trials for our product candidates would prevent or delay the commercialization of our product candidates, which could materially and adversely affect our business, financial condition, results of operations and growth prospects.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Clinical trials can be delayed or halted for a variety of reasons, including:</w:t>
      </w:r>
    </w:p>
    <w:p>
      <w:pPr>
        <w:spacing w:after="0" w:line="90" w:lineRule="exact"/>
        <w:rPr>
          <w:sz w:val="20"/>
          <w:szCs w:val="20"/>
          <w:color w:val="auto"/>
        </w:rPr>
      </w:pPr>
    </w:p>
    <w:p>
      <w:pPr>
        <w:ind w:left="740" w:right="68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0" w:lineRule="exact"/>
        <w:rPr>
          <w:rFonts w:ascii="Arial" w:cs="Arial" w:eastAsia="Arial" w:hAnsi="Arial"/>
          <w:sz w:val="18"/>
          <w:szCs w:val="18"/>
          <w:color w:val="auto"/>
        </w:rPr>
      </w:pPr>
    </w:p>
    <w:p>
      <w:pPr>
        <w:ind w:left="740" w:right="54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or IRB, to conduct a clinical trial at a prospective study site;</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recruiting patients to participate in a clinical trial;</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to be in compliance with the FDA’s Good Clinical Practices;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including negative results from ongoing preclinical studies and adverse events associated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with product candidates;</w:t>
      </w:r>
    </w:p>
    <w:p>
      <w:pPr>
        <w:spacing w:after="0" w:line="104"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of our third-party clinical trial managers to satisfy their contractual duties, comply with regulations or meet expected deadlines; or</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results from early clinical trials may not be predictive of results obtained in later and larger clinical trials, and product candidates in later clinical trials may fail to show the desired safety and efficacy despite having progressed successfully through initial clinical testing. In that case, the FDA or the equivalent in jurisdictions outside of the United States may determine our data is not sufficiently compelling to warrant marketing approval, may require we engage in additional clinical trials, or provide further analysis which may be costly and time-consuming. A number of companies in the pharmaceutical industry, including us, have suffered significant setbacks in clinical trials, even in advanced clinical trials after showing positive results in earlier clinical trials.</w:t>
      </w:r>
    </w:p>
    <w:p>
      <w:pPr>
        <w:spacing w:after="0" w:line="5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are currently undertaking a Phase 1 clinical trial of Asparec. Under our license agreement with Alizé under which we obtained rights to develop and commercialize Asparec, we are subject to contractual obligations to meet certain development milestones within certain timeframes. Our ability to meet each of these milestones is uncertain, and depends upon a number of factors, including our ability to obtain clinical material and to develop a clinical program meeting the development requirements of both the FDA and European regulatory authorities in a timely fashion. If our development activities are delayed for any reason and we fail to meet our licensing obligations to Alizé, we may lose our rights to develop and commercialize Asparec.</w:t>
      </w:r>
    </w:p>
    <w:p>
      <w:pPr>
        <w:spacing w:after="0" w:line="23"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 xml:space="preserve">Our development pipeline projects include not only new product candidates, but also projects involving line extensions for existing products and the generation of additional clinical data for existing products. For example, we are conducting a pharmacokinetic clinical trial of the intravenous administration of Erwinaze in the North America, to generate support for approval for the intravenous administration of Erwinaze, which is intended to provide more convenient dosing for patients. We also plan to conduct a clinical trial including pharmacokinetic efficacy measures to evaluate Erwinaze in adolescents and young adults with ALL who are hypersensitive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which is expected to begin in the second half of 2013. These development efforts may not be successful, and any adverse events or other information generated during the course of our studies related to existing products could result in action by the FDA or any non-U.S. regulatory agency, which may restrict our ability to sell, or sales of, currently marketed products, or such events or other information could otherwise have a material adverse effect on a related commercial product. Any failure or delay in completing clinical trials for line extensions or the generation of additional clinical data could materially and adversely affect the maintenance and growth of the markets for the related marketed products, which could adversely affect our business, financial condition, results of operations and overall growth prospects.</w:t>
      </w:r>
    </w:p>
    <w:p>
      <w:pPr>
        <w:spacing w:after="0" w:line="11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if they do not properly and successfully perform their legal and regulatory obligations, as well as their contractual obligations to us, we may not be able to obtain regulatory approvals for our product candidates.</w:t>
      </w:r>
    </w:p>
    <w:p>
      <w:pPr>
        <w:spacing w:after="0" w:line="11"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We rely on contract research organizations and other third parties to assist us in designing, managing, monitoring and otherwise carrying out our clinical trials, including with respect to site selection, contract negotiation and data management. We do not control these third parties and, as a result, they may not treat our clinical studies as their highest priority, or in the manner in which we would prefer, which could result in delays. We are responsible for confirming that each of our clinical trials is conducted in accordance with its general investigational plan and protocol, as well as FDA’s and non-U.S. regulatory agencies’ requirements, commonly referred to as good clinical practices, for conducting, recording and reporting the results of clinical trials to ensure that the data and results are credible and accurate and that the trial participants are adequately protected. The FDA and non-U.S. regulatory agencies enforce good clinical practices through periodic inspections of trial sponsors, principal investigators and trial sites. If we, contract research organizations or other third parties assisting us or our study sites fail to comply with applicable good clinical practices,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good clinical practices. In addition, our clinical trials must be conducted with product produced under the FDA’s cGMP regulations and similar regulations outside of the United States. Our failure, or the failure of our product manufacturers, to comply with these regulations may require us to repeat or redesign clinical trials, which would delay the regulatory approval process.</w:t>
      </w:r>
    </w:p>
    <w:p>
      <w:pPr>
        <w:spacing w:after="0" w:line="52"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color w:val="auto"/>
        </w:rPr>
        <w:t>If third parties do not successfully carry out their duties under their agreements with us, if the quality or accuracy of the data they obtain is compromised due to failure to adhere to our clinical protocols or regulatory requirements, or if they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3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and on our ability to develop and maintain important relationships with leading academic institutions, clinicians and scientists. We are highly dependent upon our executive management team and other critical personnel, all of whom work on many complex matters that are essential to our success. We do not carry “key person” insurance. The loss of services of one or more members of our executive management team or other key personnel could delay or prevent the successful completion of some of our vital activities. Any employee may terminate his or her employment at any time without notice or with only a few months’ notice and without cause or good reason. Since the completion of the Azur Pharma and EUSA Pharma transactions, several members of the former management teams of those entities, as well as other employees, have left our company to pursue other opportunities. The resulting loss of institutional knowledge may negatively impact our achievement of the anticipated benefits of those transactions.</w:t>
      </w:r>
    </w:p>
    <w:p>
      <w:pPr>
        <w:spacing w:after="0" w:line="4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to grow our company we will need additional personnel. Competition for qualified personnel in the pharmaceutical industry is very intense. If we lose key personnel or are unable to attract, retain and motivate quality individuals, our business, financial condition, results of operations and growth prospects could be adversely affected.</w:t>
      </w:r>
    </w:p>
    <w:p>
      <w:pPr>
        <w:spacing w:after="0" w:line="46"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We also depend on the unique abilities, industry experience and institutional knowledge of the members of our board of directors to efficiently set company strategy and effectively guide our executive management team. We cannot be certain that future board turnover will not negatively affect our business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products and product candidates and their use and the methods used to manufacture and distribute them, as well as successfully defending these patents against third party challenges, and successfully protecting our trade secrets. Our ability to protect our products and product candidates from unauthorized making, using, selling, offering to sell or importation by third parties depends on the extent to which we have rights under valid and enforceable patents, or have trade secrets that cover these activities.</w:t>
      </w:r>
    </w:p>
    <w:p>
      <w:pPr>
        <w:spacing w:after="0" w:line="53" w:lineRule="exact"/>
        <w:rPr>
          <w:sz w:val="20"/>
          <w:szCs w:val="20"/>
          <w:color w:val="auto"/>
        </w:rPr>
      </w:pPr>
    </w:p>
    <w:p>
      <w:pPr>
        <w:ind w:firstLine="432"/>
        <w:spacing w:after="0" w:line="257" w:lineRule="auto"/>
        <w:rPr>
          <w:sz w:val="20"/>
          <w:szCs w:val="20"/>
          <w:color w:val="auto"/>
        </w:rPr>
      </w:pPr>
      <w:r>
        <w:rPr>
          <w:rFonts w:ascii="Arial" w:cs="Arial" w:eastAsia="Arial" w:hAnsi="Arial"/>
          <w:sz w:val="17"/>
          <w:szCs w:val="17"/>
          <w:color w:val="auto"/>
        </w:rPr>
        <w:t>The patent position of pharmaceutical companies can be highly uncertain and involve complex legal and factual questions. Changes in either the patent laws or in interpretations of patent laws in the United States and other countries may diminish the value of our intellectual property. Even if we are able to obtain patents covering our products and product candidates, any patent may be challenged, invalidated, held unenforceable or circumvented. Although Xyrem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covered by patents covering its formulation, distribution system and method of use, including a new formulation and method of use patent issued by the USPTO in September 2012 and a new patent for the treatment of narcolepsy issued by the USPTO in December 2012, third parties are seeking to introduce a generic equivalent of Xyrem, and additional third parties may also attempt to invalidate or design around the patents, or assert that they are invalid or otherwise unenforceable, and seek to introduce generic versions of Xyrem. If one or more companies receive FDA approval of an ANDA, it is possible that such company or companies could introduce generic versions of Xyrem before our patents expire if they do not infringe our patents or if it is determined that our patents are invalid or unenforceable.</w:t>
      </w:r>
    </w:p>
    <w:p>
      <w:pPr>
        <w:spacing w:after="0" w:line="56"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December 10, 2012, we received a Paragraph IV Certification from Amneal Pharmaceuticals, LLC, or Amneal, that it filed an ANDA with the FDA requesting approval to market a generic version of Xyrem before the expiration of the Orange-Book-listed patents relating to Xyrem. Previously, on October 18, 2010, we received notice that Roxane filed an ANDA with the FDA requesting approval to market a generic version of Xyrem before the expiration of the Orange-Book-listed patents relating to Xyrem. If either of these applications is approved, and a generic version of Xyrem is introduced, our sales of Xyrem would be adversely affected. Additional ANDAs could also be filed requesting approval to market generic forms of Xyrem; if those applications for generics were approved and the generics were launched, sales of Xyrem would decrease. We have sued both Roxane and Amneal to prevent either from introducing a generic version of Xyrem that would infringe our patents, but we cannot assure you that the lawsuit will prevent the introduction of a generic version of Xyrem for any particular length of time, or at all. See the risk factor in this Item 1A entitled “</w:t>
      </w:r>
      <w:r>
        <w:rPr>
          <w:rFonts w:ascii="Arial" w:cs="Arial" w:eastAsia="Arial" w:hAnsi="Arial"/>
          <w:sz w:val="17"/>
          <w:szCs w:val="17"/>
          <w:i w:val="1"/>
          <w:iCs w:val="1"/>
          <w:color w:val="auto"/>
        </w:rPr>
        <w:t>If generic products that compete with Xyrem</w:t>
      </w:r>
      <w:r>
        <w:rPr>
          <w:rFonts w:ascii="Arial" w:cs="Arial" w:eastAsia="Arial" w:hAnsi="Arial"/>
          <w:sz w:val="17"/>
          <w:szCs w:val="17"/>
          <w:color w:val="auto"/>
        </w:rPr>
        <w:t xml:space="preserve"> </w:t>
      </w:r>
      <w:r>
        <w:rPr>
          <w:rFonts w:ascii="Arial" w:cs="Arial" w:eastAsia="Arial" w:hAnsi="Arial"/>
          <w:sz w:val="17"/>
          <w:szCs w:val="17"/>
          <w:i w:val="1"/>
          <w:iCs w:val="1"/>
          <w:color w:val="auto"/>
        </w:rPr>
        <w:t>are approved and launched, sales of Xyrem would be adversely affected.</w:t>
      </w:r>
      <w:r>
        <w:rPr>
          <w:rFonts w:ascii="Arial" w:cs="Arial" w:eastAsia="Arial" w:hAnsi="Arial"/>
          <w:sz w:val="17"/>
          <w:szCs w:val="17"/>
          <w:color w:val="auto"/>
        </w:rPr>
        <w:t>”</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Azur Pharma received Paragraph IV certifications from three generic manufacturers, two in 2008 and one in 2010,</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relating to generic versions of FazaClo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LD. Azur Pharma and CIMA, our licensor and whose drug-delivery technology is incorporated into FazaClo LD, filed lawsuits in response to each certification. In July 2011, Azur Pharma, CIMA, Barr Laboratories (one of the three generic manufacturers) and Teva, which had acquired Barr Laboratories, entered into an agreement settling the patent litigation and granting a license of our rights to have manufactured, market and sell a generic version of FazaClo LD and FazaClo HD. The sublicenses for FazaClo LD commenced in July 2012; the sublicense for FazaClo HD will commence in May 2015 or earlier upon the occurrence of certain events. In August 2011, Azur Pharma received a Paragraph IV certification notice from Teva advising that Teva had filed an ANDA with the FDA seeking approval to market a generic version of FazaClo HD. As noted above, FazaClo HD was covered under the July 2011 settlement agreement with Teva. In the July 2011 settlement agreement, Azur Pharma granted a sublicense to an affiliate of Teva of Azur Pharma’s rights to have manufactured, market and sell a generic version of both FazaClo LD and FazaClo HD, as well as an option for supply of authorized generic product. Teva exercised its option for supply of an authorized generic product for FazaClo LD and launched the authorized generic product at the end of August 2012, which is having a negative impact on our sales of FazaClo LD and may have a negative impact on our sales of FazaClo HD in future periods.</w:t>
      </w:r>
    </w:p>
    <w:p>
      <w:pPr>
        <w:spacing w:after="0" w:line="6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two formulation patents covering FazaClo LD and FazaClo HD that we license from CIMA are under re-examination by the USPTO and both of the re-examination proceedings have proceeded to appeal at the USPTO. It is currently not possible to predict whether these re-examination proceedings will result in one or both of the patents being fully or partly invalidated. Any decision on the part of the USPTO that results in one or both of the patents being fully or partly invalidated could accelerate the entry of additional generic competitors for FazaClo LD and FazaClo HD.</w:t>
      </w:r>
    </w:p>
    <w:p>
      <w:pPr>
        <w:spacing w:after="0" w:line="3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existence of a patent will not necessarily prevent other companies from developing similar or therapeutically equivalent products or protect us from claims of third parties that our products infringe their issued patents, which may require licensing and the payment of significant fees or royalties. Competitors may successfully challenge our patents, produce similar products that do not infringe our patents, or manufacture products in countries where we have not applied for patent protection or that do not respect our patents. Accordingly, we cannot predict the breadth of claims that may be allowed or enforced in our patents, our licensed patents or in third party patents.</w:t>
      </w:r>
    </w:p>
    <w:p>
      <w:pPr>
        <w:spacing w:after="0" w:line="53"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USPTO has issued some and is developing additional regulations and procedures to govern administration of the Leahy-Smith Act, and many of the substantive changes to patent law associated with the Leahy-Smith Act will not become effective until March 2013. Accordingly, it is too early to tell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3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degree of future protection to be afforded by our proprietary rights is uncertain because legal means afford only limited protection and may not adequately protect our rights or permit us to gain or keep our competitive advantage. For example:</w:t>
      </w:r>
    </w:p>
    <w:p>
      <w:pPr>
        <w:spacing w:after="0" w:line="35" w:lineRule="exact"/>
        <w:rPr>
          <w:sz w:val="20"/>
          <w:szCs w:val="20"/>
          <w:color w:val="auto"/>
        </w:rPr>
      </w:pPr>
    </w:p>
    <w:p>
      <w:pPr>
        <w:ind w:left="740" w:right="20" w:hanging="327"/>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our patents, or for which we are not licensed under our license agreements;</w:t>
      </w:r>
    </w:p>
    <w:p>
      <w:pPr>
        <w:spacing w:after="0" w:line="35" w:lineRule="exact"/>
        <w:rPr>
          <w:rFonts w:ascii="Arial" w:cs="Arial" w:eastAsia="Arial" w:hAnsi="Arial"/>
          <w:sz w:val="18"/>
          <w:szCs w:val="18"/>
          <w:color w:val="auto"/>
        </w:rPr>
      </w:pPr>
    </w:p>
    <w:p>
      <w:pPr>
        <w:ind w:left="740" w:right="100" w:hanging="327"/>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make the inventions covered by our issued patents or pending patent applications or the pending patent applications or issued patents of our licensors or partners;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file patent applications for these inventions;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without infringing our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0"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issued patents and the issued patents of our licensors or partners may not provide us with any competitive advantages, or may be held invalid or unenforceable as a result of legal challenges by third parties;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issued patents and the issued patents of our licensors or partners may be vulnerable to legal challenges as a result of changes in applicable law;</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that are patentable; or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also may rely on trade secrets and other unpatented proprietary information to protect our technology, especially where we do not believe patent protection is appropriate or obtainable. However, trade secrets are difficult to protect. Although we use reasonable efforts to protect our trade secrets and other unpatented proprietary information, our employees, consultants, advisors and partners may unintentionally or willfully disclose our proprietary information to competitors, and we may not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have adequate remedies for such disclosures. If our employees, consultants, advisors and partners develop inventions or processes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 consuming, and the outcome is unpredictable. In addition, courts outside of the United States are sometimes less willing to protect trade secrets. Moreover, our competitors may independently develop equivalent knowledge, methods and know-how.</w:t>
      </w:r>
    </w:p>
    <w:p>
      <w:pPr>
        <w:spacing w:after="0" w:line="37" w:lineRule="exact"/>
        <w:rPr>
          <w:sz w:val="20"/>
          <w:szCs w:val="20"/>
          <w:color w:val="auto"/>
        </w:rPr>
      </w:pPr>
    </w:p>
    <w:p>
      <w:pPr>
        <w:ind w:right="20" w:firstLine="432"/>
        <w:spacing w:after="0" w:line="279" w:lineRule="auto"/>
        <w:rPr>
          <w:sz w:val="20"/>
          <w:szCs w:val="20"/>
          <w:color w:val="auto"/>
        </w:rPr>
      </w:pPr>
      <w:r>
        <w:rPr>
          <w:rFonts w:ascii="Arial" w:cs="Arial" w:eastAsia="Arial" w:hAnsi="Arial"/>
          <w:sz w:val="16"/>
          <w:szCs w:val="16"/>
          <w:color w:val="auto"/>
        </w:rPr>
        <w:t>Certain of the products we sell have no patent protection and, as a result, potential competitors face fewer barriers in introducing competing products. For example, Erwinaze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has no patent protection, and we therefore must rely on trade secrets and other unpatented proprietary information in order to obtain a competitive advantage, which we may be unable to do. Erwinaze, as a biologic product approved under a BLA, is subject to the BPCIA. The BPCIA establishes a period of twelve years of data exclusivity for reference products in order to preserve incentives for future innovation, protecting data included by the applicant in a BLA by prohibiting others from gaining FDA approval based in part on reliance on, or reference to, the data in the BLA during a twelve-year period. The FDA is in the process of implementing the BPCIA and has not established final guidelines for administering the review and approval of applications for data exclusivity. We expect that Erwinaze would receive data exclusivity in the United States through 2023 under the BPCIA. While Erwinaze has orphan drug marketing exclusivity for a seven-year period from its FDA approval in the United States until November 2018, and is expected to receive data exclusivity in the United States through 2023 under the BPCIA, it is possible that a potential competitor might obtain earlier approval from the FDA based upon an approval application that does not rely on or refer to data in our BLA for Erwinaze. In the European Union, the regulatory data protection and thus regulatory exclusivity period for Erwinaze has lapsed. This also means that any new marketing authorizations for Erwinaze in other European Union member states will not receive any regulatory data protection. If a biosimilar product to Erwinaze is approved in the future in the United States or in other countries where it is sold, a significant percentage of the prescriptions written for Erwinaze may be filled with the biosimilar version, resulting in a loss in sales of Erwinaze, and there may be a decrease in the price at which Erwinaze can be sold. Competition from a biosimilar product to Erwinaze could have a material adverse effect on our business, financial condition, results of operations and growth prospects. In addition, although there are patent applications for Asparec pending in the United States and 28 other countries, Asparec is not yet covered by any issued patents. Asparec was granted orphan drug designation by the FDA subject to certain conditions. In addition, the FDA has not yet clarified whether Asparec is eligible to receive data exclusivity under the BPCIA. If we fail to obtain orphan drug marketing exclusivity and/or data exclusivity, and if we also fail to successfully execute on other strategies to protect our intellectual property with respect to Asparec, including protection by one or more issued patents, Asparec would be subject to competition from a biosimilar product, which could have a material adverse effect on our ability to recognize any return on our investment in the development of this product as well as on our future growth prospects.</w:t>
      </w:r>
    </w:p>
    <w:p>
      <w:pPr>
        <w:spacing w:after="0" w:line="26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research and development collaborators may have rights to publish data and other information to which we have rights. In addition, we sometimes engage individuals or entities to conduct research that may be relevant to our business. While the ability of these individuals or entities to publish or otherwise publicly disclose data and other information generated during the course of their research is subject to contractual limitations, these contractual provisions may be insufficient or inadequate to protect our trade secrets and may impair our patent rights. If we do not apply for patent protection prior to such publication, or if we cannot otherwise maintain the confidentiality of our innovations and other confidential information, then our ability to obtain patent protection or protect our proprietary information may be jeopardized. Moreover, a dispute may arise with our research and development collaborators over the ownership of rights to jointly developed intellectual property. Such disputes, if not successfully resolved, could lead to a loss of rights and possibly prevent us from pursuing certain new products or product candidates.</w:t>
      </w:r>
    </w:p>
    <w:p>
      <w:pPr>
        <w:spacing w:after="0" w:line="1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 and we may be unable to protect our rights to, or commercialize, our products.</w:t>
      </w:r>
    </w:p>
    <w:p>
      <w:pPr>
        <w:spacing w:after="0" w:line="3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ability, and that of our partners, to commercialize any approved products will depend, in part, on our ability to obtain patents, enforce those patents and operate without infringing the proprietary rights of third parties. The patent positions of pharmaceutical companies can be highly uncertain and involve complex legal and factual questions. We have filed multiple U.S. patent applications and non-U.S. counterparts, and may file additional U.S. and non-U.S. patent applications related thereto. There can be no assurance that any issued patents we own or control will provide sufficient protection to conduct our business as presently conducted or as proposed to be conducted. Moreover, in part because of prior research performed and patent applications submitted in the same manner or similar fields, there can be no assurance that any patents will issue from the patent applications owned by us, or that we will remain free from infringement claims by third parties.</w:t>
      </w:r>
    </w:p>
    <w:p>
      <w:pPr>
        <w:spacing w:after="0" w:line="54"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color w:val="auto"/>
        </w:rPr>
        <w:t>If we choose to go to court to stop someone else from pursuing the inventions claimed in our patents, our licensed patents or our partners’ patents, that individual or company has the right to ask the court to rule that these patents are invalid and/or should not be enforced against that third party. These lawsuits are expensive and consume time and other resources, even if we were successful in stopping the infringement of these patents. In addition, there is a risk that the court will decide that these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patents are not valid and that we do not have the right to stop the other party from using the inventions. There is also the risk that, even if the validity of these patents is upheld, the court will refuse to stop the other party on the ground that the other party’s activities do not infringe our rights to these patents or that it is in the public interest to permit the infringing activity. We are prosecuting lawsuits against the generic manufacturers who delivered Paragraph IV certifications to us with respect to Xyrem and FazaClo LD. See Item 3. “Legal Proceedings.” We cannot assure you that these, or other lawsuits we may file in the future, will be successful in stopping the infringement of our patents, that any such litigation will be cost-effective, or that the litigation will have a satisfactory result for us.</w:t>
      </w:r>
    </w:p>
    <w:p>
      <w:pPr>
        <w:spacing w:after="0" w:line="5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w:t>
      </w:r>
    </w:p>
    <w:p>
      <w:pPr>
        <w:spacing w:after="0" w:line="58"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pharmaceutical and life sciences industry has produced a proliferation of patents, and it is not always clear to industry participants, including us, which patents cover various types of products or methods. The coverage of patents is subject to interpretation by the courts, and the interpretation is not always uniform. If we are sued for patent infringement, we would need to demonstrate that our products or methods do not infringe the patent claims of the relevant patent and/or that the patent claims are invalid or unenforceable, and we may not be able to do this.</w:t>
      </w:r>
    </w:p>
    <w:p>
      <w:pPr>
        <w:spacing w:after="0" w:line="3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Because some patent applications in the United States may be maintained in secrecy until the patents are issued, because patent applications in the United States and many non-U.S. jurisdictions are typically not published until 18 months after filing, and because publications in the scientific literature often lag behind actual discoveries, we cannot be certain that others have not filed patent applications for inventions covered by our licensors’ or our issued patents or pending applications, or that we or our licensors were the first inventors. Our competitors may have filed, and may in the future file, patent applications covering subject matter similar to ours. Any such patent application may have priority over our or our licensors’ patents or applications and could further require us to obtain rights to issued patents covering such subject matter.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resulting in a loss of our U.S. patent position with respect to such inventions.</w:t>
      </w:r>
    </w:p>
    <w:p>
      <w:pPr>
        <w:spacing w:after="0" w:line="62"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and other intellectual property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46"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own patents and trade secrets that cover elements of the Xyrem Risk Management Program. As a result of the implementation of the FDAAA, we have submitted updated REMS documents to the FDA, which are intended to conform the relevant elements of the Xyrem Risk Management Program to the current REMS formatting requirements, as well as to make other updates to the program and its documentation. We have had communications with the FDA with respect to our submitted REMS documents. These communications are ongoing, and we cannot predict the timing of finalization, or the final terms of, of our updated REMS documents. The FDA may impose new requirements for certain elements that we have implemented in our Xyrem Risk Management Program, or require us to modify our current practices. Any such requirements, depending on their substance and the extent of modifications required, could make it more difficult or expensive for us to distribute Xyrem, make it easier for future generic competitors, and/or negatively affect sales of Xyrem. In particular, if certain provisions of our Xyrem Risk Management Program that are currently protected by our patents are changed as part of updating our REMS documents, the ability of our existing patents to protect our Xyrem distribution system from generic competitors may be reduced, as certain claims of our patents may not provide as much protection in a modified REMS structure. The interpretation of intellectual property protections and the effect of these protections are extremely complex, and we cannot predict the impact of any changes to our REMS documents on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is expensive, time consuming and uncertain and may prevent us or our partners from obtaining approvals for the commercialization of some or all of our product candidates.</w:t>
      </w:r>
    </w:p>
    <w:p>
      <w:pPr>
        <w:spacing w:after="0" w:line="35"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research, testing, manufacturing, labeling, advertising and promotion, distributing and exporting of pharmaceutical products are subject to extensive regulation, and regulations differ from country to country. Approval in the United States, or in any jurisdiction, does not ensure approval in other jurisdictions. The regulatory approval process is lengthy, expensive and uncertain, and we may be unable to obtain approval for our product candidates. We are not permitted to market our product candidates in the United States or countries in Europe until we receive approval from the FDA or the competent European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authorities, respectively, generally of a NDA or BLA. The application must contain information on the drug or biological candidate, including data from the preclinical and clinical trials, information pertaining to the preparation of the drug or biologic, analytical methods, product formulation, details on the manufacture of finished products, proposed product packaging, labeling and stability. Submission of an application does not assure approval for marketing in any jurisdiction, and we may encounter significant difficulties or costs in our efforts to obtain approval to market products. If we are unable to obtain regulatory approval of our product candidates, we will not be able to commercialize them and recoup our research and development costs.</w:t>
      </w:r>
    </w:p>
    <w:p>
      <w:pPr>
        <w:spacing w:after="0" w:line="37" w:lineRule="exact"/>
        <w:rPr>
          <w:sz w:val="20"/>
          <w:szCs w:val="20"/>
          <w:color w:val="auto"/>
        </w:rPr>
      </w:pPr>
    </w:p>
    <w:p>
      <w:pPr>
        <w:ind w:right="60" w:firstLine="432"/>
        <w:spacing w:after="0" w:line="241" w:lineRule="auto"/>
        <w:rPr>
          <w:sz w:val="20"/>
          <w:szCs w:val="20"/>
          <w:color w:val="auto"/>
        </w:rPr>
      </w:pPr>
      <w:r>
        <w:rPr>
          <w:rFonts w:ascii="Arial" w:cs="Arial" w:eastAsia="Arial" w:hAnsi="Arial"/>
          <w:sz w:val="18"/>
          <w:szCs w:val="18"/>
          <w:color w:val="auto"/>
        </w:rPr>
        <w:t>If the FDA determines that a REMS is necessary to ensure that the benefits of the drug outweigh the risks, we may be required to include a proposed REMS as part of an NDA or otherwise, including a package insert directed to patients, a plan for communication with healthcare providers, restrictions on a drug’s distribution, or a medication guide to provide information to consumers about the drug’s risks and benefits. For example, the FDA requires a REMS for Xyrem</w:t>
      </w:r>
      <w:r>
        <w:rPr>
          <w:rFonts w:ascii="Arial" w:cs="Arial" w:eastAsia="Arial" w:hAnsi="Arial"/>
          <w:sz w:val="25"/>
          <w:szCs w:val="25"/>
          <w:color w:val="auto"/>
          <w:vertAlign w:val="superscript"/>
        </w:rPr>
        <w:t>®</w:t>
      </w:r>
      <w:r>
        <w:rPr>
          <w:rFonts w:ascii="Arial" w:cs="Arial" w:eastAsia="Arial" w:hAnsi="Arial"/>
          <w:sz w:val="18"/>
          <w:szCs w:val="18"/>
          <w:color w:val="auto"/>
        </w:rPr>
        <w:t>, discussed in detail under the risk factor “</w:t>
      </w:r>
      <w:r>
        <w:rPr>
          <w:rFonts w:ascii="Arial" w:cs="Arial" w:eastAsia="Arial" w:hAnsi="Arial"/>
          <w:sz w:val="18"/>
          <w:szCs w:val="18"/>
          <w:i w:val="1"/>
          <w:iCs w:val="1"/>
          <w:color w:val="auto"/>
        </w:rPr>
        <w:t>The manufacture, distribution and sale of Xyrem are subject to significant regulatory oversight and</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 and the requirements of a risk management program, and these restrictions and requirements subject us to increased risks and uncertainties, any of which could negatively impact sales of Xyrem</w:t>
      </w:r>
      <w:r>
        <w:rPr>
          <w:rFonts w:ascii="Arial" w:cs="Arial" w:eastAsia="Arial" w:hAnsi="Arial"/>
          <w:sz w:val="18"/>
          <w:szCs w:val="18"/>
          <w:color w:val="auto"/>
        </w:rPr>
        <w:t>” above, and other products that we sell are or may become subject to a REMS specific to our product or</w:t>
      </w:r>
      <w:r>
        <w:rPr>
          <w:rFonts w:ascii="Arial" w:cs="Arial" w:eastAsia="Arial" w:hAnsi="Arial"/>
          <w:sz w:val="18"/>
          <w:szCs w:val="18"/>
          <w:i w:val="1"/>
          <w:iCs w:val="1"/>
          <w:color w:val="auto"/>
        </w:rPr>
        <w:t xml:space="preserve"> </w:t>
      </w:r>
      <w:r>
        <w:rPr>
          <w:rFonts w:ascii="Arial" w:cs="Arial" w:eastAsia="Arial" w:hAnsi="Arial"/>
          <w:sz w:val="18"/>
          <w:szCs w:val="18"/>
          <w:color w:val="auto"/>
        </w:rPr>
        <w:t>shared with other products in the same class of drug. We cannot predict the impact that any new REMS requirements applicable to any of our products would have on our business.</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Healthcare law and policy changes, including those based on recently enacted legislation, may impact our business in ways that we cannot currently predict and these changes could have a material adverse effect on our business and financial condition.</w:t>
      </w:r>
    </w:p>
    <w:p>
      <w:pPr>
        <w:spacing w:after="0" w:line="1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March 2010, the President signed the Healthcare Reform Act. This law substantially changes the way healthcare is financed by both governmental and private insurers, and significantly impacts the pharmaceutical industry. The Healthcare Reform Act contains a number of provisions that are expected to impact our business and operations, in some cases in ways we cannot currently predict. Changes that may affect our business include those governing enrollment in federal healthcare programs, reimbursement changes, rules regarding prescription drug benefits under the health insurance exchanges, and fraud and abuse and enforcement. These changes will impact existing government healthcare programs and will result in the development of new programs, including Medicare payment for performance initiatives and improvements to the physician quality reporting system and feedback program.</w:t>
      </w:r>
    </w:p>
    <w:p>
      <w:pPr>
        <w:spacing w:after="0" w:line="3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Additional provisions of the Healthcare Reform Act, some of which became effective in 2011, may negatively affect our revenues in the future. For example, as part of the Healthcare Reform Act’s provisions closing a funding gap that currently exists in the Medicare Part D prescription drug program (commonly known as the “donut hole”), we are required to provide a 50% discount on branded prescription drugs dispensed to beneficiaries within this donut hole. The Healthcare Reform Act also makes changes to the Medicaid Drug Rebate Program, discussed further herein, including increasing the minimum rebate from 15.1% to 23.1% of the average manufacturer price for most innovator products and from 11% to 13% for non-innovator products.</w:t>
      </w:r>
    </w:p>
    <w:p>
      <w:pPr>
        <w:spacing w:after="0" w:line="3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Many of the Healthcare Reform Act’s most significant reforms do not take effect until 2014 and thereafter, and their details will be shaped significantly by implementing regulations that have yet to be finalized. Earlier this year, the Supreme Court of the United States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the Supreme Court struck down a provision in the Healthcare Reform Act that penalized states that choose not to expand their Medicaid programs through an increase in the Medicaid eligibility income limit from a state’s current eligibility levels to 133% of the federal poverty limit. As a result of the Supreme Court’s ruling, it is unclear whether states will expand their Medicaid programs by raising the income limit to 133% of the federal poverty level and whether there will be more uninsured patients in 2014 than anticipated when Congress passed the Healthcare Reform Act. For each state that does not choose to expand its Medicaid program, there will be fewer insured patients overall, which could impact our sales, business and financial condition.</w:t>
      </w:r>
    </w:p>
    <w:p>
      <w:pPr>
        <w:spacing w:after="0" w:line="4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While the constitutionality of key provisions of the Healthcare Reform Act was upheld by the Supreme Court, legislative changes to it remain possible. We expect that the Healthcare Reform Act, as currently enacted or as it may be amended in the future, and other healthcare reform measures that may be adopted in the future could have a material adverse effect on our industry generally and on our ability to maintain or increase our product sales or successfully commercialize our product candidates or could limit or eliminate our future spending on development projects.</w:t>
      </w:r>
    </w:p>
    <w:p>
      <w:pPr>
        <w:spacing w:after="0" w:line="3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to the Healthcare Reform Act, there will continue to be proposals by legislators at both the federal and state levels, regulators and third-party payors to keep healthcare costs down while expanding individual healthcare benefits. Likewise, in the countries in the EU, legislators, policymakers and healthcare insurance funds continue to propose and implement cost-containing measures to keep healthcare costs down, due in part to the attention being paid to health care cost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containment and other austerity measures in the EU. Certain of these changes could impose limitations on the prices we will be able to charge for our products and any approved product candidates or the amounts of reimbursement available for these products from governmental agencies or third-party payors, may increase the tax obligations on pharmaceutical companies such as ours, or may facilitate the introduction of generic competition with respect to our products.</w:t>
      </w:r>
    </w:p>
    <w:p>
      <w:pPr>
        <w:spacing w:after="0" w:line="52"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To help patients afford our products, we have various programs to assist them, including patient assistance programs, a Xyrem free product voucher program and co-pay coupon programs for certain products. The co-pay coupon programs of other pharmaceutical manufacturers are the subject of ongoing class action lawsuits first filed in 2012 and challenging their legality under a variety of federal and state laws, and our co-pay coupon programs could become the target of similar lawsuits. In addition, co-pay coupon programs, including our program for Xyrem, have received some negative publicity related to their use to promote branded pharmaceutical products over other less costly alternatives. It is possible that the outcome of the pending litigation against other manufacturers and/or the introduction and enactment of new legislation could restrict or otherwise negatively affect these programs, which could result in fewer patients using affected products and therefore could have a material adverse effect on our sales, business and financial condition.</w:t>
      </w:r>
    </w:p>
    <w:p>
      <w:pPr>
        <w:spacing w:after="0" w:line="11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Oversight by FDA and Equivalent Non-U.S. Regulatory Authorities</w:t>
      </w:r>
    </w:p>
    <w:p>
      <w:pPr>
        <w:spacing w:after="0" w:line="9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We are subject to significant ongoing regulatory obligations with respect to our marketed products, such as safety reporting requirements and additional post-marketing obligations, including regulatory oversight of the promotion and marketing of our products. In addition, research, testing, manufacturing, labeling, packaging, adverse event reporting, storage, advertising, promotion, sale, distribution, recordkeeping, importing and exporting of our products are, and any of our product candidates that may be approved by the FDA or European and other non-U.S. regulatory authorities will be, subject to extensive and ongoing regulatory requirements. These requirements apply both to us and to third parties we contract with to perform services and supply us with products. Failure by us or any of our third party partners, including suppliers, manufacturers and distributors and our central pharmacy for Xyrem, to comply with applicable requirements could subject us to administrative or judicial sanctions or other negative consequences, such as delays in approval or refusal to approve a product candidate, withdrawal of product approval, notices of violation, untitled letters, warning letters, fines and other monetary penalties, unanticipated expenditures, product recall or seizure, total or partial suspension of production or distribution, interruption of manufacturing or clinical trials, operating restrictions, injunctions; suspension of licenses, civil penalties and/or criminal prosecution, any of which could have a significant impact on our sales, business and financial condition.</w:t>
      </w:r>
    </w:p>
    <w:p>
      <w:pPr>
        <w:spacing w:after="0" w:line="48"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If we receive regulatory approvals to sell our products, the FDA and other non-U.S. regulatory authorities in Europe or other countries where our products are approved may impose significant restrictions on the indicated uses or marketing of our products, or impose requirements for burdensome post-approval study commitments. The terms of any product approval, including labeling, may be more restrictive than we desire and could affect the commercial potential of the product. If we become aware of problems with any of our products in the United States or overseas or at our contract manufacturers’ facilities, a regulatory agency may impose restrictions on our products, our contract manufacturers or on us. In such an instance, we could experience a significant drop in the sales of the affected products, our product revenues and reputation in the marketplace may suffer, and we could become the target of lawsuits. Under regulations in Europe related to pharmacovigilance, or the assessment and monitoring of the safety of drugs,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w:t>
      </w:r>
    </w:p>
    <w:p>
      <w:pPr>
        <w:spacing w:after="0" w:line="32" w:lineRule="exact"/>
        <w:rPr>
          <w:sz w:val="20"/>
          <w:szCs w:val="20"/>
          <w:color w:val="auto"/>
        </w:rPr>
      </w:pPr>
    </w:p>
    <w:p>
      <w:pPr>
        <w:ind w:right="40" w:firstLine="432"/>
        <w:spacing w:after="0" w:line="253" w:lineRule="auto"/>
        <w:rPr>
          <w:sz w:val="20"/>
          <w:szCs w:val="20"/>
          <w:color w:val="auto"/>
        </w:rPr>
      </w:pPr>
      <w:r>
        <w:rPr>
          <w:rFonts w:ascii="Arial" w:cs="Arial" w:eastAsia="Arial" w:hAnsi="Arial"/>
          <w:sz w:val="17"/>
          <w:szCs w:val="17"/>
          <w:color w:val="auto"/>
        </w:rPr>
        <w:t>The FDA approved the BLA for Erwinaze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United States in November 2011, subject to certain post marketing requirements, including developing and validating assays and conducting certain non-clinical studies. In addition, the BLA approval for Erwinaze is subject to compliance with numerous post marketing commitments, including certain commitments which must be met by the HPA with respect to product manufacturing, which are outside of our control. While activities are underway to complete the post marketing requirements and to comply with the post marketing commitments, if we or the HPA fail to do so within the timeframe established by the FDA, or if the results of the non-clinical studies raise concerns or other issues for the FDA, our approval to market Erwinaze in the United States may be withdrawn or otherwise jeopardized.</w:t>
      </w:r>
    </w:p>
    <w:p>
      <w:pPr>
        <w:spacing w:after="0" w:line="56" w:lineRule="exact"/>
        <w:rPr>
          <w:sz w:val="20"/>
          <w:szCs w:val="20"/>
          <w:color w:val="auto"/>
        </w:rPr>
      </w:pPr>
    </w:p>
    <w:p>
      <w:pPr>
        <w:ind w:firstLine="432"/>
        <w:spacing w:after="0" w:line="203" w:lineRule="auto"/>
        <w:rPr>
          <w:sz w:val="20"/>
          <w:szCs w:val="20"/>
          <w:color w:val="auto"/>
        </w:rPr>
      </w:pPr>
      <w:r>
        <w:rPr>
          <w:rFonts w:ascii="Arial" w:cs="Arial" w:eastAsia="Arial" w:hAnsi="Arial"/>
          <w:sz w:val="18"/>
          <w:szCs w:val="18"/>
          <w:color w:val="auto"/>
        </w:rPr>
        <w:t>For a patient to be prescribed Prialt</w:t>
      </w:r>
      <w:r>
        <w:rPr>
          <w:rFonts w:ascii="Arial" w:cs="Arial" w:eastAsia="Arial" w:hAnsi="Arial"/>
          <w:sz w:val="25"/>
          <w:szCs w:val="25"/>
          <w:color w:val="auto"/>
          <w:vertAlign w:val="superscript"/>
        </w:rPr>
        <w:t>®</w:t>
      </w:r>
      <w:r>
        <w:rPr>
          <w:rFonts w:ascii="Arial" w:cs="Arial" w:eastAsia="Arial" w:hAnsi="Arial"/>
          <w:sz w:val="18"/>
          <w:szCs w:val="18"/>
          <w:color w:val="auto"/>
        </w:rPr>
        <w:t>, the patient must have a surgically implanted infusion pump and the FDA has approved Prialt for use with Medtronic’s SynchroMed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II programmable implantable pump. Any regulatory action involving the pumps or Prialt’s delivery via the pumps could materially adversely impact sales of Prialt.</w:t>
      </w:r>
    </w:p>
    <w:p>
      <w:pPr>
        <w:spacing w:after="0" w:line="68" w:lineRule="exact"/>
        <w:rPr>
          <w:sz w:val="20"/>
          <w:szCs w:val="20"/>
          <w:color w:val="auto"/>
        </w:rPr>
      </w:pPr>
    </w:p>
    <w:p>
      <w:pPr>
        <w:jc w:val="both"/>
        <w:ind w:right="20" w:firstLine="432"/>
        <w:spacing w:after="0" w:line="226" w:lineRule="auto"/>
        <w:rPr>
          <w:sz w:val="20"/>
          <w:szCs w:val="20"/>
          <w:color w:val="auto"/>
        </w:rPr>
      </w:pPr>
      <w:r>
        <w:rPr>
          <w:rFonts w:ascii="Arial" w:cs="Arial" w:eastAsia="Arial" w:hAnsi="Arial"/>
          <w:sz w:val="18"/>
          <w:szCs w:val="18"/>
          <w:color w:val="auto"/>
        </w:rPr>
        <w:t>In June 2009, the FDA posted an announcement regarding a potential safety signal associated with FazaClo</w:t>
      </w:r>
      <w:r>
        <w:rPr>
          <w:rFonts w:ascii="Arial" w:cs="Arial" w:eastAsia="Arial" w:hAnsi="Arial"/>
          <w:sz w:val="25"/>
          <w:szCs w:val="25"/>
          <w:color w:val="auto"/>
          <w:vertAlign w:val="superscript"/>
        </w:rPr>
        <w:t>®</w:t>
      </w:r>
      <w:r>
        <w:rPr>
          <w:rFonts w:ascii="Arial" w:cs="Arial" w:eastAsia="Arial" w:hAnsi="Arial"/>
          <w:sz w:val="18"/>
          <w:szCs w:val="18"/>
          <w:color w:val="auto"/>
        </w:rPr>
        <w:t>. The posting stated that FazaClo had been found to exhibit a higher proportion of adverse events with a fatal outcome versus total adverse events compared to other clozapine products. The posting also stated that the reported events in the cases with fatal outcome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are similar for FazaClo and other clozapine products. Although Azur Pharma investigated and we believe that the difference in the cited ratio between FazaClo and other marketed clozapine products does not reflect an underlying adverse safety signal, we cannot assure you that additional information we may learn will not modify our current assessment, that the FDA will agree with this assessment or that the FDA will not take further actions related to the potential safety signal, any of which could have a material adverse effect on our results of operations.</w:t>
      </w:r>
    </w:p>
    <w:p>
      <w:pPr>
        <w:spacing w:after="0" w:line="5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not obtained marketing authorizations and/or may not have always sufficiently updated the marketing authorization approval dossiers for Erwinase and several other medicinal products or drugs in all of the countries in Europe in which we sell those products. For example, in some EU countries where we do not have a marketing authorization, Erwinase is being provided to patients on the basis of named patient programs or temporary use authorizations. In addition, we may not be able to maintain our marketing authorizations in all countries in which we currently have marketing authorizations. If any country’s regulatory authorities determine that we are promoting Erwinase without a marketing authorization in place, we could be found to be in violation of pharmaceutical advertising law or the regulations permitting sales under named patient programs or temporary use authorizations, in which case we may be subject to financial or other penalties.</w:t>
      </w:r>
    </w:p>
    <w:p>
      <w:pPr>
        <w:spacing w:after="0" w:line="54"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The FDA requires advertising and promotional labeling to be truthful and not misleading, and that products be marketed only for the approved indications and in accordance with the provisions of the approved label. The FDA routinely provides its interpretations of that authority in informal communications and also in more formal communications such as untitled letters or warning letters, and although such communications are not final agency decisions, companies may decide not to contest the agency’s interpretations so as to avoid disputes with the FDA, even if they believe the claims to be truthful, not misleading and otherwise lawful. For example, in September 2012, we received a warning letter from the FDA related to a direct-to-consumer patient brochure for FazaClo. We were no longer using the allegedly violative promotional materials at the time we received the letter, but reviewed all of our other promotional materials for FazaClo in accordance with the letter. We agreed with the FDA on plans for correcting the promotional materials and disseminating the corrective messages to healthcare providers, patients and consumers and began implementation of the corrective actions in accordance with the agreed-upon plans in February 2013. We believe that we have taken necessary actions required to fully address the agency’s concerns. However, there can be no assurance that the FDA will agree with our assessment. The FDA could take further action, could require us to take further action, with respect to our FazaClo promotional materials, or could otherwise conclude we have not taken all appropriate corrective actions with respect to the warning letter. The FDA or other regulatory authorities may disagree with our response to the warning letter or challenge other of our promotional materials or activities in the future, through additional enforcement action, which may have a negative impact on our sales and/or may subject us to financial or other penalties.</w:t>
      </w:r>
    </w:p>
    <w:p>
      <w:pPr>
        <w:spacing w:after="0" w:line="4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FDA and other governmental authorities also actively enforce regulations prohibiting off-label promotion, and the government has levied large civil and criminal fines against companies for alleged improper promotion. The government has also required companies to enter into complex corporate integrity agreements and/or non-prosecution agreements that impose significant reporting and other burdens on the affected companies. For example, a predecessor company to Jazz Pharmaceuticals, Inc. was investigated for off-label promotion of Xyrem, and, while Jazz Pharmaceuticals, Inc. was not prosecuted, as part of the settlement Jazz Pharmaceuticals, Inc. entered into a corporate integrity agreement with the Office of Inspector General, U.S. Department of Health and Human Services, which extended through mid-2012. The investigation resulted in significant fines and penalties, which Jazz Pharmaceuticals, Inc. has paid, and the corporate integrity agreement required us to maintain a comprehensive compliance program. Failure to maintain a comprehensive and effective compliance program, and to integrate the operations of the Azur Pharma and EUSA Pharma compliance programs into a combined comprehensive and effective compliance program on a timely basis, could subject us to a range of regulatory actions that could affect our ability to commercialize our products and could harm or prevent sales of the affected products, or could substantially increase the costs and expenses of commercializing and marketing our products.</w:t>
      </w:r>
    </w:p>
    <w:p>
      <w:pPr>
        <w:spacing w:after="0" w:line="48"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Various state agencies oversee pharmaceutical compounding activities. Compounded drugs are made by certain pharmacies, typically by combining ingredients (prescription and/or over-the-counter) to make a formulation that is not readily available to patients and/or approved by the FDA. A number of problems have been associated with the making and use of compounded drugs, including product contamination and product toxicity. Improperly compounded products can pose serious public health issues, as evidenced by the recent fungal meningitis outbreak in the United States which was traced to compounded drugs from the New England Compounding Center. Pharmaceutical products administered intrathecally, such as Prialt, are frequently compounded by pharmacies for off-label use, a process over which we have no control. If any of our products are used in compounded drugs, we may have exposure to claims by patients treated with compounded formulations containing our products and to regulatory action by relevant government agencies. Any such claims or regulatory actions could result in harm to our reputation and have a negative effect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are also subject to regulation by other regional, national, state and local agencies, including the DEA, the Department of Justice, the FTC, the U.S. Department of Commerce, the Office of Inspector General of the U.S. Department of Health and Human Services and other regulatory bodies, as well as governmental authorities in those non-U.S. countries in which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commercialize our products. In addition to the FDCA, other federal, state and non-U.S. statutes and regulations govern to varying degrees the research, development, manufacturing and commercial activities relating to prescription pharmaceutical products, including preclinical testing, approval, production, labeling, sale, distribution, import, export, post-market surveillance, advertising, dissemination of information, promotion, marketing, and pricing to government purchasers and government healthcare programs. Our partners, including our suppliers, manufacturers and distributors and the central pharmacy for Xyrem, are subject to many of the same requirements.</w:t>
      </w:r>
    </w:p>
    <w:p>
      <w:pPr>
        <w:spacing w:after="0" w:line="5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These requirements include obtaining sufficient quota from the DEA each year to manufacture sodium oxybate and Xyrem. In addition to quota requirements, the DEA imposes various registration, importing, exporting, recordkeeping and reporting requirements, labeling and packaging requirements, security controls and a restriction on prescription refills on certain pharmaceutical products under the CSA. The states also impose similar requirements for handling controlled substances. The United States is a party to the 1971 Convention. In October 2012 , the WHO sent a recommendation to the United Nations Commission on Narcotic Drugs, or CND, to reschedule GHB, under the 1971 Convention from its current Schedule IV status to Schedule II status. While the DEA imposes its own scheduling requirements in the United States under the CSA, the United States is obligated as a signatory to the 1971 Convention to ensure that drug scheduling in the United States is consistent with its obligations under the international treaties. Because sodium oxybate, the active pharmaceutical ingredient in Xyrem, is a derivative of GHB, if GHB is rescheduled internationally, Xyrem and/or sodium oxybate may be subject to more restrictive registration, recordkeeping, reporting, importing, exporting and other requirements. In the United States, under DEA regulations, the Xyrem finished product is currently classified as a Schedule III controlled substance, with sodium oxybate, classified as a Schedule I controlled substance. Although sodium oxybate and Xyrem are already subject to more restrictive regulations in the United States than required under the 1971 Convention, a decision by the CND to reschedule GHB would result in sodium oxybate and Xyrem being subject to more restrictive registration, recordkeeping, importing, exporting, reporting and other requirements in Europe and certain other countries than are currently in place given GHB’s Schedule IV status under the 1971 Convention. The CND is expected to review the WHO recommendation at its annual meeting in March 2013. If GHB is rescheduled as a Schedule II substance under the 1971 Convention, we will likely be subject to additional regulatory requirements outside of the United States and may be subject to additional regulatory requirements in the United States. Failure by us or any of our partners, including suppliers, manufacturers and distributors, to comply with such requirements could result in, among other things, additional operating costs to us, delays in shipments outside or into the United States and adverse regulatory actions.</w:t>
      </w:r>
    </w:p>
    <w:p>
      <w:pPr>
        <w:spacing w:after="0" w:line="56" w:lineRule="exact"/>
        <w:rPr>
          <w:sz w:val="20"/>
          <w:szCs w:val="20"/>
          <w:color w:val="auto"/>
        </w:rPr>
      </w:pPr>
    </w:p>
    <w:p>
      <w:pPr>
        <w:ind w:right="60" w:firstLine="432"/>
        <w:spacing w:after="0" w:line="334" w:lineRule="auto"/>
        <w:rPr>
          <w:sz w:val="20"/>
          <w:szCs w:val="20"/>
          <w:color w:val="auto"/>
        </w:rPr>
      </w:pPr>
      <w:r>
        <w:rPr>
          <w:rFonts w:ascii="Arial" w:cs="Arial" w:eastAsia="Arial" w:hAnsi="Arial"/>
          <w:sz w:val="16"/>
          <w:szCs w:val="16"/>
          <w:color w:val="auto"/>
        </w:rPr>
        <w:t>In addition, pursuant to the Export Administration Regulations, we are required to obtain a license from the U.S. Department of Commerce prior to the exportation of certain materials and technical information related to Prialt, a synthesized conotoxin, which is a designated controlled biological toxin.</w:t>
      </w:r>
    </w:p>
    <w:p>
      <w:pPr>
        <w:spacing w:after="0" w:line="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U.S.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companies on one hand and prescribers, purchasers and formulary managers on the other. Although there are a number of statutory exemptions and regulatory safe harbors protecting certain common manufacturer business arrangements and activities from prosecution, the exemptions and safe harbors are drawn narrowly, and practices that involve remuneration intended to induce prescribing, purchases or recommendations of our products may be subject to scrutiny if they do not qualify for an exemption or safe harbor. We seek to comply with the exemptions and safe harbors whenever possible, but our practices may not in all cases meet all of the criteria for safe harbor protection from anti-kickback liability.</w:t>
      </w:r>
    </w:p>
    <w:p>
      <w:pPr>
        <w:spacing w:after="0" w:line="31"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The Federal False Claims Act prohibits any person from knowingly presenting, or causing to be presented, a false claim for payment to the federal government, or knowingly making, or causing to be made, a false statement to get a false claim paid. Many pharmaceutical and other healthcare companies have been investigated and have reached substantial financial settlements with the federal government under the False Claims Act for a variety of alleged improper marketing activities, including providing free product to customers with the expectation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payment rates under government healthcare programs. In addition, in recent years the government has pursued False Claims Act cases against a number of pharmaceutical companies for causing false claims to be submitted as a result of the marketing of their products for unapproved, and thus non-reimbursable, uses. Pharmaceutical and other healthcare companies also are subject to other federal false claim laws, including federal criminal healthcare fraud and false statement statutes that extend to non-government health benefit programs.</w:t>
      </w:r>
    </w:p>
    <w:p>
      <w:pPr>
        <w:spacing w:after="0" w:line="3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 A number of states now require pharmaceutical companies to report expenses relating to the marketing and promotion of pharmaceutical products and to report gifts and payments to individual physicians in the states. Other states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prohibit providing meals to prescribers or other marketing related activities. Still other states require the posting of information relating to clinical studies and their outcomes. In addition, California, Nevada, and Massachusetts require pharmaceutical companies to implement compliance programs or marketing codes of conduct. Additional states are considering or recently have considered similar proposals. Non-U.S. governments often have similar regulations which we also will be subject to in those countries where we market and sell products.</w:t>
      </w:r>
    </w:p>
    <w:p>
      <w:pPr>
        <w:spacing w:after="0" w:line="52"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Our business activities outside of the United States are subject to the FCPA and similar anti-bribery or anti-corruption laws, regulations or rules of other countries in which we operate, including the UK Bribery Act. The FCPA generally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The UK Bribery Act prohibits companies which do business with the United Kingdom and their employees and representatives from giving, offering, or promising bribes to any person, including non-UK government officials, as well as requesting, agreeing to receive, or accepting bribes from any person. In addition, under the UK Bribery Act, companies may be held liable for failing to prevent employees and persons associated with the company from violating the Act. As described above,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We have ongoing efforts that are designed to ensure our compliance with these laws, including training, policies, procedures, and internal controls. However, there is no certainty that all employees and third-party business partners (including our distributors, wholesalers, agents, contractors, and other partners) will comply with anti-bribery laws. In particular, we do not control the actions of manufacturers and other third party agents, although we may be liable for their actions. Any violation of these laws may result in civil and criminal penalties, and could have a material adverse impact on our business.</w:t>
      </w:r>
    </w:p>
    <w:p>
      <w:pPr>
        <w:spacing w:after="0" w:line="4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are also subject to laws and regulations in non-U.S. countries covering data privacy and the protection of health-related and other personal information. EU member states and other jurisdictions have adopted data protection laws and regulations, which impose significant compliance obligations. For example, the EU Data Protection Directive, as implemented into national laws by the EU member states, imposes strict obligations and restrictions on the ability to collect, analyze and transfer personal data, including health data from clinical trials and adverse event reporting. Data protection authorities from the different EU member states may interpret the legislation differently, which adds to its complexity, and guidance on implementation and compliance practices are often updated or otherwise revised. Fully understanding and implementing the legislation could be quite costly and timely, which could adversely affect our business. Failing to comply with these laws could lead to government enforcement actions and significant penalties against us, and adversely impact our operating results. A proposal for an EU Data Protection Regulation, intended to replace the current EU Data Protection Directive, is currently under consideration and, if adopted, could lead to additional and stricter requirements and penalties in the event of non-compliance.</w:t>
      </w:r>
    </w:p>
    <w:p>
      <w:pPr>
        <w:spacing w:after="0" w:line="32"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number and complexity of both federal and state laws continue to increase, and additional governmental resources are being added to enforce these laws and to prosecute companies and individuals who are believed to be violating them. In particular, the Healthcare Reform Act includes a number of provisions aimed at strengthening the government’s ability to pursue anti-kickback and false claims cases against pharmaceutical manufacturers and other healthcare entities, including substantially increased funding for healthcare fraud enforcement activities, enhanced investigative powers, amendments to the False Claims Act that make it easier for the government and whistleblowers to pursue cases for alleged kickback and false claim violations and the Physician Payment Sunshine provisions. The Physician Payment Sunshine provisions will require extensive tracking of physician and teaching hospital payments, maintenance of a payments database, and public reporting of the payment data. CMS recently issued a final rule implementing the Physician Payment Sunshine provisions and clarified the scope of the reporting obligations. The final rule also provided that manufacturers must begin tracking on August 1, 2013 and must report payment data to CMS by March 31, 2014. While it is too early to predict what effect these changes will have on our business, we anticipate that government scrutiny of pharmaceutical sales and marketing practices will continue for the foreseeable future and subject us to the risk of government investigations and enforcement actions. Responding to a government investigation or enforcement action would be expensive and time-consuming, and could have a material adverse effect on our business, financial condition, results of operations and growth prospects.</w:t>
      </w:r>
    </w:p>
    <w:p>
      <w:pPr>
        <w:spacing w:after="0" w:line="3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Compliance with the various federal and state laws that apply to pharmaceutical manufacturers is difficult and time consuming, and companies that violate them may face substantial penalties. The potential sanctions include civil monetary penalties, exclusion of a company’s products from reimbursement under government programs, criminal fines and imprisonment. Because of the breadth of these laws and, in some cases, the lack of extensive legal guidance in the form of regulations or court decisions, it is possible that some of our business activities could be subject to challenge under one or more of these laws. For example, the FTC has been paying increasing attention to the use of REMS by companies selling branded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products, in particular whether REMS may be being deliberately used to reduce the risk of competition from generic drugs in a way that may be deemed to be anticompetitive. It is possible that the FTC or others could claim that our REMS or other practices are being used in an anticompetitive manner. Such a challenge or any challenge that we or our business partners have failed to comply with applicable laws and regulations could have a material adverse effect on our business, financial condition, results of operations and growth prospects. If we or the other parties with whom we work fail to comply with applicable regulatory requirements, we or they could be subject to a range of regulatory actions that could affect our ability to commercialize our products and could harm or prevent sales of the affected products,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1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6" w:lineRule="exact"/>
        <w:rPr>
          <w:sz w:val="20"/>
          <w:szCs w:val="20"/>
          <w:color w:val="auto"/>
        </w:rPr>
      </w:pPr>
    </w:p>
    <w:p>
      <w:pPr>
        <w:ind w:right="80" w:firstLine="432"/>
        <w:spacing w:after="0" w:line="259" w:lineRule="auto"/>
        <w:rPr>
          <w:sz w:val="20"/>
          <w:szCs w:val="20"/>
          <w:color w:val="auto"/>
        </w:rPr>
      </w:pPr>
      <w:r>
        <w:rPr>
          <w:rFonts w:ascii="Arial" w:cs="Arial" w:eastAsia="Arial" w:hAnsi="Arial"/>
          <w:sz w:val="17"/>
          <w:szCs w:val="17"/>
          <w:color w:val="auto"/>
        </w:rPr>
        <w:t>We participate in the Medicaid Drug Rebate program, established by the Omnibus Budget Reconciliation Act of 1990 and amended by the Veterans Health Care Act of 1992 as well as subsequent legislation. We also participate in and have certain price reporting obligations to several state Medicaid supplemental rebate and other governmental pricing programs, and we have obligations to report average sales price for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the Centers for Medicare and Medicare Services, or CMS, the federal agency that administers the Medicaid Drug Rebate program. These data include the average manufacturer price and, in the case of innovator products, the best price for each drug. Such data previously have not been submitted for our two radiopharmaceutical products, ProstaScint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(capromab pendetide) and Quadramet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(samarium sm 153 lexidronam injection). We have been engaged in interactions with CMS and a trade group regarding the reporting of Medicaid pricing data and paying Medicaid rebates on these and other radiopharmaceutical products and expect to begin making any required reports and paying required rebates on our products later this year. Any additional rebate liability resulting from this reporting will negatively impact our financial results.</w:t>
      </w:r>
    </w:p>
    <w:p>
      <w:pPr>
        <w:spacing w:after="0" w:line="5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Healthcare Reform Act made significant changes to the Medicaid Drug Rebate program. Effective March 23, 2010, rebates are also due on the utilization of Medicaid managed care organizations. With regard to the amount of the rebates owed, the Healthcare Reform Act increased the minimum Medicaid rebate for all drugs; changed the calculation of the rebate for certain innovator products that qualify as line extensions of existing drugs; and capped the total rebate amount for innovator drugs at 100% of the average manufacturer price. In addition, the Healthcare Reform Act and subsequent legislation changed the definition of average manufacturer price. Finally, the Healthcare Reform Act requires pharmaceutical manufacturers of branded prescription drugs to pay a new branded prescription drug fee to the federal government beginning in 2011. Each individual pharmaceutical manufacturer will pay a prorated share of the branded prescription drug fee of $2.8 billion in 2013 (and set to increase in ensuing years) based on the dollar value of its branded prescription drug sales to certain federal programs identified in the law.</w:t>
      </w:r>
    </w:p>
    <w:p>
      <w:pPr>
        <w:spacing w:after="0" w:line="4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CMS has issued proposed regulations to implement the changes to the Medicaid Drug Rebate program under the Healthcare Reform Act and subsequent legislation but has not yet issued final regulations. Moreover, in the future, Congress could enact legislation that further increases Medicaid drug rebates or other costs and charges associated with participating in the Medicaid Drug Rebate program. The issuance of regulations and coverage expansion by various governmental agencies relating to the Medicaid Drug Rebate program has and will continue to increase our costs and the complexity of compliance, has been and will be time-consuming, and could have a material adverse effect on our results of operations.</w:t>
      </w:r>
    </w:p>
    <w:p>
      <w:pPr>
        <w:spacing w:after="0" w:line="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Federal law requires that any company that participates in the Medicaid rebate program also participate in the Public Health Service’s 340B drug pricing discount program in order for federal funds to be available for the manufacturer’s drugs under Medicaid and Medicare Part B. The 340B pricing program requires participating manufacturers to agree to charge statutorily-defined covered entities no more than the 340B “ceiling price” for the manufacturer’s covered outpatient drugs. The 340B ceiling price is calculated using a statutory formula, which is based on the average manufacturer price and rebate amount for the covered outpatient drug as calculated under the Medicaid rebate program. Changes to the definition of average manufacturer price and the Medicaid rebate amount under the Healthcare Reform Act and CMS’s issuance of final regulations implementing those changes also could affect our 340B ceiling price calculations and negatively impact our results of operations.</w:t>
      </w:r>
    </w:p>
    <w:p>
      <w:pPr>
        <w:spacing w:after="0" w:line="5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These 340B covered entities include a variety of community health clinics and other entities that receive health services grants from the Public Health Service, as well as hospitals that serve a disproportionate share of low-income patients. The Healthcare Reform Act expanded the 340B program to include additional entity types: certain free-standing cancer hospitals,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critical access hospitals, rural referral centers and sole community hospitals, each as defined by the Healthcare Reform Act. The Healthcare Reform Act exempts “orphan drugs” – those designated under section 526 of the FDCA – from the ceiling price requirements for these newly-eligible entities. The Health Resources and Services Administration, or HRSA, which administers the 340B program, has issued proposed regulations to implement the orphan drug exception, but has not yet issued final regulations. The issuance of final regulations will continue to increase our costs and the complexity of compliance, will be time-consuming, and could have a material adverse effect on our results of operations.</w:t>
      </w:r>
    </w:p>
    <w:p>
      <w:pPr>
        <w:spacing w:after="0" w:line="3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Federal law also requires that a company that participates in the Medicaid rebate program report average sales price, or ASP, information to CMS for certain categories of drugs that are paid under Part B of the Medicare program. Manufacturers calculate ASP based on a statutorily defined formula and interpretations of the statute by CMS as to what should or should not be considered in computing ASP. An ASP for each National Drug Code for a product that is subject to the ASP reporting requirement must be submitted to CMS no later than 30 days after the end of each calendar quarter. CMS uses these submissions to determine payment rates for drugs under Medicare Part B. Changes affecting the calculation of ASP could affect the ASP calculations for our products and the resulting Medicare payment rate, and could negatively impact our results of operations.</w:t>
      </w:r>
    </w:p>
    <w:p>
      <w:pPr>
        <w:spacing w:after="0" w:line="4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Pricing and rebate calculations vary among products and programs. The calculations are complex and are often subject to interpretation by us, governmental or regulatory agencies and the courts. The Medicaid rebate amount is computed each quarter based on our submission to the CMS of our current average manufacturer prices and best prices for the quarter. If we become aware that our reporting for prior quarters was incorrect, or has changed as a result of recalculation of the pricing data, we are obligated to resubmit the corrected data for a period not to exceed twelve quarters from the quarter in which the data originally were due. Such restatements and recalculations serve to increase our costs for complying with the laws and regulations governing the Medicaid rebate program. Any corrections to our rebate calculations could result in an overage or underage in our rebate liability for past quarters, depending on the nature of the correction. Price recalculations also may affect the price that we are required to charge certain safety-net providers under the Public Health Service 340B drug discount program.</w:t>
      </w:r>
    </w:p>
    <w:p>
      <w:pPr>
        <w:spacing w:after="0" w:line="5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In addition to retroactive rebates and the potential for 340B program refunds, if we are found to have knowingly submitted false average manufacturer price, average sales price, or best price information to the government, we may be liable for civil monetary penalties in the amount of $100,000 per item of false information. Our failure to submit monthly/quarterly average manufacturer price, average sales price, and best price data on a timely basis could result in a civil monetary penalty of $10,000 per day for each day the submission is late beyond the due date. In the event that the CMS terminates our rebate agreement, no federal payments would be available under Medicaid or Medicare Part B for our covered outpatient drugs.</w:t>
      </w:r>
    </w:p>
    <w:p>
      <w:pPr>
        <w:spacing w:after="0" w:line="23"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In September 2010, CMS and the Office of the Inspector General indicated that they intend more aggressively to pursue companies who fail to report these data to the government in a timely manner.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5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Healthcare Reform Act also obligates the Secretary of the Department of Health and Human Services to create regulations and processes to improve the integrity of the program and to update the agreement that manufacturers must sign to participate in the program to obligate manufacturers to sell to covered entities if they sell to any other purchaser and to report to the government the ceiling prices for its drugs.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5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Federal law requires that for a company to be eligible to have its products paid for with federal funds under the Medicaid and Medicare Part B programs as well as to be purchased by certain federal agencies, it also must participate in the Department of Veterans Affairs (VA) Federal Supply Schedule, or FSS, pricing program. To participate, we are required to enter into an FSS contract with the VA, under which we must make our innovator “covered drugs” available to the “Big Four” federal agencies – the VA, the Department of Defense, or DoD, the Public Health Service, and the Coast Guard – at pricing that is capped pursuant to a statutory federal ceiling price, or FCP, formula set forth in Section 603 of the Veterans Health Care Act of 1992, or VHCA. The FCP is based on a weighted average wholesaler price known as the “non-federal average manufacturer price,” or Non-FAMP, which manufacturers are required to report on a quarterly and annual basis to the VA. If a company misstates Non-FAMPs or FCPs it must restate these figures. Pursuant to the VHCA, knowing provision of false information in connection with a Non-FAMP filing can subject a manufacturer to penalties of $100,000 for each item of false information.</w:t>
      </w:r>
    </w:p>
    <w:p>
      <w:pPr>
        <w:spacing w:after="0" w:line="31"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FSS contracts are federal procurement contracts that include standard government terms and conditions, separate pricing for each product, and extensive disclosure and certification requirements. All items on FSS contracts are subject to a standard FSS contract clause that requires FSS contract price reductions under certain circumstances where pricing is reduced to an agreed “tracking customer.” Further, in addition to the “Big Four” agencies, all other federal agencies and some non-federal entities are authorized to access FSS contracts. FSS contractors are permitted to charge FSS purchasers other than the Big Four agencies “negotiated pricing” for covered drugs that is not capped by the FCP; instead, such pricing is negotiated based on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mandatory disclosure of the contractor’s commercial “most favored customer” pricing. We offer one single FCP-based FSS contract price to all FSS purchasers for all products.</w:t>
      </w:r>
    </w:p>
    <w:p>
      <w:pPr>
        <w:spacing w:after="0" w:line="35"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addition, pursuant to regulations issued by the DoD TRICARE Management Activity, or TMA, to implement Section 703 of the National Defense Authorization Act for Fiscal Year 2008, we have entered into a Section 703 Agreement with TMA under which we have agreed to pay rebates on covered drug prescriptions dispensed to TRICARE beneficiaries by TRICARE network retail pharmacies. Companies are required to list their innovator products on Section 703 Agreements in order for those products to be eligible for DoD formulary inclusion. The formula for determining the rebate is established in the regulations and our Section 703 Agreement and is based on the difference between the Annual Non-FAMP and the FCP (as described above, these price points are required to be calculated by us under the VHCA).</w:t>
      </w:r>
    </w:p>
    <w:p>
      <w:pPr>
        <w:spacing w:after="0" w:line="4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we overcharge the government in connection with our FSS contract or Section 703 Agreement, whether due to a misstated FCP or otherwise, we are required to refund the difference to the government. Failure to make necessary disclosures and/or to identify contract overcharges can result in allegations against us under the Federal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may not be available for our products, which could diminish our sales or affect our ability to sell our products profitably.</w:t>
      </w:r>
    </w:p>
    <w:p>
      <w:pPr>
        <w:spacing w:after="0" w:line="102"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In both U.S. and non-U.S. markets, our ability to commercialize our products successfully, and to attract commercialization partners for our products, depends in significant part on the availability of adequate financial coverage and reimbursement from third party payors, including, in the United States, governmental payors such as the Medicare and Medicaid programs, managed care organizations and private health insurers. Third party payors decide which drugs they will pay for and establish reimbursement and co-pay levels. Third party payors are increasingly challenging the prices charged for medical products and services and examining their cost effectiveness, in addition to their safety and efficacy. In some cases, for example, third party payors try to encourage the use of less expensive generic products through their prescription benefits coverage and reimbursement and co-pay policies. We may need to conduct expensive pharmacoeconomic studies in order to demonstrate the cost-effectiveness of our products. Even with studies, our products may be considered less safe, less effective or less cost-effective than other products, and third party payors may not provide coverage and reimbursement for our products or any of our product candidates that we commercialize, in whole or in part. We cannot predict actions third party payors may take, or whether they will limit the coverage and level of reimbursement for our products or refuse to provide any coverage at all. For example, because some of our products compete in a market with both branded and generic products, reimbursement by government and private payors may be more challenging than for new chemical entities. We cannot be sure that reimbursement amounts, or the lack of reimbursement, will not reduce the demand for, or the price of, our products. If reimbursement is not available or is available only to limited levels, we may not be able to effectively commercialize our products.</w:t>
      </w:r>
    </w:p>
    <w:p>
      <w:pPr>
        <w:spacing w:after="0" w:line="4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recent years, there have been a number of legislative and regulatory changes in and proposals to change the healthcare system in ways that could impact our ability to sell our products profitably. These changes and proposals include measures that would limit or prohibit payments for some medical treatments or subject the pricing of drugs to government control and regulations changing the rebates we are required to provide. Payors also are increasingly considering new metrics as the basis for reimbursement rates, such as average sales price, average manufacturer price and Actual Acquisition Cost. The existing data for reimbursement based on these metrics is relatively limited, although certain states have begun to survey acquisition cost data for the purpose of setting Medicaid reimbursement rates, and the CMS has begun making pharmacy National Average Drug Acquisition Cost and National Average Retail Price data publicly available on at least a monthly basis. Therefore, it may be difficult to project the impact of these evolving reimbursement mechanics on the willingness of payors to cover our products. Any failure to cover products appropriately under our DoD pricing agreements, in addition to legislative and regulatory changes and others that may occur in the future, could impact our ability to maximize revenues in the Federal marketplace. As discussed above, recent legislative changes to the 340B drug pricing program, the Medicaid Drug Rebate program, and the Medicare Part D prescription drug benefit also could impact our revenues. A significant portion of our revenue from sales of Erwinaze is obtained through government payors, including Medicaid, and any failure to qualify for reimbursement for Erwinaze under those programs would have a material adverse effect on revenues from sales of Erwinaze.</w:t>
      </w:r>
    </w:p>
    <w:p>
      <w:pPr>
        <w:spacing w:after="0" w:line="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expect to experience pricing pressure in the United States in connection with the sale of our products due to managed healthcare, the increasing influence of health maintenance organizations and additional legislative proposals. In various European countries we expect to be subject to continuous cost-cutting measures, such as lower maximum prices, lower or lack of reimbursement coverage and incentives to use cheaper, usually generic, products as an alternative. If we fail to successfully secure and maintain reimbursement coverage for our products or are significantly delayed in doing so, we will have difficulty achieving market acceptance of our products and our business will be harmed. We have periodically increased the price of Xyrem, most recently in February 2013, and we have made and may in the future make similar price increases on our other products. We cannot assure you that such price adjustments will not negatively affect our ability to secure and maintain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reimbursement coverage for our products, which could negatively impact our sales volumes.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Beginning April 1, 2013, Medicare payments for all items and services, including drugs and biologicals, will be reduced by up to 2% under the sequestration (i.e., automatic spending reductions) required by the Budget Control Act of 2011, Pub. L. No. 112-25, or BCA, as amended by the American Taxpayer Relief Act of 2012, Pub. L. 112-240, or ATRA. The BCA requires sequestration for most federal programs, excluding Medicaid, Social Security, and certain other programs, because Congress failed to enact legislation by January 15, 2012, to reduce federal deficits by $1.2 trillion over ten years. The BCA caps the cuts to Medicare payments or items and services at 2%, and requires the cuts to be implemented on the first day of the first month following the issuance of a sequestration order. The ATRA delayed implementation of sequestration from January 2, 2013, to March 1, 2013, and as a result, the Medicare cuts will take effect April 1, 2013, unless Congress enacts legislation to cancel or delay the cuts. If implemented, these cuts could adversely impact payment for our products and related procedures.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development, manufacture, testing, marketing and sale of pharmaceutical products are associated with significant risks of product liability claims or recalls. Side effects of, or manufacturing defects in, the products sold by us could exacerbate a patient’s condition, or could result in serious injury or impairments or even death. This could result in product liability claims and/or recalls of one or more of our products. Some of our products, including Xyrem, have boxed warnings in their labels. Further, another product, Luvox CR, is a selective serotonin reuptake inhibitor, and other products in that class are currently involved in product liability litigation.</w:t>
      </w:r>
    </w:p>
    <w:p>
      <w:pPr>
        <w:spacing w:after="0" w:line="5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Product liability claims may be brought by individuals seeking relief for themselves, or by groups seeking to represent a class of injured patients. Further, third party payors, either individually or as a putative class, may bring actions seeking to recover monies spent on one of products. While we have not had to defend against any product liability claims to date, as sales of our products increase, we believe it is likely product liability claims will be made against us. The risk of product liability claims may also increase when a company receives a warning letter. We cannot predict the frequency, outcome or cost to defend any such claims.</w:t>
      </w:r>
    </w:p>
    <w:p>
      <w:pPr>
        <w:spacing w:after="0" w:line="5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Product liability insurance coverage is expensive, can be difficult to obtain and may not be available in the future on acceptable terms, if at all. Partly as a result of product liability lawsuits related to pharmaceutical products, product liability and other types of insurance have become more difficult and costly for pharmaceutical companies to obtain. Our product liability insurance may not cover all of the future liabilities we might incur in connection with the development, manufacture or sale of our products. In addition, we may not continue to be able to obtain insurance on satisfactory terms or in adequate amounts.</w:t>
      </w:r>
    </w:p>
    <w:p>
      <w:pPr>
        <w:spacing w:after="0" w:line="5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 In addition, defending a product liability lawsuit is expensive and can divert the attention of key employees from operating our business.</w:t>
      </w:r>
    </w:p>
    <w:p>
      <w:pPr>
        <w:spacing w:after="0" w:line="52"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FDA investigation of the safety or efficacy of our products, our manufacturing processes and facilities, or our marketing programs. An FDA investigation could also potentially lead to a recall of our products or more serious enforcement actions, limitations on the indications for which they may be used, or suspension or withdrawal of approval. Similarly, any such regulatory action by the FDA could lead to product liability lawsuits as well.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w:t>
      </w:r>
    </w:p>
    <w:p>
      <w:pPr>
        <w:spacing w:after="0" w:line="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December 31, 2012, we had approximately $463.1 million in secured debt outstanding, all of which was incurred under our credit agreement entered into in connection with the EUSA Acquisition. Our debt may:</w:t>
      </w:r>
    </w:p>
    <w:p>
      <w:pPr>
        <w:spacing w:after="0" w:line="35" w:lineRule="exact"/>
        <w:rPr>
          <w:sz w:val="20"/>
          <w:szCs w:val="20"/>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0" w:lineRule="exact"/>
        <w:rPr>
          <w:rFonts w:ascii="Arial" w:cs="Arial" w:eastAsia="Arial" w:hAnsi="Arial"/>
          <w:sz w:val="18"/>
          <w:szCs w:val="18"/>
          <w:color w:val="auto"/>
        </w:rPr>
      </w:pPr>
    </w:p>
    <w:p>
      <w:pPr>
        <w:ind w:left="740" w:right="320" w:hanging="327"/>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ability to meet our debt service obligations will depend on our future performance, which will be subject to financial, business, and other factors affecting our operations, many of which are beyond our control. If we do not have sufficient funds to meet our debt service obligations, we may be required to refinance all or part of our existing debt, sell assets, borrow more money or sell securities, none of which we can assure you that we would be able to do in a timely manner or at all.</w:t>
      </w:r>
    </w:p>
    <w:p>
      <w:pPr>
        <w:spacing w:after="0" w:line="1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Covenants in our credit agreement restrict our business and operations in many ways and if we do not effectively manage our covenants, our financial conditions and results of operations could be adversely affected.</w:t>
      </w:r>
    </w:p>
    <w:p>
      <w:pPr>
        <w:spacing w:after="0" w:line="35"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In June 2012, we entered into a credit agreement which provides for a six-year $475.0 million term loan and a five-year $100.0 million revolving credit facility. The credit agreement contains various covenants that limit our ability and/or our restricted subsidiaries’ ability to, among other things:</w:t>
      </w:r>
    </w:p>
    <w:p>
      <w:pPr>
        <w:spacing w:after="0" w:line="38"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redeemable preferred stock;</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investments, acquisitions (including acquisitions of exclusive licenses) and capital expenditures;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credit agreement also includes, among other financial covenants, a financial covenant that requires us to maintain a maximum secured leverage ratio. Our ability to comply with this financial covenant may be affected by events beyond our control. Our failure to comply with any of the covenants could result in a default under the credit agreement, which could permit the lenders to declare all or part of any outstanding borrowings to be immediately due and payable, or to refuse to permit additional borrowings under the revolving credit facility, which could restrict our operations, particularly our ability to respond to changes in our business or to take specified actions to take advantage of certain business opportunities that may be presented to us. In addition, if we are unable to repay those amounts, the lenders under our credit agreement could proceed against the collateral granted to them to secure that debt, which would seriously harm our business.</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our business.</w:t>
      </w:r>
    </w:p>
    <w:p>
      <w:pPr>
        <w:spacing w:after="0" w:line="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scope of our business and operations grew substantially in 2012 through the Azur Merger and the EUSA Acquisition. To continue to grow our business over the longer-term, we will need to commit substantial additional resources to in-licensing and/or acquiring new products and product candidates, and to costly and time-consuming product development and clinical trials of our product candidates. We also intend to continue to invest in our commercial operations in an effort to grow sales of our current products. Our future capital requirements will depend on many factors, including many of those discussed above, such as:</w:t>
      </w:r>
    </w:p>
    <w:p>
      <w:pPr>
        <w:spacing w:after="0" w:line="53"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revenues from our commercial products, which may be affected by many factors, including the extent of generic competition for our products;</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our commercial operations;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integration activities related to the Azur Merger, the EUSA Acquisition and any future strategic transactions we may engage in;</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acquiring and/or licensing any new products and product candidates;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rate of progress, results and costs of our development and clinical activities;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obtaining regulatory approvals and of compliance with laws and regulations;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preparing, filing, prosecuting, defending and enforcing patent claims and other intellectual property rights;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investigations, litigation and/or settlements related to regulatory oversight and third-party claims;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including, for example, healthcare reform legislation.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One of our corporate goals is to continue to expand our business through the licensing, acquisition and/or development of additional marketed or close to approval products and specialty product candidates. We cannot assure you that we will continue to identify attractive opportunities or that our funds will be sufficient to fund these activities if opportunities arise. We may be unable to expand our business if we do not have sufficient capital or cannot borrow or raise additional capital on attractive terms. In particular, the debt under our new credit agreement may limit our ability to borrow additional funds for acquisitions or to use our cash flow or obtain additional financing for future acquisitions. In addition, if we use a substantial amount of our funds to acquire or in-license products or product candidates, we may not have sufficient additional funds to conduct all of our operations in the manner we would otherwise choose.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and credit markets on terms that are favorable to us, or at all.</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During the past several years, domestic and international financial markets have experienced extreme disruption from time to time, including, among other things, high volatility and significant declines in stock prices and severely diminished liquidity and credit availability for both borrowers and investors. We may decide to access the capital or credit markets to supplement our existing cash balances, cash we expect to generate from operations and funds available under our revolving credit facility to satisfy our needs for working capital, capital expenditures and debt service requirements or to continue to grow our business over the longer term through product acquisition and in-licensing, product development and clinical trials of product candidates, and expansion of our commercial operations. In the event of adverse capital and credit market conditions, we may not be able to obtain capital market financing or credit on favorable terms, or at all, which could have a material adverse effect on our business and results of operations. Changes in our credit ratings issued by nationally recognized credit rating agencies could adversely affect our cost of financing and have an adverse effect on the market price of our securities.</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maintain our tax rates, which could adversely affect our business and financial condition, results of operations and growth prospects.</w:t>
      </w:r>
    </w:p>
    <w:p>
      <w:pPr>
        <w:spacing w:after="0" w:line="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incorporated in Ireland and maintain subsidiaries in the United States, a number of other European jurisdictions and Bermuda. Azur Pharma was able to achieve a low average tax rate through the performance of certain functions and ownership of certain assets in tax-efficient jurisdictions, including Ireland and Bermuda, together with intra-group service and transfer pricing agreements, each on an arm’s length basis. We are continuing to use a substantially similar structure and arrangements. Taxing authorities, such as the U.S. Internal Revenue Service, or the IRS, actively audit and otherwise challenge these types of arrangements, and have done so in the pharmaceutical industry. The IRS or other taxing authority may challenge our structure and transfer pricing arrangements through an audit or lawsuit. Responding to or defending such a challenge could be expensive and consume time and other resources, and divert management’s time and focus from operating our business. We cannot predict whether taxing authorities will conduct an audit or file a lawsuit challenging this structure, the cost involved in responding to any such audit or lawsuit, or the outcome.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all of which could have a material adverse effect on our business, financial condition, results of operations and growth prospects.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Internal Revenue Code of 1986, as amended, or the Code. For U.S. federal tax purposes, a corporation generally is considered a tax resident in the jurisdiction of its organization or incorporation. Because Azur Pharma was, and we continue to be,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in the Azur Merger at the closing, we could be treated as a U.S. corporation for U.S. federal tax purposes under Section 7874.</w:t>
      </w:r>
    </w:p>
    <w:p>
      <w:pPr>
        <w:spacing w:after="0" w:line="3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For us to be treated as a foreign corporation for U.S. federal tax purposes under Section 7874 of the Code, either (1) the former stockholders of Jazz Pharmaceuticals, Inc. must have owned (within the meaning of Section 7874 of the Code) less than 80% (by both vote and value) of our ordinary shares by reason of holding shares in Jazz Pharmaceuticals, Inc., or (2) we must have substantial business activities in Ireland after the Azur Merger (taking into account the activities of our expanded affiliated group). The Jazz Pharmaceuticals, Inc. stockholders owned less than 80% of our share capital immediately after the Azur Merger by reason of their ownership of shares of Jazz Pharmaceuticals, Inc. common stock. As a result, we believe that we should be treated as a foreign corporation for U.S. federal tax purposes.</w:t>
      </w:r>
    </w:p>
    <w:p>
      <w:pPr>
        <w:spacing w:after="0" w:line="5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It is possible that the IRS could disagree with the position that the ownership test is satisfied and assert that Section 7874 of the Code applies to treat us as a U.S. corporation following the Azur Merger. There is limited guidance regarding the Code Section 7874 provisions, including the application of the ownership test described above. The IRS continues to scrutinize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transactions that are potentially subject to Section 7874, and issued new final and temporary regulations under Section 7874 in June 2012. These regulations apply only to acquisitions completed on or after June 7, 2012, and therefore should not apply to the Azur Merger. Nevertheless, new statutory and/or regulatory provisions under Section 7874 of the Code or otherwise could be enacted that adversely affect our status as a foreign corporation for U.S. federal tax purposes, and any such provisions could have retroactive application to us, Jazz Pharmaceuticals, Inc., our respective shareholders, and/or the Azur Merger.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7874 of the Code likely will limit Jazz Pharmaceuticals, Inc. and its U.S. affiliates’ ability to utilize their U.S. tax attributes to offset certain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income, if any, generated by taxable transactions following the Azur Merger for a period of time following the Azur Merger.</w:t>
      </w:r>
    </w:p>
    <w:p>
      <w:pPr>
        <w:spacing w:after="0" w:line="7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Following certain acquisitions of a U.S. corporation by a foreign corporation, Section 7874 of the Code limits the ability of the acquired U.S. corporation and its U.S. affiliates to utilize U.S. tax attributes such as net operating losses to offset U.S. taxable income resulting from certain transactions. Based on the limited guidance available, it is currently expected that this limitation should apply to us. As a result, it is not currently expected that Jazz Pharmaceuticals, Inc. or its U.S. affiliates will be able to utilize their U.S. tax attributes to offset their U.S. taxable income, if any, resulting from certain taxable transactions following the Azur Merger. Notwithstanding this limitation, we plan to fully utilize Jazz Pharmaceuticals, Inc.’s U.S. net operating losses, or NOLs, prior to their expiration. As a result of this limitation, however, it may take Jazz Pharmaceuticals, Inc. longer to use its NOLs. Moreover, contrary to these plans, it is possible that the limitation under Section 7874 of the Code on the utilization of U.S. tax attributes could prevent Jazz Pharmaceuticals, Inc. from fully utilizing its U.S. tax attributes prior to their expiration if Jazz Pharmaceuticals, Inc. does not generate sufficient taxable income.</w:t>
      </w:r>
    </w:p>
    <w:p>
      <w:pPr>
        <w:spacing w:after="0" w:line="11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U.S. affiliates’ ability to use their net operating losses to offset potential taxable income and related income taxes that would otherwise be due could be subject to further limitations if we do not generate taxable income in a timely manner or if the “ownership change” provisions of Sections 382 and 383 of the Code result in further annual limitations.</w:t>
      </w:r>
    </w:p>
    <w:p>
      <w:pPr>
        <w:spacing w:after="0" w:line="46"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Our U.S. affiliates have a significant amount of NOLs. Our ability to use these NOLs to offset potential future taxable income and related income taxes that would otherwise be due is dependent upon our generation of future taxable income before the expiration dates of the NOLs, and we cannot predict with certainty when, or whether, our U.S. affiliates will generate sufficient taxable income to use all of the NOLs. In addition, realization of NOLs to offset potential future taxable income and related income taxes that would otherwise be due is subject to annual limitations under the “ownership change” provisions of Sections 382 and 383 of the Code and similar state provisions, which may result in the expiration of additional NOLs before future utilization. In general, an “ownership change” occurs if, during a three-year rolling period, there is a change of 50% or more in the percentage ownership of a company by 5% shareholders (and certain persons treated as 5% shareholders), as defined in the Code and Treasury Regulations. In this regard, we currently estimate that, as a result of these ownership change provisions, we have an annual limitation on the utilization of certain NOLs of $29 million for each of the years 2013 to 2016, $12 million for 2017, and a combined total of $3 million for 2018 to 2026. However, Sections 382 and 383 of the Code are extremely complex provisions with respect to which there are many uncertainties, and we have not requested a ruling from the IRS to confirm our analysis of the ownership change limitations related to the NOLs generated by our U.S. affiliates. Therefore, we have not established whether the IRS would agree with our analysis regarding the application of Sections 382 and 383 of the Code. If the IRS were to disagree with our analysis, or if our U.S. affiliates were to experience additional ownership changes in the future, our U.S. affiliates could be subject to further annual limitations on the use of the NOLs to offset potential taxable income and related income taxes that would otherwise be due.</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potential impairment of our intangible assets and goodwill may significantly impact our profitability.</w:t>
      </w:r>
    </w:p>
    <w:p>
      <w:pPr>
        <w:spacing w:after="0" w:line="3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2012, we had recorded $1.3 billion of intangible assets and goodwill related to our past acquisitions. Intangible assets and goodwill are subject to an impairment analysis whenever events or changes in circumstances indicate the carrying amount of the asset may not be recoverable. Additionally, goodwill and indefinite-lived assets are subject to an impairment test at least annually.</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Events giving rise to impairment are an inherent risk in the pharmaceutical industry and cannot be predicted. As a result of the significance of intangible assets and goodwill, our results of operations and financial position in a future period could be negatively impacted should an impairment of intangible assets or goodwill occur.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affected by foreign exchange fluctuations.</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have significant operations in Europe as well as in the United States, but we report revenues, costs and earnings in U.S. dollars. Our primary currency translation exposures relate to our subsidiaries that have functional currencies denominated in the Euro and the British Pound Sterling, or GBP. Exchange rates between the U.S. dollar and each of the Euro and GBP are likely to fluctuate from period to period. Because our financial results are reported in U.S. dollars, we are exposed to foreign currency exchange risk as the local currency financial statements of non-U.S. subsidiaries are translated to U.S. dollars for reporting purposes. If we continue to expand our international operations, we will conduct more transactions in currencies other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than the U.S. dollar. To the extent that non-U.S. revenue and expense transactions are not denominated in the local currency, we are also subject to the risk of transaction losses. Given the volatility of exchange rates, there is no assurance that we will be able to effectively manage currency transaction and/or conversion risks. We have not entered into derivative instruments to offset the impact of foreign exchange fluctuations. Fluctuations in foreign currency exchange rates could have a material adverse effect on our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Ordinary Shares</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may continue to be volatile in the future, and the value of your investment could decline significantly.</w:t>
      </w:r>
    </w:p>
    <w:p>
      <w:pPr>
        <w:spacing w:after="0" w:line="3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Investors who hold our ordinary shares may not be able to sell their shares at or above the price at which they purchased their ordinary shares (or the price at which they purchased their shares of Jazz Pharmaceuticals, Inc. common stock prior to the Azur Merger). The price of our ordinary shares has fluctuated significantly from time to time since the completion of the Azur Merger in January 2012, and the price of Jazz Pharmaceuticals, Inc.’s common stock historically fluctuated significantly. The risk factors described above relating to our business and products could cause the price of our ordinary shares to continue to fluctuate significantly. In addition, the stock market in general, including the market for life sciences companies, has experienced extreme price and volume fluctuations that have often been unrelated or disproportionate to the operating performance of those companies. These broad market and industry factors may seriously harm the market price of our ordinary shares, regardless of our operating performance.</w:t>
      </w:r>
    </w:p>
    <w:p>
      <w:pPr>
        <w:spacing w:after="0" w:line="32"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In the past, following periods of volatility in the market or significant price decline,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37"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the market price of our ordinary shares may decline if the integration of the acquired Azur Pharma and EUSA Pharma businesses is unsuccessful, takes longer than expected or fails to achieve financial benefits to the extent anticipated by financial analysts or investors, or the effect of the business combinations on the financial results of our combined company is otherwise not consistent with the expectations of financial analysts or investors.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in the public market could cause our share price to fall.</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Sales of a substantial number of our ordinary shares in the public market, or the perception that these sales might occur, could depress the market price of our ordinary shares and could impair our ability to raise capital through the sale of additional equity securities. As of February 20, 2013, we had 58,037,532 ordinary shares outstanding, all of which shares are eligible for sale in the public market, subject in some cases to the volume limitations and manner of sale and other requirements under Rule 144.</w:t>
      </w:r>
    </w:p>
    <w:p>
      <w:pPr>
        <w:spacing w:after="0" w:line="5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As of February 20, 2013, the holders of up to approximately 6,549,000 ordinary shares, based on shares outstanding as of that date, were entitled to certain rights with respect to the registration of such shares under the Securities Act of 1933, as amended, or the Securities Act, under an amended and restated investor rights agreement that Jazz Pharmaceuticals, Inc. entered into with these holders in June 2007, which we assumed at the closing of the Azur Merger. If such holders, by exercising their registration rights or otherwise, sell a large number of shares, the sale could adversely affect the market price of our ordinary shares. If in the future we file a registration statement and include shares held by these holders pursuant to the exercise of their registration rights or otherwise, these sales may impair our ability to raise capital. In addition, we have filed a registration statement on Form S-8 under the Securities Act to register our ordinary shares reserved for issuance under our equity incentive and employee stock purchase plans, and intend to file additional registration statements on Form S-8 to register the shares automatically added each year to the share reserves under these plans.</w:t>
      </w:r>
    </w:p>
    <w:p>
      <w:pPr>
        <w:spacing w:after="0" w:line="3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Pursuant to the terms of an investor rights agreement dated July 7, 2009 Jazz Pharmaceuticals, Inc. entered into in connection with a private placement completed on such date, which agreement we assumed at the closing of the Azur Merger, we agreed to file a registration statement under the Securities Act registering the resale of 1,584,092 ordinary shares now held by the investors in the July 2009 private placement, as well as the 947,867 ordinary shares now underlying the warrants held by such investors. In addition, if we propose to register any of our securities under the Securities Act, either for our own account or for the account of others, the investors in the private placement are entitled to notice of the registration and are entitled to include, at our expense, their ordinary shares in the registration and any related underwriting, provided, among other conditions, that the underwriters may limit the number of shares to be included in the registration.</w:t>
      </w:r>
    </w:p>
    <w:p>
      <w:pPr>
        <w:spacing w:after="0" w:line="5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Pursuant to the terms of a registration rights agreement we entered into with the holders of Azur Pharma’s outstanding ordinary shares in January 2012, we filed a shelf registration statement with the SEC covering the resale of ordinary shares held by these holders following the closing of the Azur Merger to permit these holders to immediately resell their ordinary shares.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together with their respective affiliates, own a significant percentage of our shares and may be able to exercise significant influence over matters subject to shareholder approval.</w:t>
      </w:r>
    </w:p>
    <w:p>
      <w:pPr>
        <w:spacing w:after="0" w:line="3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As of February 20, 2013, our executive officers and directors, together with the shareholders with which our executive officers and directors were affiliated or associated as of such date, beneficially owned approximately 23.4% of our ordinary shares. Accordingly, our executive officers and directors, together with their respective affiliates or associates, may be able to significantly influence matters subject to shareholder approval and will continue to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the market value of our ordinary shares, and may prevent attempts by our shareholders to replace or remove our board of directors or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It may not be possible to enforce court judgments obtained in the United States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an Irish company, we are governed by the Irish Companies Acts,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articles of association could delay or prevent a takeover of us by a third party.</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For example, our articles of association:</w:t>
      </w:r>
    </w:p>
    <w:p>
      <w:pPr>
        <w:spacing w:after="0" w:line="35" w:lineRule="exact"/>
        <w:rPr>
          <w:sz w:val="20"/>
          <w:szCs w:val="20"/>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 our board of directors to issue one or more series of preferred shares with rights and preferences designated by our board;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impose advance notice requirements for shareholder proposals and nominations of directors to be considered at shareholder meetings;</w:t>
      </w:r>
    </w:p>
    <w:p>
      <w:pPr>
        <w:spacing w:after="0" w:line="101" w:lineRule="exact"/>
        <w:rPr>
          <w:rFonts w:ascii="Arial" w:cs="Arial" w:eastAsia="Arial" w:hAnsi="Arial"/>
          <w:sz w:val="17"/>
          <w:szCs w:val="17"/>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stagger the terms of our board of directors into three classes; and</w:t>
      </w:r>
    </w:p>
    <w:p>
      <w:pPr>
        <w:spacing w:after="0" w:line="90" w:lineRule="exact"/>
        <w:rPr>
          <w:rFonts w:ascii="Arial" w:cs="Arial" w:eastAsia="Arial" w:hAnsi="Arial"/>
          <w:sz w:val="18"/>
          <w:szCs w:val="18"/>
          <w:color w:val="auto"/>
        </w:rPr>
      </w:pPr>
    </w:p>
    <w:p>
      <w:pPr>
        <w:ind w:left="740" w:right="1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the shares of our share capital entitled to vote generally at a meeting of shareholders to amend or repeal our articles of association.</w:t>
      </w:r>
    </w:p>
    <w:p>
      <w:pPr>
        <w:spacing w:after="0" w:line="3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These provisions may discourage potential takeover attempts, discourage bids for our ordinary shares at a premium over the market price or adversely affect the market price of, and the voting and other rights of the holders of, our ordinary shares. These provisions could also discourage proxy contests and make it more difficult for you and other shareholders to elect directors other than the candidates nominated by our board.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anticipate that we will retain all earnings, if any, to support our operations and our proprietary drug development programs. Even if we propose to pay dividends in the future, we may be unable to do so under Irish law. Under Irish law, dividends may only be paid, and share repurchases and redemptions must generally be funded only out of, “distributable reserves.” In addition, our ability to pay cash dividends on our ordinary shares is restricted under the terms of our 2012 credit agreement. Any future determination as to the payment of dividends will, subject to Irish legal requirements, be at the sole discretion of our board of directors and will depend on our financial condition, results of operations, capital requirements, compliance with the terms of our credit agreement and other factors our board of directors deems relevant. Holders of our ordinary shares must rely on increases in the trading price of their shares for returns on their investment in the foreseeable future.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transfer of our ordinary shares may be subject to Irish stamp duty.</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certain circumstances, the transfer of shares in an Irish incorporated company will be subject to Irish stamp duty, which is a legal obligation of the buyer. This duty is currently charged at the rate of 1.0% of the price paid or the market value of the shares acquired, if higher. Because our ordinary shares are traded on a recognized stock exchange in the United States, an exemption of this stamp duty is available to transfers by shareholders who hold our ordinary shares beneficially through brokers which in turn hold those shares through the Depositary Trust Company, or DTC, to holders who also hold through DTC. However, a transfer by a record holder who holds our ordinary shares directly in his, her or its own name could be subject to this stamp duty. We, in our absolute discretion and insofar as the Irish Companies Acts or any other applicable law permit, may, or may provide that a subsidiary of ours will, pay Irish stamp duty arising on a transfer of our ordinary shares on behalf of the transferee of such ordinary shares. If stamp duty resulting from the transfer of our ordinary shares which would otherwise be payable by the transferee is paid by us or any of our subsidiaries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 (iii) claim a first and permanent lien on the ordinary shares on which stamp duty has been paid by us or our subsidiary for the amount of stamp duty paid. Our lien shall extend to all dividends paid on those ordinary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paid by us may be subject to Irish dividend withholding tax.</w:t>
      </w:r>
    </w:p>
    <w:p>
      <w:pPr>
        <w:spacing w:after="0" w:line="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certain circumstances, as an Irish tax resident company, we will be required to deduct Irish dividend withholding tax (currently at the rate of 20%) from dividends paid to our shareholders. Shareholders that are resident in the United States, European Union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 However, some shareholders may be subject to withholding tax, which could adversely affect the price of our ordinary shares.</w:t>
      </w:r>
    </w:p>
    <w:p>
      <w:pPr>
        <w:spacing w:after="0" w:line="1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auditor, like other independent registered public accounting firms operating in Ireland and a number of other European countries, is not currently permitted to be subject to inspection by the U.S. Public Company Accounting Oversight Board, or the PCAOB, and as such, our investors currently do not have the benefits of PCAOB oversight.</w:t>
      </w:r>
    </w:p>
    <w:p>
      <w:pPr>
        <w:spacing w:after="0" w:line="4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an auditor of companies that are publicly-traded in the United States and as a firm registered with the PCAOB, our independent registered public accounting firm is required by the laws of the United States to undergo regular inspections by the PCAOB to assess its compliance with the laws of the United States and the professional standards of the PCAOB. However, because our auditor is located in Ireland, a jurisdiction where the PCAOB is currently unable to conduct inspections, our auditor is not currently inspected by the PCAOB. Inspections of other auditors conducted by the PCAOB outside of Ireland have at times identified deficiencies in those auditor’s audit procedures and quality control procedures, which may be addressed as part of the inspection process to improve future audit quality. The lack of PCAOB inspections in Ireland prevents the PCAOB from regularly evaluating our auditor’s audits and its quality control procedures. In addition, the inability of the PCAOB to conduct auditor inspections in Ireland makes it more difficult to evaluate the effectiveness of our auditor’s audit procedures or quality control procedures as compared to auditors located outside of Ireland that are subject to regular PCAOB inspections. As a result, our investors are deprived of the benefits of PCAOB inspections, and may lose confidence in our reported financial information and procedures and the quality of our financial statements.</w:t>
      </w:r>
    </w:p>
    <w:p>
      <w:pPr>
        <w:spacing w:after="0" w:line="12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There are no material unresolved written comments that were received from the SEC staff 180 days or more before the end of our 2012 fiscal year relating to our periodic or current reports under the Exchange Act.</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corporate headquarters are located in Dublin, Ireland and our U.S. operations are located in Palo Alto, California, Philadelphia, Pennsylvania and Langhorne, Pennsylvania.</w:t>
      </w:r>
    </w:p>
    <w:p>
      <w:pPr>
        <w:spacing w:after="0" w:line="3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occupy approximately 12,000 square feet of office space in Dublin, Ireland under a lease which expires in May 2022. We have an option to terminate this lease in May 2017, with no less than six months’ prior written notice and the payment of a termination fee. In Palo Alto, California, we occupy a total of approximately 61,000 square feet of office space, 44,000 square feet of which is occupied under a lease, or the Palo Alto Lease, that expires in August 2017, and 17,000 square feet of which is occupied under a sublease that expires in July 2017. We have the right to extend the term of the Palo Alto Lease for up to an additional two years. We also occupy approximately 16,000 square feet of office space in Philadelphia, Pennsylvania under a lease that expires in February 2016 and approximately 8,000 square feet of office space in Langhorne, Pennsylvania under a lease that expires in October 2016.</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Our international division is headquartered in Oxford, United Kingdom, with offices in Lyon, France and elsewhere in Europe. We occupy approximately 5,000 square feet of office space in Oxford, United Kingdom under a lease that expires in March 2015. We also occupy approximately 9,000 square feet of office space in Lyon, France under a lease that expires January 2019. We have an option to terminate this lease in December 2015.</w:t>
      </w:r>
    </w:p>
    <w:p>
      <w:pPr>
        <w:spacing w:after="0" w:line="1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believe that our existing properties are in good condition and suitable for the conduct of our business. As we continue to expand our operations, we may need to lease additional or alternative facilities.</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involved in several legal proceedings, including the following matters: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6"/>
          <w:szCs w:val="16"/>
          <w:i w:val="1"/>
          <w:iCs w:val="1"/>
          <w:color w:val="auto"/>
        </w:rPr>
        <w:t>Xyrem</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ANDA Matters: </w:t>
      </w:r>
      <w:r>
        <w:rPr>
          <w:rFonts w:ascii="Arial" w:cs="Arial" w:eastAsia="Arial" w:hAnsi="Arial"/>
          <w:sz w:val="16"/>
          <w:szCs w:val="16"/>
          <w:color w:val="auto"/>
        </w:rPr>
        <w:t>On October 18, 2010, we received a Paragraph IV Patent Certification notice, or Paragraph IV Certification, from Roxane</w:t>
      </w:r>
      <w:r>
        <w:rPr>
          <w:rFonts w:ascii="Arial" w:cs="Arial" w:eastAsia="Arial" w:hAnsi="Arial"/>
          <w:sz w:val="16"/>
          <w:szCs w:val="16"/>
          <w:i w:val="1"/>
          <w:iCs w:val="1"/>
          <w:color w:val="auto"/>
        </w:rPr>
        <w:t xml:space="preserve"> </w:t>
      </w:r>
      <w:r>
        <w:rPr>
          <w:rFonts w:ascii="Arial" w:cs="Arial" w:eastAsia="Arial" w:hAnsi="Arial"/>
          <w:sz w:val="16"/>
          <w:szCs w:val="16"/>
          <w:color w:val="auto"/>
        </w:rPr>
        <w:t>Laboratories, Inc., or Roxane, that it had submitted an abbreviated new drug application, or ANDA, to the United States Food and Drug Administration, or FDA, requesting approval to market a generic version of Xyrem. Roxane’s Paragraph IV Certification alleged that all five patents then listed for Xyrem in the FDA’s publication “Approved Drug Products with Therapeutic Equivalence Evaluations,” or Orange Book, on the date of the Paragraph IV Certification are invalid, unenforceable or not infringed by Roxane’s proposed generic product. On November 22, 2010, we filed a lawsuit against Roxane in response to Roxane’s Paragraph IV Certification in the United States District Court for the District of New Jersey, or the District Court. We are seeking a permanent injunction to prevent Roxane from introducing a generic version of Xyrem that would infringe our patents. In accordance with the Hatch-Waxman Act, as a result of having filed a timely lawsuit against Roxane, FDA approval of Roxane’s ANDA will be stayed until the earlier of (i) April 18, 2013, which is 30 months after our October 18, 2010 receipt of Roxane’s Paragraph IV Certification, or (ii) a District Court decision finding that the identified patents are invalid, unenforceable or not infringed. Two additional method of use patents covering the distribution system for Xyrem were issued in December 2010 and February 2011, respectively, and were listed in the Orange Book, and we filed lawsuits against Roxane in February 2011 and again in May 2011 to include these additional patents in the litigation in response to Roxane’s Paragraph IV Certifications against each of these patents, and also to include another issued patent in the litigation which is not listed in the Orange Book. These additional lawsuits were subsequently consolidated with the action filed on November 22, 2010. On April 26, 2012, the District Court held a Markman hearing, a pretrial hearing following which the trial judge construes the claims of the patents at issue in a lawsuit, and the District Court issued a Markman order construing the claims of the patents then involved in the litigation in September 2012. New patents, one covering a formulation of Xyrem and the other covering use of Xyrem for treatment of narcolepsy, were issued in September 2012 and December 2012, respectively, and were listed in the Orange Book. In October 2012, we filed a new lawsuit in the District Court against Roxane in response to Roxane’s Paragraph IV Certification against the new formulation patent, and in December 2012, we filed a lawsuit in the District Court against Roxane alleging infringement of the new treatment patent. Our original lawsuit against Roxane has been temporarily stayed while the District Court determines whether to consolidate the three lawsuits, and no trial date has been scheduled. We cannot predict the timing or outcome of this matter.</w:t>
      </w:r>
    </w:p>
    <w:p>
      <w:pPr>
        <w:spacing w:after="0" w:line="45"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On December 10, 2012, we received a Paragraph IV Certification from Amneal Pharmaceuticals, LLC, or Amneal, that it had submitted an ANDA to the FDA requesting approval to market a generic version of Xyrem. Amneal’s Paragraph IV Certification alleged that seven patents listed for Xyrem in the Orange Book are not infringed by Amneal’s proposed generic product. Amneal’s Paragraph IV Certification further alleged that an eighth patent listed in the Orange Book for Xyrem is invalid. On December 13, 2012, we received a supplemental Paragraph IV Certification alleging that a ninth patent listed in the Orange Book for Xyrem is invalid. On January 18, 2013, we filed a lawsuit against Amneal in response to Amneal’s Paragraph IV Certifications in the District Court. We are seeking a permanent injunction to prevent Amneal from introducing a generic version of Xyrem that would infringe our patents. In accordance with the Hatch-Waxman Act, as a result of having filed a timely lawsuit against Amneal, FDA approval of Amneal’s ANDA will be stayed until the earlier of (i) June 10, 2015, which is 30 months after our receipt of Amneal’s Paragraph IV Certification on December 10, 2012, or (ii) a District Court decision finding that the identified patents are invalid, unenforceable or not infringed. We cannot predict the outcome of this matter.</w:t>
      </w:r>
    </w:p>
    <w:p>
      <w:pPr>
        <w:spacing w:after="0" w:line="3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On May 18, 2012, we submitted a Citizen Petition to the FDA that addressed the legal and scientific bases for requiring in vivo bioequivalence studies for generic formulations of Xyrem. Among other actions requested of the FDA, this petition requested that the FDA (i) not accept for review, review, or approve any ANDA referencing Xyrem unless and until the FDA has published bioequivalence requirements in the Orange Book specifying whether in vitro bioequivalence studies, in vivo bioequivalence studies, or both, are required for such ANDAs and (ii) require in vivo bioequivalence studies for any sodium oxybate drug product for which approval is sought in an ANDA referencing Xyrem to the extent such drug product differs from Xyrem in manufacturing process, pH, excipients, impurities, degradants or contaminants. On November 13, 2012, the FDA denied this Citizen Petition. On July 10, 2012, we submitted a second Citizen Petition to the FDA that addressed the requirements for submission of any ANDA referencing Xyrem. This petition focused on our view that any ANDA referencing Xyrem must contain a proposed risk management system at the time it was or is filed in order to demonstrate, as required by law, that the new generic drug product would have the same labeling and conditions of use as Xyrem. Among other actions requested of the FDA, this petition asked the FDA to rescind the acceptance of any previously-accepted ANDA referencing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Xyrem, including the Roxane ANDA, that did not contain a proposed risk management system at the time it was accepted for review. On December 13, 2012, the FDA denied this Citizen Petition. We are evaluating the FDA’s responses to both Citizen Petitions and potential further actions that we may take with respect to the issues raised in, and the FDA’s denials of, the Citizen Petitions. The FDA’s denial of the Citizen Petitions does not have a direct impact on the merits of our ongoing lawsuits with Roxane and Amneal. However, we cannot predict the effect of the denial of either of our Citizen Petitions, or the FDA’s stated positions in its responses to the Citizen Petitions, on the timing of the potential introduction of a generic version of Xyrem.</w:t>
      </w:r>
    </w:p>
    <w:p>
      <w:pPr>
        <w:spacing w:after="0" w:line="23" w:lineRule="exact"/>
        <w:rPr>
          <w:sz w:val="20"/>
          <w:szCs w:val="20"/>
          <w:color w:val="auto"/>
        </w:rPr>
      </w:pPr>
    </w:p>
    <w:p>
      <w:pPr>
        <w:ind w:firstLine="432"/>
        <w:spacing w:after="0" w:line="259" w:lineRule="auto"/>
        <w:rPr>
          <w:sz w:val="20"/>
          <w:szCs w:val="20"/>
          <w:color w:val="auto"/>
        </w:rPr>
      </w:pPr>
      <w:r>
        <w:rPr>
          <w:rFonts w:ascii="Arial" w:cs="Arial" w:eastAsia="Arial" w:hAnsi="Arial"/>
          <w:sz w:val="17"/>
          <w:szCs w:val="17"/>
          <w:i w:val="1"/>
          <w:iCs w:val="1"/>
          <w:color w:val="auto"/>
        </w:rPr>
        <w:t>FazaClo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ANDA Matters: </w:t>
      </w:r>
      <w:r>
        <w:rPr>
          <w:rFonts w:ascii="Arial" w:cs="Arial" w:eastAsia="Arial" w:hAnsi="Arial"/>
          <w:sz w:val="17"/>
          <w:szCs w:val="17"/>
          <w:color w:val="auto"/>
        </w:rPr>
        <w:t>Azur Pharma received Paragraph IV Certifications from three generics manufacturers, Barr Laboratories, Inc.; Novel</w:t>
      </w:r>
      <w:r>
        <w:rPr>
          <w:rFonts w:ascii="Arial" w:cs="Arial" w:eastAsia="Arial" w:hAnsi="Arial"/>
          <w:sz w:val="17"/>
          <w:szCs w:val="17"/>
          <w:i w:val="1"/>
          <w:iCs w:val="1"/>
          <w:color w:val="auto"/>
        </w:rPr>
        <w:t xml:space="preserve"> </w:t>
      </w:r>
      <w:r>
        <w:rPr>
          <w:rFonts w:ascii="Arial" w:cs="Arial" w:eastAsia="Arial" w:hAnsi="Arial"/>
          <w:sz w:val="17"/>
          <w:szCs w:val="17"/>
          <w:color w:val="auto"/>
        </w:rPr>
        <w:t>Laboratories, Inc.; and Mylan Pharmaceuticals, Inc., indicating that ANDAs had been filed with the FDA requesting approval to market generic versions of FazaClo LD. Azur Pharma and CIMA Labs Inc., or CIMA, a subsidiary of Teva Pharmaceutical Industries Limited, or Teva, our licensor and the entity whose drug-delivery technology is incorporated into FazaClo LD, filed a lawsuit in response to each certification claiming infringement based on such certification: against Barr Laboratories, Inc. on August 21, 2008, against Novel Laboratories, Inc. on November 25, 2008, and against Mylan Pharmaceuticals, Inc. on July 23, 2010. Each case was filed in the United States District Court for the District of Delaware. On July 6, 2011, CIMA, Azur Pharma and Teva, which had acquired Barr Laboratories, Inc., entered into an agreement settling the patent litigation and Azur Pharma granted a sublicense to an affiliate of Teva of Azur Pharma’s rights to have manufactured, market and sell a generic version of both FazaClo LD and FazaClo HD, as well as an option for supply of authorized generic product. The sublicense for FazaClo LD commenced in July 2012, and the sublicense for FazaClo HD will commence in May 2015, or earlier upon the occurrence of certain events. Teva exercised its option for supply of an authorized generic product for FazaClo LD and launched the authorized generic product at the end of August 2012. The Novel Laboratories, Inc. and Mylan Pharmaceuticals, Inc. matters have been stayed pending reexamination of the patents in the suit. We cannot predict the outcome of the matters with Novel Laboratories, Inc. and Mylan Pharmaceuticals, Inc., the reexamination proceedings, or when the stays will be lifted.</w:t>
      </w:r>
    </w:p>
    <w:p>
      <w:pPr>
        <w:spacing w:after="0" w:line="6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i w:val="1"/>
          <w:iCs w:val="1"/>
          <w:color w:val="auto"/>
        </w:rPr>
        <w:t xml:space="preserve">Cutler Matter: </w:t>
      </w:r>
      <w:r>
        <w:rPr>
          <w:rFonts w:ascii="Arial" w:cs="Arial" w:eastAsia="Arial" w:hAnsi="Arial"/>
          <w:sz w:val="16"/>
          <w:szCs w:val="16"/>
          <w:color w:val="auto"/>
        </w:rPr>
        <w:t>On October 19, 2011, Dr. Neal Cutler, one of the original owners of FazaClo, filed a complaint against Azur Pharma and one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as well as Avanir Pharmaceuticals, Inc., or Avanir, in California Superior Court in the County of Los Angeles, or the Superior Court. The complaint alleges that Azur Pharma and its subsidiary breached certain contractual obligations. Azur Pharma acquired rights to FazaClo from Avanir in 2007. The complaint alleges that as part of the acquisition of FazaClo, Azur Pharma’s subsidiary agreed to assume certain contingent payment obligations to</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Dr. Cutler. The complaint further alleges that certain contingent payments are due because revenue thresholds have been achieved, entitling Dr. Cutler to either a $10.5 million or $25.0 million contingent payment, plus unspecified punitive damages and attorneys’ fees. On March 14, 2012, the Superior Court granted our petition to compel arbitration of the dispute in New York and stayed the Superior Court litigation. We submitted a complaint in arbitration alleging that Dr. Cutler’s suit had been improperly filed in Los Angeles and seeking a declaratory judgment that we have complied with all contractual obligations to Dr. Cutler. On July 25, 2012, the arbitrator dismissed the arbitration on the grounds that the parties’ dispute falls outside of the scope of the arbitration clause in the applicable contract. We have asked the Superior Court to vacate the arbitrator’s dismissal of the arbitration and appealed the Superior Court’s denial of our motion to the California Court of Appeal. In addition, on November 7, 2012, we filed challenges to the sufficiency of the complaint in the Superior Court, but the Superior Court case has been stayed pending the outcome of our appeal. This matter, like all litigation, carries certain risks, and there can be no assurance of the outcome.</w:t>
      </w:r>
    </w:p>
    <w:p>
      <w:pPr>
        <w:spacing w:after="0" w:line="4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00" w:lineRule="exact"/>
        <w:rPr>
          <w:sz w:val="20"/>
          <w:szCs w:val="20"/>
          <w:color w:val="auto"/>
        </w:rPr>
      </w:pPr>
    </w:p>
    <w:p>
      <w:pPr>
        <w:spacing w:after="0" w:line="21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ordinary shares began trading on The NASDAQ Global Select Market under the trading symbol “JAZZ” on January 18, 2012. From June 1, 2007 until January 17, 2012, the common stock of Jazz Pharmaceuticals, Inc. was traded on The NASDAQ Global Select Market (or The NASDAQ Global Market prior to January 3, 2012) also under the trading symbol “JAZZ.” The following table sets forth the high and low intraday sales prices of our ordinary shares (and for periods prior to January 18, 2012, the common stock of Jazz Pharmaceuticals, Inc.) on The NASDAQ Global Select Market (or The NASDAQ Global Market prior to January 3, 2012)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6"/>
                <w:szCs w:val="16"/>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Calendar Quarter—2011</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18.85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31.87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Calendar Quarter—2012</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40.38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47.37</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February 20, 2013, the last reported sales price per share of our ordinary shares was $57.67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Ordinary Shares</w:t>
      </w:r>
    </w:p>
    <w:p>
      <w:pPr>
        <w:spacing w:after="0" w:line="94" w:lineRule="exact"/>
        <w:rPr>
          <w:sz w:val="20"/>
          <w:szCs w:val="20"/>
          <w:color w:val="auto"/>
        </w:rPr>
      </w:pPr>
    </w:p>
    <w:p>
      <w:pPr>
        <w:jc w:val="both"/>
        <w:ind w:right="80" w:firstLine="432"/>
        <w:spacing w:after="0" w:line="342" w:lineRule="auto"/>
        <w:rPr>
          <w:sz w:val="20"/>
          <w:szCs w:val="20"/>
          <w:color w:val="auto"/>
        </w:rPr>
      </w:pPr>
      <w:r>
        <w:rPr>
          <w:rFonts w:ascii="Arial" w:cs="Arial" w:eastAsia="Arial" w:hAnsi="Arial"/>
          <w:sz w:val="16"/>
          <w:szCs w:val="16"/>
          <w:color w:val="auto"/>
        </w:rPr>
        <w:t>As of February 20, 2013, there were three holders of record of our ordinary shares. Because many of our ordinary shares are held by brokers, nominees and other institutions on behalf of shareholders, we are unable to estimate the total number of shareholders represented by these record 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No cash dividends have ever been declared or paid on the common equity to date by Jazz Pharmaceuticals, Inc. or us, and we do not currently plan to pay cash dividends in the foreseeable future. Under Irish law, dividends may only be paid, and share repurchases and redemptions must generally be funded only out of, “distributable reserves.” In addition, the terms of our June 2012 credit agreement restrict our ability to make certain restricted payments, which include the payment of cash dividends, in excess of $30 million plus a formula-based amount that is based on our consolidated net income, provided that, in the case of paying cash dividends pursuant to this formula, our total leverage ratio (as defined in the credit agreement) does not exceed a certain amount. Any future determination as to the payment of dividends will, subject to Irish legal requirements, be at the sole discretion of our board of directors and will depend on our financial condition, results of operations, capital requirements, compliance with the terms of our credit agreement and other factors our board of directors deems relevant.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Except as previously reported in our quarterly reports on Form 10-Q filed with the SEC during the year ended December 31, 2012, there were no unregistered sales of equity securities by us during the year ended December 31,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Law Matters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we are an Irish incorporated company, the following matters of Irish law are relevant to the holders of our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Restrictions on Import and Export of Capital</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The Financial Transfers Act 1992 gives power to the Minister for Finance of Ireland to restrict financial transfers between Ireland and other countries and persons. Financial transfers are broadly defined and include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At present the Financial Transfers Act, 1992 prohibits financial transfers involving the late Slobodan Milosevic and associated persons, Burma (Myanmar),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Sudan, Somalia, Republic of Guinea, Afghanistan, Egypt, Eritrea, Libya, Syria, Tunisia, certain known terrorists and terrorist groups, and countries that harbor certain terrorist groups, without the prior permission of the Central Bank of Ireland.</w:t>
      </w:r>
    </w:p>
    <w:p>
      <w:pPr>
        <w:spacing w:after="0" w:line="4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Irish Taxes Applicable to U.S. Holders</w:t>
      </w:r>
    </w:p>
    <w:p>
      <w:pPr>
        <w:spacing w:after="0" w:line="90"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i w:val="1"/>
          <w:iCs w:val="1"/>
          <w:color w:val="auto"/>
        </w:rPr>
        <w:t xml:space="preserve">Withholding Tax on Dividends. </w:t>
      </w:r>
      <w:r>
        <w:rPr>
          <w:rFonts w:ascii="Arial" w:cs="Arial" w:eastAsia="Arial" w:hAnsi="Arial"/>
          <w:sz w:val="18"/>
          <w:szCs w:val="18"/>
          <w:color w:val="auto"/>
        </w:rPr>
        <w:t>While we have no current plans to pay dividends, dividends on our ordinary shares would generally be subject to Irish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Withholding Tax, or DWT, at the standard rate of income tax (currently 20%), unless an exemption applies.</w:t>
      </w:r>
    </w:p>
    <w:p>
      <w:pPr>
        <w:spacing w:after="0" w:line="35" w:lineRule="exact"/>
        <w:rPr>
          <w:sz w:val="20"/>
          <w:szCs w:val="20"/>
          <w:color w:val="auto"/>
        </w:rPr>
      </w:pPr>
    </w:p>
    <w:p>
      <w:pPr>
        <w:ind w:right="120" w:firstLine="432"/>
        <w:spacing w:after="0" w:line="334" w:lineRule="auto"/>
        <w:rPr>
          <w:sz w:val="20"/>
          <w:szCs w:val="20"/>
          <w:color w:val="auto"/>
        </w:rPr>
      </w:pPr>
      <w:r>
        <w:rPr>
          <w:rFonts w:ascii="Arial" w:cs="Arial" w:eastAsia="Arial" w:hAnsi="Arial"/>
          <w:sz w:val="16"/>
          <w:szCs w:val="16"/>
          <w:color w:val="auto"/>
        </w:rPr>
        <w:t>Dividends on our ordinary shares that are owned by residents of the United States and held beneficially through the Depositary Trust Company, or DTC, will not be subject to DWT provided that the address of the beneficial owner of the ordinary shares in the records of the broker is in the United States.</w:t>
      </w:r>
    </w:p>
    <w:p>
      <w:pPr>
        <w:spacing w:after="0" w:line="1"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Dividends on our ordinary shares that are owned by residents of the United States and held directly (outside of DTC) will not be subject to DWT provided that the shareholder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If any shareholder who is resident in the United States receives a dividend subject to DWT, he or she should generally be able to make an application for a refund from the Irish Revenue Commissioners on the prescribed form.</w:t>
      </w:r>
    </w:p>
    <w:p>
      <w:pPr>
        <w:spacing w:after="0" w:line="35" w:lineRule="exact"/>
        <w:rPr>
          <w:sz w:val="20"/>
          <w:szCs w:val="20"/>
          <w:color w:val="auto"/>
        </w:rPr>
      </w:pPr>
    </w:p>
    <w:p>
      <w:pPr>
        <w:ind w:right="340" w:firstLine="432"/>
        <w:spacing w:after="0" w:line="334" w:lineRule="auto"/>
        <w:rPr>
          <w:sz w:val="20"/>
          <w:szCs w:val="20"/>
          <w:color w:val="auto"/>
        </w:rPr>
      </w:pPr>
      <w:r>
        <w:rPr>
          <w:rFonts w:ascii="Arial" w:cs="Arial" w:eastAsia="Arial" w:hAnsi="Arial"/>
          <w:sz w:val="16"/>
          <w:szCs w:val="16"/>
          <w:color w:val="auto"/>
        </w:rPr>
        <w:t>While the United States/Ireland Double Tax Treaty contains provisions regarding withholding, due to the wide scope of the exemptions from DWT available under Irish domestic law, it would generally be unnecessary for a United States resident shareholder to rely on the treaty provisions.</w:t>
      </w:r>
    </w:p>
    <w:p>
      <w:pPr>
        <w:spacing w:after="0" w:line="1"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i w:val="1"/>
          <w:iCs w:val="1"/>
          <w:color w:val="auto"/>
        </w:rPr>
        <w:t xml:space="preserve">Income Tax on Dividends. </w:t>
      </w:r>
      <w:r>
        <w:rPr>
          <w:rFonts w:ascii="Arial" w:cs="Arial" w:eastAsia="Arial" w:hAnsi="Arial"/>
          <w:sz w:val="18"/>
          <w:szCs w:val="18"/>
          <w:color w:val="auto"/>
        </w:rPr>
        <w:t>A shareholder who is neither resident nor ordinarily resident in Ireland and who is entitled to an exemption from DWT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has no additional liability to Irish income tax or to the universal social charge on a dividend from us unless that shareholder holds our ordinary shares through a branch or agency in Ireland through which a trade is carried on.</w:t>
      </w:r>
    </w:p>
    <w:p>
      <w:pPr>
        <w:spacing w:after="0" w:line="4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 shareholder who is neither resident nor ordinarily resident in Ireland and who is not entitled to an exemption from DWT generally has no additional liability to Irish income tax or to the universal social charge on a dividend from us. The DWT deducted by us discharges the liability to Irish income tax and to the universal social charge. This however is not the case where the shareholder holds the ordinary shares through a branch or agency in Ireland through which a trade is carried on.</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Irish Tax on Capital Gains</w:t>
      </w:r>
      <w:r>
        <w:rPr>
          <w:rFonts w:ascii="Arial" w:cs="Arial" w:eastAsia="Arial" w:hAnsi="Arial"/>
          <w:sz w:val="18"/>
          <w:szCs w:val="18"/>
          <w:color w:val="auto"/>
        </w:rPr>
        <w:t>. A shareholder who is neither resident nor ordinarily resident in Ireland and does not hold our ordinary shares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trade or business carried on by such shareholder in Ireland through a branch or agency should not be within the charge to Irish tax on capital gains on a disposal of our ordinary shares.</w:t>
      </w:r>
    </w:p>
    <w:p>
      <w:pPr>
        <w:spacing w:after="0" w:line="4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Capital Acquisitions Tax</w:t>
      </w:r>
      <w:r>
        <w:rPr>
          <w:rFonts w:ascii="Arial" w:cs="Arial" w:eastAsia="Arial" w:hAnsi="Arial"/>
          <w:sz w:val="18"/>
          <w:szCs w:val="18"/>
          <w:color w:val="auto"/>
        </w:rPr>
        <w:t>. Irish capital acquisitions tax, or CAT, is comprised principally of gift tax and inheritance tax. CAT could apply to a gift or</w:t>
      </w:r>
      <w:r>
        <w:rPr>
          <w:rFonts w:ascii="Arial" w:cs="Arial" w:eastAsia="Arial" w:hAnsi="Arial"/>
          <w:sz w:val="18"/>
          <w:szCs w:val="18"/>
          <w:i w:val="1"/>
          <w:iCs w:val="1"/>
          <w:color w:val="auto"/>
        </w:rPr>
        <w:t xml:space="preserve"> </w:t>
      </w:r>
      <w:r>
        <w:rPr>
          <w:rFonts w:ascii="Arial" w:cs="Arial" w:eastAsia="Arial" w:hAnsi="Arial"/>
          <w:sz w:val="18"/>
          <w:szCs w:val="18"/>
          <w:color w:val="auto"/>
        </w:rPr>
        <w:t>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5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Stamp Duty. </w:t>
      </w:r>
      <w:r>
        <w:rPr>
          <w:rFonts w:ascii="Arial" w:cs="Arial" w:eastAsia="Arial" w:hAnsi="Arial"/>
          <w:sz w:val="18"/>
          <w:szCs w:val="18"/>
          <w:color w:val="auto"/>
        </w:rPr>
        <w:t>Irish stamp duty (if any) may become payable in respect of ordinary share transfers. However, a transfer of our ordinary shares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seller who holds shares through DTC to a buyer who holds the acquired shares through DTC will not be subject to Irish stamp duty. A transfer of our ordinary shares (i) by a seller who holds ordinary shares outside of DTC to any buyer, or (ii) by a seller who holds the ordinary shares through DTC to a buyer who holds the acquired ordinary shares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4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Comparison(1)</w:t>
      </w:r>
    </w:p>
    <w:p>
      <w:pPr>
        <w:spacing w:after="0" w:line="9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following graph shows the total shareholder return on the last day of each year of an investment of $100 in cash as if made on December 31, 2007 in (i) our ordinary shares; (ii) the NASDAQ Composite Index; and (iii) the NASDAQ Biotechnology Index through December 31, 2012. Information set forth in the graph below represents the performance of the Jazz Pharmaceuticals, Inc. common stock from December 31, 2007 until January 17, 2012, the day before the consummation of the Azur Merger, and the performance of our ordinary shares from January 18, 2012 through December 31, 2012. Our ordinary share trade on the same exchange, the NASDAQ Global Select Market, and under the same trading symbol, “JAZZ,” as the Jazz Pharmaceuticals, Inc. common stock prior to the Azur Merger. Pursuant to applicable Securities and Exchange Commission rules, all values assume reinvestment of the full amount of all dividends; however we did not declare or pay any dividends on our common stock or ordinary share during the comparison period. The shareholder return shown in the graph below is not necessarily indicative of future performance, and we do not make or endorse any predictions as to future shareholder returns.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FIVE YEAR CUMULATIVE TOTAL RETURN(2)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120015</wp:posOffset>
            </wp:positionV>
            <wp:extent cx="4853940" cy="3053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394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*$100 invested on December 31, 2007 in stock or in index, including reinvestment of dividends.</w:t>
      </w:r>
    </w:p>
    <w:p>
      <w:pPr>
        <w:spacing w:after="0" w:line="1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Fiscal year ending December 31.</w:t>
      </w:r>
    </w:p>
    <w:p>
      <w:pPr>
        <w:spacing w:after="0" w:line="68" w:lineRule="exact"/>
        <w:rPr>
          <w:sz w:val="20"/>
          <w:szCs w:val="20"/>
          <w:color w:val="auto"/>
        </w:rPr>
      </w:pPr>
    </w:p>
    <w:p>
      <w:pPr>
        <w:ind w:left="540" w:right="20" w:hanging="316"/>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section is not “soliciting material”, is not deemed “filed” with the SEC and is not to be incorporated by reference into any of our filings under the Securities Act of 1933, as amended, or the Securities Exchange Act of 1934, as amended, whether made before or after the date hereof and irrespective of any general incorporation language in any such filing.</w:t>
      </w:r>
    </w:p>
    <w:p>
      <w:pPr>
        <w:spacing w:after="0" w:line="46"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used in the graph was obtained from Research Data Group, Inc.</w:t>
      </w:r>
    </w:p>
    <w:p>
      <w:pPr>
        <w:spacing w:after="0" w:line="16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Annual Report on Form 10-K. The selected consolidated financial data in this section is not intended to replace our consolidated financial statements and the accompanying notes. Our historical results are not necessarily indicative of our future results.</w:t>
      </w:r>
    </w:p>
    <w:p>
      <w:pPr>
        <w:spacing w:after="0" w:line="13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derived the consolidated statements of operations data for the years ended December 31, 2012, 2011 and 2010 and the consolidated balance sheet data as of December 31, 2012 and 2011 from the audited consolidated financial statements appearing elsewhere in this Annual Report on Form 10-K. The consolidated statements of operations data for the years ended December 31, 2009 and 2008, and the selected consolidated balance sheet data as of December 31, 2010, 2009 and 2008 are derived from audited consolidated financial statements not included in this Annual Report on Form 10-K. The selected</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financial data for periods prior to the year ended December 31, 2012 is that of Jazz Pharmaceuticals, Inc. and its consolidated subsidiaries, our predecessor, while the selected consolidated financial data as of and for the year ended December 31, 2012 is that of Jazz Pharmaceuticals plc and its consolidated subsidiaries.</w:t>
      </w: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125" w:right="4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 (1)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r>
      <w:tr>
        <w:trPr>
          <w:trHeight w:val="196"/>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8"/>
          </w:tcPr>
          <w:p>
            <w:pPr>
              <w:jc w:val="center"/>
              <w:ind w:left="451"/>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266,518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170,006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64,637</w:t>
            </w: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2,877</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585,979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272,277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67,514</w:t>
            </w:r>
          </w:p>
        </w:tc>
      </w:tr>
      <w:tr>
        <w:trPr>
          <w:trHeight w:val="243"/>
        </w:trPr>
        <w:tc>
          <w:tcPr>
            <w:tcW w:w="412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sales (excluding amortization of</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acquired developed technologies and intangible asset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13,559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13,924</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223,882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108,936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68,996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111,401</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69,963</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12,828</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 impairment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29,763</w:t>
            </w:r>
          </w:p>
        </w:tc>
      </w:tr>
      <w:tr>
        <w:trPr>
          <w:trHeight w:val="237"/>
        </w:trPr>
        <w:tc>
          <w:tcPr>
            <w:tcW w:w="41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388,135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144,446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115,992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112,519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237,879</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127,831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(170,365)</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9"/>
              </w:rPr>
              <w:t>Interest expense, net (including $570, $1,183 and</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w w:val="91"/>
              </w:rPr>
              <w:t>$1,179 for the years ended December 31, 2010, 2009</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w w:val="94"/>
              </w:rPr>
              <w:t>and 2008, respectively, pertaining to a related party)</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(17,892)</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loss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sale of product rights</w:t>
            </w:r>
          </w:p>
        </w:tc>
        <w:tc>
          <w:tcPr>
            <w:tcW w:w="3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3,918</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Loss on extinguishment of debt (including $701 for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the year ended December 31, 2010 pertaining to 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related party)</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177,355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124,984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32,778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(184,339)</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261,149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124,984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32,778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(184,339)</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124,984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32,778</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(184,339)</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ordinary share: (2)</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ordinary share: (2)</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12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0"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Weighted-average number of ordinary shares outstanding: (2)</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jc w:val="right"/>
              <w:ind w:right="30"/>
              <w:spacing w:after="0"/>
              <w:rPr>
                <w:sz w:val="20"/>
                <w:szCs w:val="20"/>
                <w:color w:val="auto"/>
              </w:rPr>
            </w:pPr>
            <w:r>
              <w:rPr>
                <w:rFonts w:ascii="Arial" w:cs="Arial" w:eastAsia="Arial" w:hAnsi="Arial"/>
                <w:sz w:val="18"/>
                <w:szCs w:val="18"/>
                <w:color w:val="auto"/>
              </w:rPr>
              <w:t>56,643</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41,499</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36,343</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30,018</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25,646</w:t>
            </w:r>
          </w:p>
        </w:tc>
      </w:tr>
      <w:tr>
        <w:trPr>
          <w:trHeight w:val="27"/>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1420" w:type="dxa"/>
            <w:vAlign w:val="bottom"/>
          </w:tcPr>
          <w:p>
            <w:pPr>
              <w:jc w:val="right"/>
              <w:ind w:right="30"/>
              <w:spacing w:after="0"/>
              <w:rPr>
                <w:sz w:val="20"/>
                <w:szCs w:val="20"/>
                <w:color w:val="auto"/>
              </w:rPr>
            </w:pPr>
            <w:r>
              <w:rPr>
                <w:rFonts w:ascii="Arial" w:cs="Arial" w:eastAsia="Arial" w:hAnsi="Arial"/>
                <w:sz w:val="18"/>
                <w:szCs w:val="18"/>
                <w:color w:val="auto"/>
              </w:rPr>
              <w:t>60,195</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46,798</w:t>
            </w: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39,411</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30,018</w:t>
            </w:r>
          </w:p>
        </w:tc>
        <w:tc>
          <w:tcPr>
            <w:tcW w:w="12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25,646</w:t>
            </w:r>
          </w:p>
        </w:tc>
      </w:tr>
      <w:tr>
        <w:trPr>
          <w:trHeight w:val="27"/>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-213995</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125" w:right="2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3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 (1)</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2008</w:t>
            </w:r>
          </w:p>
        </w:tc>
      </w:tr>
      <w:tr>
        <w:trPr>
          <w:trHeight w:val="196"/>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w w:val="95"/>
              </w:rPr>
              <w:t>Cash, cash equivalents and marketable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387,196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157,898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44,794</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15,595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25,907</w:t>
            </w:r>
          </w:p>
        </w:tc>
      </w:tr>
      <w:tr>
        <w:trPr>
          <w:trHeight w:val="27"/>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(deficit)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360,034</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146,261</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14,522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(22,287)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(129,492)</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99"/>
              </w:rPr>
              <w:t>1,966,493</w:t>
            </w: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253,573</w:t>
            </w:r>
          </w:p>
        </w:tc>
        <w:tc>
          <w:tcPr>
            <w:tcW w:w="2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135,729</w:t>
            </w: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107,396</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117,498</w:t>
            </w:r>
          </w:p>
        </w:tc>
      </w:tr>
      <w:tr>
        <w:trPr>
          <w:trHeight w:val="27"/>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debt, current and non-current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(including $6,552 and $6,747 as of</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2009 and 2008,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respectively, held by a related party)</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456,761</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40,693</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114,866</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118,534</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(61,296)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(349,882)</w:t>
            </w:r>
          </w:p>
        </w:tc>
        <w:tc>
          <w:tcPr>
            <w:tcW w:w="2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(474,866)</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(507,644)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(500,808)</w:t>
            </w:r>
          </w:p>
        </w:tc>
      </w:tr>
      <w:tr>
        <w:trPr>
          <w:trHeight w:val="27"/>
        </w:trPr>
        <w:tc>
          <w:tcPr>
            <w:tcW w:w="3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1,121,292</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192,788</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30,551</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(72,830)</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(92,878)</w:t>
            </w:r>
          </w:p>
        </w:tc>
      </w:tr>
      <w:tr>
        <w:trPr>
          <w:trHeight w:val="27"/>
        </w:trPr>
        <w:tc>
          <w:tcPr>
            <w:tcW w:w="3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ind w:left="60"/>
        <w:spacing w:after="0"/>
        <w:rPr>
          <w:sz w:val="20"/>
          <w:szCs w:val="20"/>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ind w:left="340" w:hanging="332"/>
        <w:spacing w:after="0" w:line="26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January 18, 2012, the businesses of Jazz Pharmaceuticals, Inc. and Azur Pharma were combined in the Azur Merger pursuant to which all outstanding shares of Jazz Pharmaceuticals, Inc.’s common stock were canceled and converted into the right to receive, on a one-for-one basis, our ordinary shares. Jazz Pharmaceuticals, Inc. was treated as the acquiring company in the Azur Merger for accounting purposes, and as a result, the historical consolidated financial statements of Jazz Pharmaceuticals, Inc. became our consolidated financial statements. On June 12, 2012, we completed the EUSA Acquisition. At the closing of the EUSA Acquisition, we paid $678.4 million in cash, and agreed to make an additional contingent payment of $50.0 million in cash if Erwinaze achieves U.S. net sales of $124.5 million or more in 2013. In connection with the EUSA Acquisition, we entered into a $575.0 million credit agreement consisting of a $475.0 million term loan and a $100.0 million revolving credit facility. We used all of the proceeds of the term loan, together with cash on hand, to finance the EUSA Acquisition. The results of operations of the acquired Azur Pharma and EUSA Pharma businesses, along with the estimated fair values of the assets acquired and liabilities assumed in each transaction, are included in our consolidated financial statements since the effective dates of the Azur Merger and the EUSA Acquisition, respectively. See Note 3 to the notes to our consolidated financial statements for more information on these transactions.</w:t>
      </w:r>
    </w:p>
    <w:p>
      <w:pPr>
        <w:spacing w:after="0" w:line="74" w:lineRule="exact"/>
        <w:rPr>
          <w:rFonts w:ascii="Arial" w:cs="Arial" w:eastAsia="Arial" w:hAnsi="Arial"/>
          <w:sz w:val="17"/>
          <w:szCs w:val="17"/>
          <w:color w:val="auto"/>
        </w:rPr>
      </w:pPr>
    </w:p>
    <w:p>
      <w:pPr>
        <w:ind w:left="340" w:right="20" w:hanging="332"/>
        <w:spacing w:after="0" w:line="30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references to “ordinary shares” refer to Jazz Pharmaceuticals, Inc.’s common stock with respect to the comparative prior year periods and to our ordinary shares with respect to the year ended December 31, 2012. Our earnings per share in the comparative prior year periods were not impacted by the Azur Merger since each share of Jazz Pharmaceuticals, Inc. common stock issued and outstanding immediately prior to the effective time of the Azur Merger was canceled and converted into the right to receive one ordinary share upon the consummation of the Azur Merger.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consolidated financial statements and notes to consolidated financial statements included elsewhere in this Annual Report on Form 10-K. This discussion contains forward-looking statements that involve risks and uncertainties. When reviewing the discussion below, you should keep in mind the substantial risks and uncertainties that characterize our business. In particular, we encourage you to review the risks and uncertainties described in Part I Item 1A. “Risk Factors” included elsewhere in this report. These risks and uncertainties could cause actual results to differ materially from those projected in forward-looking statements contained in this report or implied by past results and trends.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are a specialty biopharmaceutical company focused on improving patients’ lives by identifying, developing and commercializing products that address unmet medical needs. Our strategy is to continue to create shareholder value by:</w:t>
      </w:r>
    </w:p>
    <w:p>
      <w:pPr>
        <w:spacing w:after="0" w:line="35"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new growth opportunities;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Acquiring additional marketed specialty products or products close to regulatory approval to leverage our existing expertise and infrastructure; and</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Pursuing targeted development of a pipeline of post-discovery specialty product candidates.</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2012 was a transformational year for our company. In January 2012, the businesses of Jazz Pharmaceuticals, Inc. and Azur Pharma were combined in a merger transaction, or the Azur Merger. In June 2012, we completed the acquisition of EUSA Pharma Inc., or the EUSA Acquisition. In connection with the EUSA Acquisition, we entered into a $575.0 million credit agreement consisting of a $475.0 million term loan, which partially financed the EUSA Acquisition, and a $100.0 million revolving credit facility.</w:t>
      </w:r>
    </w:p>
    <w:p>
      <w:pPr>
        <w:spacing w:after="0" w:line="52"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i w:val="1"/>
          <w:iCs w:val="1"/>
          <w:color w:val="auto"/>
        </w:rPr>
        <w:t>Merger with Azur Pharma</w:t>
      </w:r>
      <w:r>
        <w:rPr>
          <w:rFonts w:ascii="Arial" w:cs="Arial" w:eastAsia="Arial" w:hAnsi="Arial"/>
          <w:sz w:val="16"/>
          <w:szCs w:val="16"/>
          <w:color w:val="auto"/>
        </w:rPr>
        <w:t>. On January 18, 2012, the businesses of Jazz Pharmaceuticals, Inc. and Azur Pharma were combined in the Azur Merger,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accounted for as a reverse acquisition under the acquisition method of accounting for business combinations, with Jazz Pharmaceuticals, Inc. treated as the acquiring company in the Azur Merger for accounting purposes. The total acquisition consideration of $576.5 million was determined based on the market value of our ordinary shares that were held by the historic Azur Pharma shareholders immediately following the closing of the Azur Merger. Accordingly, the operating results of Jazz Pharmaceuticals, Inc. are included in our consolidated financial statements for all periods presented in this report, whereas the operating results of Azur Pharma are included only since January 18, 2012. As part of the Azur Merger, a wholly-owned subsidiary of Azur Pharma merged with and into Jazz Pharmaceuticals, Inc., with Jazz Pharmaceuticals, Inc. surviving the Azur Merger as a wholly-owned subsidiary of Jazz Pharmaceuticals plc. Prior to the Azur Merger, Jazz Pharmaceuticals, Inc. was an independent specialty pharmaceutical company incorporated in Delaware.</w:t>
      </w:r>
    </w:p>
    <w:p>
      <w:pPr>
        <w:spacing w:after="0" w:line="3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 xml:space="preserve">Acquisition of EUSA Pharma and Term Loan and Revolving Credit Facility. </w:t>
      </w:r>
      <w:r>
        <w:rPr>
          <w:rFonts w:ascii="Arial" w:cs="Arial" w:eastAsia="Arial" w:hAnsi="Arial"/>
          <w:sz w:val="18"/>
          <w:szCs w:val="18"/>
          <w:color w:val="auto"/>
        </w:rPr>
        <w:t>On June 12, 2012, we completed the acquisition of EUSA Pharma. As part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EUSA Acquisition, an indirect wholly-owned subsidiary of Jazz Pharmaceuticals plc merged with and into EUSA Pharma, with EUSA Pharma continuing as the surviving corporation and as an indirect wholly-owned subsidiary of Jazz Pharmaceuticals plc. At the closing of the EUSA Acquisition, we paid $678.4 million in cash, and agreed to make an additional contingent payment of $50.0 million in cash if Erwinaze (asparaginase </w:t>
      </w:r>
      <w:r>
        <w:rPr>
          <w:rFonts w:ascii="Arial" w:cs="Arial" w:eastAsia="Arial" w:hAnsi="Arial"/>
          <w:sz w:val="18"/>
          <w:szCs w:val="18"/>
          <w:i w:val="1"/>
          <w:iCs w:val="1"/>
          <w:color w:val="auto"/>
        </w:rPr>
        <w:t>Erwinia chrysanthemi</w:t>
      </w:r>
      <w:r>
        <w:rPr>
          <w:rFonts w:ascii="Arial" w:cs="Arial" w:eastAsia="Arial" w:hAnsi="Arial"/>
          <w:sz w:val="18"/>
          <w:szCs w:val="18"/>
          <w:color w:val="auto"/>
        </w:rPr>
        <w:t>), a product acquired in the EUSA Acquisition, achieves U.S. net sales of $124.5 million or more in 2013. The operating results of EUSA Pharma are included in our consolidated financial statements since the effective date of the EUSA Acquisition on June 12, 2012. In connection with the EUSA Acquisition, we entered into a $575.0 million credit agreement with Barclays Bank PLC and certain other lenders. The credit agreement provides for a six-year $475.0 million term loan and a five-year $100.0 million revolving credit facility. The proceeds from the term loan were used to partially finance the EUSA Acquisition. Our obligations are secured by substantially all of the assets of certain of our subsidiaries. For a more detailed discussion, see “Liquidity and Capital Resources” below.</w:t>
      </w:r>
    </w:p>
    <w:p>
      <w:pPr>
        <w:spacing w:after="0" w:line="60" w:lineRule="exact"/>
        <w:rPr>
          <w:sz w:val="20"/>
          <w:szCs w:val="20"/>
          <w:color w:val="auto"/>
        </w:rPr>
      </w:pPr>
    </w:p>
    <w:p>
      <w:pPr>
        <w:ind w:right="560" w:firstLine="432"/>
        <w:spacing w:after="0" w:line="334" w:lineRule="auto"/>
        <w:rPr>
          <w:sz w:val="20"/>
          <w:szCs w:val="20"/>
          <w:color w:val="auto"/>
        </w:rPr>
      </w:pPr>
      <w:r>
        <w:rPr>
          <w:rFonts w:ascii="Arial" w:cs="Arial" w:eastAsia="Arial" w:hAnsi="Arial"/>
          <w:sz w:val="16"/>
          <w:szCs w:val="16"/>
          <w:i w:val="1"/>
          <w:iCs w:val="1"/>
          <w:color w:val="auto"/>
        </w:rPr>
        <w:t xml:space="preserve">Sale of Women’s Health Business. </w:t>
      </w:r>
      <w:r>
        <w:rPr>
          <w:rFonts w:ascii="Arial" w:cs="Arial" w:eastAsia="Arial" w:hAnsi="Arial"/>
          <w:sz w:val="16"/>
          <w:szCs w:val="16"/>
          <w:color w:val="auto"/>
        </w:rPr>
        <w:t>In October 2012, we completed the sale of our women’s health business, which included six products and was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in the Azur Merger, to Meda Pharmaceuticals Inc. and Meda Pharma, Sàrl, or collectively, Meda, for net cash proceeds of $93.9 million.</w:t>
      </w:r>
    </w:p>
    <w:p>
      <w:pPr>
        <w:spacing w:after="0" w:line="1" w:lineRule="exact"/>
        <w:rPr>
          <w:sz w:val="20"/>
          <w:szCs w:val="20"/>
          <w:color w:val="auto"/>
        </w:rPr>
      </w:pPr>
    </w:p>
    <w:p>
      <w:pPr>
        <w:ind w:right="60" w:firstLine="432"/>
        <w:spacing w:after="0" w:line="232" w:lineRule="auto"/>
        <w:rPr>
          <w:sz w:val="20"/>
          <w:szCs w:val="20"/>
          <w:color w:val="auto"/>
        </w:rPr>
      </w:pPr>
      <w:r>
        <w:rPr>
          <w:rFonts w:ascii="Arial" w:cs="Arial" w:eastAsia="Arial" w:hAnsi="Arial"/>
          <w:sz w:val="18"/>
          <w:szCs w:val="18"/>
          <w:color w:val="auto"/>
        </w:rPr>
        <w:t>In 2012, we made substantial progress in the execution of our strategy. Sales of our lead product, Xyrem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(sodium oxybate) oral solution, increased 62% in 2012 compared to 2011. In addition, as a result of the EUSA Acquisition and Azur Merger, we significantly increased the number of products that we market and added products in therapeutic areas that are new to us, such as oncology and pain. Our marketed products address medical needs in the following therapeutic areas and include the following products:</w:t>
      </w:r>
    </w:p>
    <w:p>
      <w:pPr>
        <w:spacing w:after="0" w:line="67" w:lineRule="exact"/>
        <w:rPr>
          <w:sz w:val="20"/>
          <w:szCs w:val="20"/>
          <w:color w:val="auto"/>
        </w:rPr>
      </w:pPr>
    </w:p>
    <w:p>
      <w:pPr>
        <w:ind w:right="220" w:firstLine="432"/>
        <w:spacing w:after="0" w:line="216" w:lineRule="auto"/>
        <w:rPr>
          <w:sz w:val="20"/>
          <w:szCs w:val="20"/>
          <w:color w:val="auto"/>
        </w:rPr>
      </w:pPr>
      <w:r>
        <w:rPr>
          <w:rFonts w:ascii="Arial" w:cs="Arial" w:eastAsia="Arial" w:hAnsi="Arial"/>
          <w:sz w:val="18"/>
          <w:szCs w:val="18"/>
          <w:b w:val="1"/>
          <w:bCs w:val="1"/>
          <w:i w:val="1"/>
          <w:iCs w:val="1"/>
          <w:color w:val="auto"/>
        </w:rPr>
        <w:t>Narcolepsy</w:t>
      </w:r>
      <w:r>
        <w:rPr>
          <w:rFonts w:ascii="Arial" w:cs="Arial" w:eastAsia="Arial" w:hAnsi="Arial"/>
          <w:sz w:val="18"/>
          <w:szCs w:val="18"/>
          <w:color w:val="auto"/>
        </w:rPr>
        <w:t>: Xyrem</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(sodium oxybate) oral solution, the only product approved by the United States Food and Drug Administration, or FDA,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both cataplexy and excessive daytime sleepiness in patients with narcolepsy;</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432"/>
        <w:spacing w:after="0" w:line="252" w:lineRule="auto"/>
        <w:rPr>
          <w:sz w:val="20"/>
          <w:szCs w:val="20"/>
          <w:color w:val="auto"/>
        </w:rPr>
      </w:pPr>
      <w:r>
        <w:rPr>
          <w:rFonts w:ascii="Arial" w:cs="Arial" w:eastAsia="Arial" w:hAnsi="Arial"/>
          <w:sz w:val="16"/>
          <w:szCs w:val="16"/>
          <w:b w:val="1"/>
          <w:bCs w:val="1"/>
          <w:i w:val="1"/>
          <w:iCs w:val="1"/>
          <w:color w:val="auto"/>
        </w:rPr>
        <w:t xml:space="preserve">Oncology: </w:t>
      </w:r>
      <w:r>
        <w:rPr>
          <w:rFonts w:ascii="Arial" w:cs="Arial" w:eastAsia="Arial" w:hAnsi="Arial"/>
          <w:sz w:val="16"/>
          <w:szCs w:val="16"/>
          <w:color w:val="auto"/>
        </w:rPr>
        <w:t>Erwinaze</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(asparaginase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Erwinia chrysanthemi</w:t>
      </w:r>
      <w:r>
        <w:rPr>
          <w:rFonts w:ascii="Arial" w:cs="Arial" w:eastAsia="Arial" w:hAnsi="Arial"/>
          <w:sz w:val="16"/>
          <w:szCs w:val="16"/>
          <w:color w:val="auto"/>
        </w:rPr>
        <w:t>), called Erwinase</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ex-U.S. markets, a treatment for patients with acute lymphoblastic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leukemia, or ALL, who have developed sensitivity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 and other products, including products for oncology supportive care;</w:t>
      </w:r>
    </w:p>
    <w:p>
      <w:pPr>
        <w:spacing w:after="0" w:line="54" w:lineRule="exact"/>
        <w:rPr>
          <w:sz w:val="20"/>
          <w:szCs w:val="20"/>
          <w:color w:val="auto"/>
        </w:rPr>
      </w:pPr>
    </w:p>
    <w:p>
      <w:pPr>
        <w:ind w:right="580" w:firstLine="432"/>
        <w:spacing w:after="0" w:line="216" w:lineRule="auto"/>
        <w:rPr>
          <w:sz w:val="20"/>
          <w:szCs w:val="20"/>
          <w:color w:val="auto"/>
        </w:rPr>
      </w:pPr>
      <w:r>
        <w:rPr>
          <w:rFonts w:ascii="Arial" w:cs="Arial" w:eastAsia="Arial" w:hAnsi="Arial"/>
          <w:sz w:val="18"/>
          <w:szCs w:val="18"/>
          <w:b w:val="1"/>
          <w:bCs w:val="1"/>
          <w:i w:val="1"/>
          <w:iCs w:val="1"/>
          <w:color w:val="auto"/>
        </w:rPr>
        <w:t xml:space="preserve">Pain: </w:t>
      </w:r>
      <w:r>
        <w:rPr>
          <w:rFonts w:ascii="Arial" w:cs="Arial" w:eastAsia="Arial" w:hAnsi="Arial"/>
          <w:sz w:val="18"/>
          <w:szCs w:val="18"/>
          <w:color w:val="auto"/>
        </w:rPr>
        <w:t>Prialt</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(ziconotide) intrathecal infusion, the only non-opioid intrathecal analgesic indicated for the management of severe chronic pain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who are intolerant of or refractory to other treatments; and</w:t>
      </w:r>
    </w:p>
    <w:p>
      <w:pPr>
        <w:spacing w:after="0" w:line="68" w:lineRule="exact"/>
        <w:rPr>
          <w:sz w:val="20"/>
          <w:szCs w:val="20"/>
          <w:color w:val="auto"/>
        </w:rPr>
      </w:pPr>
    </w:p>
    <w:p>
      <w:pPr>
        <w:ind w:right="80" w:firstLine="432"/>
        <w:spacing w:after="0" w:line="213" w:lineRule="auto"/>
        <w:rPr>
          <w:sz w:val="20"/>
          <w:szCs w:val="20"/>
          <w:color w:val="auto"/>
        </w:rPr>
      </w:pPr>
      <w:r>
        <w:rPr>
          <w:rFonts w:ascii="Arial" w:cs="Arial" w:eastAsia="Arial" w:hAnsi="Arial"/>
          <w:sz w:val="18"/>
          <w:szCs w:val="18"/>
          <w:b w:val="1"/>
          <w:bCs w:val="1"/>
          <w:i w:val="1"/>
          <w:iCs w:val="1"/>
          <w:color w:val="auto"/>
        </w:rPr>
        <w:t>Psychiatry &amp; Other</w:t>
      </w:r>
      <w:r>
        <w:rPr>
          <w:rFonts w:ascii="Arial" w:cs="Arial" w:eastAsia="Arial" w:hAnsi="Arial"/>
          <w:sz w:val="18"/>
          <w:szCs w:val="18"/>
          <w:color w:val="auto"/>
        </w:rPr>
        <w:t>: A portfolio of products, including FazaClo</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(clozapine, USP) LD and FazaClo HD, orally disintegrating clozapine tablets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indicated for treatment-resistant schizophrenia and Luvox CR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(fluvoxamine maleate) Extended-Release Capsules marketed for the treatment of obsessive compulsive disorder. In addition, in February 2013 the FDA approved a new drug application for Versacloz</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(clozapine, USP) oral suspension for treatment-resistant schizophrenia, which we have exclusive rights to market in the United States.</w:t>
      </w:r>
    </w:p>
    <w:p>
      <w:pPr>
        <w:spacing w:after="0" w:line="68" w:lineRule="exact"/>
        <w:rPr>
          <w:sz w:val="20"/>
          <w:szCs w:val="20"/>
          <w:color w:val="auto"/>
        </w:rPr>
      </w:pPr>
    </w:p>
    <w:p>
      <w:pPr>
        <w:ind w:right="60" w:firstLine="432"/>
        <w:spacing w:after="0" w:line="215" w:lineRule="auto"/>
        <w:rPr>
          <w:sz w:val="20"/>
          <w:szCs w:val="20"/>
          <w:color w:val="auto"/>
        </w:rPr>
      </w:pPr>
      <w:r>
        <w:rPr>
          <w:rFonts w:ascii="Arial" w:cs="Arial" w:eastAsia="Arial" w:hAnsi="Arial"/>
          <w:sz w:val="18"/>
          <w:szCs w:val="18"/>
          <w:color w:val="auto"/>
        </w:rPr>
        <w:t>Our international division, based in Europe, commercializes Erwinase as well as a portfolio of other products outside of the United States. These products are primarily in the oncology, critical care and oncology supportive care therapeutic areas and include Caphosol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(supersaturated calcium phosphate rinse), Collatamp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(lyophilized collagen implant impregnated with the aminoglycoside antibiotic gentamicin), Fomepizole</w:t>
      </w:r>
      <w:r>
        <w:rPr>
          <w:rFonts w:ascii="Arial" w:cs="Arial" w:eastAsia="Arial" w:hAnsi="Arial"/>
          <w:sz w:val="25"/>
          <w:szCs w:val="25"/>
          <w:color w:val="auto"/>
          <w:vertAlign w:val="superscript"/>
        </w:rPr>
        <w:t>®</w:t>
      </w:r>
      <w:r>
        <w:rPr>
          <w:rFonts w:ascii="Arial" w:cs="Arial" w:eastAsia="Arial" w:hAnsi="Arial"/>
          <w:sz w:val="18"/>
          <w:szCs w:val="18"/>
          <w:color w:val="auto"/>
        </w:rPr>
        <w:t>, Kidrolase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(Escherichia coli L-asparaginase) and Xenazine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(tetrabenazine).</w:t>
      </w:r>
    </w:p>
    <w:p>
      <w:pPr>
        <w:spacing w:after="0" w:line="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 xml:space="preserve">Our development pipeline projects currently include line extensions for existing products, the generation of additional clinical data for existing products and clinical development of new product candidates. These projects include two clinical trials involving Erwinaze: an ongoing pharmacokinetic clinical trial of the intravenous administration of Erwinaze in North America; and a planned clinical trial including pharmacokinetic efficacy measures to evaluate Erwinaze in adolescents and young adults with ALL who are hypersensitive to </w:t>
      </w:r>
      <w:r>
        <w:rPr>
          <w:rFonts w:ascii="Arial" w:cs="Arial" w:eastAsia="Arial" w:hAnsi="Arial"/>
          <w:sz w:val="17"/>
          <w:szCs w:val="17"/>
          <w:i w:val="1"/>
          <w:iCs w:val="1"/>
          <w:color w:val="auto"/>
        </w:rPr>
        <w:t>E. coli</w:t>
      </w:r>
      <w:r>
        <w:rPr>
          <w:rFonts w:ascii="Arial" w:cs="Arial" w:eastAsia="Arial" w:hAnsi="Arial"/>
          <w:sz w:val="17"/>
          <w:szCs w:val="17"/>
          <w:color w:val="auto"/>
        </w:rPr>
        <w:t xml:space="preserve">-derived asparaginase, which is expected to begin in the second half of 2013. In addition, we are developing two product candidates, including a Phase I clinical trial in Europe of Asparec® (mPEG-r-crisantaspase), a pegylated recombinant Erwinia asparaginase for the treatment of patients with ALL with </w:t>
      </w:r>
      <w:r>
        <w:rPr>
          <w:rFonts w:ascii="Arial" w:cs="Arial" w:eastAsia="Arial" w:hAnsi="Arial"/>
          <w:sz w:val="17"/>
          <w:szCs w:val="17"/>
          <w:i w:val="1"/>
          <w:iCs w:val="1"/>
          <w:color w:val="auto"/>
        </w:rPr>
        <w:t>E. coli</w:t>
      </w:r>
      <w:r>
        <w:rPr>
          <w:rFonts w:ascii="Arial" w:cs="Arial" w:eastAsia="Arial" w:hAnsi="Arial"/>
          <w:sz w:val="17"/>
          <w:szCs w:val="17"/>
          <w:color w:val="auto"/>
        </w:rPr>
        <w:t xml:space="preserve"> asparaginase hypersensitivity; and a Phase III clinical trial in Europe of Leukotac® (inolimomab), an anti-CD25 monoclonal antibody for the treatment of steroid-refractory acute graft vs. host disease. We expect that research and development expenses will be higher in 2013 compared to 2012 due to an expected increase in development activities and due to the inclusion of a full year of expense from the acquired Azur Pharma and EUSA Pharma businesses.</w:t>
      </w:r>
    </w:p>
    <w:p>
      <w:pPr>
        <w:spacing w:after="0" w:line="45" w:lineRule="exact"/>
        <w:rPr>
          <w:sz w:val="20"/>
          <w:szCs w:val="20"/>
          <w:color w:val="auto"/>
        </w:rPr>
      </w:pPr>
    </w:p>
    <w:p>
      <w:pPr>
        <w:ind w:right="360" w:firstLine="432"/>
        <w:spacing w:after="0" w:line="272" w:lineRule="auto"/>
        <w:rPr>
          <w:sz w:val="20"/>
          <w:szCs w:val="20"/>
          <w:color w:val="auto"/>
        </w:rPr>
      </w:pPr>
      <w:r>
        <w:rPr>
          <w:rFonts w:ascii="Arial" w:cs="Arial" w:eastAsia="Arial" w:hAnsi="Arial"/>
          <w:sz w:val="17"/>
          <w:szCs w:val="17"/>
          <w:color w:val="auto"/>
        </w:rPr>
        <w:t>With the completion of the EUSA Acquisition and the Azur Merger in 2012, we gained not only an expanded portfolio of specialty pharmaceutical products and product candidates, but also an enhanced commercial platform and a strengthened management team, adding EUSA Pharma’s specialty commercial infrastructure in the United States and Europe and its international distribution network to our existing U.S. specialty product platform. Our international footprint now includes headquarters in Dublin, Ireland and multiple offices in the United States, the United Kingdom and other countries in Europe, with approximately 610 employees in eleven countries. We intend that our operations will function as an efficient platform for further growth, leveraging our commercial, medical and scientific experience to seek to maximize the potential of our existing products and expand our product portfolio through a combination of internal development, acquisition and in-licensing.</w:t>
      </w:r>
    </w:p>
    <w:p>
      <w:pPr>
        <w:spacing w:after="0" w:line="4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2013, we plan to focus on executing on our strategy. We anticipate that we will continue to face a number of challenges and risks to our business and our ability to execute our strategy. For example, while we now have a more diversified product portfolio than in the past, our financial results remain significantly influenced by sales of Xyrem, which accounted for 65% of our net product sales for 2012. As a result, we continue to place a high priority on seeking to maintain and increase sales of Xyrem in its approved indications, while remaining focused on ensuring the safe and effective use of the product, and lifecycle management of the product including enhancing and enforcing our intellectual property rights.</w:t>
      </w:r>
    </w:p>
    <w:p>
      <w:pPr>
        <w:spacing w:after="0" w:line="3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ability to maintain or increase Xyrem product sales is subject to a number of risks and uncertainties, including those discussed in Part I, Item 1A of this Annual Report on Form 10-K. In particular, there are two abbreviated new drug applications, or ANDAs, submitted to the FDA by third parties seeking to market generic versions of Xyrem. We have sued both third parties for infringement of our patents, and the litigation proceedings are ongoing. We cannot predict the timing or outcome of these proceedings. We expect that the approval or tentative approval of an ANDA resulting in the launch of a generic version of Xyrem would have a material adverse effect on our business, financial condition, results of operations and growth prospects.</w:t>
      </w:r>
    </w:p>
    <w:p>
      <w:pPr>
        <w:spacing w:after="0" w:line="2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we are continuing our work on various regulatory matters, including our work with the FDA on updated documents that we have submitted to the FDA on our Xyrem Risk Management Program. The updated documents are intended to conform to current formatting requirements for risk evaluation and mitigation strategies, or REMS, required by law, as well as to make other updates to the program and its documentation. We cannot predict the timing of finalization, or the final terms, of our updated REMS documents. The FDA may impose new requirements for certain elements that we have implemented in our Xyrem Risk Management Program, or require us to modify our current practices. Any such requirements, depending on their substance and the extent of modifications required, could make it more difficult or expensive for us to distribute Xyrem, make it easier for future generic competitors, and/or negatively affect sales of Xyrem.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implementation of our strategy is also subject to other challenges and risks specific to our business, as well as risks and uncertainties common to companies in the pharmaceutical industry with development and commercial operations. In addition to risks related to Xyrem, other key challenges and risks that we face include risks and uncertainties related to:</w:t>
      </w:r>
    </w:p>
    <w:p>
      <w:pPr>
        <w:spacing w:after="0" w:line="46" w:lineRule="exact"/>
        <w:rPr>
          <w:sz w:val="20"/>
          <w:szCs w:val="20"/>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challenges of protecting our intellectual property rights;</w:t>
      </w:r>
    </w:p>
    <w:p>
      <w:pPr>
        <w:spacing w:after="0" w:line="90" w:lineRule="exact"/>
        <w:rPr>
          <w:rFonts w:ascii="Arial" w:cs="Arial" w:eastAsia="Arial" w:hAnsi="Arial"/>
          <w:sz w:val="18"/>
          <w:szCs w:val="18"/>
          <w:color w:val="auto"/>
        </w:rPr>
      </w:pPr>
    </w:p>
    <w:p>
      <w:pPr>
        <w:ind w:left="740" w:right="160" w:hanging="327"/>
        <w:spacing w:after="0" w:line="30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need to obtain appropriate pricing and reimbursement for our products in an increasingly challenging environment due to, among other things, the attention being paid to health care cost containment and other austerity measures in the United States and worldwide;</w:t>
      </w:r>
    </w:p>
    <w:p>
      <w:pPr>
        <w:spacing w:after="0" w:line="11" w:lineRule="exact"/>
        <w:rPr>
          <w:rFonts w:ascii="Arial" w:cs="Arial" w:eastAsia="Arial" w:hAnsi="Arial"/>
          <w:sz w:val="17"/>
          <w:szCs w:val="17"/>
          <w:color w:val="auto"/>
        </w:rPr>
      </w:pPr>
    </w:p>
    <w:p>
      <w:pPr>
        <w:ind w:left="740" w:right="20" w:hanging="327"/>
        <w:spacing w:after="0" w:line="26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ongoing regulation and oversight by the FDA, the U.S. Drug Enforcement Administration, or DEA, and non-U.S. regulatory agencies, including with respect to product labeling, requirements for distribution, obtaining sufficient DEA quotas where needed, marketing and promotional activities, adverse event reporting and product recalls or withdrawals;</w:t>
      </w:r>
    </w:p>
    <w:p>
      <w:pPr>
        <w:spacing w:after="0" w:line="46" w:lineRule="exact"/>
        <w:rPr>
          <w:rFonts w:ascii="Arial" w:cs="Arial" w:eastAsia="Arial" w:hAnsi="Arial"/>
          <w:sz w:val="18"/>
          <w:szCs w:val="18"/>
          <w:color w:val="auto"/>
        </w:rPr>
      </w:pPr>
    </w:p>
    <w:p>
      <w:pPr>
        <w:ind w:left="740" w:right="620" w:hanging="327"/>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challenges of achieving and maintaining commercial success of our products, such as obtaining sustained acceptance of our products by patients, physicians and payors;</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dependence on sole source suppliers to continue to meet our ongoing commercial needs, especially when our supply demands are growing; and</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difficulty and uncertainty of pharmaceutical product development and the uncertainty of clinical success and regulatory approval.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these risks are discussed in greater detail, along with other risks, in Part I, Item 1A of this Annual Report on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The following discussions of our results of continuing operations exclude the results related to the women’s health business. This business has been segregated from continuing operations and reflected as a discontinued operation. See “Income from Discontinued Operations, Net of Taxes” below. The following table presents revenues and expenses from continuing operations for the years ended December 31, 2012, 2011 and 2010 (amounts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580,527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118 %  $</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266,518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57 %  $</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170,006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3,775</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 sales (excluding amortization of acquired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78,425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13,559</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223,882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108,936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68,996</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25,612</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65,351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7,825</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16,869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Foreign currency loss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N/A(1)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N/A(1)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N/A(1)</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12,287</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21"/>
                <w:szCs w:val="21"/>
                <w:color w:val="auto"/>
              </w:rPr>
            </w:pP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N/A(1)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660"/>
              <w:spacing w:after="0"/>
              <w:rPr>
                <w:sz w:val="20"/>
                <w:szCs w:val="20"/>
                <w:color w:val="auto"/>
              </w:rPr>
            </w:pPr>
            <w:r>
              <w:rPr>
                <w:rFonts w:ascii="Arial" w:cs="Arial" w:eastAsia="Arial" w:hAnsi="Arial"/>
                <w:sz w:val="18"/>
                <w:szCs w:val="18"/>
                <w:color w:val="auto"/>
              </w:rPr>
              <w:t>N/A(1)</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ind w:left="60"/>
              <w:spacing w:after="0"/>
              <w:rPr>
                <w:sz w:val="20"/>
                <w:szCs w:val="20"/>
                <w:color w:val="auto"/>
              </w:rPr>
            </w:pPr>
            <w:r>
              <w:rPr>
                <w:rFonts w:ascii="Arial" w:cs="Arial" w:eastAsia="Arial" w:hAnsi="Arial"/>
                <w:sz w:val="18"/>
                <w:szCs w:val="18"/>
                <w:color w:val="auto"/>
              </w:rPr>
              <w:t>_________________________</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(1)  Comparison to prior period is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product sales for the years ended December 31, 2012, 2011 and 2010 (amounts in thousands):</w:t>
      </w:r>
    </w:p>
    <w:p>
      <w:pPr>
        <w:spacing w:after="0" w:line="311"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9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2010</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378,663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233,348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142,630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Erwinaze/Erwinase</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72,083</w:t>
            </w:r>
          </w:p>
        </w:tc>
        <w:tc>
          <w:tcPr>
            <w:tcW w:w="12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N/A(1)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Prialt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N/A(1)</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Psychiatry:</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Luvox CR</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27,376</w:t>
            </w: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FazaClo LD</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22,023</w:t>
            </w:r>
          </w:p>
        </w:tc>
        <w:tc>
          <w:tcPr>
            <w:tcW w:w="12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N/A(1)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FazaClo HD</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N/A(1)</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N/A(1)</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26,932</w:t>
            </w:r>
          </w:p>
        </w:tc>
        <w:tc>
          <w:tcPr>
            <w:tcW w:w="12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N/A(1)</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N/A(1)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266,518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Royalties and contract revenues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3,775</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585,979</w:t>
            </w:r>
          </w:p>
        </w:tc>
        <w:tc>
          <w:tcPr>
            <w:tcW w:w="110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272,277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173,781</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Comparison to prior period is not meaningful.</w:t>
      </w:r>
    </w:p>
    <w:p>
      <w:pPr>
        <w:spacing w:after="0" w:line="3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Xyrem product sales increased in 2012 and 2011 compared to the immediately preceding years, primarily due to higher average net selling prices in the 2012 and 2011 periods resulting from price increases that we instituted in those periods and, to a lesser extent, increases in sales volume of 11% in both 2012 and 2011. Price increases were instituted based on market analysis. Growth in sales volumes in the 2012 and 2011 periods were driven by an increase in the average number of patients on Xyrem. This increase was due primarily to a greater number of Xyrem patients who refilled their Xyrem prescriptions on schedule and who remained on therapy, which we believe resulted from our efforts to increase physician knowledge about Xyrem and to improve patient support services. The sales volume increase in the 2012 period was also impacted by the deployment of a dedicated Xyrem sales force to increase physician awareness of narcolepsy and its diagnosis, and, more recently, by a higher number of prescriptions from new or previously infrequent physician prescribers. Sales of Erwinaze/Erwinase since the EUSA Acquisition on June 12, 2012 were $72.1 million in 2012. Prialt product sales included sales of $4.6 million in 2012 related to a supply agreement to provide Prialt to Eisai Co. Limited for distribution and sale in Europe. Luvox CR product sales increased in 2012 compared to 2011 due to price increases, partially offset by a decrease in sales volumes of 3%. Luvox CR product sales increased in 2011 compared to 2010, primarily due to price increases and to a lesser extent an increase in sales volume of 4%. In 2012, a generic version of FazaClo LD was launched, which has had a negative impact on sales of FazaClo LD and may have a negative impact on sales of FazaClo HD in future periods. We expect total product sales will increase in 2013 over 2012 primarily due to growth in sales of Xyrem, Erwinaze/Erwinase and Prialt, partially offset by decreases in sales of other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Royalties and contract revenues in 2012 of $5.5 million is consistent with prior year levels. Royalties and contract revenues increased in 2011 compared to 2010, primarily due to the recognition of a $1.5 million milestone payment related to sales of Xyrem in Europe by UCB Pharma Limited, or UCB, under a license agreement. We expect royalties and contract revenues to increase slightly in 2013 as compared to 2012 primarily due to the inclusion of a full year of royalties from the acquired EUSA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Cost of product sales increased in 2012 compared to 2011, primarily due to cost of product sales in relation to products acquired in the Azur Merger and the EUSA Acquisition, including acquisition accounting inventory fair value step-up adjustments of $16.8 million in 2012. Cost of product sales increased slightly in 2011 compared to 2010. Gross margins as a percentage of product sales were 86.5%, 94.8% and 92.0% in 2012, 2011 and 2010, respectively. Our gross margin percentage in 2012 as compared to 2011 was lower primarily due to the effect of the purchase accounting inventory fair value step-up adjustments recorded as cost of product sales and also due to the impact of our product mix in 2012. The gross margin on products acquired during 2012 is lower than the gross margins earned on our legacy products. Our gross margin percentage in 2011 as compared to 2010 was higher primarily due to increases in average selling prices. We expect our gross margin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percentage to increase slightly in 2013 compared to 2012 primarily driven by a decrease in the amount of acquisition accounting inventory fair value step-up adjustments and also a change in product mix.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Selling, general and administrative expenses were higher in 2012 compared to 2011 primarily due to an increase in salary and benefit related headcount expenses (including share-based compensation) of $49.0 million driven primarily by increased headcount following the Azur Merger in January 2012 and the EUSA Acquisition in June 2012. In addition, sales and promotional expenses in 2012 increased by $12.8 million compared to 2011 primarily due to the expansion of our organization, including our increased commercial presence. Transaction, integration and restructuring expenses were $10.4 million higher in 2012 compared to 2011 primarily due to expenses related to the Azur Merger and the EUSA Acquisition. In 2011 we incurred transaction and integration costs related to the Azur Merger only. Professional and service fees increased in 2012 by $15.2 million compared to 2011 due to the continuing operations of the larger entity. Travel, facility and maintenance expenses increased in 2012 by $15.5 million compared to 2011 primarily due to an increase in the number of facilities that we occupy in the United States and in Europe. Selling, general and administrative expenses were higher in 2011 compared to 2010 primarily due to an increase in employee-related expenses of $15.9 million as a result of an increase in commercial activities, higher share-based compensation expense and higher legal and professional expenses of $11.2 million associated with the Azur Merger. We expect that selling, general and administrative expenses will be higher in 2013 than in 2012 due to the inclusion of a full year of expense with respect to the acquired EUSA business, an increase in direct marketing spend on key products and increased headcount to support the larger, global corporate organization.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Research and development expenses consist primarily of personnel expenses, costs related to clinical studies and outside services, and other research and development costs. Personnel expenses relate primarily to salaries, benefits and share-based compensation. Clinical study and outside services costs relate primarily to clinical studies performed by clinical research organizations, materials and supplies, and other third-party fees.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what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10,432</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11,422</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studies and outside services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r>
      <w:tr>
        <w:trPr>
          <w:trHeight w:val="27"/>
        </w:trPr>
        <w:tc>
          <w:tcPr>
            <w:tcW w:w="49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20,477</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Research and development expenses increased by $6.4 million in 2012 compared to 2011 primarily due to increased clinical studies and outside services costs related to the generation of additional clinical data and the development of line extensions for existing products, and to a lesser extent, costs incurred to develop new product candidates that we acquired in the EUSA Acquisition and the Azur Merger. Personnel expenses and other research and development expenses in 2012 were consistent with prior year levels.</w:t>
      </w:r>
    </w:p>
    <w:p>
      <w:pPr>
        <w:spacing w:after="0" w:line="5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Research and development expenses decreased by $11.5 million in 2011 compared to 2010 primarily due to lower clinical studies and outside services costs, and to a lesser extent, a decrease in personnel and other expenses. The decrease in 2011 was primarily due to our decision to discontinue the development of JPZ-6, our then product candidate for the treatment of fibromyalgia, as well as our discontinuation of certain research activities related to two line extension projects for existing products.</w:t>
      </w:r>
    </w:p>
    <w:p>
      <w:pPr>
        <w:spacing w:after="0" w:line="5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 discussion of the risks and uncertainties with respect to our research and development activities, including completing the development of our product candidates, and the consequences to our business, financial position and growth prospects can be found in “Risk Factors” in Part I, Item 1A of this report.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acquired finite-lived intangible assets in connection with the Azur Merger and the EUSA Acquisition that are expected to be amortized over their useful economic lives of two to 15 years. We recorded amortization related to these intangibles of $59.7 million in 2012, which accounted for all of the increase in the amortization expense. During 2011 and 2010, our intangible assets consisted primarily of developed technology related to Xyrem and Luvox CR.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Interest expense increased in 2012 as compared to 2011 primarily due to a larger debt balance. In June 2012, we entered into a credit agreement that provides for a term loan in an aggregate principal amount of $475.0 million, which bears interest at a variable interest rate that was 5.25% as of December 31, 2012. In July 2011, we fully repaid a term loan outstanding at that time. Interest expense decreased in 2011 compared to 2010 due to lower average borrowings and lower interest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foreign currency loss in 2012 related to the translation of foreign currency net monetary assets, including intercompany balances.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2011, as a result of the repayment of a term loan and the termination of a credit agreement, we recorded a loss on extinguishment of debt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$1.2 million, which consisted of a $0.8 million non-cash charge related to the write-off of unamortized debt issuance costs and a debt discount,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remainder related to a prepayment penalty and a termination fee. The loss on extinguishment of debt in 2010 was due to the repayment of long-term debt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consisted of $8.5 million of prepayment premiums and fees, and a $3.8 million non-cash charge related to the write-off of unamortized debt issuance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 debt discount.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90" w:lineRule="exact"/>
        <w:rPr>
          <w:sz w:val="20"/>
          <w:szCs w:val="20"/>
          <w:color w:val="auto"/>
        </w:rPr>
      </w:pPr>
    </w:p>
    <w:p>
      <w:pPr>
        <w:jc w:val="both"/>
        <w:ind w:right="420" w:firstLine="432"/>
        <w:spacing w:after="0" w:line="288" w:lineRule="auto"/>
        <w:rPr>
          <w:sz w:val="20"/>
          <w:szCs w:val="20"/>
          <w:color w:val="auto"/>
        </w:rPr>
      </w:pPr>
      <w:r>
        <w:rPr>
          <w:rFonts w:ascii="Arial" w:cs="Arial" w:eastAsia="Arial" w:hAnsi="Arial"/>
          <w:sz w:val="16"/>
          <w:szCs w:val="16"/>
          <w:color w:val="auto"/>
        </w:rPr>
        <w:t>During 2012, we recognized an income tax benefit of $83.8 million. This tax benefit included a deferred tax benefit of $113.9 million, offset by an income tax provision of $30.1 million, relating to the United States, Ireland and other foreign jurisdictions. The deferred tax benefit included a benefit of $104.2 million primarily attributable to the release of a valuation allowance against substantially all of our U.S. federal and state deferred tax assets.</w:t>
      </w:r>
    </w:p>
    <w:p>
      <w:pPr>
        <w:ind w:right="120"/>
        <w:spacing w:after="0" w:line="277" w:lineRule="auto"/>
        <w:rPr>
          <w:sz w:val="20"/>
          <w:szCs w:val="20"/>
          <w:color w:val="auto"/>
        </w:rPr>
      </w:pPr>
      <w:r>
        <w:rPr>
          <w:rFonts w:ascii="Arial" w:cs="Arial" w:eastAsia="Arial" w:hAnsi="Arial"/>
          <w:sz w:val="17"/>
          <w:szCs w:val="17"/>
          <w:color w:val="auto"/>
        </w:rPr>
        <w:t>Management determined that it was more likely than not that these deferred tax assets would be recoverable and the related valuation allowance was no longer needed based on an assessment of the relative impact of all positive and negative evidence that existed at December 31, 2012, including an evaluation of cumulative income in recent years, future sources of taxable income, and significant risks and uncertainties related to our business.</w:t>
      </w:r>
    </w:p>
    <w:p>
      <w:pPr>
        <w:spacing w:after="0" w:line="3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During 2011 and 2010, we had operations only in the United States and made no provision for income taxes due to our utilization of U.S. federal net operating loss carryforwards to offset both regular taxable income and alternative minimum taxable income and to our utilization of deferred state tax benefits. The 2012 effective income tax rate on continuing activities before utilization of NOL and tax credit carryforwards and release in valuation allowance in 2012 of 42.5% was higher than the Irish statutory rate of 12.5% due to a number of factors, including income taxable at a rate higher than the Irish statutory rate, losses in certain tax jurisdictions for which no tax benefit is available and various expenses not deductible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 Net of Taxes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2012, we sold the women’s health business to Meda for $97.6 million, including $2.6 million for certain inventory transferred to Meda upon the closing of the sale, less transaction costs of $3.7 million. As part of the transaction, Meda purchased six women’s health products from us. As part of the sale, approximately 60 employees who directly supported the women’s health business became Meda employees. We recorded a non-recurring gain on the sale of $35.2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 and income from discontinued operations were as follows (in thousands):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ind w:right="45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2012</w:t>
            </w:r>
          </w:p>
        </w:tc>
      </w:tr>
      <w:tr>
        <w:trPr>
          <w:trHeight w:val="263"/>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20,873</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4"/>
        </w:trPr>
        <w:tc>
          <w:tcPr>
            <w:tcW w:w="9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Income tax expense (1)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Gain on sale of discontinued operations (2)</w:t>
            </w: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35,244</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27,437</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480" w:hanging="256"/>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income tax expense relates to profits generated by the women’s health business in 2012 which are attributable to the United States.</w:t>
      </w:r>
    </w:p>
    <w:p>
      <w:pPr>
        <w:spacing w:after="0" w:line="9" w:lineRule="exact"/>
        <w:rPr>
          <w:rFonts w:ascii="Arial" w:cs="Arial" w:eastAsia="Arial" w:hAnsi="Arial"/>
          <w:sz w:val="18"/>
          <w:szCs w:val="18"/>
          <w:color w:val="auto"/>
        </w:rPr>
      </w:pPr>
    </w:p>
    <w:p>
      <w:pPr>
        <w:ind w:left="540" w:right="220" w:hanging="316"/>
        <w:spacing w:after="0" w:line="261" w:lineRule="auto"/>
        <w:tabs>
          <w:tab w:leader="none" w:pos="4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gain on sale of discontinued operations was not impacted by income taxes as the value attributable to the women’s health business was held in a non-taxable jurisdiction.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To supplement our financial results presented on a GAAP basis, we use certain non-GAAP adjusted financial measures as shown in the table and footnotes below. We believe that these non-GAAP financial measures are helpful in understanding our past financial performance and potential future results, particularly in light of the effect of various acquisition and divestiture transactions effected by us during 2012. They are not meant to be considered in isolation or as a substitute for comparable GAAP measures, and should be read in conjunction with our consolidated financial statements prepared in accordance with GAAP. Our management regularly uses these supplemental non-GAAP financial measures internally to understand, manage and evaluate our business and make operating decisions. Compensation of our executives is based in part on the performance of our business based on these non-GAAP measures. In addition, we believe that the use of these non-GAAP measures enhances the ability of investors to compare our results from period to period. The adjusted financial measures, as used by us in this report, may be calculated differently from, and therefore may not be directly comparable to, similarly titled measures used by our competitors and other companies. Adjusted net income measures exclude from continuing operations intangible asset amortization, share-based compensation expense, acquisition accounting inventory fair value step-up adjustments, transaction and integration costs, restructuring charges, change in fair value of contingent consideration, loss on extinguishment of debt, other non-cash expense/income, tax related to acquisition restructuring and the release of the valuation allowance against substantially all of our U.S. deferred tax assets, and adjust the income tax provision to the estimated amount of taxes payable in cash.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reconciliation of GAAP income from continuing operations to adjusted net income, a non-GAAP financial measure, and related per share amounts is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GAAP income from continuing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261,149</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Intangible asset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23,006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accounting inventory fair value step-up</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60"/>
              <w:spacing w:after="0"/>
              <w:rPr>
                <w:sz w:val="20"/>
                <w:szCs w:val="20"/>
                <w:color w:val="auto"/>
              </w:rPr>
            </w:pPr>
            <w:r>
              <w:rPr>
                <w:rFonts w:ascii="Arial" w:cs="Arial" w:eastAsia="Arial" w:hAnsi="Arial"/>
                <w:sz w:val="18"/>
                <w:szCs w:val="18"/>
                <w:color w:val="auto"/>
              </w:rPr>
              <w:t>Transaction and integration costs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11,245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Restructuring charges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60"/>
              <w:spacing w:after="0"/>
              <w:rPr>
                <w:sz w:val="20"/>
                <w:szCs w:val="20"/>
                <w:color w:val="auto"/>
              </w:rPr>
            </w:pPr>
            <w:r>
              <w:rPr>
                <w:rFonts w:ascii="Arial" w:cs="Arial" w:eastAsia="Arial" w:hAnsi="Arial"/>
                <w:sz w:val="18"/>
                <w:szCs w:val="18"/>
                <w:color w:val="auto"/>
              </w:rPr>
              <w:t>Other non-cash expense (income)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Valuation allowance release (1)</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60"/>
              <w:spacing w:after="0"/>
              <w:rPr>
                <w:sz w:val="20"/>
                <w:szCs w:val="20"/>
                <w:color w:val="auto"/>
              </w:rPr>
            </w:pPr>
            <w:r>
              <w:rPr>
                <w:rFonts w:ascii="Arial" w:cs="Arial" w:eastAsia="Arial" w:hAnsi="Arial"/>
                <w:sz w:val="18"/>
                <w:szCs w:val="18"/>
                <w:color w:val="auto"/>
              </w:rPr>
              <w:t>Income tax adjustments (2)</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(3)</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290,394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income from continuing operations per diluted share (4)</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net income per diluted share (3) (4)</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Shares used in computing GAAP income from continuing operations and adjusted</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diluted share amounts (4)</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60,195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46,798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Reversal of valuation allowance against deferred tax assets, primarily in the United States.</w:t>
      </w:r>
    </w:p>
    <w:p>
      <w:pPr>
        <w:spacing w:after="0" w:line="7" w:lineRule="exact"/>
        <w:rPr>
          <w:rFonts w:ascii="Arial" w:cs="Arial" w:eastAsia="Arial" w:hAnsi="Arial"/>
          <w:sz w:val="18"/>
          <w:szCs w:val="18"/>
          <w:color w:val="auto"/>
        </w:rPr>
      </w:pPr>
    </w:p>
    <w:p>
      <w:pPr>
        <w:ind w:left="540" w:right="180" w:hanging="316"/>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related to acquisition restructuring activities partially offset by adjustments to convert the income tax provision to the estimated amount of taxes payable in cash.</w:t>
      </w:r>
    </w:p>
    <w:p>
      <w:pPr>
        <w:ind w:left="540" w:hanging="316"/>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net income and adjusted net income per diluted share as used in this report exclude the impact of discontinued operations.</w:t>
      </w:r>
    </w:p>
    <w:p>
      <w:pPr>
        <w:spacing w:after="0" w:line="9" w:lineRule="exact"/>
        <w:rPr>
          <w:rFonts w:ascii="Arial" w:cs="Arial" w:eastAsia="Arial" w:hAnsi="Arial"/>
          <w:sz w:val="18"/>
          <w:szCs w:val="18"/>
          <w:color w:val="auto"/>
        </w:rPr>
      </w:pPr>
    </w:p>
    <w:p>
      <w:pPr>
        <w:ind w:left="540" w:right="80" w:hanging="316"/>
        <w:spacing w:after="0" w:line="271"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references to “share” or “shares” in the table above refer to Jazz Pharmaceuticals, Inc.’s common stock with respect to 2010 and 2011, and to Jazz Pharmaceuticals plc’s ordinary shares with respect to the current year periods. GAAP income from continuing operations per diluted share and adjusted net income per diluted share in the comparative prior year periods were not impacted by the Azur Merger since each share of Jazz Pharmaceuticals, Inc. common stock issued and outstanding immediately prior to the effective time of the Azur Merger was canceled and automatically converted into and became the right to receive one ordinary share upon the consummation of the Azur Merger.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January 2012, we completed the Azur Merger in an all stock transaction and, in June 2012, we acquired EUSA Pharma for $678.4 million in cash. Most of the acquisition consideration for the EUSA Acquisition was funded by a $475.0 million term loan under a new credit agreement, the terms of which are described in more detail below. Subsequently, in October 2012, we completed the sale of our women’s health business, a component of the acquired Azur Pharma business, for net cash proceeds of $93.9 million. During 2012, 2011 and 2010, we generated cash flows from operations of $249.8 million, $151.6 million and $58.9 million, respectively.</w:t>
      </w:r>
    </w:p>
    <w:p>
      <w:pPr>
        <w:spacing w:after="0" w:line="53"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 xml:space="preserve">As of December 31, 2012, we had cash and cash equivalents of $387.2 million, borrowing availability under our revolving credit facility of $100.0 million and $463.1 million principal amount outstanding under our term loan. We believe that our existing cash balances, cash we expect to generate from operations and funds available under our revolving credit facility will be sufficient to fund our operations and to meet our existing obligations for the foreseeable future, including our obligations under the credit agreement and a potential contingent payment of $50.0 million, which we agreed to pay if Erwinaze achieves U.S. net sales of $124.5 million or greater in 2013. This payment may become payable in 2014. The adequacy of our cash resources depends on many assumptions, including primarily our assumptions with respect to product sales and expenses as well as the other factors set forth in Part I, Item 1A of this Annual Report on Form 10-K under the headings </w:t>
      </w:r>
      <w:r>
        <w:rPr>
          <w:rFonts w:ascii="Arial" w:cs="Arial" w:eastAsia="Arial" w:hAnsi="Arial"/>
          <w:sz w:val="17"/>
          <w:szCs w:val="17"/>
          <w:i w:val="1"/>
          <w:iCs w:val="1"/>
          <w:color w:val="auto"/>
        </w:rPr>
        <w:t>“Xyrem is our largest selling product, and our inability to maintain or increase sales of</w:t>
      </w:r>
      <w:r>
        <w:rPr>
          <w:rFonts w:ascii="Arial" w:cs="Arial" w:eastAsia="Arial" w:hAnsi="Arial"/>
          <w:sz w:val="17"/>
          <w:szCs w:val="17"/>
          <w:color w:val="auto"/>
        </w:rPr>
        <w:t xml:space="preserve"> </w:t>
      </w:r>
      <w:r>
        <w:rPr>
          <w:rFonts w:ascii="Arial" w:cs="Arial" w:eastAsia="Arial" w:hAnsi="Arial"/>
          <w:sz w:val="17"/>
          <w:szCs w:val="17"/>
          <w:i w:val="1"/>
          <w:iCs w:val="1"/>
          <w:color w:val="auto"/>
        </w:rPr>
        <w:t>Xyrem would have a material adverse effect on our business, financial condition, results of operations and growth prospects,” “If generic products that compete with Xyrem are approved and launched, sales of Xyrem would be adversely affected,” “The manufacture, distribution and sale of Xyrem are subject to significant regulatory oversight and restrictions and the requirements of a risk management program, and these restrictions and requirements subject us to increased risks and uncertainties, any of which could negatively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impact sales of Xyrem,” and “To continue to grow our business, we will need to commit substantial resources, which could result in future losses or otherwise limit our opportunities or affect our ability to operate our business.” </w:t>
      </w:r>
      <w:r>
        <w:rPr>
          <w:rFonts w:ascii="Arial" w:cs="Arial" w:eastAsia="Arial" w:hAnsi="Arial"/>
          <w:sz w:val="17"/>
          <w:szCs w:val="17"/>
          <w:color w:val="auto"/>
        </w:rPr>
        <w:t>Our assumptions may prove to be wrong or other factors may adversely affect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and as a result we could exhaust or significantly decrease our available cash resources which could, among other things, force us to raise additional funds and/or force us to reduce our expenses, either of which could have a material adverse effect on our business.</w:t>
      </w:r>
    </w:p>
    <w:p>
      <w:pPr>
        <w:spacing w:after="0" w:line="117" w:lineRule="exact"/>
        <w:rPr>
          <w:sz w:val="20"/>
          <w:szCs w:val="20"/>
          <w:color w:val="auto"/>
        </w:rPr>
      </w:pPr>
    </w:p>
    <w:p>
      <w:pPr>
        <w:ind w:right="100" w:firstLine="432"/>
        <w:spacing w:after="0" w:line="284" w:lineRule="auto"/>
        <w:rPr>
          <w:sz w:val="20"/>
          <w:szCs w:val="20"/>
          <w:color w:val="auto"/>
        </w:rPr>
      </w:pPr>
      <w:r>
        <w:rPr>
          <w:rFonts w:ascii="Arial" w:cs="Arial" w:eastAsia="Arial" w:hAnsi="Arial"/>
          <w:sz w:val="16"/>
          <w:szCs w:val="16"/>
          <w:color w:val="auto"/>
        </w:rPr>
        <w:t>Our term loan is repayable in quarterly installments equal to 5% of the original principal amount in the first year, 7.5% in the second year, 10% in each of the third and fourth years and 15% in each of the fifth and sixth years, with any remaining balance payable on the final maturity date. Through December 31, 2012 we have made payments of $11.9 million principal amount as required under the agreement. Borrowings under the term loan bear interest, at our option, at a rate equal to either the LIBOR rate, plus an applicable margin of 4.25% per annum (subject to a 1.0% LIBOR floor), or the prime lending rate, plus an applicable margin equal to 3.25% per annum (subject to a 2.0% prime rate floor). As of December 31, 2012, the interest rate on the term loan was 5.25%. Borrowings under the revolving credit facility bear interest, at our option, at a rate equal to either the LIBOR rate, plus an applicable margin of</w:t>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4.00% per annum, or the prime lending rate, plus an applicable margin equal to 3.00% per annum, subject to reduction by 0.25% or 0.50% based upon our secured leverage ratio. The revolving credit facility has a commitment fee payable on the undrawn amount ranging from 0.25% to 0.50% per annum based upon our secured leverage ratio. We may make prepayments of principal without premium or penalty, except that a 1% premium would apply to a repayment via a repricing of the loan under the term loan effected on or prior to June 12, 2013. We are required to make mandatory prepayments of borrowings under the term loan (without payment of a premium) with net cash proceeds from certain non-ordinary course asset sales, issuances of debt (other than certain permitted debt) and casualty proceeds and condemnation awards; and, beginning with the fiscal year ending December 31, 2013, with 50% of our excess cash flow, as defined in the credit agreement (subject to increase to 75% if our secured leverage ratio exceeds 2.25 to 1.0, or decrease to 25% or 0% if our secured leverage ratio is equal to or less than 1.25 to 1.0 or 0.75 to 1.0, respectively). No mandatory repayment was made or is required to be made under our term loan as a result of the sale of our women’s health business.</w:t>
      </w:r>
    </w:p>
    <w:p>
      <w:pPr>
        <w:spacing w:after="0" w:line="12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Borrowings under the credit agreement are guaranteed by Jazz Pharmaceuticals plc and certain of its subsidiaries and are secured by substantially all of their assets. The credit agreement contains customary representations and warranties and customary affirmative and negative covenants applicable to us, including, among other things, restrictions on indebtedness, liens, investments, mergers, dispositions, prepayment of other indebtedness and dividends and other distributions. The credit agreement contains a financial covenant that requires us to maintain a maximum secured leverage ratio. Our failure to comply with any of the operating and financial covenants contained in the credit agreement would constitute an event of default under the credit agreement. The credit agreement contains other customary events of default. If one or more events of default occurs and continues beyond any applicable cure period, the administrative agent may, with the consent of the lenders holding a majority of the loans and commitments under the facilities, or will, at the request of such lenders, terminate the commitments of the lenders to make further loans and declare all of the obligations under the credit agreement to be immediately due and payable. In such event, we would not have sufficient cash resources to repay the full amount of the obligations. We are currently in compliance with the covenants under the credit agreement.</w:t>
      </w:r>
    </w:p>
    <w:p>
      <w:pPr>
        <w:spacing w:after="0" w:line="12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To grow our business over the longer-term, we will need to commit substantial resources to product acquisition and in-licensing costs, to expensive and time-consuming product development and clinical trials of our product candidates, and to expanding our commercial operations. We may need to raise additional funds to license or acquire additional products, product candidates or companies or seek to raise additional funds for general corporate purposes. Raising additional capital could be accomplished through one or more public or private debt or equity financings, collaborations or partnering arrangements. Any equity financing would be dilutive to our shareholders.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249,752</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151,596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58,868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448,530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(27,526)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305,120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37,282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29,199</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Net cash from operating activities increased by $98.2 million in 2012 primarily due to an increase in net income of $163.6 million, offset by adjustments for non-cash items primarily related to intangible asset amortization and deferred income taxes. Net cash from operating activities increased by $92.7 million in 2011 primarily due to an increase in net income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$92.2 million.</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cash used in investing activities in 2012 primarily related to funding the EUSA Acquisition, partially offset by net proceeds of $93.9 million from the sale of our women’s health business and net proceeds from the sales and maturities of investments of $75.8 million. Net cash used in investing activities in 2011 primarily related to purchases of marketable securities, scheduled payments under our agreement for the rights to market Luvox CR and to a lesser extent purchases of property and equipment, partially offset by proceeds from maturities of marketable securities and releases of restricted cash. Net cash used in investing activities in 2010 included scheduled payments under our agreement for the rights to market Luvox CR, partially offset by a decrease in restricted cash.</w:t>
      </w:r>
    </w:p>
    <w:p>
      <w:pPr>
        <w:spacing w:after="0" w:line="13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Net cash provided by financing activities in 2012 included net borrowings under a term loan of $450.9 million and proceeds from employee share purchases, exercise of share options and warrant exercises of $25.0 million, partially offset by payments totaling $25.3 million of income tax withholdings on behalf of certain employees related to the net share settlement of exercised share options in connection with the Azur Merger. Net cash used in financing activities in 2011 included a repayment of $41.7 million for the full principal amount outstanding under a term loan and $7.4 million for net repayments of a revolving credit facility, partially offset by proceeds from employee stock option exercises and warrant exercises. Net cash used in financing activities in 2010 included the principal repayment of other long-term debt of $119.5 million, offset by proceeds from a common stock offering of $56.8 million and net cash inflows from a term loan of $40.1 million.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a summary of our contractual obligations as of December 31, 2012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Obligations(1)</w:t>
            </w:r>
          </w:p>
        </w:tc>
        <w:tc>
          <w:tcPr>
            <w:tcW w:w="340" w:type="dxa"/>
            <w:vAlign w:val="bottom"/>
          </w:tcPr>
          <w:p>
            <w:pPr>
              <w:spacing w:after="0"/>
              <w:rPr>
                <w:sz w:val="13"/>
                <w:szCs w:val="13"/>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Term loan—principal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463,126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29,688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89,063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130,625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213,750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loan—interest (2)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Purchase obligations (3)</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70,100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 (4)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Revolving credit facility (5)</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 (6)</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714,654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131,057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194,251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169,285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220,061</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00" w:hanging="316"/>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table does not include potential future milestone payment or royalty obligations to third parties under asset purchase, product development and license agreements as the timing and likelihood of such milestone payments are not known, and, in the case of royalty obligations, as the amount of such obligations are not estimable. Potential future milestone payments to third parties under these agreements could be up to an aggregate of $170 million, of which up to $120 million will become due and payable to Elan in tiered contingent payments, with the first such payment becoming due if net sales of Prialt of at least $75 million are achieved in a calendar year. The remainder would become due and payable to other third parties upon the achievement of certain developmental, clinical, regulatory and/or commercial milestones, the timing and likelihood of which are not known. We are also obligated under these agreements to pay royalties on net sales of certain products at specified rates, which royalties are dependent on future product sales and are not provided for in the table above as they are not estimable.</w:t>
      </w:r>
    </w:p>
    <w:p>
      <w:pPr>
        <w:spacing w:after="0" w:line="1" w:lineRule="exact"/>
        <w:rPr>
          <w:rFonts w:ascii="Arial" w:cs="Arial" w:eastAsia="Arial" w:hAnsi="Arial"/>
          <w:sz w:val="17"/>
          <w:szCs w:val="17"/>
          <w:color w:val="auto"/>
        </w:rPr>
      </w:pPr>
    </w:p>
    <w:p>
      <w:pPr>
        <w:ind w:left="540" w:right="60" w:hanging="316"/>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June 2012, we entered into a credit agreement that provides for a term loan in an aggregate principal amount of $475.0 million, which matures in June 2018, and a $100.0 million revolving credit facility, which matures in June 2017. In June 2012, we borrowed $475.0 million under the term loan, and we repaid principal of $11.9 million in 2012. The interest rate was 5.25% at December 31, 2012, which we used to estimate interest owed on the term loan until the final maturity date.</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third party manufacturers.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minimum lease payments for our office buildings and automobile lease payments for our sales force.</w:t>
      </w:r>
    </w:p>
    <w:p>
      <w:pPr>
        <w:spacing w:after="0" w:line="9" w:lineRule="exact"/>
        <w:rPr>
          <w:rFonts w:ascii="Arial" w:cs="Arial" w:eastAsia="Arial" w:hAnsi="Arial"/>
          <w:sz w:val="18"/>
          <w:szCs w:val="18"/>
          <w:color w:val="auto"/>
        </w:rPr>
      </w:pPr>
    </w:p>
    <w:p>
      <w:pPr>
        <w:ind w:left="540" w:right="320" w:hanging="316"/>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revolving credit facility described in note (2) has a commitment fee payable on the undrawn amount ranging from 0.25% to 0.50% per annum based upon our secured leverage ratio. In the table above, we used a rate of 0.50% and assumed undrawn amounts of $100.0 million to estimate commitment fees owed. No amount was borrowed under the revolving credit facility as of December 31, 2012.</w:t>
      </w:r>
    </w:p>
    <w:p>
      <w:pPr>
        <w:ind w:left="540" w:right="60" w:hanging="316"/>
        <w:spacing w:after="0" w:line="261"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amount represents a contingent payment of $50.0 million that we agreed to make if Erwinaze achieves U.S. net sales of $124.5 million or greater in 2013. The amount set forth in the table has not been probability adjusted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540" w:right="140"/>
        <w:spacing w:after="0" w:line="324" w:lineRule="auto"/>
        <w:rPr>
          <w:sz w:val="20"/>
          <w:szCs w:val="20"/>
          <w:color w:val="auto"/>
        </w:rPr>
      </w:pPr>
      <w:r>
        <w:rPr>
          <w:rFonts w:ascii="Arial" w:cs="Arial" w:eastAsia="Arial" w:hAnsi="Arial"/>
          <w:sz w:val="18"/>
          <w:szCs w:val="18"/>
          <w:color w:val="auto"/>
        </w:rPr>
        <w:t>discounted. The fair value of this contingent consideration as of December 31, 2012 was $34.8 million and was recorded as a non-current liability on our consolidated balance sheet.</w:t>
      </w:r>
    </w:p>
    <w:p>
      <w:pPr>
        <w:spacing w:after="0" w:line="89" w:lineRule="exact"/>
        <w:rPr>
          <w:sz w:val="20"/>
          <w:szCs w:val="20"/>
          <w:color w:val="auto"/>
        </w:rPr>
      </w:pPr>
    </w:p>
    <w:p>
      <w:pPr>
        <w:ind w:right="140" w:firstLine="432"/>
        <w:spacing w:after="0" w:line="258" w:lineRule="auto"/>
        <w:rPr>
          <w:sz w:val="20"/>
          <w:szCs w:val="20"/>
          <w:color w:val="auto"/>
        </w:rPr>
      </w:pPr>
      <w:r>
        <w:rPr>
          <w:rFonts w:ascii="Arial" w:cs="Arial" w:eastAsia="Arial" w:hAnsi="Arial"/>
          <w:sz w:val="18"/>
          <w:szCs w:val="18"/>
          <w:color w:val="auto"/>
        </w:rPr>
        <w:t>No provision for income tax in Ireland has been recognized on undistributed earnings of our foreign subsidiaries because we consider such earnings to be indefinitely reinvested. Cumulative unremitted earnings of overseas subsidiaries totaled</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approximately $604.2 million at December 31, 2012. In the event of the distribution of those earnings in the form of dividends or otherwise, we may be liable for income taxes, subject to an adjustment, if any, for foreign tax credits and foreign withholding taxes payable to certain foreign tax authorities. As of December 31, 2012, it is not practicable to determine the amount of the income tax liability related to these undistributed earnings due to a variety of factors.</w:t>
      </w:r>
    </w:p>
    <w:p>
      <w:pPr>
        <w:spacing w:after="0" w:line="10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December 31, 2012, our liability for unrecognized tax benefits amounted to $7.3 million (including interest and penalties). Due to the nature and timing of the ultimate outcome of these uncertain tax positions, we cannot make a reasonably reliable estimate of the amount and period of related future payments, if any. Therefore, our liability has been excluded from the above contractual obligations table. We do not expect a significant tax payment related to these obligations within the next year.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more fully described in Note 1 of the Notes to the Consolidated Financial Statements included in this Annual Report on Form 10-K, we believe the following accounting estimates and policies to be critical.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Revenues are recognized when there is persuasive evidence that an arrangement exists, delivery has occurred, the price is fixed and determinable and collection is reasonably assured.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Product sales revenue is recognized when title has transferred to the customer and the customer has assumed the risks and rewards of ownership, which is typically on delivery to the customer or, in the case of products that are subject to consignment agreements, when the customer removes product from our consigned inventory location for shipment directly to a patient.</w:t>
      </w:r>
    </w:p>
    <w:p>
      <w:pPr>
        <w:spacing w:after="0" w:line="4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 significant portion of our net product revenues are derived from sales of Xyrem. We sell Xyrem in the United States to a single central pharmacy, Express Scripts Specialty Distribution Services and its affiliate CuraScript, Inc., or Express Scripts. In 2012, sales of Xyrem to Express Scripts accounted for 65% of our net product sales. We recognize revenues from sales of Xyrem within the United States upon transfer of title, which occurs when Express Scripts removes product from our consigned inventory location at its facility for shipment directly to a patient. We accept returns from and provide Express Scripts with a credit for any product returned by patients to Express Scripts with defects that were not reasonably discoverable upon receipt of the consigned product by Express Scripts. Based on our experience over the past seven years, product returns to Express Scripts from patients are rare; during 2012, we issued credits totaling $0.3 million to Express Scripts for returned product.</w:t>
      </w:r>
    </w:p>
    <w:p>
      <w:pPr>
        <w:spacing w:after="0" w:line="124"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Items Deducted from Gross Sales</w:t>
      </w:r>
      <w:r>
        <w:rPr>
          <w:rFonts w:ascii="Arial" w:cs="Arial" w:eastAsia="Arial" w:hAnsi="Arial"/>
          <w:sz w:val="16"/>
          <w:szCs w:val="16"/>
          <w:color w:val="auto"/>
        </w:rPr>
        <w:t>. Revenues from sales of products are recorded net of estimated allowances for returns, specialty distributor fees,</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wholesaler fees, prompt payment discounts, government rebates, government chargebacks, coupon programs and rebates under managed care plans. Calculating certain of these items involves estimates and judgments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We review the adequacy of our provisions for sales deductions on a quarterly basis. Amounts accrued for sales deductions are adjusted when trends or significant events indicate that adjustment is appropriate and to reflect actual experience. Because we derive most of our revenues from sales of Xyrem in the United States to one specialty pharmacy customer, Express Scripts, we have a much higher level of knowledge about each prescription than if we sold the product through the normal pharmaceutical wholesaler channel as we do with our other products. The most significant items deducted from gross revenues where we exercise judgment are rebates, sales returns and chargebacks.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activity and ending balances for our provisions for rebates, sale returns and chargebacks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Rebates</w:t>
            </w:r>
          </w:p>
        </w:tc>
        <w:tc>
          <w:tcPr>
            <w:tcW w:w="32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Returns</w:t>
            </w:r>
          </w:p>
        </w:tc>
        <w:tc>
          <w:tcPr>
            <w:tcW w:w="24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Chargebacks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Payable</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2009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Payments/credits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21,742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relating to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52,603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75,408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Payments/credits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(63,981)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2012 (1)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25,247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54,168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Includes both continuing and discontinued operations to date of disposal.</w:t>
      </w:r>
    </w:p>
    <w:p>
      <w:pPr>
        <w:spacing w:after="0" w:line="29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For the years ended December 31, 2012, 2011 and 2010, total sales deductions related to rebates, sale returns and chargebacks were 11%, 8% and 8% of gross product sales, respectively. Included in these amounts are immaterial adjustments related to prior-year sales due to changes in estimates. Such amounts represented less than 1% of net product sales for each of the three years ended December 31,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90"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We are subject to rebates on sales made under governmental and managed-care pricing programs in the United States. The largest of these rebates is associated with sales covered by Medicaid. We participate in state government-managed Medicaid programs as well as certain other qualifying federal and state government programs whereby discounts and rebates are provided to participating government entities. We offer rebates and discounts to managed health care organizations in the United States. In estimating our provisions for rebates, we consider relevant statutes with respect to governmental pricing programs and contractual sales terms with managed-care providers and group purchasing organizations. We estimate the rebate provision based on historical utilization rates, historical payment experience, new information regarding changes in these programs’ regulations and guidelines that would impact the amount of the actual rebates, our expectations regarding future utilization rates for these programs and channel inventory data obtained from our major U.S. wholesalers in accordance with our inventory management agreements.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For certain products, we allow customers to return product within a specified period before and after its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future market events including generic competition.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Chargebacks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participate in chargeback programs with a number of entities, principally the U.S. Department of Defense, the U.S. Department of Veterans Affairs and other public parties whereby pricing on products below wholesalers’ list prices is provided to participating entities. These entities purchase product through wholesalers at the lower negotiated price, and the wholesalers charge back to us the difference between their acquisition cost and the lower negotiated price which we record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2012 and concluded that goodwill was not impaired as the fair value of the reporting unit significantly exceeded its carrying amount, including goodwill. As of December 31, 2012, we had $442.6 million of goodwill primarily resulting from the Azur Merger on January 18, 2012 and the EUSA Acquisition on June 12,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connection with the Azur Merger and the EUSA Acquisition, we acquired a number of intangible assets, including intangible assets related to currently marketed products (developed technology) and intangible assets related to product candidates (IPR&amp;D). When significant identifiable intangible assets are acquired, we engage an independent third-party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80" w:lineRule="exact"/>
        <w:rPr>
          <w:sz w:val="20"/>
          <w:szCs w:val="20"/>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in-process projects;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52"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finite-lived intangible assets are amortized on a straight-line basis over their estimated useful lives, which range from two to 15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128" w:lineRule="exact"/>
        <w:rPr>
          <w:sz w:val="20"/>
          <w:szCs w:val="20"/>
          <w:color w:val="auto"/>
        </w:rPr>
      </w:pPr>
    </w:p>
    <w:p>
      <w:pPr>
        <w:ind w:right="180" w:firstLine="432"/>
        <w:spacing w:after="0" w:line="334" w:lineRule="auto"/>
        <w:rPr>
          <w:sz w:val="20"/>
          <w:szCs w:val="20"/>
          <w:color w:val="auto"/>
        </w:rPr>
      </w:pPr>
      <w:r>
        <w:rPr>
          <w:rFonts w:ascii="Arial" w:cs="Arial" w:eastAsia="Arial" w:hAnsi="Arial"/>
          <w:sz w:val="16"/>
          <w:szCs w:val="16"/>
          <w:color w:val="auto"/>
        </w:rPr>
        <w:t>IPR&amp;D is not amortized but is tested for impairment annually or when events or circumstances indicate that the fair value may be below the carrying value of the asset. If the carrying value of the assets are not expected to be recovered, the assets are written down to their estimated fair values.</w:t>
      </w:r>
    </w:p>
    <w:p>
      <w:pPr>
        <w:spacing w:after="0" w:line="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As of December 31, 2012, we had $833.8 million of finite-lived intangible assets and $36.2 million of IPR&amp;D assets primarily related to the marketed products and the IPR&amp;D projects that we acquired in the Azur Merger and the EUSA Acquisition. Please refer to the footnotes to the consolidated financial statements included elsewhere in this report for further information about the intangible assets acquired during 2012 and the remaining useful lives of our finite-lived intangible assets as of December 31, 2012.</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25" w:right="29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5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most significant tax jurisdictions are Ireland, the United States and France. Significant estimates are required in determining our provision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5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reversing temporary differences and significant risks and uncertainties related to our business.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that we are using to manage our underlying business.</w:t>
      </w:r>
    </w:p>
    <w:p>
      <w:pPr>
        <w:spacing w:after="0" w:line="3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Based on available objective evidence at December 31, 2012, we reversed the valuation allowance recorded against substantially all of our deferred tax assets in the United States, resulting in a tax benefit of $104.2 million. Management determined that a valuation allowance was no longer needed on these deferred tax assets based on an assessment of the relative impact of all positive and negative evidence that existed at December 31, 2012, including an evaluation of cumulative income in recent years, our forecast of future sources of taxable income exclusive of reversing temporary differences, and significant risks and uncertainties related to our business. We continue to maintain a valuation allowance against certain other deferred tax assets where realizability is not certain. We periodically evaluate the likelihood of the realization of deferred tax assets and reduce the carrying amount of these deferred tax assets by a valuation allowances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4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We have also provided for uncertain tax positions that we believe are not more-likely-than-not to be sustained upon examination by tax authorities.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 quarterly basis and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provision (benefit).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part of the EUSA Acquisition, we agreed to make an additional contingent payment of $50.0 million in cash if Erwinaze achieves U.S. net sales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$124.5 million or greater in 2013. Contingent consideration is initially recognized at its fair value on the acquisition date. A liability resulting from contingent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is remeasured to fair value at each reporting date until the contingency is resolved and changes in fair value are recognized in earnings.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 of fair value contains uncertainties as it involves assumptions about the probability of 2013 U.S. net sales of Erwinaze equaling or exceeding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$124.5 million threshold and the discount rate. A significant increase or decrease in the estimated probability of meeting the milestone threshold would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 significantly higher or lower fair value measurement, respectively. As of December 31, 2012, we estimated that the fair value of this contingent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consideration was $34.8 million.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have elected to use the Black-Scholes option pricing model to calculate the fair value of share option grants under our equity incentive plans and grants under our employee stock purchase plan, or ESPP, and we are using the straight-line method to allocate compensation cost to reporting periods. The fair value of share options was estimated using the following assumptions:</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4.6</w:t>
            </w:r>
          </w:p>
        </w:tc>
        <w:tc>
          <w:tcPr>
            <w:tcW w:w="1460" w:type="dxa"/>
            <w:vAlign w:val="bottom"/>
            <w:gridSpan w:val="3"/>
          </w:tcPr>
          <w:p>
            <w:pPr>
              <w:jc w:val="right"/>
              <w:ind w:right="99"/>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6.0</w:t>
            </w:r>
          </w:p>
        </w:tc>
      </w:tr>
      <w:tr>
        <w:trPr>
          <w:trHeight w:val="27"/>
        </w:trPr>
        <w:tc>
          <w:tcPr>
            <w:tcW w:w="4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Range of risk-free rates</w:t>
            </w: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0.5-1.1%</w:t>
            </w:r>
          </w:p>
        </w:tc>
        <w:tc>
          <w:tcPr>
            <w:tcW w:w="146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0.0-2.7%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1.5-3.1%</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inputs which require the greatest judgment and have a large impact on fair values are expected term and volatility.</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expected term of share option grants represents the weighted-average period the awards are expected to remain outstanding. For share options granted in 2012 and 2011, we estimated the weighted-average expected term based on historical exercise data. Prior to 2011, the expected term was estimated by assuming share options would be exercised at the mid-point between the vest date and the contractual term due, at that time, to limited historical exercise data.</w:t>
      </w:r>
    </w:p>
    <w:p>
      <w:pPr>
        <w:spacing w:after="0" w:line="52"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Prior to 2012, we used a blend of the historical volatility and implied volatility of our ordinary shares, as well as the historical volatility of a peer group, to determine expected volatility for share option grants, and we used the implied volatility of our ordinary shares for grants under our ESPP. We included consideration of the historical volatility of a peer group to estimate expected volatility for share option grants since the trading history of our ordinary shares was less than the expected term of the share options. Beginning in the year ended December 31, 2012, we rely only on a blend of the historical and implied volatilities of our own ordinary shares to determine expected volatility for share option grants because our trading history now exceeds the expected term of the share options. In addition, we use a single volatility estimate for each share option grant. The weighted average volatility is determined by calculating the weighted average of volatilities for all share options granted in a given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February 2013, the Financial Accounting Standards Board, or the FASB, issued ASU No. 2013-02, “Other Comprehensive Income (Topic 220): Reporting of Amounts Reclassified Out of Accumulated Other Comprehensive Income,” or ASU No. 2013-02. ASU No. 2013-02 supersedes the presentation requirements for reclassifications out of accumulated other comprehensive income in ASUs 2011-05 and 2011-12 and requires an entity to provide additional information about reclassifications out of accumulated other comprehensive income. ASU No. 2013-02 became effective for us beginning January 1, 2013. The adoption of this amendment will not have a material impact on our results of operations or financial position.</w:t>
      </w:r>
    </w:p>
    <w:p>
      <w:pPr>
        <w:spacing w:after="0" w:line="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July 2012, the FASB issued ASU No. 2012-02, “Intangibles - Goodwill and Other (Topic 350): Testing Indefinite-Lived Intangible Assets for Impairment,” or ASU No. 2012-02. ASU No. 2012-02 simplifies how an entity tests indefinite-lived intangible assets (other than goodwill) for impairment by providing entities with an option to perform a qualitative assessment to determine whether further impairment testing is necessary. An entity would continue to calculate the fair value of an indefinite-lived intangible asset if the asset fails the qualitative assessment, while no further analysis would be required if it passes. ASU No. 2012-02 is effective for annual and interim indefinite-lived intangible asset impairment tests performed for fiscal years beginning after September 15, 2012, and early adoption is permitted. The adoption of this amendment will not have a material impact on our results of operations or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Azur Merger, we assumed a lease for office space in Dublin, Ireland. The lease agreement was with Seamus Mulligan, the former Chief Executive Officer of Azur Pharma, who is a member of our board of directors. Rentals paid on this lease amounted to $0.3 million in 2012. In November 2012, we terminated this lease at a cost of $1.2 million, which was the carrying value of our above market lease liability. There was no resulting gain or loss on the lease termination.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2011, Azur Pharma entered into an agreement with Circ Pharma Limited/Circ Pharma Research and Development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Limited, or Circ, companies controlled by Seamus Mulligan, whereby Azur Pharma obtained an option to license certain rights and assets in relation to Tramadol (a chronotherapeutic formulation) and to conduct certain development activities. Azur Pharma paid Circ $0.3 million for this option in 2011. In 2012, we terminated the agreement at no cost.</w:t>
      </w:r>
    </w:p>
    <w:p>
      <w:pPr>
        <w:spacing w:after="0" w:line="12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2012, we entered into an underwriting agreement with two underwriters and certain selling shareholders, pursuant to which the selling shareholders agreed to sell to the underwriters 7.9 million of our ordinary shares, resulting in aggregate gross proceeds to the selling shareholders of approximately $390.7 million. The selling shareholders included entities affiliated with certain members of our board of directors, four of our directors and four of our executive officers at the time of the agreement. We did not receive any proceeds from the sale of our ordinary shares by the selling shareholders in the offering, and we paid expenses of approximately $0.4 million in connection with the offering.</w:t>
      </w:r>
    </w:p>
    <w:p>
      <w:pPr>
        <w:spacing w:after="0" w:line="37" w:lineRule="exact"/>
        <w:rPr>
          <w:sz w:val="20"/>
          <w:szCs w:val="20"/>
          <w:color w:val="auto"/>
        </w:rPr>
      </w:pPr>
    </w:p>
    <w:p>
      <w:pPr>
        <w:jc w:val="both"/>
        <w:ind w:right="100" w:firstLine="432"/>
        <w:spacing w:after="0" w:line="302" w:lineRule="auto"/>
        <w:rPr>
          <w:sz w:val="20"/>
          <w:szCs w:val="20"/>
          <w:color w:val="auto"/>
        </w:rPr>
      </w:pPr>
      <w:r>
        <w:rPr>
          <w:rFonts w:ascii="Arial" w:cs="Arial" w:eastAsia="Arial" w:hAnsi="Arial"/>
          <w:sz w:val="16"/>
          <w:szCs w:val="16"/>
          <w:color w:val="auto"/>
        </w:rPr>
        <w:t>In 2010, we repaid in full all of our then outstanding senior secured notes, of which $6.8 million principal amount was paid to an entity affiliated with Kohlberg, Kravis &amp; Roberts &amp; Co. L.P., or KKR, a significant stockholder. In addition, in 2010, we paid prepayment penalties and a fee to the holders of the senior secured notes totaling $8.5 million of which $0.5 million was paid to the KKR affiliate. Cash paid for interest with respect to then outstanding senior secured notes held by the KKR affiliate was $0.5 million in 2010. All payments to KKR were in proportion to its ownership of the senior secured notes.</w:t>
      </w:r>
    </w:p>
    <w:p>
      <w:pPr>
        <w:spacing w:after="0" w:line="10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2010, we issued 7,000,000 shares of our common stock in an underwritten public offering of which 821,851 shares and 16,472 shares were purchased from the underwriter by Longitude Venture Partners, L.P. and Longitude Capital Associates, L.P., respectively, which are entities affiliated with Patrick G. Enright, a member of our board of directors. The remaining shares were purchased from the underwriter by third party investors on the same terms and conditions.</w:t>
      </w:r>
    </w:p>
    <w:p>
      <w:pPr>
        <w:spacing w:after="0" w:line="34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 xml:space="preserve">As of December 31, 2012, our exposure to market risk was confined to our cash equivalents which have maturities of less than one year and bear interest rates at variable rates and are denominated in, and pay interest in, U.S. dollars. The fair value of items exposed to market risk was $43.6 million as of December 31, 2012. The primary objectives of our investment policy, in order of priority, are as follows: safety and preservation of principal and 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Our cash equivalents as of December 31, 2012 consisted of money market funds. The effect of a 50 basis point change in the average yield earned on our cash equivalents would have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effect on our interest income and, due to the nature of the investments, would not have had an impact on their fair value. For additional information see Note 4 of the Notes to the Financial Statements included elsewhere in this Annual Report on Form 10-K.</w:t>
      </w:r>
    </w:p>
    <w:p>
      <w:pPr>
        <w:spacing w:after="0" w:line="3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 June 2012, we entered into a credit agreement that provides for a six-year $475.0 million term loan and a five-year $100.0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On June 12, 2012, we borrowed $475.0 million under the term loan. We are exposed to risks associated with changes in interest rates as a result of borrowings under our term loan. Our indebtedness outstanding under our term loan is subject to a LIBOR floor of 1.0%. Currently LIBOR rates are below the floor of 1%, and therefore an increase in interest rates would only impact our net interest expense to the extent it exceeds the floor of 1%. Based on variable rate debt levels of $463.1 million as of December 31, 2012, a 1.0% change in interest rates, above the LIBOR floor, would impact net interest expense for 2013 by approximately $4.6 million.</w:t>
      </w:r>
    </w:p>
    <w:p>
      <w:pPr>
        <w:spacing w:after="0" w:line="139" w:lineRule="exact"/>
        <w:rPr>
          <w:sz w:val="20"/>
          <w:szCs w:val="20"/>
          <w:color w:val="auto"/>
        </w:rPr>
      </w:pPr>
    </w:p>
    <w:p>
      <w:pPr>
        <w:ind w:right="160" w:firstLine="432"/>
        <w:spacing w:after="0" w:line="289" w:lineRule="auto"/>
        <w:rPr>
          <w:sz w:val="20"/>
          <w:szCs w:val="20"/>
          <w:color w:val="auto"/>
        </w:rPr>
      </w:pPr>
      <w:r>
        <w:rPr>
          <w:rFonts w:ascii="Arial" w:cs="Arial" w:eastAsia="Arial" w:hAnsi="Arial"/>
          <w:sz w:val="16"/>
          <w:szCs w:val="16"/>
          <w:i w:val="1"/>
          <w:iCs w:val="1"/>
          <w:color w:val="auto"/>
        </w:rPr>
        <w:t>Foreign Exchange Risk</w:t>
      </w:r>
      <w:r>
        <w:rPr>
          <w:rFonts w:ascii="Arial" w:cs="Arial" w:eastAsia="Arial" w:hAnsi="Arial"/>
          <w:sz w:val="16"/>
          <w:szCs w:val="16"/>
          <w:color w:val="auto"/>
        </w:rPr>
        <w:t>. As a result of the EUSA Acquisition, we have significant operations in Europe as well as in the United States. The functional</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of each foreign subsidiary is generally the local currency. We are exposed to foreign currency exchange risk as the local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income (loss) in shareholders’ equity. The reported results of our foreign subsidiaries will be influenced by their translation into U.S. dollars by currency movements against the U.S. dollar. Our primary currency translation exposures are related to our subsidiaries that have functional currencies denominated in the Euro and the British Pound Sterling, or GBP. A 10% strengthening/(weakening) in the rates used to translate the results of our foreign subsidiaries would have increased/(decreased) net income for the year ended December 31, 2012 by approximately $3 million.</w:t>
      </w:r>
    </w:p>
    <w:p>
      <w:pPr>
        <w:spacing w:after="0" w:line="11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Transactional exposure arises where transactions occur in currencies other than the functional currency. Transactions in foreign currencies are recorded at the exchange rate prevailing at the date of the transaction. The resulting monetary assets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liabilities are translated into the appropriate functional currency at exchange rates prevailing at the balance sheet date and the resulting gains and losses are reported in the foreign currency loss in the consolidated statements of income. At December 31, 2012, our primary exposure to transaction risk related to U.S. dollar net monetary assets held by subsidiaries with a Euro functional currency. At December 31, 2012, a 10% strengthening/(weakening) in the U.S. dollar against the Euro would have increased/(decreased) net income by approximately $4 million.</w:t>
      </w:r>
    </w:p>
    <w:p>
      <w:pPr>
        <w:spacing w:after="0" w:line="2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as listed below are included in this Annual Report on Form 10-K as pages F-1 through F-41.</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Page</w:t>
            </w: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Jazz Pharmaceuticals plc</w:t>
            </w:r>
          </w:p>
        </w:tc>
        <w:tc>
          <w:tcPr>
            <w:tcW w:w="50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84"/>
        </w:trPr>
        <w:tc>
          <w:tcPr>
            <w:tcW w:w="496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50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0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50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50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Consolidated Statements of Shareholders’ Equity</w:t>
            </w:r>
          </w:p>
        </w:tc>
        <w:tc>
          <w:tcPr>
            <w:tcW w:w="50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0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0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486"/>
        </w:trPr>
        <w:tc>
          <w:tcPr>
            <w:tcW w:w="4960" w:type="dxa"/>
            <w:vAlign w:val="bottom"/>
          </w:tcPr>
          <w:p>
            <w:pPr>
              <w:spacing w:after="0"/>
              <w:rPr>
                <w:sz w:val="24"/>
                <w:szCs w:val="24"/>
                <w:color w:val="auto"/>
              </w:rPr>
            </w:pPr>
          </w:p>
        </w:tc>
        <w:tc>
          <w:tcPr>
            <w:tcW w:w="5060" w:type="dxa"/>
            <w:vAlign w:val="bottom"/>
          </w:tcPr>
          <w:p>
            <w:pPr>
              <w:jc w:val="right"/>
              <w:ind w:right="4170"/>
              <w:spacing w:after="0"/>
              <w:rPr>
                <w:sz w:val="20"/>
                <w:szCs w:val="20"/>
                <w:color w:val="auto"/>
              </w:rPr>
            </w:pPr>
            <w:r>
              <w:rPr>
                <w:rFonts w:ascii="Arial" w:cs="Arial" w:eastAsia="Arial" w:hAnsi="Arial"/>
                <w:sz w:val="18"/>
                <w:szCs w:val="18"/>
                <w:color w:val="auto"/>
              </w:rPr>
              <w:t>80</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We have carried out an evaluation under the supervision and with the participation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principal executive officer and principal financial officer, of our disclosure controls and procedures (as defined in Rule 13a-15(e) of the Securities Exchange Act of 1934, as amended) as of the end of the period covered by this Annual Report on Form 10-K. Based on their evaluation, our principal executive officer and principal financial officer concluded that our disclosure controls and procedures were effective as of December 31, 2012.</w:t>
      </w:r>
    </w:p>
    <w:p>
      <w:pPr>
        <w:spacing w:after="0" w:line="10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 absolute,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1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On January 18, 2012, we completed the Azur Merger, which was accounted for as a reverse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under the acquisition method of accounting, with Jazz Pharmaceuticals, Inc. treated as the acquirer in the Azur Merger for accounting purposes. The results of operations of the acquired Azur Pharma business have been included in the results of operations of Jazz Pharmaceuticals plc beginning on January 18, 2012. We have integrated Azur Pharma’s historical internal controls over financial reporting with ours.</w:t>
      </w:r>
    </w:p>
    <w:p>
      <w:pPr>
        <w:spacing w:after="0" w:line="117"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On June 12, 2012, we completed the EUSA Acquisition. The EUSA Acquisition was accounted for using the acquisition method of accounting. The results of operations of the acquired EUSA Pharma business have been included in the results of operations of Jazz Pharmaceuticals plc since June 12, 2012, and we have integrated EUSA Pharma’s historical internal controls over financial reporting with ours.</w:t>
      </w:r>
    </w:p>
    <w:p>
      <w:pPr>
        <w:spacing w:after="0" w:line="11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the quarter ended December 31, 2012, other than changes related to the integration of our internal control processes resulting from the Azur Merger and the EUSA Acquisition as discussed above, there were no changes to our internal control over financial reporting that have materially affected, or are reasonably likely to materially affect, our internal control over financial reporting.</w:t>
      </w:r>
    </w:p>
    <w:p>
      <w:pPr>
        <w:spacing w:after="0" w:line="127" w:lineRule="exact"/>
        <w:rPr>
          <w:sz w:val="20"/>
          <w:szCs w:val="20"/>
          <w:color w:val="auto"/>
        </w:rPr>
      </w:pPr>
    </w:p>
    <w:p>
      <w:pPr>
        <w:ind w:firstLine="432"/>
        <w:spacing w:after="0" w:line="258"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following report is provided by management in respect of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defined in Rule 13a-15(f) of the Exchange Act):</w:t>
      </w:r>
    </w:p>
    <w:p>
      <w:pPr>
        <w:spacing w:after="0" w:line="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management is responsible for establishing and maintaining adequate internal control over financial reporting.</w:t>
      </w:r>
    </w:p>
    <w:p>
      <w:pPr>
        <w:spacing w:after="0" w:line="9" w:lineRule="exact"/>
        <w:rPr>
          <w:rFonts w:ascii="Arial" w:cs="Arial" w:eastAsia="Arial" w:hAnsi="Arial"/>
          <w:sz w:val="18"/>
          <w:szCs w:val="18"/>
          <w:color w:val="auto"/>
        </w:rPr>
      </w:pPr>
    </w:p>
    <w:p>
      <w:pPr>
        <w:ind w:left="900" w:right="320" w:hanging="325"/>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management used the Committee of Sponsoring Organizations of the Treadway Commission,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2" w:lineRule="exact"/>
        <w:rPr>
          <w:rFonts w:ascii="Arial" w:cs="Arial" w:eastAsia="Arial" w:hAnsi="Arial"/>
          <w:sz w:val="18"/>
          <w:szCs w:val="18"/>
          <w:color w:val="auto"/>
        </w:rPr>
      </w:pPr>
    </w:p>
    <w:p>
      <w:pPr>
        <w:ind w:left="900" w:right="20" w:hanging="325"/>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has assessed the effectiveness of our internal control over financial reporting as of December 31, 2012 and has concluded that such internal control over financial reporting was effective. There were no material weaknesses in internal control over financial reporting identified by management.</w:t>
      </w:r>
    </w:p>
    <w:p>
      <w:pPr>
        <w:spacing w:after="0" w:line="1" w:lineRule="exact"/>
        <w:rPr>
          <w:rFonts w:ascii="Arial" w:cs="Arial" w:eastAsia="Arial" w:hAnsi="Arial"/>
          <w:sz w:val="18"/>
          <w:szCs w:val="18"/>
          <w:color w:val="auto"/>
        </w:rPr>
      </w:pPr>
    </w:p>
    <w:p>
      <w:pPr>
        <w:ind w:left="900" w:right="60" w:hanging="325"/>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KPMG, our independent registered public accounting firm, has audited the consolidated financial statements of Jazz Pharmaceuticals plc as of and for the year ended December 31, 2012, included herein, and has issued an audit report on our internal control over financial reporting which is included below.</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125" w:right="31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Jazz Pharmaceutical plc’s internal control over financial reporting as of December 31, 2012, based on criteria established in Internal Control</w:t>
      </w:r>
    </w:p>
    <w:p>
      <w:pPr>
        <w:spacing w:after="0" w:line="46" w:lineRule="exact"/>
        <w:rPr>
          <w:sz w:val="20"/>
          <w:szCs w:val="20"/>
          <w:color w:val="auto"/>
        </w:rPr>
      </w:pPr>
    </w:p>
    <w:p>
      <w:pPr>
        <w:jc w:val="both"/>
        <w:ind w:firstLine="8"/>
        <w:spacing w:after="0" w:line="254" w:lineRule="auto"/>
        <w:tabs>
          <w:tab w:leader="none" w:pos="1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Integrated Framework issued by the Committee of Sponsoring Organizations of the Treadway Commission (COSO). Jazz Pharmaceutical plc’s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Jazz Pharmaceuticals plc maintained, in all material respects, effective internal control over financial reporting as of December 31, 2012, based on criteria established in Internal Control - Integrated Framework issued by COSO.</w:t>
      </w:r>
    </w:p>
    <w:p>
      <w:pPr>
        <w:spacing w:after="0" w:line="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 of Jazz Pharmaceuticals plc and subsidiaries as of December 31, 2012, and the related consolidated statements of income, comprehensive income, shareholders’ equity, and cash flows for the year then ended, and the related financial statement schedule for the year ended December 31, 2012, and our report dated February 26, 2013 expressed an unqualified opinion on those consolidated financial statements and the related financial statement schedule.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Certain information required by Part III is omitted from this Annual Report on Form 10-K and incorporated by reference to our definitive proxy statement for our 2013 annual general meeting of shareholders to be filed pursuant to Regulation 14A of the Securities Exchange Act of 1934, as amended. If such definitive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16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information required by this item relating to our directors and nominees for director is to be found under the section entitled “Proposal 1—Election of Directors” in the proxy statement for our 2013 annual general meeting of shareholders. Such information is incorporated herein by reference. The information required by this item relating to our executive officers is to be found under the section entitled “Executive Officers” in the proxy statement for our 2013 annual general meeting of shareholders. Such information is incorporated herein by reference. The information required by this item relating to our audit committee, audit committee financial expert and procedures by which shareholders may recommend nominees to our board of directors, may be found under the section entitled “Corporate Governance and Board Matters” appearing in the proxy statement for our 2013 annual general meeting of shareholders. Such information is incorporated herein by reference. Information regarding compliance with Section 16(a) of the Securities Exchange Act of 1934, as amended, is to be found under the section entitled “Section 16(a) Beneficial Ownership Reporting Compliance” appearing in our proxy statement for our 2013 annual general meeting of shareholders. Such information is incorporated herein by reference.</w:t>
      </w:r>
    </w:p>
    <w:p>
      <w:pPr>
        <w:spacing w:after="0" w:line="11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t>
      </w:r>
      <w:r>
        <w:rPr>
          <w:rFonts w:ascii="Arial" w:cs="Arial" w:eastAsia="Arial" w:hAnsi="Arial"/>
          <w:sz w:val="17"/>
          <w:szCs w:val="17"/>
          <w:i w:val="1"/>
          <w:iCs w:val="1"/>
          <w:color w:val="auto"/>
        </w:rPr>
        <w:t>www.jazzpharmaceuticals.com</w:t>
      </w:r>
      <w:r>
        <w:rPr>
          <w:rFonts w:ascii="Arial" w:cs="Arial" w:eastAsia="Arial" w:hAnsi="Arial"/>
          <w:sz w:val="17"/>
          <w:szCs w:val="17"/>
          <w:color w:val="auto"/>
        </w:rPr>
        <w:t xml:space="preserve"> under the section entitled “About Us” at “Corporate Responsibility.” Shareholders may request a free copy of the Code of Conduct by submitting a written request to Jazz Pharmaceuticals plc, Attention: Investor Relations, Fourth Floor, Connaught House, 1 Burlington Road, Dublin 4, Ireland.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3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4"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information required by this item is to be included in our proxy statement for our 2013 annual general meeting of shareholders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w:t>
      </w:r>
    </w:p>
    <w:p>
      <w:pPr>
        <w:spacing w:after="0" w:line="22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information required by this item with respect to equity compensation plans is to be included in our proxy statement for our 2013 annual general meeting of shareholders under the section entitled “Equity Compensation Plan Information” and is incorporated herein by reference. The information required by this item with respect to security ownership of certain beneficial owners and management is to be included in our proxy statement for our 2013 annual general meeting of shareholders under the section entitled “Security Ownership of Certain Beneficial Owners and Management.”</w:t>
      </w:r>
    </w:p>
    <w:p>
      <w:pPr>
        <w:spacing w:after="0" w:line="23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information required by this item is to be included in our proxy statement for our 2013 annual general meeting of shareholders under the sections entitled “Certain Relationships and Related Transactions” and “Corporate Governance and Board Matters—Independence of Jazz Pharmaceuticals’ Board of Directors” and is incorporated herein by reference.</w:t>
      </w: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information required by this item is to be included in our proxy statement for our 2013 annual general meeting of shareholders under the section entitled “Proposal 2—Approval of the Appointment of Independent Auditors and Auditors’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Remuneration” and is incorporated herein by reference.</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4" w:lineRule="exact"/>
        <w:rPr>
          <w:sz w:val="20"/>
          <w:szCs w:val="20"/>
          <w:color w:val="auto"/>
        </w:rPr>
      </w:pPr>
    </w:p>
    <w:p>
      <w:pPr>
        <w:ind w:left="700" w:hanging="260"/>
        <w:spacing w:after="0"/>
        <w:tabs>
          <w:tab w:leader="none" w:pos="700" w:val="left"/>
        </w:tabs>
        <w:numPr>
          <w:ilvl w:val="1"/>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documents are filed as part of this Annual Report on Form 10-K</w:t>
      </w:r>
    </w:p>
    <w:p>
      <w:pPr>
        <w:spacing w:after="0" w:line="198" w:lineRule="exact"/>
        <w:rPr>
          <w:rFonts w:ascii="Arial" w:cs="Arial" w:eastAsia="Arial" w:hAnsi="Arial"/>
          <w:sz w:val="18"/>
          <w:szCs w:val="18"/>
          <w:i w:val="1"/>
          <w:iCs w:val="1"/>
          <w:color w:val="auto"/>
        </w:rPr>
      </w:pPr>
    </w:p>
    <w:p>
      <w:pPr>
        <w:ind w:left="420" w:hanging="412"/>
        <w:spacing w:after="0"/>
        <w:tabs>
          <w:tab w:leader="none" w:pos="42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Index to Financial Statements: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in Item 8 of this Annual Report on Form 10-K.</w:t>
      </w:r>
    </w:p>
    <w:p>
      <w:pPr>
        <w:spacing w:after="0" w:line="198"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financial statement schedule of Jazz Pharmaceuticals plc is filed as part of this Annual Report on Form 10-K on page F-41 and should be read in conjunction with the consolidated financial statements of Jazz Pharmaceuticals plc.</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 Valuation and Qualifying Accounts</w:t>
      </w:r>
    </w:p>
    <w:p>
      <w:pPr>
        <w:spacing w:after="0" w:line="9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under the instructions, or the requested information is shown in the consolidated financial statements or related notes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 Exhibits—The following exhibits are included herein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29"/>
        </w:trPr>
        <w:tc>
          <w:tcPr>
            <w:tcW w:w="5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980" w:type="dxa"/>
            <w:vAlign w:val="bottom"/>
          </w:tcPr>
          <w:p>
            <w:pPr>
              <w:spacing w:after="0"/>
              <w:rPr>
                <w:sz w:val="11"/>
                <w:szCs w:val="11"/>
                <w:color w:val="auto"/>
              </w:rPr>
            </w:pPr>
          </w:p>
        </w:tc>
        <w:tc>
          <w:tcPr>
            <w:tcW w:w="9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980" w:type="dxa"/>
            <w:vAlign w:val="bottom"/>
          </w:tcPr>
          <w:p>
            <w:pPr>
              <w:spacing w:after="0"/>
              <w:rPr>
                <w:sz w:val="21"/>
                <w:szCs w:val="21"/>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Agreement and Plan of Merger and Reorganization, dated as of September 19, 2011, by and among Azur Pharma Limited (now Jazz</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Pharmaceuticals plc), Jaguar Merger Sub Inc., Jazz Pharmaceuticals, Inc. and Seamus Mulligan, solely in his capacity as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Indemnitors’ Representative (incorporated herein by reference to Exhibit 2.1 in Jazz Pharmaceuticals, Inc.’s current report on Form 8-K</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(File No. 001-33500) filed with the SEC on September 19, 2011).</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Letter Agreement, dated as of January 17, 2012, by and among Jazz Pharmaceuticals plc, Jaguar Merger Sub Inc. Jazz Pharmaceuticals,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Inc. and Seamus Mulligan, solely in his capacity as the Indemnitors’ Representative (incorporated by reference to Exhibit 2.2 in Jazz</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Agreement and Plan of Merger, dated as of April 26, 2012, by and among Jazz Pharmaceuticals plc, Jewel Merger Sub Inc., EUSA</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Pharma Inc., and Essex Woodlands Health Ventures, Inc., Mayflower L.P., and Bryan Morton, in their capacity as the representatives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the equity holders of EUSA Pharma Inc. (incorporated herein by reference to Exhibit 2.1 in Jazz Pharmaceuticals plc’s current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Form 8-K (File No. 001-33500), as filed with the SEC on April 27, 2012).</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Assignment, dated as of June 11, 2012, by and among Jazz Pharmaceuticals plc and Jazz Pharmaceuticals, Inc. (incorporated herein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reference to Exhibit 2.1B in Jazz Pharmaceuticals plc’s current report on Form 8-K (File No. 001-33500), as filed with the SEC on June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12, 2012).</w:t>
            </w: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8"/>
                <w:szCs w:val="18"/>
                <w:color w:val="auto"/>
              </w:rPr>
              <w:t>2.5</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Asset Purchase Agreement, dated as of September 5, 2012, by and among Jazz Pharmaceuticals plc, Jazz Pharmaceuticals International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II Limited, Meda Pharmaceuticals Inc. and Meda Pharma, Sàrl (incorporated herein by reference to Exhibit 2.1 in Jazz Pharmaceuticals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plc’s current report on Form 8-K (File No. 001-33500), as filed with the SEC on October 15, 2012).</w:t>
            </w:r>
          </w:p>
        </w:tc>
        <w:tc>
          <w:tcPr>
            <w:tcW w:w="0" w:type="dxa"/>
            <w:vAlign w:val="bottom"/>
          </w:tcPr>
          <w:p>
            <w:pPr>
              <w:spacing w:after="0"/>
              <w:rPr>
                <w:sz w:val="1"/>
                <w:szCs w:val="1"/>
                <w:color w:val="auto"/>
              </w:rPr>
            </w:pPr>
          </w:p>
        </w:tc>
      </w:tr>
      <w:tr>
        <w:trPr>
          <w:trHeight w:val="256"/>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Memorandum and Articles of Association of Jazz Pharmaceuticals plc (incorporated herein by reference to Exhibit 3.1 in Jazz</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3"/>
                <w:szCs w:val="23"/>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Reference is made to Exhibit 3.1.</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4.2A</w:t>
            </w: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Third Amended and Restated Investor Rights Agreement, made effective as of June 6, 2007, by and between Jazz Pharmaceuticals,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and the other parties named therein (incorporated herein by reference to Exhibit 4.3 in Jazz Pharmaceuticals, Inc.’s quarterly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Form 10-Q (File No. 001-33500) for the period ended June 30, 2007, as filed with the SEC on August 10, 2007).</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4.2B</w:t>
            </w: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Waiver and Amendment Agreement, dated as of March 12, 2008, by and between Jazz Pharmaceuticals, Inc. and the other parties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named therein (incorporated herein by reference to Exhibit 4.3B in Jazz Pharmaceuticals, Inc.’s annual report on Form 10-K (File No.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001-33500), for the period ended December 31, 2007, as filed with the SEC on March 31, 2008).</w:t>
            </w:r>
          </w:p>
        </w:tc>
        <w:tc>
          <w:tcPr>
            <w:tcW w:w="0" w:type="dxa"/>
            <w:vAlign w:val="bottom"/>
          </w:tcPr>
          <w:p>
            <w:pPr>
              <w:spacing w:after="0"/>
              <w:rPr>
                <w:sz w:val="1"/>
                <w:szCs w:val="1"/>
                <w:color w:val="auto"/>
              </w:rPr>
            </w:pPr>
          </w:p>
        </w:tc>
      </w:tr>
      <w:tr>
        <w:trPr>
          <w:trHeight w:val="486"/>
        </w:trPr>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0" w:type="dxa"/>
            <w:vAlign w:val="bottom"/>
            <w:gridSpan w:val="2"/>
          </w:tcPr>
          <w:p>
            <w:pPr>
              <w:ind w:left="40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gridSpan w:val="2"/>
          </w:tcPr>
          <w:p>
            <w:pPr>
              <w:spacing w:after="0"/>
              <w:rPr>
                <w:sz w:val="20"/>
                <w:szCs w:val="20"/>
                <w:color w:val="auto"/>
              </w:rPr>
            </w:pPr>
            <w:r>
              <w:rPr>
                <w:rFonts w:ascii="Arial" w:cs="Arial" w:eastAsia="Arial" w:hAnsi="Arial"/>
                <w:sz w:val="18"/>
                <w:szCs w:val="18"/>
                <w:color w:val="auto"/>
              </w:rPr>
              <w:t>4.2C</w:t>
            </w:r>
          </w:p>
        </w:tc>
        <w:tc>
          <w:tcPr>
            <w:tcW w:w="980" w:type="dxa"/>
            <w:vAlign w:val="bottom"/>
          </w:tcPr>
          <w:p>
            <w:pPr>
              <w:spacing w:after="0"/>
              <w:rPr>
                <w:sz w:val="21"/>
                <w:szCs w:val="21"/>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Waiver and Amendment Agreement, dated as of May 7, 2008, by and between Jazz Pharmaceuticals, Inc. and the other parties named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therein (incorporated herein by reference to Exhibit 4.3C in Jazz Pharmaceuticals, Inc.’s current report on Form 8-K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33500), as filed with the SEC on May 9, 2008).</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4.2D</w:t>
            </w: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Waiver and Amendment Agreement, dated as of July 6, 2009, by and between Jazz Pharmaceuticals, Inc. and the other parties named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therein (incorporated herein by reference to Exhibit 4.3D in Jazz Pharmaceuticals, Inc.’s quarterly report on Form 10-Q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33500) for the period ended June 30, 2009, as filed with the SEC on August 14, 2009).</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4.2E</w:t>
            </w: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Assignment, Assumption and Amendment Agreement, dated as of January 18, 2012, by and among Jazz Pharmaceuticals, Inc., Jazz</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Pharmaceuticals plc and the other parties named therein (incorporated herein by reference to Exhibit 4.2E in the annual report on Form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10-K (File No. 001-33500) for the period ended December 31, 2011, as filed by Jazz Pharmaceuticals plc on behalf of and as successor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to Jazz Pharmaceuticals, Inc. with the SEC on February 28,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Form of Jazz Pharmaceuticals plc Warrant to Purchase Ordinary Shares issued to holders of assumed Common Stock Warrants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originally issued by Jazz Pharmaceuticals, Inc. (incorporated herein by reference to Exhibit 4.4 in the annual report on Form 10-K (File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No. 001-33500) for the period ended December 31, 2011, as filed by Jazz Pharmaceuticals plc on behalf of and as successor to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Pharmaceuticals, Inc. with the SEC on February 28,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Form of Jazz Pharmaceuticals plc Warrant to Purchase Ordinary Shares issued to holders of assumed Registered Direct Common Stock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Warrants originally issued by Jazz Pharmaceuticals, Inc. (incorporated herein by reference to Exhibit 4.5 in the annual report on Form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10-K (File No. 001-33500) for the period ended December 31, 2011, as filed by Jazz Pharmaceuticals plc on behalf of and as successor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to Jazz Pharmaceuticals, Inc. with the SEC on February 28,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Form of Jazz Pharmaceuticals plc Warrant to Purchase Ordinary Shares issued to holders of assumed Common Stock Warrants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originally issued by Jazz Pharmaceuticals, Inc. on July 7, 2009 (incorporated herein by reference to Exhibit 4.6 in the annual report on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Form 10-K (File No. 001-33500) for the period ended December 31, 2011, as filed by Jazz Pharmaceuticals plc on behalf of and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successor to Jazz Pharmaceuticals, Inc. with the SEC on February 28,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4.6A</w:t>
            </w:r>
          </w:p>
        </w:tc>
        <w:tc>
          <w:tcPr>
            <w:tcW w:w="9760" w:type="dxa"/>
            <w:vAlign w:val="bottom"/>
            <w:gridSpan w:val="2"/>
          </w:tcPr>
          <w:p>
            <w:pPr>
              <w:spacing w:after="0"/>
              <w:rPr>
                <w:sz w:val="20"/>
                <w:szCs w:val="20"/>
                <w:color w:val="auto"/>
              </w:rPr>
            </w:pPr>
            <w:r>
              <w:rPr>
                <w:rFonts w:ascii="Arial" w:cs="Arial" w:eastAsia="Arial" w:hAnsi="Arial"/>
                <w:sz w:val="18"/>
                <w:szCs w:val="18"/>
                <w:color w:val="auto"/>
                <w:w w:val="96"/>
              </w:rPr>
              <w:t>Investor Rights Agreement, dated July 7, 2009 by and between Jazz Pharmaceuticals, Inc. and the other parties named therein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(incorporated herein by reference to Exhibit 10.88 in Jazz Pharmaceuticals, Inc.’s current report on Form 8-K (File No. 001-33500),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filed with the SEC on July 7, 2009).</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4.6B</w:t>
            </w: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Assignment, Assumption and Amendment Agreement, dated as of January 18, 2012, by and among Jazz Pharmaceuticals, Inc., Jazz</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Pharmaceuticals plc and the other parties named therein (incorporated herein by reference to Exhibit 4.7B in the annual report on Form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10-K (File No. 001-33500) for the period ended December 31, 2011, as filed by Jazz Pharmaceuticals plc on behalf of and as successor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to Jazz Pharmaceuticals, Inc. with the SEC on February 28,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Registration Rights Agreement made as of January 13, 2012, by and among Jazz Pharmaceuticals plc and certain shareholders named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therein (incorporated herein by reference to Exhibit 10.2 in Jazz Pharmaceuticals plc’s current report on Form 8-K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33500), as filed with the SEC on January 18,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10.1†</w:t>
            </w: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Xyrem Manufacturing Services and Supply Agreement, dated as of March 13, 2007, by and between Jazz Pharmaceuticals, Inc.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Patheon Pharmaceuticals, Inc. (incorporated herein by reference to Exhibit 10.50 in Jazz Pharmaceuticals, Inc.’s registration statement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on Form S-1, as amended (File No. 333-141164), as filed with the SEC on May 31,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w:t>
            </w: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Quality Agreement, dated as of March 13, 2007, by and between Jazz Pharmaceuticals, Inc. and Patheon Pharmaceuticals, Inc.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(incorporated herein by reference to Exhibit 10.51 in Jazz Pharmaceuticals, Inc.’s registration statement on Form S-1, as amended (File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No. 333-141164), as filed with the SEC on March 27,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10.3†</w:t>
            </w: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Supply Agreement, dated as of April 1, 2010, by and between Jazz Pharmaceuticals, Inc. and Siegfried (USA) Inc. (incorporated herein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by reference to Exhibit 10.54 in Jazz Pharmaceuticals, Inc.’s quarterly report on Form 10-Q (File No. 001-33500) for the period ended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March 31, 2010, as filed with the SEC on May 6, 2010).</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Master Services Agreement, dated April 15, 2011, by and between Jazz Pharmaceuticals, Inc., CuraScript, Inc. and Express Scripts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Specialty Distribution Services, Inc. (incorporated herein by reference to Exhibit 10.2 in Jazz Pharmaceuticals, Inc.’s quarterly report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on Form 10-Q (File No. 001-33500) for the period ended March 31, 2011, as filed with the SEC on May 9, 2011).</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89"/>
              </w:rPr>
              <w:t>Escrow Agreement made and entered into as of January 18, 2012, by and among Jazz Pharmaceuticals plc, Jazz Pharmaceuticals, Inc.,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Seamus Mulligan, solely in his capacity as Indemnitors’ Representative, and Deutsche Bank National Trust Association, as escrow</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agent (incorporated herein by reference to Exhibit 10.3 in Jazz Pharmaceuticals plc’s current report on Form 8-K (File No. 001-33500),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as filed with the SEC on January 18, 2012).</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60" w:type="dxa"/>
            <w:vAlign w:val="bottom"/>
            <w:gridSpan w:val="2"/>
          </w:tcPr>
          <w:p>
            <w:pPr>
              <w:ind w:left="40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320"/>
          </w:cols>
          <w:pgMar w:left="24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gridSpan w:val="2"/>
          </w:tcPr>
          <w:p>
            <w:pPr>
              <w:spacing w:after="0"/>
              <w:rPr>
                <w:sz w:val="20"/>
                <w:szCs w:val="20"/>
                <w:color w:val="auto"/>
              </w:rPr>
            </w:pPr>
            <w:r>
              <w:rPr>
                <w:rFonts w:ascii="Arial" w:cs="Arial" w:eastAsia="Arial" w:hAnsi="Arial"/>
                <w:sz w:val="18"/>
                <w:szCs w:val="18"/>
                <w:color w:val="auto"/>
              </w:rPr>
              <w:t>10.6†</w:t>
            </w:r>
          </w:p>
        </w:tc>
        <w:tc>
          <w:tcPr>
            <w:tcW w:w="98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Royalty Bearing License Agreement and Supply Agreement Re Erwinia-Derived Asparaginase, dated July 22, 2005, between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Health Protection Agency and EUSA Pharma SAS (formerly OPi, S.A.), as amended on each of December 22, 2009, March 23, 2012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and August 8, 2012 (incorporated herein by reference to Exhibit 10.11 in Jazz Pharmaceuticals plc’s quarterly report on Form 10-Q/A</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(File No. 001-33500), as filed with the SEC on August 9,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Credit Agreement, dated as of June 12, 2012, by and among Jazz Pharmaceuticals plc, Jazz Pharmaceuticals, Inc., the Lenders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Barclays Bank PLC, as Administrative Agent, Collateral Agent, Swing Line Lender and L/C Issuer (incorporated herein by reference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Exhibit 10.1 in Jazz Pharmaceuticals plc’s current report on Form 8-K (File No. 001-33500), as filed with the SEC on June 12,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Commercial Lease, dated as of June 2, 2004, by and between Jazz Pharmaceuticals, Inc. and The Board of Trustees of the Leland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Stanford Junior University (incorporated herein by reference to Exhibit 10.52 in Jazz Pharmaceuticals, Inc.’s registration statement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Form S-1, as amended (File No. 333-141164), as filed with the SEC on March 27, 2007).</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9"/>
              </w:rPr>
              <w:t>Lease Agreement, dated October 20, 2008, between Seamus Mulligan, as lessor, and Jazz Pharmaceuticals plc, as lessee (incorporated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herein by reference to Exhibit 10.1 in Jazz Pharmaceuticals plc’s registration statement on Form S-4 (File No. 333-177528), as filed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with the SEC on October 26, 2011).</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First Amendment of Lease, dated June 1, 2009, by and between Jazz Pharmaceuticals, Inc. and Wheatley-Fields, LLC, successor in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interest to The Board of Trustees of the Leland Stanford Junior University (incorporated herein by reference to Exhibit 10.86 in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Inc.’s current report on Form 8-K (File No. 001-33500), as filed with the SEC on June 4, 2009).</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Second Amendment of Lease, dated February 28, 2012, by and between Jazz Pharmaceuticals, Inc. and Wheatley-Fields, LLC,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successor in interest to The Board of Trustees of the Leland Stanford Junior University (incorporated herein by reference to Exhibit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10.31 in the annual report on Form 10-K (File No. 001-33500) for the period ended December 31, 2011, as filed by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plc on behalf of and as successor to Jazz Pharmaceuticals, Inc. with the SEC on February 28,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89"/>
              </w:rPr>
              <w:t>Lease, dated May 8, 2012, by and between John Ronan and Castle Cove Property Developments Limited and Jazz Pharmaceuticals plc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(incorporated herein by reference to Exhibit 10.2 in Jazz Pharmaceuticals plc’s quarterly report on Form 10-Q (File No. 001-33500),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filed with the SEC on August 7, 2012).</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6"/>
              </w:rPr>
              <w:t>Surrender of Lease of 45 Fitzwilliam Square Dublin 2, dated November 9, 2012, between Seamus Mulligan, as lessor, and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plc, as lessee.</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10.14+</w:t>
            </w:r>
          </w:p>
        </w:tc>
        <w:tc>
          <w:tcPr>
            <w:tcW w:w="980" w:type="dxa"/>
            <w:vAlign w:val="bottom"/>
          </w:tcPr>
          <w:p>
            <w:pPr>
              <w:spacing w:after="0"/>
              <w:rPr>
                <w:sz w:val="22"/>
                <w:szCs w:val="22"/>
                <w:color w:val="auto"/>
              </w:rPr>
            </w:pPr>
          </w:p>
        </w:tc>
        <w:tc>
          <w:tcPr>
            <w:tcW w:w="9780" w:type="dxa"/>
            <w:vAlign w:val="bottom"/>
            <w:gridSpan w:val="2"/>
          </w:tcPr>
          <w:p>
            <w:pPr>
              <w:ind w:left="40"/>
              <w:spacing w:after="0"/>
              <w:rPr>
                <w:sz w:val="20"/>
                <w:szCs w:val="20"/>
                <w:color w:val="auto"/>
              </w:rPr>
            </w:pPr>
            <w:r>
              <w:rPr>
                <w:rFonts w:ascii="Arial" w:cs="Arial" w:eastAsia="Arial" w:hAnsi="Arial"/>
                <w:sz w:val="18"/>
                <w:szCs w:val="18"/>
                <w:color w:val="auto"/>
                <w:w w:val="91"/>
              </w:rPr>
              <w:t>Form of Indemnification Agreement between Jazz Pharmaceuticals plc and its officers and directors (incorporated herein by reference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to Exhibit 10.1 in Jazz Pharmaceuticals plc’s current report on Form 8-K (File No. 001-33500), as filed with the SEC on January 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2012).</w:t>
            </w: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10.15+</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Offer Letter from Jazz Pharmaceuticals, Inc. to Kathryn Falberg (incorporated herein by reference to Exhibit 10.92 in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Inc.’s current report on Form 8-K (File No. 001-33500), as filed with the SEC on December 3, 2009).</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10.16+</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Employment Agreement by and between Seamus Mulligan and Jazz Pharmaceuticals plc (incorporated herein by reference to Exhibit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10.2 in Jazz Pharmaceuticals plc’s registration statement on Form S-4 (File No. 333-177528), as filed with the SEC on October 26,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2011).</w:t>
            </w: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10.17+</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4"/>
              </w:rPr>
              <w:t>Noncompetition Agreement by and between Seamus Mulligan and Jazz Pharmaceuticals plc (incorporated herein by reference to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Exhibit 10.3 in Jazz Pharmaceuticals plc’s registration statement on Form S-4 (File No. 333-177528), as filed with the SEC on October</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26, 2011).</w:t>
            </w: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10.18+</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8"/>
              </w:rPr>
              <w:t>Offer Letter from Jazz Pharmaceuticals, Inc. to Jeffrey Tobias, M.D. (incorporated herein by reference to Exhibit 10.1 in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Inc.’s quarterly report on Form 10-Q (File No. 001-33500), as filed with the SEC on November 8, 2011).</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10.19+</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Separation Agreement, dated January 18, 2012, by and between Jazz Pharmaceuticals plc and Carol Gamble (incorporated herein by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reference to Exhibit 10.27 in the annual report on Form 10-K (File No. 001-33500) for the period ended December 31, 2011, as filed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9"/>
              </w:rPr>
              <w:t>Jazz Pharmaceuticals plc on behalf of and as successor to Jazz Pharmaceuticals, Inc. with the SEC on February 28, 2012).</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10.20+</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Offer Letter from Jazz Pharmaceuticals, Inc. to Suzanne Sawochka Hooper (incorporated herein by reference to Exhibit 10.19 in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plc’s quarterly report on Form 10-Q (File No. 001-33500), as filed with the SEC on May 8, 2012).</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10.21+</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Amendment to Employment Agreement by and between Jazz Pharmaceuticals plc and Seamus Mulligan (incorporated herein by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reference to Exhibit 10.20 in Jazz Pharmaceuticals plc’s quarterly report on Form 10-Q (File No. 001-33500), as filed with the SEC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May 8, 2012).</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10.22+</w:t>
            </w:r>
          </w:p>
        </w:tc>
        <w:tc>
          <w:tcPr>
            <w:tcW w:w="980" w:type="dxa"/>
            <w:vAlign w:val="bottom"/>
          </w:tcPr>
          <w:p>
            <w:pPr>
              <w:spacing w:after="0"/>
              <w:rPr>
                <w:sz w:val="22"/>
                <w:szCs w:val="22"/>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Employment Agreement by and between Fintan Keegan and Jazz Pharmaceuticals plc (incorporated herein by reference to Exhibit 10.4</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8"/>
              </w:rPr>
              <w:t>in Jazz Pharmaceuticals plc’s quarterly report on Form 10-Q (File No. 001-33500), as filed with the SEC on August 7, 2012).</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80" w:type="dxa"/>
            <w:vAlign w:val="bottom"/>
            <w:gridSpan w:val="2"/>
          </w:tcPr>
          <w:p>
            <w:pPr>
              <w:ind w:left="40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10.23+</w:t>
            </w:r>
          </w:p>
        </w:tc>
        <w:tc>
          <w:tcPr>
            <w:tcW w:w="98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Amendment to Employment Agreement by and between Fintan Keegan and Jazz Pharmaceuticals plc (incorporated herein by reference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to Exhibit 10.6 in Jazz Pharmaceuticals plc’s quarterly report on Form 10-Q (File No. 001-33500), as filed with the SEC on August 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2012).</w:t>
            </w:r>
          </w:p>
        </w:tc>
        <w:tc>
          <w:tcPr>
            <w:tcW w:w="8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10.24+</w:t>
            </w:r>
          </w:p>
        </w:tc>
        <w:tc>
          <w:tcPr>
            <w:tcW w:w="980" w:type="dxa"/>
            <w:vAlign w:val="bottom"/>
          </w:tcPr>
          <w:p>
            <w:pPr>
              <w:spacing w:after="0"/>
              <w:rPr>
                <w:sz w:val="22"/>
                <w:szCs w:val="22"/>
                <w:color w:val="auto"/>
              </w:rPr>
            </w:pPr>
          </w:p>
        </w:tc>
        <w:tc>
          <w:tcPr>
            <w:tcW w:w="9780" w:type="dxa"/>
            <w:vAlign w:val="bottom"/>
            <w:gridSpan w:val="2"/>
          </w:tcPr>
          <w:p>
            <w:pPr>
              <w:ind w:left="40"/>
              <w:spacing w:after="0"/>
              <w:rPr>
                <w:sz w:val="20"/>
                <w:szCs w:val="20"/>
                <w:color w:val="auto"/>
              </w:rPr>
            </w:pPr>
            <w:r>
              <w:rPr>
                <w:rFonts w:ascii="Arial" w:cs="Arial" w:eastAsia="Arial" w:hAnsi="Arial"/>
                <w:sz w:val="18"/>
                <w:szCs w:val="18"/>
                <w:color w:val="auto"/>
                <w:w w:val="91"/>
              </w:rPr>
              <w:t>Noncompetition Agreement by and between Fintan Keegan and Jazz Pharmaceuticals plc (incorporated herein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4"/>
              </w:rPr>
              <w:t>10.5 in Jazz Pharmaceuticals plc’s quarterly report on Form 10-Q (File No. 001-33500), as filed with the SEC on August 7,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10.25A</w:t>
            </w: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Civil Settlement Agreement, dated July 13, 2007, among the United States of America acting through the entities named therein, Jazz</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Pharmaceuticals, Inc. and Orphan Medical, Inc. (incorporated herein by reference to Exhibit 10.57A in Jazz Pharmaceuticals, Inc.’s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current report on Form 8-K (File No. 001-33500), as filed with the SEC on July 18,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10.25B</w:t>
            </w: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Non-Prosecution Agreement, dated July 13, 2007, between the United States Attorney’s Office for the Eastern District of New York</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and Jazz Pharmaceuticals, Inc. (incorporated herein by reference to Exhibit 10.57B in Jazz Pharmaceuticals, Inc.’s current report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Form 8-K (File No. 001-33500), as filed with the SEC on July 18,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10.25C</w:t>
            </w: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Plea Agreement, dated July 13, 2007, between the United States Attorney for the Eastern District of New York and Orphan Medical,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Inc. (incorporated herein by reference to Exhibit 10.57C in Jazz Pharmaceuticals, Inc.’s current report on Form 8-K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33500), as filed with the SEC on July 18,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10.25D</w:t>
            </w: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Corporate Integrity Agreement, dated July 13, 2007, between the Office of Inspector General of the Department of Health and Human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Services and Jazz Pharmaceuticals, Inc. (incorporated herein by reference to Exhibit 10.57D in Jazz Pharmaceuticals, Inc.’s current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report on Form 8-K (File No. 001-33500), as filed with the SEC on July 18,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10.26A+</w:t>
            </w: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Jazz Pharmaceuticals plc 2003 Equity Incentive Plan (incorporated herein by reference to Exhibit 99.5 in Jazz Pharmaceuticals plc’s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10.26B+</w:t>
            </w: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Form of Option Exercise and Stock Purchase Agreement and Forms of Grant Notices under the Jazz Pharmaceuticals, Inc. 2003 Equity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Incentive Plan (incorporated herein by reference to Exhibit 10.22 in Jazz Pharmaceuticals, Inc.’s registration statement on Form S-1, as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amended (File No. 333-141164), as filed with the SEC on May 17,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10.26C+</w:t>
            </w: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Form of Letter, amending outstanding options granted under the Jazz Pharmaceuticals, Inc. 2003 Equity Incentive Plan (incorporated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herein by reference to Exhibit 10.60 in Jazz Pharmaceuticals, Inc.’s quarterly report on Form 10-Q (File No. 001-33500) for the period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ended June 30, 2007, as filed with the SEC on August 10, 2007).</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10.27A+</w:t>
            </w: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Jazz Pharmaceuticals plc 2007 Equity Incentive Plan (incorporated herein by reference to Exhibit 99.3 in Jazz Pharmaceuticals plc’s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10.27B+</w:t>
            </w:r>
          </w:p>
        </w:tc>
        <w:tc>
          <w:tcPr>
            <w:tcW w:w="9780" w:type="dxa"/>
            <w:vAlign w:val="bottom"/>
            <w:gridSpan w:val="2"/>
          </w:tcPr>
          <w:p>
            <w:pPr>
              <w:spacing w:after="0"/>
              <w:rPr>
                <w:sz w:val="20"/>
                <w:szCs w:val="20"/>
                <w:color w:val="auto"/>
              </w:rPr>
            </w:pPr>
            <w:r>
              <w:rPr>
                <w:rFonts w:ascii="Arial" w:cs="Arial" w:eastAsia="Arial" w:hAnsi="Arial"/>
                <w:sz w:val="18"/>
                <w:szCs w:val="18"/>
                <w:color w:val="auto"/>
                <w:w w:val="99"/>
              </w:rPr>
              <w:t>Jazz Pharmaceuticals plc 2007 Equity Incentive Plan Sub-Plan Governing Awards to Participants in the Republic of Ireland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6"/>
              </w:rPr>
              <w:t>(incorporated herein by reference to Exhibit 10.3B in the annual report on Form 10-K (File No. 001-33500) for the period ended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December 31, 2011, as filed by Jazz Pharmaceuticals plc on behalf of and as successor to Jazz Pharmaceuticals Inc. with the SEC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10.27C+</w:t>
            </w: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Form of Notice of Grant of Stock Options and Form of Option Agreement (U.S.) under the Jazz Pharmaceuticals plc 2007 Equity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10.27D+</w:t>
            </w: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Form of Notice of Grant of Stock Options and Form of Option Agreement (Irish) under Jazz Pharmaceuticals plc 2007 Equity Incentive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10.27E+</w:t>
            </w:r>
          </w:p>
        </w:tc>
        <w:tc>
          <w:tcPr>
            <w:tcW w:w="9780" w:type="dxa"/>
            <w:vAlign w:val="bottom"/>
            <w:gridSpan w:val="2"/>
          </w:tcPr>
          <w:p>
            <w:pPr>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plc 2007 Equity Incentive Plan.</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10.27F+</w:t>
            </w:r>
          </w:p>
        </w:tc>
        <w:tc>
          <w:tcPr>
            <w:tcW w:w="9780" w:type="dxa"/>
            <w:vAlign w:val="bottom"/>
            <w:gridSpan w:val="2"/>
          </w:tcPr>
          <w:p>
            <w:pPr>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Pharmaceuticals plc 2007 Equity Incentive Plan.</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10.28A+</w:t>
            </w: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Jazz Pharmaceuticals plc 2011 Equity Incentive Plan (incorporated herein by reference to Exhibit 99.1 in Jazz Pharmaceuticals plc’s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10.28B+</w:t>
            </w:r>
          </w:p>
        </w:tc>
        <w:tc>
          <w:tcPr>
            <w:tcW w:w="9780" w:type="dxa"/>
            <w:vAlign w:val="bottom"/>
            <w:gridSpan w:val="2"/>
          </w:tcPr>
          <w:p>
            <w:pPr>
              <w:spacing w:after="0"/>
              <w:rPr>
                <w:sz w:val="20"/>
                <w:szCs w:val="20"/>
                <w:color w:val="auto"/>
              </w:rPr>
            </w:pPr>
            <w:r>
              <w:rPr>
                <w:rFonts w:ascii="Arial" w:cs="Arial" w:eastAsia="Arial" w:hAnsi="Arial"/>
                <w:sz w:val="18"/>
                <w:szCs w:val="18"/>
                <w:color w:val="auto"/>
                <w:w w:val="99"/>
              </w:rPr>
              <w:t>Jazz Pharmaceuticals plc 2011 Equity Incentive Plan Sub-Plan Governing Awards to Participants in the Republic of Ireland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(incorporated herein by reference to Exhibit 10.39B in the annual report on Form 10-K (File No. 001-33500) for the period ended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December 31, 2011, as filed by Jazz Pharmaceuticals plc on behalf of and as successor to Jazz Pharmaceuticals Inc. with the SEC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February 28,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10.28C+</w:t>
            </w: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Form of Option Grant Notice and Form of Stock Option Agreement (U.S.) under the Jazz Pharmaceuticals plc 2011 Equity Incentive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Plan (incorporated herein by reference to Exhibit 10.7 in Jazz Pharmaceuticals plc’s quarterly report on Form 10-Q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33500), as filed with the SEC on August 7, 2012).</w:t>
            </w:r>
          </w:p>
        </w:tc>
        <w:tc>
          <w:tcPr>
            <w:tcW w:w="0" w:type="dxa"/>
            <w:vAlign w:val="bottom"/>
          </w:tcPr>
          <w:p>
            <w:pPr>
              <w:spacing w:after="0"/>
              <w:rPr>
                <w:sz w:val="1"/>
                <w:szCs w:val="1"/>
                <w:color w:val="auto"/>
              </w:rPr>
            </w:pPr>
          </w:p>
        </w:tc>
      </w:tr>
      <w:tr>
        <w:trPr>
          <w:trHeight w:val="486"/>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80" w:type="dxa"/>
            <w:vAlign w:val="bottom"/>
            <w:gridSpan w:val="2"/>
          </w:tcPr>
          <w:p>
            <w:pPr>
              <w:ind w:left="40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00" w:type="dxa"/>
            <w:vAlign w:val="bottom"/>
            <w:gridSpan w:val="3"/>
          </w:tcPr>
          <w:p>
            <w:pPr>
              <w:spacing w:after="0"/>
              <w:rPr>
                <w:sz w:val="20"/>
                <w:szCs w:val="20"/>
                <w:color w:val="auto"/>
              </w:rPr>
            </w:pPr>
            <w:r>
              <w:rPr>
                <w:rFonts w:ascii="Arial" w:cs="Arial" w:eastAsia="Arial" w:hAnsi="Arial"/>
                <w:sz w:val="18"/>
                <w:szCs w:val="18"/>
                <w:color w:val="auto"/>
              </w:rPr>
              <w:t>10.28D+</w:t>
            </w: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Form of Stock Option Grant Notice and Form of Option Agreement (Irish) under the Jazz Pharmaceuticals plc 2011 Equity Incentive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5"/>
              </w:rPr>
              <w:t>Plan (incorporated herein by reference to Exhibit 10.8 in Jazz Pharmaceuticals plc’s quarterly report on Form 10-Q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33500), as filed with the SEC on August 7,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10.28E+</w:t>
            </w:r>
          </w:p>
        </w:tc>
        <w:tc>
          <w:tcPr>
            <w:tcW w:w="9800" w:type="dxa"/>
            <w:vAlign w:val="bottom"/>
            <w:gridSpan w:val="2"/>
          </w:tcPr>
          <w:p>
            <w:pPr>
              <w:spacing w:after="0"/>
              <w:rPr>
                <w:sz w:val="20"/>
                <w:szCs w:val="20"/>
                <w:color w:val="auto"/>
              </w:rPr>
            </w:pPr>
            <w:r>
              <w:rPr>
                <w:rFonts w:ascii="Arial" w:cs="Arial" w:eastAsia="Arial" w:hAnsi="Arial"/>
                <w:sz w:val="18"/>
                <w:szCs w:val="18"/>
                <w:color w:val="auto"/>
                <w:w w:val="95"/>
              </w:rPr>
              <w:t>Form of Non-U.S. Option Grant Notice and Form of Non-U.S. Option Agreement under the Jazz Pharmaceuticals plc 2011 Equity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10.28F+</w:t>
            </w:r>
          </w:p>
        </w:tc>
        <w:tc>
          <w:tcPr>
            <w:tcW w:w="9800" w:type="dxa"/>
            <w:vAlign w:val="bottom"/>
            <w:gridSpan w:val="2"/>
          </w:tcPr>
          <w:p>
            <w:pPr>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6"/>
              </w:rPr>
              <w:t>Pharmaceuticals plc 2011 Equity Incentive Plan (incorporated herein by reference to Exhibit 10.9 in Jazz Pharmaceuticals plc’s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quarterly report on Form 10-Q (File No. 001-33500), as filed with the SEC on August 7,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10.28G+</w:t>
            </w:r>
          </w:p>
        </w:tc>
        <w:tc>
          <w:tcPr>
            <w:tcW w:w="9800" w:type="dxa"/>
            <w:vAlign w:val="bottom"/>
            <w:gridSpan w:val="2"/>
          </w:tcPr>
          <w:p>
            <w:pPr>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5"/>
              </w:rPr>
              <w:t>Pharmaceuticals plc 2011 Equity Incentive Plan (incorporated herein by reference to Exhibit 10.10 in Jazz Pharmaceuticals plc’s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quarterly report on Form 10-Q (File No. 001-33500), as filed with the SEC on August 7,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10.28H+</w:t>
            </w: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Form of Non-U.S. Restricted Stock Unit Grant Notice and Form of Non-U.S. Restricted Stock Unit Award Agreement under the Jazz</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Pharmaceuticals plc 2011 Equity Incentive Plan.</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10.29+</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Jazz Pharmaceuticals plc Amended and Restated Directors Deferred Compensation Plan (incorporated herein by reference to Exhibit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4"/>
              </w:rPr>
              <w:t>99.6 in Jazz Pharmaceuticals plc’s registration statement on Form S-8 (File No. 333-179075), as filed with the SEC on January 18,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2012).</w:t>
            </w: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10.30A+</w:t>
            </w: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Jazz Pharmaceuticals plc Amended and Restated 2007 Non-Employee Directors Stock Option Plan (incorporated herein by reference to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Exhibit 99.4 in Jazz Pharmaceuticals plc’s registration statement on Form S-8 (File No. 333-179075), as filed with the SEC on January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18, 2012).</w:t>
            </w: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10.30B+</w:t>
            </w: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Form of Non-U.S. Option Grant Notice and Form of Non-U.S. Option Agreement under the Jazz Pharmaceuticals plc Amended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Restated 2007 Non-Employee Directors Stock Option Plan.</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10.31A+</w:t>
            </w:r>
          </w:p>
        </w:tc>
        <w:tc>
          <w:tcPr>
            <w:tcW w:w="9800" w:type="dxa"/>
            <w:vAlign w:val="bottom"/>
            <w:gridSpan w:val="2"/>
          </w:tcPr>
          <w:p>
            <w:pPr>
              <w:ind w:left="40"/>
              <w:spacing w:after="0"/>
              <w:rPr>
                <w:sz w:val="20"/>
                <w:szCs w:val="20"/>
                <w:color w:val="auto"/>
              </w:rPr>
            </w:pPr>
            <w:r>
              <w:rPr>
                <w:rFonts w:ascii="Arial" w:cs="Arial" w:eastAsia="Arial" w:hAnsi="Arial"/>
                <w:sz w:val="18"/>
                <w:szCs w:val="18"/>
                <w:color w:val="auto"/>
              </w:rPr>
              <w:t>Jazz Pharmaceuticals plc 2007 Employee Stock Purchase Plan, as amended and restated.</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10.31B+</w:t>
            </w: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Jazz Pharmaceuticals plc 2007 Employee Stock Purchase Plan Sub-Plan Governing Purchase Rights to Participants in the Republic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Ireland (incorporated by reference herein to Exhibit 10.4C in Jazz Pharmaceuticals plc’s quarterly report on Form 10-Q (File No. 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33500) for the period ended March 31, 2012, as filed with the SEC on August 7, 2012).</w:t>
            </w:r>
          </w:p>
        </w:tc>
        <w:tc>
          <w:tcPr>
            <w:tcW w:w="0" w:type="dxa"/>
            <w:vAlign w:val="bottom"/>
          </w:tcPr>
          <w:p>
            <w:pPr>
              <w:spacing w:after="0"/>
              <w:rPr>
                <w:sz w:val="1"/>
                <w:szCs w:val="1"/>
                <w:color w:val="auto"/>
              </w:rPr>
            </w:pPr>
          </w:p>
        </w:tc>
      </w:tr>
      <w:tr>
        <w:trPr>
          <w:trHeight w:val="256"/>
        </w:trPr>
        <w:tc>
          <w:tcPr>
            <w:tcW w:w="1500" w:type="dxa"/>
            <w:vAlign w:val="bottom"/>
            <w:gridSpan w:val="3"/>
          </w:tcPr>
          <w:p>
            <w:pPr>
              <w:spacing w:after="0"/>
              <w:rPr>
                <w:sz w:val="20"/>
                <w:szCs w:val="20"/>
                <w:color w:val="auto"/>
              </w:rPr>
            </w:pPr>
            <w:r>
              <w:rPr>
                <w:rFonts w:ascii="Arial" w:cs="Arial" w:eastAsia="Arial" w:hAnsi="Arial"/>
                <w:sz w:val="18"/>
                <w:szCs w:val="18"/>
                <w:color w:val="auto"/>
              </w:rPr>
              <w:t>10.32A+</w:t>
            </w: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Jazz Pharmaceuticals plc Cash Bonus Plan, (incorporated herein by reference to Exhibit 10.33 in the annual report on Form 10-K/A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(File No. 001-33500) for the period ended December 31, 2011, as filed by Jazz Pharmaceuticals plc on behalf of and as successor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Jazz Pharmaceuticals, Inc. with the SEC on April 27, 2012).</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10.32B+</w:t>
            </w:r>
          </w:p>
        </w:tc>
        <w:tc>
          <w:tcPr>
            <w:tcW w:w="9800" w:type="dxa"/>
            <w:vAlign w:val="bottom"/>
            <w:gridSpan w:val="2"/>
          </w:tcPr>
          <w:p>
            <w:pPr>
              <w:spacing w:after="0"/>
              <w:rPr>
                <w:sz w:val="20"/>
                <w:szCs w:val="20"/>
                <w:color w:val="auto"/>
              </w:rPr>
            </w:pPr>
            <w:r>
              <w:rPr>
                <w:rFonts w:ascii="Arial" w:cs="Arial" w:eastAsia="Arial" w:hAnsi="Arial"/>
                <w:sz w:val="18"/>
                <w:szCs w:val="18"/>
                <w:color w:val="auto"/>
              </w:rPr>
              <w:t>Jazz Pharmaceuticals plc Cash Bonus Plan for U.S. Affiliates.</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10.32C+</w:t>
            </w:r>
          </w:p>
        </w:tc>
        <w:tc>
          <w:tcPr>
            <w:tcW w:w="9800" w:type="dxa"/>
            <w:vAlign w:val="bottom"/>
            <w:gridSpan w:val="2"/>
          </w:tcPr>
          <w:p>
            <w:pPr>
              <w:spacing w:after="0"/>
              <w:rPr>
                <w:sz w:val="20"/>
                <w:szCs w:val="20"/>
                <w:color w:val="auto"/>
              </w:rPr>
            </w:pPr>
            <w:r>
              <w:rPr>
                <w:rFonts w:ascii="Arial" w:cs="Arial" w:eastAsia="Arial" w:hAnsi="Arial"/>
                <w:sz w:val="18"/>
                <w:szCs w:val="18"/>
                <w:color w:val="auto"/>
              </w:rPr>
              <w:t>Jazz Pharmaceuticals Cash Bonus Plan for International Affiliates (2013).</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10.33+</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Jazz Pharmaceuticals plc Amended and Restated Executive Change in Control and Severance Benefit Plan (incorporated herein by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reference to Exhibit 10.34 in the annual report on Form 10-K/A (File No. 001-33500) for the period ended December 31, 2011, as filed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by Jazz Pharmaceuticals plc on behalf of and as successor to Jazz Pharmaceuticals, Inc. with the SEC on April 27, 2012).</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10.34+</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Jazz Pharmaceuticals plc 2012 Non-Employee Director Compensation Arrangements (incorporated herein by reference to Exhibit 10.32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in the annual report on Form 10-K (File No. 001-33500) for the period ended December 31, 2011, as filed by Jazz Pharmaceuticals plc</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on behalf of and as successor to Jazz Pharmaceuticals Inc. with the SEC on February 28, 2012).</w:t>
            </w:r>
          </w:p>
        </w:tc>
        <w:tc>
          <w:tcPr>
            <w:tcW w:w="0" w:type="dxa"/>
            <w:vAlign w:val="bottom"/>
          </w:tcPr>
          <w:p>
            <w:pPr>
              <w:spacing w:after="0"/>
              <w:rPr>
                <w:sz w:val="1"/>
                <w:szCs w:val="1"/>
                <w:color w:val="auto"/>
              </w:rPr>
            </w:pPr>
          </w:p>
        </w:tc>
      </w:tr>
      <w:tr>
        <w:trPr>
          <w:trHeight w:val="256"/>
        </w:trPr>
        <w:tc>
          <w:tcPr>
            <w:tcW w:w="520" w:type="dxa"/>
            <w:vAlign w:val="bottom"/>
            <w:gridSpan w:val="2"/>
          </w:tcPr>
          <w:p>
            <w:pPr>
              <w:spacing w:after="0"/>
              <w:rPr>
                <w:sz w:val="20"/>
                <w:szCs w:val="20"/>
                <w:color w:val="auto"/>
              </w:rPr>
            </w:pPr>
            <w:r>
              <w:rPr>
                <w:rFonts w:ascii="Arial" w:cs="Arial" w:eastAsia="Arial" w:hAnsi="Arial"/>
                <w:sz w:val="18"/>
                <w:szCs w:val="18"/>
                <w:color w:val="auto"/>
                <w:w w:val="89"/>
              </w:rPr>
              <w:t>10.35+</w:t>
            </w: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Jazz Pharmaceuticals plc 2012 Executive Officer Compensation Arrangements (incorporated herein by reference to Exhibit 10.3 in Jazz</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Pharmaceuticals plc’s quarterly report on Form 10-Q (File No. 001-33500) for the period ended June 30, 2012, as filed with the SEC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August 7, 2012).</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Subsidiaries of Jazz Pharmaceuticals plc.</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KPMG, Independent Registered Public Accounting Firm.</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 hereto).</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6"/>
              </w:rPr>
              <w:t>Certifications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8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60"/>
          </w:cols>
          <w:pgMar w:left="240" w:top="125" w:right="29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29"/>
        </w:trPr>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4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480" w:type="dxa"/>
            <w:vAlign w:val="bottom"/>
            <w:gridSpan w:val="2"/>
          </w:tcPr>
          <w:p>
            <w:pPr>
              <w:spacing w:after="0"/>
              <w:rPr>
                <w:sz w:val="20"/>
                <w:szCs w:val="20"/>
                <w:color w:val="auto"/>
              </w:rPr>
            </w:pPr>
            <w:r>
              <w:rPr>
                <w:rFonts w:ascii="Arial" w:cs="Arial" w:eastAsia="Arial" w:hAnsi="Arial"/>
                <w:sz w:val="18"/>
                <w:szCs w:val="18"/>
                <w:color w:val="auto"/>
                <w:w w:val="93"/>
              </w:rPr>
              <w:t>XBRL Taxonomy Extension Calculation Linkbase Document</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480" w:type="dxa"/>
            <w:vAlign w:val="bottom"/>
            <w:gridSpan w:val="2"/>
          </w:tcPr>
          <w:p>
            <w:pPr>
              <w:spacing w:after="0"/>
              <w:rPr>
                <w:sz w:val="20"/>
                <w:szCs w:val="20"/>
                <w:color w:val="auto"/>
              </w:rPr>
            </w:pPr>
            <w:r>
              <w:rPr>
                <w:rFonts w:ascii="Arial" w:cs="Arial" w:eastAsia="Arial" w:hAnsi="Arial"/>
                <w:sz w:val="18"/>
                <w:szCs w:val="18"/>
                <w:color w:val="auto"/>
                <w:w w:val="95"/>
              </w:rPr>
              <w:t>XBRL Taxonomy Extension Definition Linkbase Document.</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48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70"/>
        </w:trPr>
        <w:tc>
          <w:tcPr>
            <w:tcW w:w="15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480" w:type="dxa"/>
            <w:vAlign w:val="bottom"/>
            <w:gridSpan w:val="2"/>
          </w:tcPr>
          <w:p>
            <w:pPr>
              <w:spacing w:after="0"/>
              <w:rPr>
                <w:sz w:val="20"/>
                <w:szCs w:val="20"/>
                <w:color w:val="auto"/>
              </w:rPr>
            </w:pPr>
            <w:r>
              <w:rPr>
                <w:rFonts w:ascii="Arial" w:cs="Arial" w:eastAsia="Arial" w:hAnsi="Arial"/>
                <w:sz w:val="18"/>
                <w:szCs w:val="18"/>
                <w:color w:val="auto"/>
                <w:w w:val="90"/>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580" w:right="26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62" w:lineRule="exact"/>
        <w:rPr>
          <w:sz w:val="20"/>
          <w:szCs w:val="20"/>
          <w:color w:val="auto"/>
        </w:rPr>
      </w:pPr>
    </w:p>
    <w:p>
      <w:pPr>
        <w:ind w:left="580" w:right="60" w:hanging="572"/>
        <w:spacing w:after="0" w:line="264"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73" w:lineRule="exact"/>
        <w:rPr>
          <w:sz w:val="20"/>
          <w:szCs w:val="20"/>
          <w:color w:val="auto"/>
        </w:rPr>
      </w:pPr>
    </w:p>
    <w:p>
      <w:pPr>
        <w:ind w:left="580" w:hanging="572"/>
        <w:spacing w:after="0" w:line="293"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fails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Arial" w:cs="Arial" w:eastAsia="Arial" w:hAnsi="Arial"/>
                <w:sz w:val="18"/>
                <w:szCs w:val="18"/>
                <w:color w:val="auto"/>
              </w:rPr>
              <w:t>Date: February 26, 2013</w:t>
            </w:r>
          </w:p>
        </w:tc>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Jazz Pharmaceuticals Public Limited Company</w:t>
            </w:r>
          </w:p>
        </w:tc>
      </w:tr>
      <w:tr>
        <w:trPr>
          <w:trHeight w:val="270"/>
        </w:trPr>
        <w:tc>
          <w:tcPr>
            <w:tcW w:w="5580" w:type="dxa"/>
            <w:vAlign w:val="bottom"/>
          </w:tcPr>
          <w:p>
            <w:pPr>
              <w:spacing w:after="0"/>
              <w:rPr>
                <w:sz w:val="23"/>
                <w:szCs w:val="23"/>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(Registrant)</w:t>
            </w:r>
          </w:p>
        </w:tc>
        <w:tc>
          <w:tcPr>
            <w:tcW w:w="3700" w:type="dxa"/>
            <w:vAlign w:val="bottom"/>
          </w:tcPr>
          <w:p>
            <w:pPr>
              <w:spacing w:after="0"/>
              <w:rPr>
                <w:sz w:val="23"/>
                <w:szCs w:val="23"/>
                <w:color w:val="auto"/>
              </w:rPr>
            </w:pPr>
          </w:p>
        </w:tc>
      </w:tr>
      <w:tr>
        <w:trPr>
          <w:trHeight w:val="270"/>
        </w:trPr>
        <w:tc>
          <w:tcPr>
            <w:tcW w:w="5580" w:type="dxa"/>
            <w:vAlign w:val="bottom"/>
          </w:tcPr>
          <w:p>
            <w:pPr>
              <w:spacing w:after="0"/>
              <w:rPr>
                <w:sz w:val="23"/>
                <w:szCs w:val="23"/>
                <w:color w:val="auto"/>
              </w:rPr>
            </w:pPr>
          </w:p>
        </w:tc>
        <w:tc>
          <w:tcPr>
            <w:tcW w:w="2100" w:type="dxa"/>
            <w:vAlign w:val="bottom"/>
          </w:tcPr>
          <w:p>
            <w:pPr>
              <w:ind w:left="1880"/>
              <w:spacing w:after="0"/>
              <w:rPr>
                <w:sz w:val="20"/>
                <w:szCs w:val="20"/>
                <w:color w:val="auto"/>
              </w:rPr>
            </w:pPr>
            <w:r>
              <w:rPr>
                <w:rFonts w:ascii="Arial" w:cs="Arial" w:eastAsia="Arial" w:hAnsi="Arial"/>
                <w:sz w:val="18"/>
                <w:szCs w:val="18"/>
                <w:color w:val="auto"/>
              </w:rPr>
              <w:t>/s/</w:t>
            </w:r>
          </w:p>
        </w:tc>
        <w:tc>
          <w:tcPr>
            <w:tcW w:w="3700" w:type="dxa"/>
            <w:vAlign w:val="bottom"/>
          </w:tcPr>
          <w:p>
            <w:pPr>
              <w:jc w:val="center"/>
              <w:ind w:right="1959"/>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46"/>
        </w:trPr>
        <w:tc>
          <w:tcPr>
            <w:tcW w:w="5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00" w:type="dxa"/>
            <w:vAlign w:val="bottom"/>
          </w:tcPr>
          <w:p>
            <w:pPr>
              <w:jc w:val="center"/>
              <w:ind w:right="2019"/>
              <w:spacing w:after="0" w:line="147" w:lineRule="exact"/>
              <w:rPr>
                <w:sz w:val="20"/>
                <w:szCs w:val="20"/>
                <w:color w:val="auto"/>
              </w:rPr>
            </w:pPr>
            <w:r>
              <w:rPr>
                <w:rFonts w:ascii="Arial" w:cs="Arial" w:eastAsia="Arial" w:hAnsi="Arial"/>
                <w:sz w:val="14"/>
                <w:szCs w:val="14"/>
                <w:b w:val="1"/>
                <w:bCs w:val="1"/>
                <w:color w:val="auto"/>
                <w:w w:val="92"/>
              </w:rPr>
              <w:t>Bruce C. Cozadd</w:t>
            </w:r>
          </w:p>
        </w:tc>
      </w:tr>
      <w:tr>
        <w:trPr>
          <w:trHeight w:val="149"/>
        </w:trPr>
        <w:tc>
          <w:tcPr>
            <w:tcW w:w="558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Chairman and Chief Executive Officer and Director</w:t>
            </w:r>
          </w:p>
        </w:tc>
      </w:tr>
      <w:tr>
        <w:trPr>
          <w:trHeight w:val="186"/>
        </w:trPr>
        <w:tc>
          <w:tcPr>
            <w:tcW w:w="558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444"/>
        </w:trPr>
        <w:tc>
          <w:tcPr>
            <w:tcW w:w="5580" w:type="dxa"/>
            <w:vAlign w:val="bottom"/>
          </w:tcPr>
          <w:p>
            <w:pPr>
              <w:spacing w:after="0"/>
              <w:rPr>
                <w:sz w:val="24"/>
                <w:szCs w:val="24"/>
                <w:color w:val="auto"/>
              </w:rPr>
            </w:pPr>
          </w:p>
        </w:tc>
        <w:tc>
          <w:tcPr>
            <w:tcW w:w="2100" w:type="dxa"/>
            <w:vAlign w:val="bottom"/>
          </w:tcPr>
          <w:p>
            <w:pPr>
              <w:ind w:left="1760"/>
              <w:spacing w:after="0"/>
              <w:rPr>
                <w:sz w:val="20"/>
                <w:szCs w:val="20"/>
                <w:color w:val="auto"/>
              </w:rPr>
            </w:pPr>
            <w:r>
              <w:rPr>
                <w:rFonts w:ascii="Arial" w:cs="Arial" w:eastAsia="Arial" w:hAnsi="Arial"/>
                <w:sz w:val="18"/>
                <w:szCs w:val="18"/>
                <w:color w:val="auto"/>
              </w:rPr>
              <w:t>/s/</w:t>
            </w:r>
          </w:p>
        </w:tc>
        <w:tc>
          <w:tcPr>
            <w:tcW w:w="3700" w:type="dxa"/>
            <w:vAlign w:val="bottom"/>
          </w:tcPr>
          <w:p>
            <w:pPr>
              <w:jc w:val="center"/>
              <w:ind w:right="1959"/>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ATHRYN</w:t>
            </w:r>
            <w:r>
              <w:rPr>
                <w:rFonts w:ascii="Arial" w:cs="Arial" w:eastAsia="Arial" w:hAnsi="Arial"/>
                <w:sz w:val="18"/>
                <w:szCs w:val="18"/>
                <w:color w:val="auto"/>
                <w:w w:val="98"/>
              </w:rPr>
              <w:t xml:space="preserve"> E. F</w:t>
            </w:r>
            <w:r>
              <w:rPr>
                <w:rFonts w:ascii="Arial" w:cs="Arial" w:eastAsia="Arial" w:hAnsi="Arial"/>
                <w:sz w:val="14"/>
                <w:szCs w:val="14"/>
                <w:color w:val="auto"/>
                <w:w w:val="98"/>
              </w:rPr>
              <w:t>ALBERG</w:t>
            </w:r>
          </w:p>
        </w:tc>
      </w:tr>
      <w:tr>
        <w:trPr>
          <w:trHeight w:val="27"/>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46"/>
        </w:trPr>
        <w:tc>
          <w:tcPr>
            <w:tcW w:w="5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00" w:type="dxa"/>
            <w:vAlign w:val="bottom"/>
          </w:tcPr>
          <w:p>
            <w:pPr>
              <w:jc w:val="center"/>
              <w:ind w:right="2019"/>
              <w:spacing w:after="0" w:line="147" w:lineRule="exact"/>
              <w:rPr>
                <w:sz w:val="20"/>
                <w:szCs w:val="20"/>
                <w:color w:val="auto"/>
              </w:rPr>
            </w:pPr>
            <w:r>
              <w:rPr>
                <w:rFonts w:ascii="Arial" w:cs="Arial" w:eastAsia="Arial" w:hAnsi="Arial"/>
                <w:sz w:val="14"/>
                <w:szCs w:val="14"/>
                <w:b w:val="1"/>
                <w:bCs w:val="1"/>
                <w:color w:val="auto"/>
                <w:w w:val="96"/>
              </w:rPr>
              <w:t>Kathryn E. Falberg</w:t>
            </w:r>
          </w:p>
        </w:tc>
      </w:tr>
      <w:tr>
        <w:trPr>
          <w:trHeight w:val="149"/>
        </w:trPr>
        <w:tc>
          <w:tcPr>
            <w:tcW w:w="558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Executive Vice President and Chief Financial Officer</w:t>
            </w:r>
          </w:p>
        </w:tc>
      </w:tr>
      <w:tr>
        <w:trPr>
          <w:trHeight w:val="186"/>
        </w:trPr>
        <w:tc>
          <w:tcPr>
            <w:tcW w:w="558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(Principal Financial Officer)</w:t>
            </w:r>
          </w:p>
        </w:tc>
      </w:tr>
      <w:tr>
        <w:trPr>
          <w:trHeight w:val="444"/>
        </w:trPr>
        <w:tc>
          <w:tcPr>
            <w:tcW w:w="5580" w:type="dxa"/>
            <w:vAlign w:val="bottom"/>
          </w:tcPr>
          <w:p>
            <w:pPr>
              <w:spacing w:after="0"/>
              <w:rPr>
                <w:sz w:val="24"/>
                <w:szCs w:val="24"/>
                <w:color w:val="auto"/>
              </w:rPr>
            </w:pPr>
          </w:p>
        </w:tc>
        <w:tc>
          <w:tcPr>
            <w:tcW w:w="2100" w:type="dxa"/>
            <w:vAlign w:val="bottom"/>
          </w:tcPr>
          <w:p>
            <w:pPr>
              <w:ind w:left="1920"/>
              <w:spacing w:after="0"/>
              <w:rPr>
                <w:sz w:val="20"/>
                <w:szCs w:val="20"/>
                <w:color w:val="auto"/>
              </w:rPr>
            </w:pPr>
            <w:r>
              <w:rPr>
                <w:rFonts w:ascii="Arial" w:cs="Arial" w:eastAsia="Arial" w:hAnsi="Arial"/>
                <w:sz w:val="18"/>
                <w:szCs w:val="18"/>
                <w:color w:val="auto"/>
                <w:w w:val="83"/>
              </w:rPr>
              <w:t>/s/</w:t>
            </w:r>
          </w:p>
        </w:tc>
        <w:tc>
          <w:tcPr>
            <w:tcW w:w="3700" w:type="dxa"/>
            <w:vAlign w:val="bottom"/>
          </w:tcPr>
          <w:p>
            <w:pPr>
              <w:jc w:val="center"/>
              <w:ind w:right="1979"/>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r>
      <w:tr>
        <w:trPr>
          <w:trHeight w:val="27"/>
        </w:trPr>
        <w:tc>
          <w:tcPr>
            <w:tcW w:w="558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46"/>
        </w:trPr>
        <w:tc>
          <w:tcPr>
            <w:tcW w:w="5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700" w:type="dxa"/>
            <w:vAlign w:val="bottom"/>
          </w:tcPr>
          <w:p>
            <w:pPr>
              <w:jc w:val="center"/>
              <w:ind w:right="2019"/>
              <w:spacing w:after="0" w:line="147" w:lineRule="exact"/>
              <w:rPr>
                <w:sz w:val="20"/>
                <w:szCs w:val="20"/>
                <w:color w:val="auto"/>
              </w:rPr>
            </w:pPr>
            <w:r>
              <w:rPr>
                <w:rFonts w:ascii="Arial" w:cs="Arial" w:eastAsia="Arial" w:hAnsi="Arial"/>
                <w:sz w:val="14"/>
                <w:szCs w:val="14"/>
                <w:b w:val="1"/>
                <w:bCs w:val="1"/>
                <w:color w:val="auto"/>
                <w:w w:val="95"/>
              </w:rPr>
              <w:t>Karen J. Wilson</w:t>
            </w:r>
          </w:p>
        </w:tc>
      </w:tr>
      <w:tr>
        <w:trPr>
          <w:trHeight w:val="149"/>
        </w:trPr>
        <w:tc>
          <w:tcPr>
            <w:tcW w:w="5580" w:type="dxa"/>
            <w:vAlign w:val="bottom"/>
          </w:tcPr>
          <w:p>
            <w:pPr>
              <w:spacing w:after="0"/>
              <w:rPr>
                <w:sz w:val="12"/>
                <w:szCs w:val="12"/>
                <w:color w:val="auto"/>
              </w:rPr>
            </w:pPr>
          </w:p>
        </w:tc>
        <w:tc>
          <w:tcPr>
            <w:tcW w:w="5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Senior Vice President, Finance</w:t>
            </w:r>
          </w:p>
        </w:tc>
      </w:tr>
      <w:tr>
        <w:trPr>
          <w:trHeight w:val="186"/>
        </w:trPr>
        <w:tc>
          <w:tcPr>
            <w:tcW w:w="5580" w:type="dxa"/>
            <w:vAlign w:val="bottom"/>
          </w:tcPr>
          <w:p>
            <w:pPr>
              <w:spacing w:after="0"/>
              <w:rPr>
                <w:sz w:val="16"/>
                <w:szCs w:val="16"/>
                <w:color w:val="auto"/>
              </w:rPr>
            </w:pPr>
          </w:p>
        </w:tc>
        <w:tc>
          <w:tcPr>
            <w:tcW w:w="5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 Accounting Officer)</w:t>
            </w:r>
          </w:p>
        </w:tc>
      </w:tr>
      <w:tr>
        <w:trPr>
          <w:trHeight w:val="687"/>
        </w:trPr>
        <w:tc>
          <w:tcPr>
            <w:tcW w:w="558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90</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Bruce C. Cozadd, Kathryn E. Falberg, and Karen J. Wilson,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24"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400"/>
          </w:cols>
          <w:pgMar w:left="240" w:top="125" w:right="259" w:bottom="1440" w:gutter="0" w:footer="0" w:header="0"/>
        </w:sect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r>
      <w:tr>
        <w:trPr>
          <w:trHeight w:val="385"/>
        </w:trPr>
        <w:tc>
          <w:tcPr>
            <w:tcW w:w="1160" w:type="dxa"/>
            <w:vAlign w:val="bottom"/>
          </w:tcPr>
          <w:p>
            <w:pPr>
              <w:ind w:left="94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08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RUCE</w:t>
            </w:r>
            <w:r>
              <w:rPr>
                <w:rFonts w:ascii="Arial" w:cs="Arial" w:eastAsia="Arial" w:hAnsi="Arial"/>
                <w:sz w:val="18"/>
                <w:szCs w:val="18"/>
                <w:color w:val="auto"/>
                <w:w w:val="97"/>
              </w:rPr>
              <w:t xml:space="preserve"> C. C</w:t>
            </w:r>
            <w:r>
              <w:rPr>
                <w:rFonts w:ascii="Arial" w:cs="Arial" w:eastAsia="Arial" w:hAnsi="Arial"/>
                <w:sz w:val="14"/>
                <w:szCs w:val="14"/>
                <w:color w:val="auto"/>
                <w:w w:val="97"/>
              </w:rPr>
              <w:t>OZADD</w:t>
            </w:r>
          </w:p>
        </w:tc>
      </w:tr>
      <w:tr>
        <w:trPr>
          <w:trHeight w:val="27"/>
        </w:trPr>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1160" w:type="dxa"/>
            <w:vAlign w:val="bottom"/>
          </w:tcPr>
          <w:p>
            <w:pPr>
              <w:spacing w:after="0"/>
              <w:rPr>
                <w:sz w:val="20"/>
                <w:szCs w:val="20"/>
                <w:color w:val="auto"/>
              </w:rPr>
            </w:pPr>
          </w:p>
        </w:tc>
        <w:tc>
          <w:tcPr>
            <w:tcW w:w="274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4"/>
              </w:rPr>
              <w:t>Bruce C. Cozadd</w:t>
            </w:r>
          </w:p>
        </w:tc>
      </w:tr>
      <w:tr>
        <w:trPr>
          <w:trHeight w:val="255"/>
        </w:trPr>
        <w:tc>
          <w:tcPr>
            <w:tcW w:w="1160" w:type="dxa"/>
            <w:vAlign w:val="bottom"/>
          </w:tcPr>
          <w:p>
            <w:pPr>
              <w:ind w:left="82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08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ATHRYN</w:t>
            </w:r>
            <w:r>
              <w:rPr>
                <w:rFonts w:ascii="Arial" w:cs="Arial" w:eastAsia="Arial" w:hAnsi="Arial"/>
                <w:sz w:val="18"/>
                <w:szCs w:val="18"/>
                <w:color w:val="auto"/>
                <w:w w:val="98"/>
              </w:rPr>
              <w:t xml:space="preserve"> E. F</w:t>
            </w:r>
            <w:r>
              <w:rPr>
                <w:rFonts w:ascii="Arial" w:cs="Arial" w:eastAsia="Arial" w:hAnsi="Arial"/>
                <w:sz w:val="14"/>
                <w:szCs w:val="14"/>
                <w:color w:val="auto"/>
                <w:w w:val="98"/>
              </w:rPr>
              <w:t>ALBERG</w:t>
            </w:r>
          </w:p>
        </w:tc>
      </w:tr>
      <w:tr>
        <w:trPr>
          <w:trHeight w:val="27"/>
        </w:trPr>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1160" w:type="dxa"/>
            <w:vAlign w:val="bottom"/>
          </w:tcPr>
          <w:p>
            <w:pPr>
              <w:spacing w:after="0"/>
              <w:rPr>
                <w:sz w:val="20"/>
                <w:szCs w:val="20"/>
                <w:color w:val="auto"/>
              </w:rPr>
            </w:pPr>
          </w:p>
        </w:tc>
        <w:tc>
          <w:tcPr>
            <w:tcW w:w="274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7"/>
              </w:rPr>
              <w:t>Kathryn E. Falberg</w:t>
            </w:r>
          </w:p>
        </w:tc>
      </w:tr>
      <w:tr>
        <w:trPr>
          <w:trHeight w:val="255"/>
        </w:trPr>
        <w:tc>
          <w:tcPr>
            <w:tcW w:w="1160" w:type="dxa"/>
            <w:vAlign w:val="bottom"/>
          </w:tcPr>
          <w:p>
            <w:pPr>
              <w:ind w:left="980"/>
              <w:spacing w:after="0"/>
              <w:rPr>
                <w:sz w:val="20"/>
                <w:szCs w:val="20"/>
                <w:color w:val="auto"/>
              </w:rPr>
            </w:pPr>
            <w:r>
              <w:rPr>
                <w:rFonts w:ascii="Arial" w:cs="Arial" w:eastAsia="Arial" w:hAnsi="Arial"/>
                <w:sz w:val="18"/>
                <w:szCs w:val="18"/>
                <w:color w:val="auto"/>
                <w:w w:val="83"/>
              </w:rPr>
              <w:t>/s/</w:t>
            </w:r>
          </w:p>
        </w:tc>
        <w:tc>
          <w:tcPr>
            <w:tcW w:w="2740" w:type="dxa"/>
            <w:vAlign w:val="bottom"/>
            <w:gridSpan w:val="3"/>
          </w:tcPr>
          <w:p>
            <w:pPr>
              <w:jc w:val="center"/>
              <w:ind w:right="110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r>
      <w:tr>
        <w:trPr>
          <w:trHeight w:val="27"/>
        </w:trPr>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1160" w:type="dxa"/>
            <w:vAlign w:val="bottom"/>
          </w:tcPr>
          <w:p>
            <w:pPr>
              <w:spacing w:after="0"/>
              <w:rPr>
                <w:sz w:val="20"/>
                <w:szCs w:val="20"/>
                <w:color w:val="auto"/>
              </w:rPr>
            </w:pPr>
          </w:p>
        </w:tc>
        <w:tc>
          <w:tcPr>
            <w:tcW w:w="274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5"/>
              </w:rPr>
              <w:t>Karen J. Wilson</w:t>
            </w:r>
          </w:p>
        </w:tc>
      </w:tr>
      <w:tr>
        <w:trPr>
          <w:trHeight w:val="255"/>
        </w:trPr>
        <w:tc>
          <w:tcPr>
            <w:tcW w:w="3900" w:type="dxa"/>
            <w:vAlign w:val="bottom"/>
            <w:gridSpan w:val="4"/>
          </w:tcPr>
          <w:p>
            <w:pPr>
              <w:ind w:left="10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AUL</w:t>
            </w:r>
            <w:r>
              <w:rPr>
                <w:rFonts w:ascii="Arial" w:cs="Arial" w:eastAsia="Arial" w:hAnsi="Arial"/>
                <w:sz w:val="18"/>
                <w:szCs w:val="18"/>
                <w:color w:val="auto"/>
              </w:rPr>
              <w:t xml:space="preserve"> L. B</w:t>
            </w:r>
            <w:r>
              <w:rPr>
                <w:rFonts w:ascii="Arial" w:cs="Arial" w:eastAsia="Arial" w:hAnsi="Arial"/>
                <w:sz w:val="14"/>
                <w:szCs w:val="14"/>
                <w:color w:val="auto"/>
              </w:rPr>
              <w:t>ERNS</w:t>
            </w:r>
          </w:p>
        </w:tc>
      </w:tr>
      <w:tr>
        <w:trPr>
          <w:trHeight w:val="27"/>
        </w:trPr>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1160" w:type="dxa"/>
            <w:vAlign w:val="bottom"/>
          </w:tcPr>
          <w:p>
            <w:pPr>
              <w:spacing w:after="0"/>
              <w:rPr>
                <w:sz w:val="20"/>
                <w:szCs w:val="20"/>
                <w:color w:val="auto"/>
              </w:rPr>
            </w:pPr>
          </w:p>
        </w:tc>
        <w:tc>
          <w:tcPr>
            <w:tcW w:w="274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3"/>
              </w:rPr>
              <w:t>Paul L. Berns</w:t>
            </w:r>
          </w:p>
        </w:tc>
      </w:tr>
      <w:tr>
        <w:trPr>
          <w:trHeight w:val="255"/>
        </w:trPr>
        <w:tc>
          <w:tcPr>
            <w:tcW w:w="1160" w:type="dxa"/>
            <w:vAlign w:val="bottom"/>
          </w:tcPr>
          <w:p>
            <w:pPr>
              <w:ind w:left="86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08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ATRICK</w:t>
            </w:r>
            <w:r>
              <w:rPr>
                <w:rFonts w:ascii="Arial" w:cs="Arial" w:eastAsia="Arial" w:hAnsi="Arial"/>
                <w:sz w:val="18"/>
                <w:szCs w:val="18"/>
                <w:color w:val="auto"/>
                <w:w w:val="97"/>
              </w:rPr>
              <w:t xml:space="preserve"> G. E</w:t>
            </w:r>
            <w:r>
              <w:rPr>
                <w:rFonts w:ascii="Arial" w:cs="Arial" w:eastAsia="Arial" w:hAnsi="Arial"/>
                <w:sz w:val="14"/>
                <w:szCs w:val="14"/>
                <w:color w:val="auto"/>
                <w:w w:val="97"/>
              </w:rPr>
              <w:t>NRIGHT</w:t>
            </w:r>
          </w:p>
        </w:tc>
      </w:tr>
      <w:tr>
        <w:trPr>
          <w:trHeight w:val="27"/>
        </w:trPr>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1160" w:type="dxa"/>
            <w:vAlign w:val="bottom"/>
          </w:tcPr>
          <w:p>
            <w:pPr>
              <w:spacing w:after="0"/>
              <w:rPr>
                <w:sz w:val="20"/>
                <w:szCs w:val="20"/>
                <w:color w:val="auto"/>
              </w:rPr>
            </w:pPr>
          </w:p>
        </w:tc>
        <w:tc>
          <w:tcPr>
            <w:tcW w:w="274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8"/>
              </w:rPr>
              <w:t>Patrick G. Enright</w:t>
            </w:r>
          </w:p>
        </w:tc>
      </w:tr>
      <w:tr>
        <w:trPr>
          <w:trHeight w:val="255"/>
        </w:trPr>
        <w:tc>
          <w:tcPr>
            <w:tcW w:w="1160" w:type="dxa"/>
            <w:vAlign w:val="bottom"/>
          </w:tcPr>
          <w:p>
            <w:pPr>
              <w:ind w:left="860"/>
              <w:spacing w:after="0"/>
              <w:rPr>
                <w:sz w:val="20"/>
                <w:szCs w:val="20"/>
                <w:color w:val="auto"/>
              </w:rPr>
            </w:pPr>
            <w:r>
              <w:rPr>
                <w:rFonts w:ascii="Arial" w:cs="Arial" w:eastAsia="Arial" w:hAnsi="Arial"/>
                <w:sz w:val="18"/>
                <w:szCs w:val="18"/>
                <w:color w:val="auto"/>
              </w:rPr>
              <w:t>/s/</w:t>
            </w:r>
          </w:p>
        </w:tc>
        <w:tc>
          <w:tcPr>
            <w:tcW w:w="2740" w:type="dxa"/>
            <w:vAlign w:val="bottom"/>
            <w:gridSpan w:val="3"/>
          </w:tcPr>
          <w:p>
            <w:pPr>
              <w:jc w:val="center"/>
              <w:ind w:right="110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color w:val="auto"/>
                <w:w w:val="97"/>
              </w:rPr>
              <w:t xml:space="preserve"> C. M</w:t>
            </w:r>
            <w:r>
              <w:rPr>
                <w:rFonts w:ascii="Arial" w:cs="Arial" w:eastAsia="Arial" w:hAnsi="Arial"/>
                <w:sz w:val="14"/>
                <w:szCs w:val="14"/>
                <w:color w:val="auto"/>
                <w:w w:val="97"/>
              </w:rPr>
              <w:t>OMTAZEE</w:t>
            </w:r>
          </w:p>
        </w:tc>
      </w:tr>
      <w:tr>
        <w:trPr>
          <w:trHeight w:val="27"/>
        </w:trPr>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8"/>
        </w:trPr>
        <w:tc>
          <w:tcPr>
            <w:tcW w:w="1160" w:type="dxa"/>
            <w:vAlign w:val="bottom"/>
          </w:tcPr>
          <w:p>
            <w:pPr>
              <w:spacing w:after="0"/>
              <w:rPr>
                <w:sz w:val="20"/>
                <w:szCs w:val="20"/>
                <w:color w:val="auto"/>
              </w:rPr>
            </w:pPr>
          </w:p>
        </w:tc>
        <w:tc>
          <w:tcPr>
            <w:tcW w:w="274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3"/>
              </w:rPr>
              <w:t>James C. Momtazee</w:t>
            </w:r>
          </w:p>
        </w:tc>
      </w:tr>
    </w:tbl>
    <w:p>
      <w:pPr>
        <w:spacing w:after="0" w:line="25"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EAMUS</w:t>
      </w:r>
      <w:r>
        <w:rPr>
          <w:rFonts w:ascii="Arial" w:cs="Arial" w:eastAsia="Arial" w:hAnsi="Arial"/>
          <w:sz w:val="18"/>
          <w:szCs w:val="18"/>
          <w:color w:val="auto"/>
        </w:rPr>
        <w:t xml:space="preserve"> C. M</w:t>
      </w:r>
      <w:r>
        <w:rPr>
          <w:rFonts w:ascii="Arial" w:cs="Arial" w:eastAsia="Arial" w:hAnsi="Arial"/>
          <w:sz w:val="14"/>
          <w:szCs w:val="14"/>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70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2780" w:type="dxa"/>
            <w:vAlign w:val="bottom"/>
          </w:tcPr>
          <w:p>
            <w:pPr>
              <w:jc w:val="center"/>
              <w:ind w:right="1020"/>
              <w:spacing w:after="0"/>
              <w:rPr>
                <w:sz w:val="20"/>
                <w:szCs w:val="20"/>
                <w:color w:val="auto"/>
              </w:rPr>
            </w:pPr>
            <w:r>
              <w:rPr>
                <w:rFonts w:ascii="Arial" w:cs="Arial" w:eastAsia="Arial" w:hAnsi="Arial"/>
                <w:sz w:val="14"/>
                <w:szCs w:val="14"/>
                <w:b w:val="1"/>
                <w:bCs w:val="1"/>
                <w:color w:val="auto"/>
                <w:w w:val="93"/>
              </w:rPr>
              <w:t>Seamus C. Mulligan</w:t>
            </w:r>
          </w:p>
        </w:tc>
      </w:tr>
      <w:tr>
        <w:trPr>
          <w:trHeight w:val="255"/>
        </w:trPr>
        <w:tc>
          <w:tcPr>
            <w:tcW w:w="1120" w:type="dxa"/>
            <w:vAlign w:val="bottom"/>
          </w:tcPr>
          <w:p>
            <w:pPr>
              <w:ind w:left="820"/>
              <w:spacing w:after="0"/>
              <w:rPr>
                <w:sz w:val="20"/>
                <w:szCs w:val="20"/>
                <w:color w:val="auto"/>
              </w:rPr>
            </w:pPr>
            <w:r>
              <w:rPr>
                <w:rFonts w:ascii="Arial" w:cs="Arial" w:eastAsia="Arial" w:hAnsi="Arial"/>
                <w:sz w:val="18"/>
                <w:szCs w:val="18"/>
                <w:color w:val="auto"/>
              </w:rPr>
              <w:t>/s/</w:t>
            </w:r>
          </w:p>
        </w:tc>
        <w:tc>
          <w:tcPr>
            <w:tcW w:w="2780" w:type="dxa"/>
            <w:vAlign w:val="bottom"/>
          </w:tcPr>
          <w:p>
            <w:pPr>
              <w:jc w:val="center"/>
              <w:ind w:right="98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W. O’</w:t>
            </w:r>
            <w:r>
              <w:rPr>
                <w:rFonts w:ascii="Arial" w:cs="Arial" w:eastAsia="Arial" w:hAnsi="Arial"/>
                <w:sz w:val="14"/>
                <w:szCs w:val="14"/>
                <w:color w:val="auto"/>
                <w:w w:val="99"/>
              </w:rPr>
              <w:t>KEEFE</w:t>
            </w:r>
          </w:p>
        </w:tc>
      </w:tr>
      <w:tr>
        <w:trPr>
          <w:trHeight w:val="27"/>
        </w:trPr>
        <w:tc>
          <w:tcPr>
            <w:tcW w:w="1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8"/>
        </w:trPr>
        <w:tc>
          <w:tcPr>
            <w:tcW w:w="1120" w:type="dxa"/>
            <w:vAlign w:val="bottom"/>
          </w:tcPr>
          <w:p>
            <w:pPr>
              <w:spacing w:after="0"/>
              <w:rPr>
                <w:sz w:val="20"/>
                <w:szCs w:val="20"/>
                <w:color w:val="auto"/>
              </w:rPr>
            </w:pPr>
          </w:p>
        </w:tc>
        <w:tc>
          <w:tcPr>
            <w:tcW w:w="2780" w:type="dxa"/>
            <w:vAlign w:val="bottom"/>
          </w:tcPr>
          <w:p>
            <w:pPr>
              <w:jc w:val="center"/>
              <w:ind w:right="1020"/>
              <w:spacing w:after="0"/>
              <w:rPr>
                <w:sz w:val="20"/>
                <w:szCs w:val="20"/>
                <w:color w:val="auto"/>
              </w:rPr>
            </w:pPr>
            <w:r>
              <w:rPr>
                <w:rFonts w:ascii="Arial" w:cs="Arial" w:eastAsia="Arial" w:hAnsi="Arial"/>
                <w:sz w:val="14"/>
                <w:szCs w:val="14"/>
                <w:b w:val="1"/>
                <w:bCs w:val="1"/>
                <w:color w:val="auto"/>
                <w:w w:val="95"/>
              </w:rPr>
              <w:t>Kenneth W. O’Keefe</w:t>
            </w:r>
          </w:p>
        </w:tc>
      </w:tr>
      <w:tr>
        <w:trPr>
          <w:trHeight w:val="255"/>
        </w:trPr>
        <w:tc>
          <w:tcPr>
            <w:tcW w:w="1120" w:type="dxa"/>
            <w:vAlign w:val="bottom"/>
          </w:tcPr>
          <w:p>
            <w:pPr>
              <w:ind w:left="880"/>
              <w:spacing w:after="0"/>
              <w:rPr>
                <w:sz w:val="20"/>
                <w:szCs w:val="20"/>
                <w:color w:val="auto"/>
              </w:rPr>
            </w:pPr>
            <w:r>
              <w:rPr>
                <w:rFonts w:ascii="Arial" w:cs="Arial" w:eastAsia="Arial" w:hAnsi="Arial"/>
                <w:sz w:val="18"/>
                <w:szCs w:val="18"/>
                <w:color w:val="auto"/>
              </w:rPr>
              <w:t>/s/</w:t>
            </w:r>
          </w:p>
        </w:tc>
        <w:tc>
          <w:tcPr>
            <w:tcW w:w="2780" w:type="dxa"/>
            <w:vAlign w:val="bottom"/>
          </w:tcPr>
          <w:p>
            <w:pPr>
              <w:jc w:val="center"/>
              <w:ind w:right="98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ATHERINE</w:t>
            </w:r>
            <w:r>
              <w:rPr>
                <w:rFonts w:ascii="Arial" w:cs="Arial" w:eastAsia="Arial" w:hAnsi="Arial"/>
                <w:sz w:val="18"/>
                <w:szCs w:val="18"/>
                <w:color w:val="auto"/>
                <w:w w:val="96"/>
              </w:rPr>
              <w:t xml:space="preserve"> A. S</w:t>
            </w:r>
            <w:r>
              <w:rPr>
                <w:rFonts w:ascii="Arial" w:cs="Arial" w:eastAsia="Arial" w:hAnsi="Arial"/>
                <w:sz w:val="14"/>
                <w:szCs w:val="14"/>
                <w:color w:val="auto"/>
                <w:w w:val="96"/>
              </w:rPr>
              <w:t>OHN</w:t>
            </w:r>
          </w:p>
        </w:tc>
      </w:tr>
      <w:tr>
        <w:trPr>
          <w:trHeight w:val="27"/>
        </w:trPr>
        <w:tc>
          <w:tcPr>
            <w:tcW w:w="1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8"/>
        </w:trPr>
        <w:tc>
          <w:tcPr>
            <w:tcW w:w="1120" w:type="dxa"/>
            <w:vAlign w:val="bottom"/>
          </w:tcPr>
          <w:p>
            <w:pPr>
              <w:spacing w:after="0"/>
              <w:rPr>
                <w:sz w:val="20"/>
                <w:szCs w:val="20"/>
                <w:color w:val="auto"/>
              </w:rPr>
            </w:pPr>
          </w:p>
        </w:tc>
        <w:tc>
          <w:tcPr>
            <w:tcW w:w="2780" w:type="dxa"/>
            <w:vAlign w:val="bottom"/>
          </w:tcPr>
          <w:p>
            <w:pPr>
              <w:jc w:val="center"/>
              <w:ind w:right="1040"/>
              <w:spacing w:after="0"/>
              <w:rPr>
                <w:sz w:val="20"/>
                <w:szCs w:val="20"/>
                <w:color w:val="auto"/>
              </w:rPr>
            </w:pPr>
            <w:r>
              <w:rPr>
                <w:rFonts w:ascii="Arial" w:cs="Arial" w:eastAsia="Arial" w:hAnsi="Arial"/>
                <w:sz w:val="14"/>
                <w:szCs w:val="14"/>
                <w:b w:val="1"/>
                <w:bCs w:val="1"/>
                <w:color w:val="auto"/>
                <w:w w:val="93"/>
              </w:rPr>
              <w:t>Catherine A. Sohn</w:t>
            </w:r>
          </w:p>
        </w:tc>
      </w:tr>
      <w:tr>
        <w:trPr>
          <w:trHeight w:val="255"/>
        </w:trPr>
        <w:tc>
          <w:tcPr>
            <w:tcW w:w="1120" w:type="dxa"/>
            <w:vAlign w:val="bottom"/>
          </w:tcPr>
          <w:p>
            <w:pPr>
              <w:ind w:left="840"/>
              <w:spacing w:after="0"/>
              <w:rPr>
                <w:sz w:val="20"/>
                <w:szCs w:val="20"/>
                <w:color w:val="auto"/>
              </w:rPr>
            </w:pPr>
            <w:r>
              <w:rPr>
                <w:rFonts w:ascii="Arial" w:cs="Arial" w:eastAsia="Arial" w:hAnsi="Arial"/>
                <w:sz w:val="18"/>
                <w:szCs w:val="18"/>
                <w:color w:val="auto"/>
              </w:rPr>
              <w:t>/s/</w:t>
            </w:r>
          </w:p>
        </w:tc>
        <w:tc>
          <w:tcPr>
            <w:tcW w:w="2780" w:type="dxa"/>
            <w:vAlign w:val="bottom"/>
          </w:tcPr>
          <w:p>
            <w:pPr>
              <w:jc w:val="center"/>
              <w:ind w:right="9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ICK</w:t>
            </w:r>
            <w:r>
              <w:rPr>
                <w:rFonts w:ascii="Arial" w:cs="Arial" w:eastAsia="Arial" w:hAnsi="Arial"/>
                <w:sz w:val="18"/>
                <w:szCs w:val="18"/>
                <w:color w:val="auto"/>
              </w:rPr>
              <w:t xml:space="preserve"> E W</w:t>
            </w:r>
            <w:r>
              <w:rPr>
                <w:rFonts w:ascii="Arial" w:cs="Arial" w:eastAsia="Arial" w:hAnsi="Arial"/>
                <w:sz w:val="14"/>
                <w:szCs w:val="14"/>
                <w:color w:val="auto"/>
              </w:rPr>
              <w:t>INNINGHAM</w:t>
            </w:r>
          </w:p>
        </w:tc>
      </w:tr>
      <w:tr>
        <w:trPr>
          <w:trHeight w:val="27"/>
        </w:trPr>
        <w:tc>
          <w:tcPr>
            <w:tcW w:w="11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184"/>
        </w:trPr>
        <w:tc>
          <w:tcPr>
            <w:tcW w:w="1120" w:type="dxa"/>
            <w:vAlign w:val="bottom"/>
          </w:tcPr>
          <w:p>
            <w:pPr>
              <w:spacing w:after="0"/>
              <w:rPr>
                <w:sz w:val="16"/>
                <w:szCs w:val="16"/>
                <w:color w:val="auto"/>
              </w:rPr>
            </w:pPr>
          </w:p>
        </w:tc>
        <w:tc>
          <w:tcPr>
            <w:tcW w:w="2780" w:type="dxa"/>
            <w:vAlign w:val="bottom"/>
          </w:tcPr>
          <w:p>
            <w:pPr>
              <w:jc w:val="center"/>
              <w:ind w:right="1040"/>
              <w:spacing w:after="0"/>
              <w:rPr>
                <w:sz w:val="20"/>
                <w:szCs w:val="20"/>
                <w:color w:val="auto"/>
              </w:rPr>
            </w:pPr>
            <w:r>
              <w:rPr>
                <w:rFonts w:ascii="Arial" w:cs="Arial" w:eastAsia="Arial" w:hAnsi="Arial"/>
                <w:sz w:val="14"/>
                <w:szCs w:val="14"/>
                <w:b w:val="1"/>
                <w:bCs w:val="1"/>
                <w:color w:val="auto"/>
                <w:w w:val="96"/>
              </w:rPr>
              <w:t>Rick E Winningham</w:t>
            </w: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left="-279"/>
        <w:spacing w:after="0"/>
        <w:rPr>
          <w:sz w:val="20"/>
          <w:szCs w:val="20"/>
          <w:color w:val="auto"/>
        </w:rPr>
      </w:pPr>
      <w:r>
        <w:rPr>
          <w:rFonts w:ascii="Arial" w:cs="Arial" w:eastAsia="Arial" w:hAnsi="Arial"/>
          <w:sz w:val="14"/>
          <w:szCs w:val="14"/>
          <w:b w:val="1"/>
          <w:bCs w:val="1"/>
          <w:u w:val="single" w:color="auto"/>
          <w:color w:val="auto"/>
        </w:rPr>
        <w:t>Title</w:t>
      </w:r>
    </w:p>
    <w:p>
      <w:pPr>
        <w:spacing w:after="0" w:line="199" w:lineRule="exact"/>
        <w:rPr>
          <w:sz w:val="20"/>
          <w:szCs w:val="20"/>
          <w:color w:val="auto"/>
        </w:rPr>
      </w:pPr>
    </w:p>
    <w:p>
      <w:pPr>
        <w:ind w:right="1560"/>
        <w:spacing w:after="0" w:line="277" w:lineRule="auto"/>
        <w:rPr>
          <w:sz w:val="20"/>
          <w:szCs w:val="20"/>
          <w:color w:val="auto"/>
        </w:rPr>
      </w:pPr>
      <w:r>
        <w:rPr>
          <w:rFonts w:ascii="Arial" w:cs="Arial" w:eastAsia="Arial" w:hAnsi="Arial"/>
          <w:sz w:val="18"/>
          <w:szCs w:val="18"/>
          <w:color w:val="auto"/>
        </w:rPr>
        <w:t xml:space="preserve">Chairman, Chief Executive Officer and Director </w:t>
      </w:r>
      <w:r>
        <w:rPr>
          <w:rFonts w:ascii="Arial" w:cs="Arial" w:eastAsia="Arial" w:hAnsi="Arial"/>
          <w:sz w:val="18"/>
          <w:szCs w:val="18"/>
          <w:i w:val="1"/>
          <w:iCs w:val="1"/>
          <w:color w:val="auto"/>
        </w:rPr>
        <w:t>(Principal Executive Officer)</w:t>
      </w:r>
    </w:p>
    <w:p>
      <w:pPr>
        <w:spacing w:after="0" w:line="62"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 xml:space="preserve">Executive Vice President and Chief Financial Officer </w:t>
      </w:r>
      <w:r>
        <w:rPr>
          <w:rFonts w:ascii="Arial" w:cs="Arial" w:eastAsia="Arial" w:hAnsi="Arial"/>
          <w:sz w:val="18"/>
          <w:szCs w:val="18"/>
          <w:i w:val="1"/>
          <w:iCs w:val="1"/>
          <w:color w:val="auto"/>
        </w:rPr>
        <w:t>(Principal Financial Officer)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u w:val="single" w:color="auto"/>
          <w:color w:val="auto"/>
        </w:rPr>
        <w:t>Date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477" w:lineRule="exact"/>
        <w:rPr>
          <w:sz w:val="20"/>
          <w:szCs w:val="20"/>
          <w:color w:val="auto"/>
        </w:rPr>
      </w:pPr>
    </w:p>
    <w:p>
      <w:pPr>
        <w:sectPr>
          <w:pgSz w:w="11900" w:h="16838" w:orient="portrait"/>
          <w:cols w:equalWidth="0" w:num="3">
            <w:col w:w="3900" w:space="140"/>
            <w:col w:w="5040" w:space="720"/>
            <w:col w:w="1600"/>
          </w:cols>
          <w:pgMar w:left="240" w:top="125" w:right="259" w:bottom="1440" w:gutter="0" w:footer="0" w:header="0"/>
          <w:type w:val="continuous"/>
        </w:sectPr>
      </w:pP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5" w:right="25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KPMG,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Jazz Pharmaceuticals plc and subsidiaries (the Company) as of December 31, 2012, and the related consolidated statements of income, comprehensive income, shareholders’ equity, and cash flows for the year then ended. In connection with our audit of the consolidated financial statements, we also have audited the financial statement schedule at Item 15(a)2 for the year ended December 31, 2012. These consolidated financial statements and financial statement schedule are the responsibility of the Company’s management. Our responsibility is to express an opinion on these consolidated financial statements and financial statement schedule based on our audit.</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Jazz Pharmaceuticals plc and subsidiaries as of December 31, 2012, and the results of their operations and their cash flows for the year then ended, in conformity with U.S. generally accepted accounting principles. Also, in our opinion, the related financial statement schedule for the year ended December 31, 2012, when considered in relation to the basic consolidated financial statements taken as a whole, presents fairly, in all material respects, the information set forth therein.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Jazz Pharmaceuticals plc’s internal control over financial reporting as of December 31, 2012, based on criteria established in Internal Control - Integrated Framework issued by the Committee of Sponsoring Organizations of the Treadway Commission (COSO), and our report dated February 26, 2013 expressed an unqualified opinion on the effectiveness of the Company’s internal control over financial reporting.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 a wholly-owned subsidiary of Jazz Pharmaceuticals plc</w:t>
      </w:r>
    </w:p>
    <w:p>
      <w:pPr>
        <w:spacing w:after="0" w:line="15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 of Jazz Pharmaceuticals, Inc. as of December 31, 2011 and the related consolidated statements of operations, comprehensive income, stockholders’ equity (deficit) and cash flows for each of the two years in the period ended December 31, 2011. Our audits also included the financial statement schedule for 2011 and 2010 listed in the Index at Item 15(a)2. These financial statements and schedule are the responsibility of the Company’s management. Our responsibility is to express an opinion on these financial statements and schedule based on our audits.</w:t>
      </w:r>
    </w:p>
    <w:p>
      <w:pPr>
        <w:spacing w:after="0" w:line="13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34"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Jazz Pharmaceuticals, Inc. at December 31, 2011 and the consolidated results of its operations and its cash flows for each of the two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5" w:right="27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50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387,196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82,076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75,822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$3,779 and $366 at December 31, 2012 and 2011,</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75,480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26,525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35,813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551,572</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199,131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869,952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assets, net, non-current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74,850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3,662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1,966,493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253,573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1880"/>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15,887</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34,783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29,688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tax liability,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product rights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Liability under government settlement</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191,538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52,870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427,073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 net, non-current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178,393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80"/>
              <w:spacing w:after="0"/>
              <w:rPr>
                <w:sz w:val="20"/>
                <w:szCs w:val="20"/>
                <w:color w:val="auto"/>
              </w:rPr>
            </w:pPr>
            <w:r>
              <w:rPr>
                <w:rFonts w:ascii="Arial" w:cs="Arial" w:eastAsia="Arial" w:hAnsi="Arial"/>
                <w:sz w:val="18"/>
                <w:szCs w:val="18"/>
                <w:color w:val="auto"/>
                <w:w w:val="90"/>
              </w:rPr>
              <w:t>Preferred stock, $0.0001 par value per share; zero and 20,000 shares authorized; no shares issued and</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outstanding at December 31, 2012 and 2011, respectively</w:t>
            </w:r>
          </w:p>
        </w:tc>
        <w:tc>
          <w:tcPr>
            <w:tcW w:w="4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Ordinary shares, nominal value $0.0001 per share; 300,000 and 150,000 shares authorized; 58,014 and</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42,468 shares issued and outstanding at December 31, 2012 and 2011,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660" w:type="dxa"/>
            <w:vAlign w:val="bottom"/>
          </w:tcPr>
          <w:p>
            <w:pPr>
              <w:ind w:left="180"/>
              <w:spacing w:after="0"/>
              <w:rPr>
                <w:sz w:val="20"/>
                <w:szCs w:val="20"/>
                <w:color w:val="auto"/>
              </w:rPr>
            </w:pPr>
            <w:r>
              <w:rPr>
                <w:rFonts w:ascii="Arial" w:cs="Arial" w:eastAsia="Arial" w:hAnsi="Arial"/>
                <w:sz w:val="18"/>
                <w:szCs w:val="18"/>
                <w:color w:val="auto"/>
                <w:w w:val="89"/>
              </w:rPr>
              <w:t>Non-voting euro deferred shares, €0.01 par value per share; 4,000 and no shares authorized, issued and</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outstanding at December 31, 2012 and 2011, respectively</w:t>
            </w:r>
          </w:p>
        </w:tc>
        <w:tc>
          <w:tcPr>
            <w:tcW w:w="44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redemption reserve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1,151,010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542,697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(61,296)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(349,882)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1,121,292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192,788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1,966,493</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253,573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383"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Product sales,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580,527</w:t>
            </w:r>
          </w:p>
        </w:tc>
        <w:tc>
          <w:tcPr>
            <w:tcW w:w="100" w:type="dxa"/>
            <w:vAlign w:val="bottom"/>
          </w:tcPr>
          <w:p>
            <w:pPr>
              <w:spacing w:after="0"/>
              <w:rPr>
                <w:sz w:val="21"/>
                <w:szCs w:val="21"/>
                <w:color w:val="auto"/>
              </w:rPr>
            </w:pP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266,518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170,006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Royalties and contract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37"/>
        </w:trPr>
        <w:tc>
          <w:tcPr>
            <w:tcW w:w="612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585,979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272,277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173,781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80"/>
              <w:spacing w:after="0"/>
              <w:rPr>
                <w:sz w:val="20"/>
                <w:szCs w:val="20"/>
                <w:color w:val="auto"/>
              </w:rPr>
            </w:pPr>
            <w:r>
              <w:rPr>
                <w:rFonts w:ascii="Arial" w:cs="Arial" w:eastAsia="Arial" w:hAnsi="Arial"/>
                <w:sz w:val="18"/>
                <w:szCs w:val="18"/>
                <w:color w:val="auto"/>
              </w:rPr>
              <w:t>Cost of product sales (excluding amortization of acquired developed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80"/>
              <w:spacing w:after="0"/>
              <w:rPr>
                <w:sz w:val="20"/>
                <w:szCs w:val="20"/>
                <w:color w:val="auto"/>
              </w:rPr>
            </w:pPr>
            <w:r>
              <w:rPr>
                <w:rFonts w:ascii="Arial" w:cs="Arial" w:eastAsia="Arial" w:hAnsi="Arial"/>
                <w:sz w:val="18"/>
                <w:szCs w:val="18"/>
                <w:color w:val="auto"/>
              </w:rPr>
              <w:t>technologies)</w:t>
            </w:r>
          </w:p>
        </w:tc>
        <w:tc>
          <w:tcPr>
            <w:tcW w:w="40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78,425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13,559</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68,996</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14,120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37"/>
        </w:trPr>
        <w:tc>
          <w:tcPr>
            <w:tcW w:w="612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388,135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144,446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115,992</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57,789</w:t>
            </w:r>
          </w:p>
        </w:tc>
        <w:tc>
          <w:tcPr>
            <w:tcW w:w="0" w:type="dxa"/>
            <w:vAlign w:val="bottom"/>
          </w:tcPr>
          <w:p>
            <w:pPr>
              <w:spacing w:after="0"/>
              <w:rPr>
                <w:sz w:val="1"/>
                <w:szCs w:val="1"/>
                <w:color w:val="auto"/>
              </w:rPr>
            </w:pPr>
          </w:p>
        </w:tc>
      </w:tr>
      <w:tr>
        <w:trPr>
          <w:trHeight w:val="229"/>
        </w:trPr>
        <w:tc>
          <w:tcPr>
            <w:tcW w:w="6120" w:type="dxa"/>
            <w:vAlign w:val="bottom"/>
          </w:tcPr>
          <w:p>
            <w:pPr>
              <w:ind w:left="280"/>
              <w:spacing w:after="0"/>
              <w:rPr>
                <w:sz w:val="20"/>
                <w:szCs w:val="20"/>
                <w:color w:val="auto"/>
              </w:rPr>
            </w:pPr>
            <w:r>
              <w:rPr>
                <w:rFonts w:ascii="Arial" w:cs="Arial" w:eastAsia="Arial" w:hAnsi="Arial"/>
                <w:sz w:val="18"/>
                <w:szCs w:val="18"/>
                <w:color w:val="auto"/>
                <w:w w:val="95"/>
              </w:rPr>
              <w:t>Interest expense, net (including $570 for the year ended December 31, 2010</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80"/>
              <w:spacing w:after="0"/>
              <w:rPr>
                <w:sz w:val="20"/>
                <w:szCs w:val="20"/>
                <w:color w:val="auto"/>
              </w:rPr>
            </w:pPr>
            <w:r>
              <w:rPr>
                <w:rFonts w:ascii="Arial" w:cs="Arial" w:eastAsia="Arial" w:hAnsi="Arial"/>
                <w:sz w:val="18"/>
                <w:szCs w:val="18"/>
                <w:color w:val="auto"/>
              </w:rPr>
              <w:t>pertaining to a related party)</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loss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tcPr>
          <w:p>
            <w:pPr>
              <w:ind w:left="280"/>
              <w:spacing w:after="0"/>
              <w:rPr>
                <w:sz w:val="20"/>
                <w:szCs w:val="20"/>
                <w:color w:val="auto"/>
              </w:rPr>
            </w:pPr>
            <w:r>
              <w:rPr>
                <w:rFonts w:ascii="Arial" w:cs="Arial" w:eastAsia="Arial" w:hAnsi="Arial"/>
                <w:sz w:val="18"/>
                <w:szCs w:val="18"/>
                <w:color w:val="auto"/>
              </w:rPr>
              <w:t>Loss on extinguishment of debt (including $701 for the year ended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80"/>
              <w:spacing w:after="0"/>
              <w:rPr>
                <w:sz w:val="20"/>
                <w:szCs w:val="20"/>
                <w:color w:val="auto"/>
              </w:rPr>
            </w:pPr>
            <w:r>
              <w:rPr>
                <w:rFonts w:ascii="Arial" w:cs="Arial" w:eastAsia="Arial" w:hAnsi="Arial"/>
                <w:sz w:val="18"/>
                <w:szCs w:val="18"/>
                <w:color w:val="auto"/>
              </w:rPr>
              <w:t>December 31, 2010 pertaining to a related party)</w:t>
            </w:r>
          </w:p>
        </w:tc>
        <w:tc>
          <w:tcPr>
            <w:tcW w:w="4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benefit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261,149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taxes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124,984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per ordinary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ordinary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ordinary shares used in per share computations: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36,343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60,195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39,411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20"/>
          </w:cols>
          <w:pgMar w:left="24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1380" w:right="1840"/>
        <w:spacing w:after="0" w:line="275" w:lineRule="auto"/>
        <w:rPr>
          <w:sz w:val="20"/>
          <w:szCs w:val="20"/>
          <w:color w:val="auto"/>
        </w:rPr>
      </w:pPr>
      <w:r>
        <w:rPr>
          <w:rFonts w:ascii="Arial" w:cs="Arial" w:eastAsia="Arial" w:hAnsi="Arial"/>
          <w:sz w:val="18"/>
          <w:szCs w:val="18"/>
          <w:b w:val="1"/>
          <w:bCs w:val="1"/>
          <w:color w:val="auto"/>
        </w:rPr>
        <w:t>JAZZ PHARMACEUTICALS PLC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49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288,586</w:t>
            </w:r>
          </w:p>
        </w:tc>
        <w:tc>
          <w:tcPr>
            <w:tcW w:w="460" w:type="dxa"/>
            <w:vAlign w:val="bottom"/>
            <w:tcBorders>
              <w:bottom w:val="single" w:sz="8" w:color="CCEEFF"/>
            </w:tcBorders>
            <w:gridSpan w:val="5"/>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Available-for-sale securities:</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Net unrealized gain (loss) on available-for-sale securities, net</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 income taxes</w:t>
            </w: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40" w:type="dxa"/>
            <w:vAlign w:val="bottom"/>
          </w:tcPr>
          <w:p>
            <w:pPr>
              <w:ind w:left="380"/>
              <w:spacing w:after="0"/>
              <w:rPr>
                <w:sz w:val="20"/>
                <w:szCs w:val="20"/>
                <w:color w:val="auto"/>
              </w:rPr>
            </w:pPr>
            <w:r>
              <w:rPr>
                <w:rFonts w:ascii="Arial" w:cs="Arial" w:eastAsia="Arial" w:hAnsi="Arial"/>
                <w:sz w:val="18"/>
                <w:szCs w:val="18"/>
                <w:color w:val="auto"/>
                <w:w w:val="96"/>
              </w:rPr>
              <w:t>Reclassification adjustments for gains included in earnings,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940" w:type="dxa"/>
            <w:vAlign w:val="bottom"/>
          </w:tcPr>
          <w:p>
            <w:pPr>
              <w:ind w:left="380"/>
              <w:spacing w:after="0"/>
              <w:rPr>
                <w:sz w:val="20"/>
                <w:szCs w:val="20"/>
                <w:color w:val="auto"/>
              </w:rPr>
            </w:pPr>
            <w:r>
              <w:rPr>
                <w:rFonts w:ascii="Arial" w:cs="Arial" w:eastAsia="Arial" w:hAnsi="Arial"/>
                <w:sz w:val="18"/>
                <w:szCs w:val="18"/>
                <w:color w:val="auto"/>
              </w:rPr>
              <w:t>net of income taxes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31,077</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319,663</w:t>
            </w:r>
          </w:p>
        </w:tc>
        <w:tc>
          <w:tcPr>
            <w:tcW w:w="2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124,953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32,778</w:t>
            </w:r>
          </w:p>
        </w:tc>
      </w:tr>
      <w:tr>
        <w:trPr>
          <w:trHeight w:val="27"/>
        </w:trPr>
        <w:tc>
          <w:tcPr>
            <w:tcW w:w="49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6"/>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arises from:</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292,226</w:t>
            </w:r>
          </w:p>
        </w:tc>
        <w:tc>
          <w:tcPr>
            <w:tcW w:w="46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124,953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32,778</w:t>
            </w: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27,437</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319,663</w:t>
            </w:r>
          </w:p>
        </w:tc>
        <w:tc>
          <w:tcPr>
            <w:tcW w:w="60" w:type="dxa"/>
            <w:vAlign w:val="bottom"/>
            <w:tcBorders>
              <w:top w:val="single" w:sz="8" w:color="auto"/>
            </w:tcBorders>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32,778</w:t>
            </w:r>
          </w:p>
        </w:tc>
      </w:tr>
      <w:tr>
        <w:trPr>
          <w:trHeight w:val="27"/>
        </w:trPr>
        <w:tc>
          <w:tcPr>
            <w:tcW w:w="4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280"/>
          </w:cols>
          <w:pgMar w:left="240" w:top="125" w:right="137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0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Ordinary Shares</w:t>
            </w:r>
          </w:p>
        </w:tc>
        <w:tc>
          <w:tcPr>
            <w:tcW w:w="1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Non-voting Euro Deferred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2080" w:type="dxa"/>
            <w:vAlign w:val="bottom"/>
            <w:gridSpan w:val="5"/>
            <w:vMerge w:val="continue"/>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Capital</w:t>
            </w:r>
          </w:p>
        </w:tc>
        <w:tc>
          <w:tcPr>
            <w:tcW w:w="11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Compre-</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108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Redemp-tion</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5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1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w:t>
            </w: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2009</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31,255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   434,811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(507,644)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(72,830)</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Stock issuable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directors deferred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compensation plan</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exercise of stock</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3,682</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with vesting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stock under employee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purchase plan</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with offering, net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issuance costs</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56,816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56,817</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exercise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Stock-based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7,997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7,997</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and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comprehensive income</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32,778</w:t>
            </w:r>
          </w:p>
        </w:tc>
        <w:tc>
          <w:tcPr>
            <w:tcW w:w="0" w:type="dxa"/>
            <w:vAlign w:val="bottom"/>
          </w:tcPr>
          <w:p>
            <w:pPr>
              <w:spacing w:after="0"/>
              <w:rPr>
                <w:sz w:val="1"/>
                <w:szCs w:val="1"/>
                <w:color w:val="auto"/>
              </w:rPr>
            </w:pPr>
          </w:p>
        </w:tc>
      </w:tr>
      <w:tr>
        <w:trPr>
          <w:trHeight w:val="196"/>
        </w:trPr>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Balance at</w:t>
            </w: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tcPr>
          <w:p>
            <w:pPr>
              <w:ind w:left="20"/>
              <w:spacing w:after="0"/>
              <w:rPr>
                <w:sz w:val="20"/>
                <w:szCs w:val="20"/>
                <w:color w:val="auto"/>
              </w:rPr>
            </w:pPr>
            <w:r>
              <w:rPr>
                <w:rFonts w:ascii="Arial" w:cs="Arial" w:eastAsia="Arial" w:hAnsi="Arial"/>
                <w:sz w:val="16"/>
                <w:szCs w:val="16"/>
                <w:b w:val="1"/>
                <w:bCs w:val="1"/>
                <w:color w:val="auto"/>
              </w:rPr>
              <w:t>December 31, 2010</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39,959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505,413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30,551</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issued/issuable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 directors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deferred compensation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rPr>
              <w:t>with exercise of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options</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12,214</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vesting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stock units</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Arial" w:cs="Arial" w:eastAsia="Arial" w:hAnsi="Arial"/>
                <w:sz w:val="16"/>
                <w:szCs w:val="16"/>
                <w:color w:val="auto"/>
                <w:w w:val="98"/>
              </w:rPr>
              <w:t>stock under employee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stock purchase plan</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in conjunction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 exercise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6"/>
                <w:szCs w:val="16"/>
                <w:color w:val="auto"/>
              </w:rPr>
              <w:t>Stock-based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20,497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20,497</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1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124,984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124,984</w:t>
            </w:r>
          </w:p>
        </w:tc>
        <w:tc>
          <w:tcPr>
            <w:tcW w:w="0" w:type="dxa"/>
            <w:vAlign w:val="bottom"/>
          </w:tcPr>
          <w:p>
            <w:pPr>
              <w:spacing w:after="0"/>
              <w:rPr>
                <w:sz w:val="1"/>
                <w:szCs w:val="1"/>
                <w:color w:val="auto"/>
              </w:rPr>
            </w:pPr>
          </w:p>
        </w:tc>
      </w:tr>
      <w:tr>
        <w:trPr>
          <w:trHeight w:val="33"/>
        </w:trPr>
        <w:tc>
          <w:tcPr>
            <w:tcW w:w="1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2011</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42,468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542,697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192,788</w:t>
            </w:r>
          </w:p>
        </w:tc>
        <w:tc>
          <w:tcPr>
            <w:tcW w:w="0" w:type="dxa"/>
            <w:vAlign w:val="bottom"/>
          </w:tcPr>
          <w:p>
            <w:pPr>
              <w:spacing w:after="0"/>
              <w:rPr>
                <w:sz w:val="1"/>
                <w:szCs w:val="1"/>
                <w:color w:val="auto"/>
              </w:rPr>
            </w:pPr>
          </w:p>
        </w:tc>
      </w:tr>
      <w:tr>
        <w:trPr>
          <w:trHeight w:val="33"/>
        </w:trPr>
        <w:tc>
          <w:tcPr>
            <w:tcW w:w="1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840" w:gutter="0" w:footer="0" w:header="0"/>
        </w:sectPr>
      </w:pP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320"/>
          </w:cols>
          <w:pgMar w:left="240" w:top="125" w:right="339" w:bottom="8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SHAREHOLDERS’ EQUITY—(Continued)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8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Ordinary Shares</w:t>
            </w:r>
          </w:p>
        </w:tc>
        <w:tc>
          <w:tcPr>
            <w:tcW w:w="18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Non-voting Euro Deferred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lated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860" w:type="dxa"/>
            <w:vAlign w:val="bottom"/>
            <w:gridSpan w:val="5"/>
            <w:vMerge w:val="continue"/>
          </w:tcPr>
          <w:p>
            <w:pPr>
              <w:spacing w:after="0"/>
              <w:rPr>
                <w:sz w:val="13"/>
                <w:szCs w:val="13"/>
                <w:color w:val="auto"/>
              </w:rPr>
            </w:pPr>
          </w:p>
        </w:tc>
        <w:tc>
          <w:tcPr>
            <w:tcW w:w="188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Compre-</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0"/>
                <w:szCs w:val="10"/>
                <w:color w:val="auto"/>
              </w:rPr>
            </w:pPr>
          </w:p>
        </w:tc>
        <w:tc>
          <w:tcPr>
            <w:tcW w:w="1080" w:type="dxa"/>
            <w:vAlign w:val="bottom"/>
          </w:tcPr>
          <w:p>
            <w:pPr>
              <w:jc w:val="center"/>
              <w:ind w:right="81"/>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Redemp-tion</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hensive</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Reserve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2"/>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4"/>
              </w:rPr>
              <w:t>Balance at December 31,</w:t>
            </w: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2011</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42,468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542,697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(349,882)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192,788</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w w:val="98"/>
              </w:rPr>
              <w:t>Merger with Azur Pharma</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575,936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576,464</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costs related to</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Azur Merger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Shares issued under</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directors deferred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compensation plan</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Issuance of ordinary shares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 conjunction with</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14,212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14,212</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0"/>
              </w:rPr>
              <w:t>Issuance of ordinary shares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under employee 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purchase plan</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3,707</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withheld for</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 of employee's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 tax liability</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(25,299)</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0"/>
              </w:rPr>
              <w:t>Issuance of ordinary shares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tcPr>
          <w:p>
            <w:pPr>
              <w:ind w:left="40"/>
              <w:spacing w:after="0"/>
              <w:rPr>
                <w:sz w:val="20"/>
                <w:szCs w:val="20"/>
                <w:color w:val="auto"/>
              </w:rPr>
            </w:pPr>
            <w:r>
              <w:rPr>
                <w:rFonts w:ascii="Arial" w:cs="Arial" w:eastAsia="Arial" w:hAnsi="Arial"/>
                <w:sz w:val="16"/>
                <w:szCs w:val="16"/>
                <w:color w:val="auto"/>
              </w:rPr>
              <w:t>in conjunction with</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exercise of warrants</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7,084</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Share-based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23,129</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Excess tax benefits from</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employee share options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9,785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31,077</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288,586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288,586</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4"/>
              </w:rPr>
              <w:t>Balance at December 31,</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58,014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ind w:left="40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1,151,010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31,046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(61,296)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1,121,292</w:t>
            </w: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2012</w:t>
            </w: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2010</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288,586</w:t>
            </w:r>
          </w:p>
        </w:tc>
        <w:tc>
          <w:tcPr>
            <w:tcW w:w="12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32,778</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72,922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7,825</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accounting inventory fair value step-up</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Gain on sale of business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losses on accounts receivable and inventory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Other non-cash transactions</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2,406</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12,287</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9,276</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(2,540)</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Liability under government settlement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(2,506)</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58,868</w:t>
            </w:r>
          </w:p>
        </w:tc>
      </w:tr>
      <w:tr>
        <w:trPr>
          <w:trHeight w:val="22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sale of business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Proceeds from sale of marketable securities</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81,246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product rights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2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debt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48,427</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w w:val="92"/>
              </w:rPr>
              <w:t>Proceeds from employee share purchases, exercise of share options and warrants</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16,419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5,591</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Payment of employee withholding taxes upon exercise of share-based awards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Repayment of long-term debt (including $6,816 for the year ended December 31,</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2010 paid to a related party)</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(127,828)</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Payments of debt extinguishment costs (including $484 for the year ended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December 31, 2010 paid to a related party)</w:t>
            </w:r>
          </w:p>
        </w:tc>
        <w:tc>
          <w:tcPr>
            <w:tcW w:w="4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(8,484)</w:t>
            </w: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offerings of common stock, net of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56,817</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Net repayments under revolving credit facility</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(2,049)</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448,530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305,120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44,794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15,595</w:t>
            </w: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387,196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9019"/>
          </w:cols>
          <w:pgMar w:left="1440" w:top="368" w:right="1440"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JAZZ PHARMACEUTICALS PLC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Cash paid for interest (including $461 for the year ended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020" w:type="dxa"/>
            <w:vAlign w:val="bottom"/>
          </w:tcPr>
          <w:p>
            <w:pPr>
              <w:ind w:left="160"/>
              <w:spacing w:after="0"/>
              <w:rPr>
                <w:sz w:val="20"/>
                <w:szCs w:val="20"/>
                <w:color w:val="auto"/>
              </w:rPr>
            </w:pPr>
            <w:r>
              <w:rPr>
                <w:rFonts w:ascii="Arial" w:cs="Arial" w:eastAsia="Arial" w:hAnsi="Arial"/>
                <w:sz w:val="18"/>
                <w:szCs w:val="18"/>
                <w:color w:val="auto"/>
              </w:rPr>
              <w:t>December 31, 2010 paid to a related party)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14,192</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10,234</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Non-cash investing activities: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 consideration for Azur Merger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576,464</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consolidated statements of cash flows include the activities of discontinued operations.</w:t>
      </w:r>
    </w:p>
    <w:p>
      <w:pPr>
        <w:spacing w:after="0" w:line="23"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0320"/>
          </w:cols>
          <w:pgMar w:left="240" w:top="125" w:right="1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Jazz Pharmaceuticals plc, a public limited company formed under the laws of Ireland, is a specialty biopharmaceutical company focused on improving patients’ lives by identifying, developing and commercializing products that address unmet medical needs. Our strategy is to continue to create shareholder value by:</w:t>
      </w:r>
    </w:p>
    <w:p>
      <w:pPr>
        <w:spacing w:after="0" w:line="46" w:lineRule="exact"/>
        <w:rPr>
          <w:sz w:val="20"/>
          <w:szCs w:val="20"/>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Growing sales of the existing products in our portfolio, including by identifying new growth opportunities;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Acquiring additional marketed specialty products or products close to regulatory approval to leverage our existing expertise and infrastructure; and</w:t>
      </w:r>
    </w:p>
    <w:p>
      <w:pPr>
        <w:spacing w:after="0" w:line="113" w:lineRule="exact"/>
        <w:rPr>
          <w:rFonts w:ascii="Arial" w:cs="Arial" w:eastAsia="Arial" w:hAnsi="Arial"/>
          <w:sz w:val="16"/>
          <w:szCs w:val="16"/>
          <w:color w:val="auto"/>
        </w:rPr>
      </w:pPr>
    </w:p>
    <w:p>
      <w:pPr>
        <w:ind w:left="740" w:hanging="327"/>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Pursuing targeted development of a pipeline of post-discovery specialty product candidates.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January 18, 2012, the businesses of Jazz Pharmaceuticals, Inc. and Azur Pharma Public Limited Company, or Azur Pharma, were combined in a merger transaction, or the Azur Merger, accounted for as a reverse acquisition under the acquisition method of accounting for business combinations, with Jazz Pharmaceuticals, Inc. treated as the acquiring company for accounting purposes. As part of the Azur Merger, a wholly-owned subsidiary of Azur Pharma merged with and into Jazz Pharmaceuticals, Inc., with Jazz Pharmaceuticals, Inc. surviving the Azur Merger as a wholly-owned subsidiary of Jazz Pharmaceuticals plc. Prior to the Azur Merger, Azur Pharma changed its name to Jazz Pharmaceuticals plc. Upon the consummation of the Azur Merger, the historical financial statements of Jazz Pharmaceuticals, Inc. became our historical financial statements. Accordingly, the historical financial statements of Jazz Pharmaceuticals, Inc. only are included in the comparative prior periods. For additional information regarding the Azur Merger see Note 3.</w:t>
      </w:r>
    </w:p>
    <w:p>
      <w:pPr>
        <w:spacing w:after="0" w:line="113"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On June 12, 2012, we completed the acquisition of EUSA Pharma Inc., or EUSA Pharma, or the EUSA Acquisition. As part of the EUSA Acquisition, an indirect wholly-owned subsidiary of Jazz Pharmaceuticals plc merged with and into EUSA Pharma, with EUSA Pharma continuing as the surviving corporation and as an indirect wholly-owned subsidiary of Jazz Pharmaceuticals plc. For additional information regarding the EUSA Acquisition see Note 3.</w:t>
      </w:r>
    </w:p>
    <w:p>
      <w:pPr>
        <w:spacing w:after="0" w:line="93"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Unless otherwise indicated or the context otherwise requires, references to “Jazz Pharmaceuticals,” “the registrant,” “we,” “us,” and “our” refer to Jazz Pharmaceuticals plc and its consolidated subsidiaries, including its predecessor, Jazz Pharmaceuticals, Inc., except that all such references prior to the effective time of the Azur Merger on January 18, 2012 are references to Jazz Pharmaceuticals, Inc. and its consolidated subsidiaries. All references to “Azur Pharma” are references to Jazz Pharmaceuticals plc (f/k/a Azur Pharma Public Limited Company) and its consolidated subsidiaries prior to the effective time of the Azur Merger on January 18, 2012. The disclosures in this report relating to the pre-Azur Merger business of Jazz Pharmaceuticals plc, unless noted as being the business of Azur Pharma prior to the Azur Merger, pertain to the business of Jazz Pharmaceuticals, Inc. prior to the Azur Merger. All references to “EUSA Pharma” in this report are references to EUSA Pharma Inc. and its consolidated subsidiaries prior to the effective time of the EUSA Acquisition.</w:t>
      </w:r>
    </w:p>
    <w:p>
      <w:pPr>
        <w:spacing w:after="0" w:line="325" w:lineRule="exact"/>
        <w:rPr>
          <w:sz w:val="20"/>
          <w:szCs w:val="20"/>
          <w:color w:val="auto"/>
        </w:rPr>
      </w:pPr>
    </w:p>
    <w:p>
      <w:pPr>
        <w:ind w:left="220" w:right="7840" w:hanging="212"/>
        <w:spacing w:after="0" w:line="376" w:lineRule="auto"/>
        <w:tabs>
          <w:tab w:leader="none" w:pos="1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3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consolidated financial statements include the accounts of Jazz Pharmaceuticals plc and our wholly-owned subsidiaries and intercompany transactions and balances have been eliminated. The results of operations of the acquired Azur Pharma and EUSA Pharma businesses, along with the estimated fair values of the assets acquired and liabilities assumed in each transaction, are included in our consolidated financial statements since the effective dates of the Azur Merger and the EUSA Acquisition, respectively.</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71" w:lineRule="exact"/>
        <w:rPr>
          <w:sz w:val="20"/>
          <w:szCs w:val="20"/>
          <w:color w:val="auto"/>
        </w:rPr>
      </w:pPr>
    </w:p>
    <w:p>
      <w:pPr>
        <w:ind w:firstLine="432"/>
        <w:spacing w:after="0" w:line="254" w:lineRule="auto"/>
        <w:rPr>
          <w:sz w:val="20"/>
          <w:szCs w:val="20"/>
          <w:color w:val="auto"/>
        </w:rPr>
      </w:pPr>
      <w:r>
        <w:rPr>
          <w:rFonts w:ascii="Arial" w:cs="Arial" w:eastAsia="Arial" w:hAnsi="Arial"/>
          <w:sz w:val="17"/>
          <w:szCs w:val="17"/>
          <w:color w:val="auto"/>
        </w:rPr>
        <w:t>Our financial results are significantly influenced by sales of Xyrem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(sodium oxybate) oral solution, and maintaining or increasing sales of Xyrem in its approved indications is subject to a number of risks and uncertainties, including the potential introduction of generic competition, changed or increased regulatory restrictions, and continued acceptance of Xyrem as safe and effective by physicians and patients. Two abbreviated new drug applications, or ANDAs, have been filed with the United States Food and Drug Administration, or FDA, by third parties seeking to market generic versions of Xyrem. We have sued both third parties for infringement of our patents, and the litigation proceedings are ongoing. We cannot predict the timing or outcome of these proceedings. We expect that the approval or tentative approval of an ANDA resulting in the launch of a generic version of Xyrem would have a material adverse effect on our business, financial condition, results of operations and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growth prospects. In addition, we are continuing our work on various regulatory matters, including our work with the FDA on updated documents that we have submitted to the FDA on our Xyrem Risk Management Program. The updated documents are intended to conform to current formatting requirements for risk evaluation and mitigation strategies, or REMS, required by law, as well as to make other updates to the program and its documentation. We cannot predict the timing of finalization, or the final terms, of our updated REMS documents. The FDA may impose new requirements for certain elements that we have implemented in our Xyrem Risk Management Program, or require us to modify our current practices. Any such requirements, depending on their substance and the extent of modifications required, could make it more difficult or expensive for us to distribute Xyrem, make it easier for future generic competitors, and/or negatively affect sales of Xyrem.</w:t>
      </w:r>
    </w:p>
    <w:p>
      <w:pPr>
        <w:spacing w:after="0" w:line="1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addition to risks related specifically to Xyrem, we are subject to risks and uncertainties common to companies in the pharmaceutical industry with development and commercial operations, including: the challenges of protecting our intellectual property rights; the need to obtain appropriate pricing and reimbursement for our products in an increasingly challenging environment due to, among other things, the attention being paid to health care cost containment and other austerity measures in the United States and worldwide; the ongoing regulation and oversight by the FDA, the U.S. Drug Enforcement Administration, and non-U.S. regulatory agencies, including with respect to product labeling, requirements for distribution, obtaining sufficient DEA quotas where needed, marketing and promotional activities, adverse event reporting and product recalls or withdrawals; the challenges of achieving and maintaining commercial success of our products, such as obtaining sustained acceptance of our products by patients, physicians and payors; our dependence on sole source suppliers to continue to meet our ongoing commercial needs, especially when our supply demands are growing; and the difficulty and uncertainty of pharmaceutical product development and the uncertainty of clinical success and regulatory approval.</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consolidated financial statements include the operations of an acquired business after the completion of the acquisition. We account for acquired businesses using the acquisition method of accounting. The acquisition method of accounting for acquired businesses requires, among other things, that assets acquired and liabilities assumed be recognized at their estimated fair values as of the acquisition date, with limited exceptions, and that the fair value of acquired in-process research and development, or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equivalents and marketable securities.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marketable securities and issuers of investments to the extent recorded on the balance sheet.</w:t>
      </w:r>
    </w:p>
    <w:p>
      <w:pPr>
        <w:spacing w:after="0" w:line="13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are also subject to credit risk from our accounts receivable related to our product sales. We monitor our exposure within accounts receivable and record a reserve against uncollectible accounts receivable as necessary. We extend credit to hospitals, pharmaceutical wholesale distributors and specialty pharmaceutical distribution companies, primarily in the United States, and to other international distributors. Customer creditworthiness is monitored and collateral is not required. We monitor deteriorating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we do not expect to have write-offs or adjustments to accounts receivable which would have a material adverse effect on our financial position, liquidity or results of operations. As of December 31, 2012, five customers accounted for 78% of gross accounts receivable including Express Scripts Specialty Distribution Services, Inc. and its affiliate CuraScript, Inc., or Express Scripts, which accounted for 51% of gross accounts receivable and Accredo Health Group, Inc. which accounted for 11% of gross accounts receivable. As of December 31, 2011, Express Scripts accounted for 79% of gross accounts receivable.</w:t>
      </w:r>
    </w:p>
    <w:p>
      <w:pPr>
        <w:spacing w:after="0" w:line="124"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We rely on certain sole suppliers for drug substance and certain sole manufacturing partners for certain of our marketed products and product candidates.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90"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We consider all highly liquid investments, readily convertible to cash, that mature within three months or less from date of purchase to be cash equivalents.</w:t>
      </w:r>
    </w:p>
    <w:p>
      <w:pPr>
        <w:spacing w:after="0" w:line="3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Marketable securities are investments in debt securities with maturities of less than one year from the balance sheet date, or securities with maturities of greater than one year that are specifically identified to fund current operations. Collectively, cash equivalents, restricted cash and marketable securities are considered available-for-sale and are recorded at fair value. Unrealized gains and losses, net of tax, are recorded in accumulated other comprehensive income (loss) in shareholders’ equity. We use the specific-identification method for calculating realized gains and losses on securities sold. Realized gains and losses and declines in value judged to be other than temporary on marketable securities are included in interest expense, net in the consolidated statements of income. Realized gains and losses on sales of marketable securities have not been significant.</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Inventories are valued at the lower of cost or market.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the estimate of future demand is too high, we may have to increase the reserve for excess inventory for that product and record a charge to cost of product sales.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clinical trial. Prior to receiving FDA approval, costs related to purchases of the active pharmaceutical ingredient and the manufacturing of the product candidate are recorded as research and development expense. All direct manufacturing costs incurred after approval are capitalized into inventory. As of December 31, 2012, the fair value of inventories acquired included a step-up in the value of inventories of $4.0 million.</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which range from three to 10 years. Leasehold improvements are amortized over the shorter of the noncancelable term of our operating lease or their economic useful lives. Maintenance and repairs are expensed as incurred.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The annual test for goodwill impairment is a two-step process. The first step is a comparison of the fair value of the reporting unit with its carrying amount, including goodwill. If this step indicates impairment, then in the second step, the loss is measured as the excess of recorded goodwill over its implied fair value. Implied fair value is the excess of the fair value of the reporting unit over the fair value of all identified assets and liabilities. We test goodwill for impairment annually in October and when events or changes in circumstances indicate that the carrying value may not be recoverable.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Intangible assets with finite useful lives consist primarily of purchased developed technology and are amortized on a straight-line basis over their estimated useful lives, which range from two to 15 years. The estimated useful lives associated with finite-lived intangible assets are consistent with the estimated lives of the associated products and may be modified when circumstances warrant. Intangible assets with finite lives are reviewed for impairment when events or circumstances indicate that the carrying value of an asset may not be recoverable. An impairment loss would be recognized when estimated undiscounted future cash flows expected to result from the use of the asset and its eventual disposition are less than its carrying amount. The amount of any impairment is measured as the difference between the carrying value and the fair value of the impaired asset.</w:t>
      </w:r>
    </w:p>
    <w:p>
      <w:pPr>
        <w:spacing w:after="0" w:line="43"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fair value of IPR&amp;D acquired through a business combination is capitalized as an indefinite-lived intangible asset until the completion or abandonment of the related research and development activities. IPR&amp;D is not amortized but is tested for impairment annually or when events or circumstances indicate that the fair value may be below the carrying value of the asset. If and when development is complete, which generally occurs when regulatory approval to market a product is obtained, the associated assets would be deemed finite-lived and would then be amortized over their estimated useful lives.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Revenues are recognized when there is persuasive evidence that an arrangement exists, delivery has occurred, the price is fixed and determinable and collection is reasonably assured.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Sales, Net</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Product sales revenue is recognized when title has transferred to the customer and the customer has assumed the risks and rewards of ownership, which is typically on delivery to the customer or, in the case of products that are subject to consignment agreements, when the customer removes product from our consigned inventory location for shipment directly to a patient.</w:t>
      </w:r>
    </w:p>
    <w:p>
      <w:pPr>
        <w:spacing w:after="0" w:line="4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Revenue from sales transactions where the buyer has the right to return the product is recognized at the time of sale only if (i) the seller’s price to the buyer is substantially fixed or determinable at the date of sale, (ii) the buyer has paid the seller, or the buyer is obligated to pay the seller and the obligation is not contingent on resale of the product, (iii) the buyer’s obligation to the seller would not be changed in the event of theft or physical destruction or damage of the product, (iv) the buyer acquiring the product for resale has economic substance apart from that provided by the seller, (v) the seller does not have significant obligations for future performance to directly bring about resale of the product by the buyer, and (vi) the amount of future returns can be reasonably estimated.</w:t>
      </w:r>
    </w:p>
    <w:p>
      <w:pPr>
        <w:spacing w:after="0" w:line="13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Revenues from sales of products are recorded net of estimated allowances for returns, specialty distributor fees, wholesaler fees, prompt payment discounts, government rebates, government chargebacks, coupon programs and rebates under managed care plans. Provisions for returns, specialty distributor fees, wholesaler fees, government rebates, coupon programs and rebates under managed care plans are included within current liabilities in our consolidated balance sheets. Provisions for government chargebacks and prompt payment discounts are shown as a reduction in accounts receivable. Calculating certain of these items involves estimates and judgments based on sales or invoice data, contractual terms, historical utilization rates, new information regarding changes in these programs’ regulations and guidelines that would impact the amount of the actual rebates, our expectations regarding future utilization rates for these programs and channel inventory data. Adjustments to estimates for these allowances have not been material.</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Royalties and Contract Revenues</w:t>
      </w:r>
    </w:p>
    <w:p>
      <w:pPr>
        <w:spacing w:after="0" w:line="90"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We receive royalties from third parties based on sales of our products under licensing and distribution arrangements. For those arrangements where royalties are reasonably estimable, we recognize revenues based on estimates of royalties earned during the applicable period, and adjust for differences between the estimated and actual royalties in the following quarter. Historically, these adjustments have not been significant.</w:t>
      </w:r>
    </w:p>
    <w:p>
      <w:pPr>
        <w:spacing w:after="0" w:line="93"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contract revenues consist of fees and milestone payments. Non-refundable fees where we have no continuing performance obligations are recognized as revenues when there is persuasive evidence of an arrangement and collection is reasonably assured. In situations where we have continuing performance obligations, non-refundable fees are deferred and are recognized ratably over our projected performance period. We recognize at-risk milestone payments, which are typically related to regulatory, commercial or other achievements by us or our licensees and distributors, as revenues when the milestone is accomplished and collection is reasonably assured. Sales-based milestone payments are typically payments made to us that are triggered when aggregate net sales of a product by a collaborator for a specified period (for example, an annual period) reach an agreed upon threshold amount. We recognize sales-based milestone payments from a collaborator when the event which triggers the obligation of payment has occurred, there is no further obligation on our part in connection with the payment, and collection is reasonably assured. Refundable fees are deferred and recognized as revenues upon the later of when they become nonrefundable or when our performance obligations are completed.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Cost of product sales includes third party manufacturing and distribution costs, the cost of drug substance, royalties due to third parties on product sales, product liability and cargo insurance, FDA user fees, freight, shipping, handling and storage costs and salaries and related costs of employees involved with production. Cost of product sales in 2012 included $16.8 million of inventory costs associated with the fair value step-up in acquired inventory. Excluded from cost of product sales, as shown on the consolidated statements of income, is amortization of acquired developed technology of $65.1 million for 2012 and $7.2 million during each of 2011 and 2010.</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Research and development expenses consist primarily of personnel expenses, costs related to clinical studies and outside services, and other research and development costs. Personnel expenses relate primarily to salaries, benefits and share-based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compensation. Clinical study and outside services costs relate primarily to clinical studies performed by clinical research organizations, materials and supplies, and other third-party fees. Other research and development expenses primarily include overhead allocations consisting of various support and facilities-related costs. Research and development costs are expensed as incurred, including payments made under license agreements. For product candidates that have not been approved by the FDA, inventory used in clinical trials is expensed at the time of production and recorded as research and development expense. For products that have been approved by the FDA, inventory used in clinical trials is expensed at the time the inventory is packaged for the trial and therefore is not included in inventory.</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for 2012, 2011 and 2010 were $0.7 million, $1.0 million and $1.6 million, respectively.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when it is more-likely-than-not that some portion or all of a deferred tax asset will not be realized. We account for uncertain tax positions using a “more-likely-than-not” threshold for recognizing and resolving uncertain tax positions. A recognized tax position is then measured at the largest amount of benefit that is greater than fifty percent likely of being realized upon settlement. Interest and penalties related to uncertain tax positions are included in the income tax provision (benefit) and classified with the related liability on the consolidated balance sheets.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average exchange rate for the reporting period. The cumulative foreign currency translation adjustment is recorded as a component of accumulated other comprehensive income (loss) in shareholders’ equity.</w:t>
      </w:r>
    </w:p>
    <w:p>
      <w:pPr>
        <w:spacing w:after="0" w:line="13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of the relevant subsidiary at the rate of exchange prevailing at the date of the transaction. Any monetary assets and liabilities arising from these transactions are translated into the relevant functional currency at exchange rates prevailing at the balance sheet date or on settlement. Resulting gains and losses are recorded in foreign currency loss in the our consolidated statements of income.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Deferred financing costs are reported at cost, less accumulated amortization and the related amortization expense is included in interest expense, net in our consolidated statements of income. The carrying amount of debt includes any related unamortized original issue discount.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and disclosures reported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per Ordinary Share</w:t>
      </w:r>
    </w:p>
    <w:p>
      <w:pPr>
        <w:spacing w:after="0" w:line="9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Basic net income per ordinary share is based on the weighted-average number of ordinary shares outstanding. Diluted net income per ordinary share is based on the weighted-average number of ordinary shares outstanding and potentially dilutive ordinary shares outstanding. Basic and diluted net income per ordinary share were computed as follows (in thousands,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2010</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261,149</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32,778</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288,586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32,778</w:t>
            </w: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Weighted-average ordinary shares - basic</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56,643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41,499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36,343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employee equity incentive and purchase plans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Dilutive effect of warrants</w:t>
            </w:r>
          </w:p>
        </w:tc>
        <w:tc>
          <w:tcPr>
            <w:tcW w:w="4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1,348</w:t>
            </w:r>
          </w:p>
        </w:tc>
      </w:tr>
      <w:tr>
        <w:trPr>
          <w:trHeight w:val="27"/>
        </w:trPr>
        <w:tc>
          <w:tcPr>
            <w:tcW w:w="6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ordinary shares - diluted</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39,411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ordinary share: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0.90</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0.90</w:t>
            </w: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ordinary share:</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0.83</w:t>
            </w: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0.83</w:t>
            </w:r>
          </w:p>
        </w:tc>
      </w:tr>
      <w:tr>
        <w:trPr>
          <w:trHeight w:val="27"/>
        </w:trPr>
        <w:tc>
          <w:tcPr>
            <w:tcW w:w="6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Potentially dilutive ordinary shares from employee equity plans and warrants are determined by applying the treasury stock method to the assumed exercise of warrants and share options, the assumed vesting of outstanding restricted stock units, or RSUs, and the assumed issuance of ordinary shares under our employee stock purchase plan. The following table represents the weighted-average ordinary shares that were excluded from the computation of diluted net income per ordinary share for the periods presented because including them would have an anti-dilutive effect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2010</w:t>
            </w: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ordinary shares and RSUs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1,506</w:t>
            </w:r>
          </w:p>
        </w:tc>
        <w:tc>
          <w:tcPr>
            <w:tcW w:w="1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3,211</w:t>
            </w:r>
          </w:p>
        </w:tc>
      </w:tr>
      <w:tr>
        <w:trPr>
          <w:trHeight w:val="27"/>
        </w:trPr>
        <w:tc>
          <w:tcPr>
            <w:tcW w:w="6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All references to “ordinary shares” in the discussion and tables above refer to Jazz Pharmaceuticals, Inc.’s common stock with respect to the comparative prior year periods and to Jazz Pharmaceuticals plc’s ordinary shares with respect to the year ended December 31, 2012. Our earnings per share in the comparative prior year periods were not impacted by the Azur Merger since each share of Jazz Pharmaceuticals, Inc. common stock issued and outstanding immediately prior to the effective time of the Azur Merger was canceled and automatically converted into and became the right to receive one ordinary share upon the consummation of the Azur Merger. This one-for-one conversion ratio is referred to in this report as the Azur exchange ratio.</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account for compensation cost for all share-based awards at fair value on the date of grant. The fair value is recognized as expense over the service period, net of estimated forfeitures, using the straight-line method for share options and restricted stock units and using the ratable method for awards under our employee stock purchase program.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February 2013, the Financial Accounting Standards Board, or the FASB, issued ASU No. 2013-02, “Other Comprehensive Income (Topic 220): Reporting of Amounts Reclassified Out of Accumulated Other Comprehensive Income,” or ASU No. 2013-02. ASU No. 2013-02 supersedes the presentation requirements for reclassifications out of accumulated other comprehensive income in ASUs 2011-05 and 2011-12 and requires an entity to provide additional information about reclassifications out of accumulated other comprehensive income. ASU No. 2013-02 became effective for us beginning January 1, 2013. The adoption of this amendment will not have a material impact on our results of operations or financial position.</w:t>
      </w:r>
    </w:p>
    <w:p>
      <w:pPr>
        <w:spacing w:after="0" w:line="3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July 2012, the FASB issued ASU No. 2012-02, “Intangibles - Goodwill and Other (Topic 350): Testing Indefinite-Lived Intangible Assets for Impairment,” or ASU No. 2012-02. ASU No. 2012-02 simplifies how an entity tests indefinite-lived intangible assets (other than goodwill) for impairment by providing entities with an option to perform a qualitative assessment to determine whether further impairment testing is necessary. An entity would continue to calculate the fair value of an indefinite-lived intangible asset if the asset fails the qualitative assessment, while no further analysis would be required if it passes. ASU No. 2012-02 is effective for annual and interim indefinite-lived intangible asset impairment tests performed for fiscal years beginning after September 15, 2012, and early adoption is permitted. The adoption of this amendment will not have a material impact on our results of operations or financial position.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Merger with Azur Pharma</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January 18, 2012, pursuant to an Agreement and Plan of Merger and Reorganization dated as of September 19, 2011, as amended, a wholly-owned subsidiary of Azur Pharma merged with and into Jazz Pharmaceuticals, Inc., with Jazz Pharmaceuticals, Inc. surviving the Azur Merger as a wholly-owned subsidiary of Jazz Pharmaceuticals plc. Prior to the Azur Merger, Azur Pharma changed its name to Jazz Pharmaceuticals plc. We believe the Azur Merger resulted in a company with a strengthened management team, a broader commercial organization and an efficient platform for further growth, with resources to build our product portfolio and a future pipeline.</w:t>
      </w:r>
    </w:p>
    <w:p>
      <w:pPr>
        <w:spacing w:after="0" w:line="13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At the effective time of the Azur Merger, each share of the common stock of Jazz Pharmaceuticals, Inc. issued and outstanding immediately prior to the effective time of the Azur Merger was canceled and automatically converted into and became the right to receive one ordinary share of Jazz Pharmaceuticals plc. Further, the stock options and stock awards outstanding under Jazz Pharmaceuticals, Inc.’s equity incentive plans were converted into stock options and stock awards to purchase or receive an equal number of ordinary shares of Jazz Pharmaceuticals plc with substantially the same terms and conditions, including the same per share exercise price. In addition, outstanding warrants to purchase Jazz Pharmaceuticals, Inc. common stock were converted into substantially the same warrants to purchase an equal number of ordinary shares of Jazz Pharmaceuticals plc at the same per share exercise price. Our ordinary shares trade on the same exchange, The NASDAQ Global Select Market, and under the same trading symbol, “JAZZ,” as the Jazz Pharmaceuticals, Inc. common stock prior to the Azur Merger. We are deemed to be the successor to Jazz Pharmaceuticals, Inc. pursuant to Rule 12g-3(a) under the Securities Exchange Act of 1934, as amended, or the Exchange Act.</w:t>
      </w:r>
    </w:p>
    <w:p>
      <w:pPr>
        <w:spacing w:after="0" w:line="12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Azur Merger was accounted for as a reverse acquisition under the acquisition method of accounting, with Jazz Pharmaceuticals, Inc. treated as the accounting acquirer. Under the acquisition method of accounting, assets and liabilities of Azur Pharma were recorded at their respective estimated fair values as of the date of the Azur Merger and added to those of Jazz Pharmaceuticals, Inc., including an amount for goodwill representing the difference between the acquisition consideration and the estimated fair value of the identifiable net assets. The results of operations of the acquired Azur Pharma business and the estimated fair values of the assets acquired and liabilities assumed have been included in our consolidated financial statements since the date of the Azur Merger.</w:t>
      </w:r>
    </w:p>
    <w:p>
      <w:pPr>
        <w:spacing w:after="0" w:line="13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total acquisition consideration of $576.5 million was determined based on the market value of our ordinary shares that were held by the historic Azur Pharma shareholders immediately following the closing of the Azur Merger. The closing price of the Jazz Pharmaceuticals, Inc. common stock on January 17, 2012 ($46.64) was used to determine the fair value of consideration because the closing of the transaction on January 18, 2012 occurred prior to the opening of regular trading on January 18, 2012. Immediately following the consummation of the Azur Merger, 12,360,000, or 22%, of our ordinary shares were held by the persons and entities who acquired ordinary shares of Azur Pharma prior to the Azur Merger, and the remaining 43,838,000, or 78%, of the ordinary shares were held by the former stockholders of Jazz Pharmaceuticals, Inc.</w:t>
      </w:r>
    </w:p>
    <w:p>
      <w:pPr>
        <w:spacing w:after="0" w:line="12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2012, we incurred $2.3 million in transaction costs related to the Azur Merger, which primarily consisted of banking, legal, accounting and valuation-related expenses. These expenses were recorded in selling, general and administrative expense in our consolidated statements of income. In 2012, the contribution of the acquired Azur Pharma business to our total revenues from continuing operations was $65.8 million. This excludes revenues of $20.9 million in 2012 related to our women’s health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business, which we sold in October 2012. For more details regarding this sale, see Note 19. The portion of total expenses and net income associated with the acquired Azur Pharma business was not separately identifiable due to the integration with our operations.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assets acquired and liabilities assumed at the closing date of the Azur Merger are summarized below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81,751</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Accounts receivable (1)</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15,344</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201,524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(52,148)</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product rights liability</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Above market lease obligation</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consideration</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576,464</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540" w:right="20" w:hanging="316"/>
        <w:spacing w:after="0" w:line="255"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estimated fair value of trade receivables acquired was $13.0 million. The gross contractual amount of trade receivables was $13.8 million and was recorded net of allowances for wholesaler chargebacks related to government rebate programs and cash discounts for prompt payment. We expect that $0.8 million of the gross contractual amount of trade receivables will be uncollectible.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intangible assets as of the closing date of the Azur Merger included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40"/>
              <w:spacing w:after="0"/>
              <w:rPr>
                <w:sz w:val="20"/>
                <w:szCs w:val="20"/>
                <w:color w:val="auto"/>
              </w:rPr>
            </w:pPr>
            <w:r>
              <w:rPr>
                <w:rFonts w:ascii="Arial" w:cs="Arial" w:eastAsia="Arial" w:hAnsi="Arial"/>
                <w:sz w:val="18"/>
                <w:szCs w:val="18"/>
                <w:color w:val="auto"/>
              </w:rPr>
              <w:t>Acquired developed technologies: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Prialt</w:t>
            </w:r>
            <w:r>
              <w:rPr>
                <w:rFonts w:ascii="Arial" w:cs="Arial" w:eastAsia="Arial" w:hAnsi="Arial"/>
                <w:sz w:val="25"/>
                <w:szCs w:val="25"/>
                <w:color w:val="auto"/>
                <w:vertAlign w:val="superscript"/>
              </w:rPr>
              <w: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231,000</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Women’s health products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49,000</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FazaClo HD</w:t>
            </w:r>
            <w:r>
              <w:rPr>
                <w:rFonts w:ascii="Arial" w:cs="Arial" w:eastAsia="Arial" w:hAnsi="Arial"/>
                <w:sz w:val="25"/>
                <w:szCs w:val="25"/>
                <w:color w:val="auto"/>
                <w:vertAlign w:val="superscript"/>
              </w:rPr>
              <w:t>®</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r>
      <w:tr>
        <w:trPr>
          <w:trHeight w:val="270"/>
        </w:trPr>
        <w:tc>
          <w:tcPr>
            <w:tcW w:w="9260" w:type="dxa"/>
            <w:vAlign w:val="bottom"/>
          </w:tcPr>
          <w:p>
            <w:pPr>
              <w:ind w:left="280"/>
              <w:spacing w:after="0" w:line="270" w:lineRule="exact"/>
              <w:rPr>
                <w:sz w:val="20"/>
                <w:szCs w:val="20"/>
                <w:color w:val="auto"/>
              </w:rPr>
            </w:pPr>
            <w:r>
              <w:rPr>
                <w:rFonts w:ascii="Arial" w:cs="Arial" w:eastAsia="Arial" w:hAnsi="Arial"/>
                <w:sz w:val="18"/>
                <w:szCs w:val="18"/>
                <w:color w:val="auto"/>
              </w:rPr>
              <w:t>FazaClo LD</w:t>
            </w:r>
            <w:r>
              <w:rPr>
                <w:rFonts w:ascii="Arial" w:cs="Arial" w:eastAsia="Arial" w:hAnsi="Arial"/>
                <w:sz w:val="25"/>
                <w:szCs w:val="25"/>
                <w:color w:val="auto"/>
                <w:vertAlign w:val="superscript"/>
              </w:rPr>
              <w:t>®</w:t>
            </w:r>
          </w:p>
        </w:tc>
        <w:tc>
          <w:tcPr>
            <w:tcW w:w="8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18,000</w:t>
            </w: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central nervous system products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37"/>
        </w:trPr>
        <w:tc>
          <w:tcPr>
            <w:tcW w:w="9260" w:type="dxa"/>
            <w:vAlign w:val="bottom"/>
          </w:tcPr>
          <w:p>
            <w:pPr>
              <w:ind w:left="380"/>
              <w:spacing w:after="0"/>
              <w:rPr>
                <w:sz w:val="20"/>
                <w:szCs w:val="20"/>
                <w:color w:val="auto"/>
              </w:rPr>
            </w:pPr>
            <w:r>
              <w:rPr>
                <w:rFonts w:ascii="Arial" w:cs="Arial" w:eastAsia="Arial" w:hAnsi="Arial"/>
                <w:sz w:val="18"/>
                <w:szCs w:val="18"/>
                <w:color w:val="auto"/>
              </w:rPr>
              <w:t>Total acquired developed technologies</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323,000</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92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Versacloz</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(clozapine, USP)</w:t>
            </w:r>
          </w:p>
        </w:tc>
        <w:tc>
          <w:tcPr>
            <w:tcW w:w="8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2,000</w:t>
            </w: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Intangible assets related to acquired developed technologies reflect the estimated fair value of the rights we acquired to those products in the Azur Merger. The fair value was determined using an income approach, which recognizes that the fair value of an asset is premised upon the expected receipt of future economic benefits such as earnings and cash inflows based on current sales projections and estimated direct costs for each product line. Indications of value are developed by discounting these benefits to their present worth at a discount rate that reflects the current return requirements of the market. Acquired developed technologies are finite-lived intangible assets and are being amortized over their estimated lives ranging from two to 15 years.</w:t>
      </w:r>
    </w:p>
    <w:p>
      <w:pPr>
        <w:spacing w:after="0" w:line="10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excess of the total acquisition consideration over the fair value amounts assigned to the assets acquired and the liabilities assumed represents the goodwill amount resulting from the Azur Merger. We believe that the factors that contributed to goodwill include synergies that are specific to our consolidated business and not available to market participants and the acquisition of a talented workforce that expands our expertise in business development and commercializing pharmaceutical products, as well as other intangible assets that do not qualify for separate recognition. We do not expect any portion of this goodwill to be deductible for tax purposes.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 of EUSA Pharma</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On June 12, 2012, pursuant to an Agreement and Plan of Merger dated as of April 26, 2012, or the EUSA Acquisition Agreement, an indirect wholly-owned subsidiary of Jazz Pharmaceuticals plc merged with and into EUSA Pharma, with EUSA Pharma continuing as the surviving corporation and as an indirect wholly-owned subsidiary of Jazz Pharmaceuticals plc. The EUSA Acquisition has contributed to our expanded portfolio of specialty pharmaceutical products and product candidates, including in particular, Erwinaze, as well as given us a strengthened management team and an enhanced commercial platform, adding EUSA Pharma’s specialty commercial infrastructure in the United States and Europe and its international distribution network to our existing U.S. specialty product platform.</w:t>
      </w:r>
    </w:p>
    <w:p>
      <w:pPr>
        <w:spacing w:after="0" w:line="13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EUSA Acquisition was accounted for using the acquisition method of accounting under which assets and liabilities of EUSA Pharma were recorded at their respective estimated fair values as of the date of the EUSA Acquisition and added to those of Jazz Pharmaceuticals plc including an amount for goodwill representing the difference between the acquisition consideration and the estimated fair value of the identifiable net assets. The results of operations of EUSA Pharma and the estimated fair values of the assets acquired and liabilities assumed have been included in our consolidated financial statements since the date of the EUSA Acquisition.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the closing of the EUSA Acquisition, we made an upfront cash payment of $678.4 million. Under the EUSA Acquisition Agreement, we also agreed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make an additional contingent payment of $50.0 million in cash if Erwinaze achieves U.S. net sales (as defined in the EUSA Acquisition Agreement)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$124.5 million or greater in 2013. $50.0 million of the amount paid at closing was deposited in an escrow account, to be held for 12 months as partial security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our indemnification rights under the EUSA Acquisition Agreement. </w:t>
      </w:r>
      <w:r>
        <w:rPr>
          <w:rFonts w:ascii="Arial" w:cs="Arial" w:eastAsia="Arial" w:hAnsi="Arial"/>
          <w:sz w:val="17"/>
          <w:szCs w:val="17"/>
          <w:color w:val="070707"/>
        </w:rPr>
        <w:t>In October 2012, we received a working capital adjustment of $</w:t>
      </w:r>
      <w:r>
        <w:rPr>
          <w:rFonts w:ascii="Arial" w:cs="Arial" w:eastAsia="Arial" w:hAnsi="Arial"/>
          <w:sz w:val="17"/>
          <w:szCs w:val="17"/>
          <w:color w:val="auto"/>
        </w:rPr>
        <w:t>2.3 million</w:t>
      </w:r>
      <w:r>
        <w:rPr>
          <w:rFonts w:ascii="Arial" w:cs="Arial" w:eastAsia="Arial" w:hAnsi="Arial"/>
          <w:sz w:val="17"/>
          <w:szCs w:val="17"/>
          <w:color w:val="070707"/>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070707"/>
        </w:rPr>
        <w:t>decreasing the escrow account balance to $</w:t>
      </w:r>
      <w:r>
        <w:rPr>
          <w:rFonts w:ascii="Arial" w:cs="Arial" w:eastAsia="Arial" w:hAnsi="Arial"/>
          <w:sz w:val="17"/>
          <w:szCs w:val="17"/>
          <w:color w:val="000000"/>
        </w:rPr>
        <w:t>47.7 million</w:t>
      </w:r>
      <w:r>
        <w:rPr>
          <w:rFonts w:ascii="Arial" w:cs="Arial" w:eastAsia="Arial" w:hAnsi="Arial"/>
          <w:sz w:val="17"/>
          <w:szCs w:val="17"/>
          <w:color w:val="070707"/>
        </w:rPr>
        <w:t xml:space="preserve">. </w:t>
      </w:r>
      <w:r>
        <w:rPr>
          <w:rFonts w:ascii="Arial" w:cs="Arial" w:eastAsia="Arial" w:hAnsi="Arial"/>
          <w:sz w:val="17"/>
          <w:szCs w:val="17"/>
          <w:color w:val="000000"/>
        </w:rPr>
        <w:t>$25.0 million of the potential contingent payment, if payable, would be subject to reduction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claims, if any, that are not fully satisfied by the funds in the escrow account. The initial estimate of fair value of the contingent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$35.1 million, which was recorded as a non-current liability and included in the total acquisition consideration as summarized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payment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54,117</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and other adjustments</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(25,719)</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Upfront payment in accordance with agreement</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678,398</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contingent consideration</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35,100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acquisition consideration</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713,498</w:t>
            </w:r>
          </w:p>
        </w:tc>
      </w:tr>
      <w:tr>
        <w:trPr>
          <w:trHeight w:val="27"/>
        </w:trPr>
        <w:tc>
          <w:tcPr>
            <w:tcW w:w="9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In 2012, we incurred $9.9 million in transaction costs related to the EUSA Acquisition, which primarily consisted of banking, legal, accounting and valuation-related expenses. These expenses were recorded in selling, general and administrative expense in our consolidated statements of income.</w:t>
      </w:r>
    </w:p>
    <w:p>
      <w:pPr>
        <w:spacing w:after="0" w:line="70"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In 2012, the contribution of the acquired EUSA Pharma business to our total revenues was $95.6 million as measured from the date of the EUSA Acquisition. The portion of total expenses and net income associated with the acquired EUSA Pharma business was not separately identifiable due to the integration with our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assets acquired and liabilities assumed at the closing date of the EUSA Acquisition are summarized below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54,117</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Accounts receivable (1)</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23,354</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36,360</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Prepaid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616,970</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206,452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(44,502)</w:t>
            </w:r>
          </w:p>
        </w:tc>
        <w:tc>
          <w:tcPr>
            <w:tcW w:w="0" w:type="dxa"/>
            <w:vAlign w:val="bottom"/>
          </w:tcPr>
          <w:p>
            <w:pPr>
              <w:spacing w:after="0"/>
              <w:rPr>
                <w:sz w:val="1"/>
                <w:szCs w:val="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7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(186,591)</w:t>
            </w:r>
          </w:p>
        </w:tc>
        <w:tc>
          <w:tcPr>
            <w:tcW w:w="0" w:type="dxa"/>
            <w:vAlign w:val="bottom"/>
          </w:tcPr>
          <w:p>
            <w:pPr>
              <w:spacing w:after="0"/>
              <w:rPr>
                <w:sz w:val="1"/>
                <w:szCs w:val="1"/>
                <w:color w:val="auto"/>
              </w:rPr>
            </w:pPr>
          </w:p>
        </w:tc>
      </w:tr>
      <w:tr>
        <w:trPr>
          <w:trHeight w:val="27"/>
        </w:trPr>
        <w:tc>
          <w:tcPr>
            <w:tcW w:w="9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7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acquisition consideration</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713,498</w:t>
            </w:r>
          </w:p>
        </w:tc>
        <w:tc>
          <w:tcPr>
            <w:tcW w:w="0" w:type="dxa"/>
            <w:vAlign w:val="bottom"/>
          </w:tcPr>
          <w:p>
            <w:pPr>
              <w:spacing w:after="0"/>
              <w:rPr>
                <w:sz w:val="1"/>
                <w:szCs w:val="1"/>
                <w:color w:val="auto"/>
              </w:rPr>
            </w:pPr>
          </w:p>
        </w:tc>
      </w:tr>
      <w:tr>
        <w:trPr>
          <w:trHeight w:val="27"/>
        </w:trPr>
        <w:tc>
          <w:tcPr>
            <w:tcW w:w="92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w:t>
            </w:r>
          </w:p>
        </w:tc>
        <w:tc>
          <w:tcPr>
            <w:tcW w:w="7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vMerge w:val="continue"/>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20" w:hanging="316"/>
        <w:spacing w:after="0" w:line="277"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estimated fair value of trade receivables acquired was $23.4 million. The gross contractual amount of trade receivables was $25.1 million and was recorded net of allowances for wholesaler chargebacks related to government rebate programs, cash discounts for prompt payment and doubtful accounts. We expect that $1.7 million of the gross contractual amount of trade receivables will be uncollectible.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ind w:left="440"/>
              <w:spacing w:after="0"/>
              <w:rPr>
                <w:sz w:val="20"/>
                <w:szCs w:val="20"/>
                <w:color w:val="auto"/>
              </w:rPr>
            </w:pPr>
            <w:r>
              <w:rPr>
                <w:rFonts w:ascii="Arial" w:cs="Arial" w:eastAsia="Arial" w:hAnsi="Arial"/>
                <w:sz w:val="18"/>
                <w:szCs w:val="18"/>
                <w:color w:val="auto"/>
              </w:rPr>
              <w:t>The intangible assets as of the closing date of the EUSA Acquisition included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9260" w:type="dxa"/>
            <w:vAlign w:val="bottom"/>
          </w:tcPr>
          <w:p>
            <w:pPr>
              <w:ind w:left="40"/>
              <w:spacing w:after="0"/>
              <w:rPr>
                <w:sz w:val="20"/>
                <w:szCs w:val="20"/>
                <w:color w:val="auto"/>
              </w:rPr>
            </w:pPr>
            <w:r>
              <w:rPr>
                <w:rFonts w:ascii="Arial" w:cs="Arial" w:eastAsia="Arial" w:hAnsi="Arial"/>
                <w:sz w:val="18"/>
                <w:szCs w:val="18"/>
                <w:color w:val="auto"/>
              </w:rPr>
              <w:t>Acquired developed technologies: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Erwinaze</w:t>
            </w:r>
            <w:r>
              <w:rPr>
                <w:rFonts w:ascii="Arial" w:cs="Arial" w:eastAsia="Arial" w:hAnsi="Arial"/>
                <w:sz w:val="25"/>
                <w:szCs w:val="25"/>
                <w:color w:val="auto"/>
                <w:vertAlign w:val="superscript"/>
              </w:rPr>
              <w:t>®</w:t>
            </w:r>
            <w:r>
              <w:rPr>
                <w:rFonts w:ascii="Arial" w:cs="Arial" w:eastAsia="Arial" w:hAnsi="Arial"/>
                <w:sz w:val="18"/>
                <w:szCs w:val="18"/>
                <w:color w:val="auto"/>
              </w:rPr>
              <w:t>/Erwinase</w:t>
            </w:r>
            <w:r>
              <w:rPr>
                <w:rFonts w:ascii="Arial" w:cs="Arial" w:eastAsia="Arial" w:hAnsi="Arial"/>
                <w:sz w:val="25"/>
                <w:szCs w:val="25"/>
                <w:color w:val="auto"/>
                <w:vertAlign w:val="superscript"/>
              </w:rPr>
              <w:t>®</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472,000</w:t>
            </w:r>
          </w:p>
        </w:tc>
      </w:tr>
      <w:tr>
        <w:trPr>
          <w:trHeight w:val="270"/>
        </w:trPr>
        <w:tc>
          <w:tcPr>
            <w:tcW w:w="9260" w:type="dxa"/>
            <w:vAlign w:val="bottom"/>
          </w:tcPr>
          <w:p>
            <w:pPr>
              <w:ind w:left="280"/>
              <w:spacing w:after="0" w:line="270" w:lineRule="exact"/>
              <w:rPr>
                <w:sz w:val="20"/>
                <w:szCs w:val="20"/>
                <w:color w:val="auto"/>
              </w:rPr>
            </w:pPr>
            <w:r>
              <w:rPr>
                <w:rFonts w:ascii="Arial" w:cs="Arial" w:eastAsia="Arial" w:hAnsi="Arial"/>
                <w:sz w:val="18"/>
                <w:szCs w:val="18"/>
                <w:color w:val="auto"/>
              </w:rPr>
              <w:t>Caphosol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ProstaScint</w:t>
            </w:r>
            <w:r>
              <w:rPr>
                <w:rFonts w:ascii="Arial" w:cs="Arial" w:eastAsia="Arial" w:hAnsi="Arial"/>
                <w:sz w:val="25"/>
                <w:szCs w:val="25"/>
                <w:color w:val="auto"/>
                <w:vertAlign w:val="superscript"/>
              </w:rPr>
              <w:t>®</w:t>
            </w:r>
          </w:p>
        </w:tc>
        <w:tc>
          <w:tcPr>
            <w:tcW w:w="8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0"/>
        </w:trPr>
        <w:tc>
          <w:tcPr>
            <w:tcW w:w="9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Collatamp</w:t>
            </w:r>
            <w:r>
              <w:rPr>
                <w:rFonts w:ascii="Arial" w:cs="Arial" w:eastAsia="Arial" w:hAnsi="Arial"/>
                <w:sz w:val="25"/>
                <w:szCs w:val="25"/>
                <w:color w:val="auto"/>
                <w:vertAlign w:val="superscript"/>
              </w:rPr>
              <w:t>®</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Other pharmaceutical products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41,470</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acquired developed technologies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584,470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Asparec</w:t>
            </w:r>
            <w:r>
              <w:rPr>
                <w:rFonts w:ascii="Arial" w:cs="Arial" w:eastAsia="Arial" w:hAnsi="Arial"/>
                <w:sz w:val="25"/>
                <w:szCs w:val="25"/>
                <w:color w:val="auto"/>
                <w:vertAlign w:val="superscript"/>
              </w:rPr>
              <w:t>®</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r>
      <w:tr>
        <w:trPr>
          <w:trHeight w:val="270"/>
        </w:trPr>
        <w:tc>
          <w:tcPr>
            <w:tcW w:w="92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Leukotac</w:t>
            </w:r>
            <w:r>
              <w:rPr>
                <w:rFonts w:ascii="Arial" w:cs="Arial" w:eastAsia="Arial" w:hAnsi="Arial"/>
                <w:sz w:val="25"/>
                <w:szCs w:val="25"/>
                <w:color w:val="auto"/>
                <w:vertAlign w:val="superscript"/>
              </w:rPr>
              <w:t>®</w:t>
            </w:r>
          </w:p>
        </w:tc>
        <w:tc>
          <w:tcPr>
            <w:tcW w:w="8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w:t>
            </w:r>
          </w:p>
        </w:tc>
      </w:tr>
      <w:tr>
        <w:trPr>
          <w:trHeight w:val="264"/>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in-process research and development</w:t>
            </w:r>
          </w:p>
        </w:tc>
        <w:tc>
          <w:tcPr>
            <w:tcW w:w="8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616,970</w:t>
            </w:r>
          </w:p>
        </w:tc>
      </w:tr>
      <w:tr>
        <w:trPr>
          <w:trHeight w:val="27"/>
        </w:trPr>
        <w:tc>
          <w:tcPr>
            <w:tcW w:w="9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Intangible assets related to acquired developed technologies reflect the estimated fair value of the rights we acquired to those products in the EUSA Acquisition. The fair value was determined using an income approach, which recognizes that the fair value of an asset is premised upon the expected receipt of future economic benefits such as earnings and cash inflows based on current sales projections and estimated direct costs for each product line. Indications of value are developed by discounting these benefits to their present worth at a discount rate that reflects the current return requirements of the market. Acquired developed technologies are finite-lived intangible assets and are being amortized over their estimated lives ranging from two to 14 years.</w:t>
      </w:r>
    </w:p>
    <w:p>
      <w:pPr>
        <w:spacing w:after="0" w:line="10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excess of the total acquisition consideration over the fair value amounts assigned to the assets acquired and the liabilities assumed represents the goodwill amount resulting from the acquisition. We believe that the factors that contributed to goodwill include synergies that are specific to our consolidated business and not available to market participants and the acquisition of a talented workforce and a platform for developing and commercializing pharmaceutical products, as well as other intangible assets that do not qualify for separate recognition. We do not expect any portion of this goodwill to be deductible for tax purposes.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following unaudited supplemental pro forma information presents the combined historical results of operations of Jazz Pharmaceuticals, Inc., Azur Pharma and EUSA Pharma for 2012 and 2011 as if the Azur Merger and the EUSA Acquisition had each been completed on January 1, 2011. The pro forma financial information includes adjustments to reflect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time charges and amortization of fair value adjustments in the appropriate pro forma periods as though the companies were combined as of the beginning of 2011. These adjustments include:</w:t>
      </w:r>
    </w:p>
    <w:p>
      <w:pPr>
        <w:spacing w:after="0" w:line="62" w:lineRule="exact"/>
        <w:rPr>
          <w:sz w:val="20"/>
          <w:szCs w:val="20"/>
          <w:color w:val="auto"/>
        </w:rPr>
      </w:pPr>
    </w:p>
    <w:p>
      <w:pPr>
        <w:ind w:left="640" w:right="800" w:hanging="321"/>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amortization expense of $6.3 million and $68.1 million in 2012 and 2011, respectively, related to the fair value of acquired identifiable intangible assets.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exclusion of transaction-related expenses of $33.1 million and $14.2 million in 2012 and 2011, respectively.</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in interest expense of $2.5 million in 2012 and an increase of $17.3 million in 2011, incurred on additional borrowings made to fund the EUSA Acquisition, as if the borrowings had occurred on January 1, 2011, offset by the elimination of actual interest expense incurred by EUSA Pharma during the periods presented.</w:t>
      </w:r>
    </w:p>
    <w:p>
      <w:pPr>
        <w:spacing w:after="0" w:line="73" w:lineRule="exact"/>
        <w:rPr>
          <w:rFonts w:ascii="Arial" w:cs="Arial" w:eastAsia="Arial" w:hAnsi="Arial"/>
          <w:sz w:val="18"/>
          <w:szCs w:val="18"/>
          <w:color w:val="auto"/>
        </w:rPr>
      </w:pPr>
    </w:p>
    <w:p>
      <w:pPr>
        <w:jc w:val="both"/>
        <w:ind w:left="640" w:right="20" w:hanging="321"/>
        <w:spacing w:after="0" w:line="312"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exclusion of other non-recurring expenses of $69.7 million in 2012 and the inclusion of $24.1 million in 2011 primarily related to the fair value step-up to acquired inventory, share-based compensation incurred from the acceleration of stock option vesting upon closing of the Azur Merger and the EUSA Acquisition, a share-based liability granted to certain former Azur Pharma shareholders and integration-related expenses.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unaudited pro forma results do not assume any operating efficiencies as a result of the consolidation of operations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360" w:type="dxa"/>
            <w:vAlign w:val="bottom"/>
            <w:tcBorders>
              <w:bottom w:val="single" w:sz="8" w:color="auto"/>
            </w:tcBorders>
            <w:gridSpan w:val="5"/>
          </w:tcPr>
          <w:p>
            <w:pPr>
              <w:jc w:val="right"/>
              <w:ind w:right="79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8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668,924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429,778</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343,897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20,203</w:t>
            </w:r>
          </w:p>
        </w:tc>
      </w:tr>
      <w:tr>
        <w:trPr>
          <w:trHeight w:val="27"/>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 - basic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Net income per ordinary share - diluted</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marketable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2012</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Cash and</w:t>
            </w:r>
          </w:p>
        </w:tc>
        <w:tc>
          <w:tcPr>
            <w:tcW w:w="140" w:type="dxa"/>
            <w:vAlign w:val="bottom"/>
          </w:tcPr>
          <w:p>
            <w:pPr>
              <w:spacing w:after="0"/>
              <w:rPr>
                <w:sz w:val="13"/>
                <w:szCs w:val="13"/>
                <w:color w:val="auto"/>
              </w:rPr>
            </w:pPr>
          </w:p>
        </w:tc>
        <w:tc>
          <w:tcPr>
            <w:tcW w:w="8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Cash and</w:t>
            </w:r>
          </w:p>
        </w:tc>
        <w:tc>
          <w:tcPr>
            <w:tcW w:w="140" w:type="dxa"/>
            <w:vAlign w:val="bottom"/>
          </w:tcPr>
          <w:p>
            <w:pPr>
              <w:spacing w:after="0"/>
              <w:rPr>
                <w:sz w:val="13"/>
                <w:szCs w:val="13"/>
                <w:color w:val="auto"/>
              </w:rPr>
            </w:pPr>
          </w:p>
        </w:tc>
        <w:tc>
          <w:tcPr>
            <w:tcW w:w="8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33,307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50,344</w:t>
            </w:r>
          </w:p>
        </w:tc>
        <w:tc>
          <w:tcPr>
            <w:tcW w:w="0" w:type="dxa"/>
            <w:vAlign w:val="bottom"/>
          </w:tcPr>
          <w:p>
            <w:pPr>
              <w:spacing w:after="0"/>
              <w:rPr>
                <w:sz w:val="1"/>
                <w:szCs w:val="1"/>
                <w:color w:val="auto"/>
              </w:rPr>
            </w:pPr>
          </w:p>
        </w:tc>
      </w:tr>
      <w:tr>
        <w:trPr>
          <w:trHeight w:val="229"/>
        </w:trPr>
        <w:tc>
          <w:tcPr>
            <w:tcW w:w="2460" w:type="dxa"/>
            <w:vAlign w:val="bottom"/>
          </w:tcPr>
          <w:p>
            <w:pPr>
              <w:ind w:left="40"/>
              <w:spacing w:after="0"/>
              <w:rPr>
                <w:sz w:val="20"/>
                <w:szCs w:val="20"/>
                <w:color w:val="auto"/>
              </w:rPr>
            </w:pPr>
            <w:r>
              <w:rPr>
                <w:rFonts w:ascii="Arial" w:cs="Arial" w:eastAsia="Arial" w:hAnsi="Arial"/>
                <w:sz w:val="18"/>
                <w:szCs w:val="18"/>
                <w:color w:val="auto"/>
                <w:w w:val="95"/>
              </w:rPr>
              <w:t>Obligations of U.S. government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agencies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18,184</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75,822</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Collectively, cash equivalents and marketable securities are considered available-for-sale. We use the specific-identification method for calculating realized gains and losses on securities sold and include them in interest expense, net in the consolidated statements of income. Proceeds from sales of available-for-sale securities in 2012 were $81.2 million and were used to partially fund the EUSA Acquisition. Gross realized gains and losses in 2012 were insignificant. All available-for-sale securities held as of December 31, 2012 were cash and cash equivalents.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125" w:right="29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by major security type, our available-for-sale securities and liabilities that are measured at fair value on a recurring basis and are categorized using the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4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43,648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48,518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48,518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50,344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5"/>
              </w:rPr>
              <w:t>Obligations of U.S. government agencies</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18,435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43,648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43,648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48,518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76,073</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124,591</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34,800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34,800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December 31, 2012, our available-for-sale securities included money market funds and their carrying values were approximately equal to their fair values. There were no transfers between the different levels of the fair value hierarchy in 2012.</w:t>
      </w:r>
    </w:p>
    <w:p>
      <w:pPr>
        <w:spacing w:after="0" w:line="116"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As of December 31, 2011, our available-for-sale securities included corporate debt securities, obligations of U.S. government agencies and certificates of deposit which were measured at fair value using Level 2 inputs and money market funds which were measured at fair value using Level 1 inputs. We reviewed trading activity and pricing for these investments as of the measurement date. Level 2 inputs, obtained from various third party data providers, represent quoted prices for similar assets in active markets, or these inputs were derived from observable market data, or if not directly observable, were derived from or corroborated by other observable market data. Level 1 inputs are quoted prices in active markets for identical assets or liabilities. As of December 31, 2011, the aggregate fair value of available-for-sale securities which had unrealized losses was $43.6 million.</w:t>
      </w:r>
    </w:p>
    <w:p>
      <w:pPr>
        <w:spacing w:after="0" w:line="11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As part of the EUSA Acquisition, we agreed to make an additional contingent payment of $50.0 million in cash if Erwinaze achieves U.S. net sales of $124.5 million or greater in 2013. The fair value measurement of this contingent consideration obligation is determined using unobservable Level 3 inputs. These inputs include the probability of 2013 U.S. net sales of Erwinaze equaling or exceeding the $124.5 million threshold and the discount rate. A significant increase or decrease in the estimated probability of meeting the milestone threshold would result in a significantly higher or lower fair value measurement, respectively. The range of the estimated contingent payment is from zero if 2013 U.S. net sales of Erwinaze are less than $124.5 million to $50.0 million if 2013 U.S. net sales of Erwinaze equal or exceed $124.5 million.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fair value of the contingent consideration payable was estimated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acquired on June 12, 2012</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Fair value adjustment recorded within selling, general and administrative expenses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7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34,800</w:t>
            </w: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2012, the fair value adjustment reflects a change in the estimated probability of meeting the milestone threshold offset by the impact of discounting as a result of the passage of time.</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December 31, 2012, the estimated fair value of our $475.0 million term loan was $472.4 million and the carrying amount was $456.8 million. The fair value was determined using quotes from the administrative agent of our credit facility that are based on bid/ask prices of our term loan (Level 2). For additional information regarding our term loan see Note 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2011</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524</w:t>
            </w:r>
          </w:p>
        </w:tc>
      </w:tr>
      <w:tr>
        <w:trPr>
          <w:trHeight w:val="27"/>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16,136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1,448</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26,525</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3,909</w:t>
            </w:r>
          </w:p>
        </w:tc>
      </w:tr>
      <w:tr>
        <w:trPr>
          <w:trHeight w:val="27"/>
        </w:trPr>
        <w:tc>
          <w:tcPr>
            <w:tcW w:w="7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2012, inventories included $4.0 million related to acquisition accounting inventory fair value step-up.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3440" w:type="dxa"/>
            <w:vAlign w:val="bottom"/>
            <w:tcBorders>
              <w:bottom w:val="single" w:sz="8" w:color="CCEEFF"/>
            </w:tcBorders>
            <w:gridSpan w:val="2"/>
            <w:shd w:val="clear" w:color="auto" w:fill="CCEEFF"/>
          </w:tcPr>
          <w:p>
            <w:pPr>
              <w:jc w:val="right"/>
              <w:ind w:right="98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40" w:type="dxa"/>
            <w:vAlign w:val="bottom"/>
            <w:tcBorders>
              <w:bottom w:val="single" w:sz="8" w:color="CCEEFF"/>
            </w:tcBorders>
            <w:gridSpan w:val="2"/>
            <w:shd w:val="clear" w:color="auto" w:fill="CCEEFF"/>
          </w:tcPr>
          <w:p>
            <w:pPr>
              <w:jc w:val="right"/>
              <w:ind w:right="98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Accrued liabilities</w:t>
            </w:r>
          </w:p>
        </w:tc>
        <w:tc>
          <w:tcPr>
            <w:tcW w:w="2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80" w:type="dxa"/>
            <w:vAlign w:val="bottom"/>
          </w:tcPr>
          <w:p>
            <w:pPr>
              <w:ind w:left="440"/>
              <w:spacing w:after="0"/>
              <w:rPr>
                <w:sz w:val="20"/>
                <w:szCs w:val="20"/>
                <w:color w:val="auto"/>
              </w:rPr>
            </w:pPr>
            <w:r>
              <w:rPr>
                <w:rFonts w:ascii="Arial" w:cs="Arial" w:eastAsia="Arial" w:hAnsi="Arial"/>
                <w:sz w:val="18"/>
                <w:szCs w:val="18"/>
                <w:color w:val="auto"/>
              </w:rPr>
              <w:t>Accrued liabilities consisted of the following (in thousands):</w:t>
            </w: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 and other sales deductions</w:t>
            </w:r>
          </w:p>
        </w:tc>
        <w:tc>
          <w:tcPr>
            <w:tcW w:w="3440" w:type="dxa"/>
            <w:vAlign w:val="bottom"/>
            <w:tcBorders>
              <w:bottom w:val="single" w:sz="8" w:color="CCEEFF"/>
            </w:tcBorders>
            <w:gridSpan w:val="2"/>
            <w:shd w:val="clear" w:color="auto" w:fill="CCEEFF"/>
          </w:tcPr>
          <w:p>
            <w:pPr>
              <w:jc w:val="right"/>
              <w:ind w:right="98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Sales returns reserve</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2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Royalties</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18,712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104,666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34,783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80" w:type="dxa"/>
            <w:vAlign w:val="bottom"/>
          </w:tcPr>
          <w:p>
            <w:pPr>
              <w:spacing w:after="0"/>
              <w:rPr>
                <w:sz w:val="24"/>
                <w:szCs w:val="24"/>
                <w:color w:val="auto"/>
              </w:rPr>
            </w:pPr>
          </w:p>
        </w:tc>
        <w:tc>
          <w:tcPr>
            <w:tcW w:w="3440" w:type="dxa"/>
            <w:vAlign w:val="bottom"/>
            <w:gridSpan w:val="2"/>
          </w:tcPr>
          <w:p>
            <w:pPr>
              <w:jc w:val="right"/>
              <w:ind w:right="2662"/>
              <w:spacing w:after="0"/>
              <w:rPr>
                <w:sz w:val="20"/>
                <w:szCs w:val="20"/>
                <w:color w:val="auto"/>
              </w:rPr>
            </w:pPr>
            <w:r>
              <w:rPr>
                <w:rFonts w:ascii="Arial" w:cs="Arial" w:eastAsia="Arial" w:hAnsi="Arial"/>
                <w:sz w:val="18"/>
                <w:szCs w:val="18"/>
                <w:color w:val="auto"/>
              </w:rPr>
              <w:t>F-22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The gross carrying amount of goodwill was as follows (in thousands):</w:t>
            </w: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97"/>
        </w:trPr>
        <w:tc>
          <w:tcPr>
            <w:tcW w:w="7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2011</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38,213</w:t>
            </w:r>
          </w:p>
        </w:tc>
      </w:tr>
      <w:tr>
        <w:trPr>
          <w:trHeight w:val="243"/>
        </w:trPr>
        <w:tc>
          <w:tcPr>
            <w:tcW w:w="7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Goodwill arising from the Azur Merger</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201,524</w:t>
            </w:r>
          </w:p>
        </w:tc>
      </w:tr>
      <w:tr>
        <w:trPr>
          <w:trHeight w:val="27"/>
        </w:trPr>
        <w:tc>
          <w:tcPr>
            <w:tcW w:w="7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arising from the EUSA Acquisition</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206,452</w:t>
            </w:r>
          </w:p>
        </w:tc>
      </w:tr>
      <w:tr>
        <w:trPr>
          <w:trHeight w:val="243"/>
        </w:trPr>
        <w:tc>
          <w:tcPr>
            <w:tcW w:w="7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Goodwill allocated to the divested women’s health business (1)</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(12,916)</w:t>
            </w:r>
          </w:p>
        </w:tc>
      </w:tr>
      <w:tr>
        <w:trPr>
          <w:trHeight w:val="27"/>
        </w:trPr>
        <w:tc>
          <w:tcPr>
            <w:tcW w:w="7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 w:type="dxa"/>
            <w:vAlign w:val="bottom"/>
          </w:tcPr>
          <w:p>
            <w:pPr>
              <w:spacing w:after="0"/>
              <w:rPr>
                <w:sz w:val="23"/>
                <w:szCs w:val="23"/>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9,327</w:t>
            </w:r>
          </w:p>
        </w:tc>
      </w:tr>
      <w:tr>
        <w:trPr>
          <w:trHeight w:val="250"/>
        </w:trPr>
        <w:tc>
          <w:tcPr>
            <w:tcW w:w="7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Balance at December 31, 2012</w:t>
            </w: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8890</wp:posOffset>
            </wp:positionV>
            <wp:extent cx="1157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-130175</wp:posOffset>
            </wp:positionV>
            <wp:extent cx="1157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 w:lineRule="exact"/>
        <w:rPr>
          <w:sz w:val="20"/>
          <w:szCs w:val="20"/>
          <w:color w:val="auto"/>
        </w:rPr>
      </w:pPr>
    </w:p>
    <w:p>
      <w:pPr>
        <w:ind w:left="440" w:right="2880" w:hanging="216"/>
        <w:spacing w:after="0" w:line="535" w:lineRule="auto"/>
        <w:tabs>
          <w:tab w:leader="none" w:pos="54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2012, we sold our women’s health business. See Note 19 for information regarding discontinued operations. The gross carrying amounts and net book values of our intangible assets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December 31, 2011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Book</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720" w:type="dxa"/>
            <w:vAlign w:val="bottom"/>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1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developed</w:t>
            </w: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technologies</w:t>
            </w:r>
          </w:p>
        </w:tc>
        <w:tc>
          <w:tcPr>
            <w:tcW w:w="1060" w:type="dxa"/>
            <w:vAlign w:val="bottom"/>
            <w:tcBorders>
              <w:bottom w:val="single" w:sz="8" w:color="CCEEFF"/>
            </w:tcBorders>
            <w:shd w:val="clear" w:color="auto" w:fill="CCEEFF"/>
          </w:tcPr>
          <w:p>
            <w:pPr>
              <w:jc w:val="right"/>
              <w:ind w:right="30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930,834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833,256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49,400</w:t>
            </w:r>
          </w:p>
        </w:tc>
        <w:tc>
          <w:tcPr>
            <w:tcW w:w="3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13,766</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060" w:type="dxa"/>
            <w:vAlign w:val="bottom"/>
          </w:tcPr>
          <w:p>
            <w:pPr>
              <w:jc w:val="right"/>
              <w:ind w:right="34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finite-lived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933,434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833,802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w w:val="96"/>
              </w:rPr>
              <w:t>Acquired IPR&amp;D 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969,584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869,952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3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Based on finite-lived intangible assets recorded as of December 31, 2012, and assuming the underlying assets will not be impaired in the future and that we will not change the expected lives of the assets, future amortization costs were estimated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Estimated Amortization Expense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7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77,432</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7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77,232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71,190</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7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67,868</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67,868</w:t>
            </w:r>
          </w:p>
        </w:tc>
      </w:tr>
      <w:tr>
        <w:trPr>
          <w:trHeight w:val="243"/>
        </w:trPr>
        <w:tc>
          <w:tcPr>
            <w:tcW w:w="92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472,212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833,802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Intangible assets related to the divested women’s health business had a net book value of $41.4 million. See Note 19 for information regarding discontinued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On June 12, 2012, Jazz Pharmaceuticals plc, as guarantor, and Jazz Pharmaceuticals, Inc., as borrower, entered into a $575.0 million credit agreement with Barclays Bank PLC, as administrative agent and certain other lenders. The credit agreement provides for a six-year $475.0 million term loan and a five-year $100.0 million revolving credit facility, which includes a $10.0 million swing line loan sub facility and a $10.0 million letter of credit sub facility. The proceeds from the term loan were used to partially finance the EUSA Acquisition. Borrowings under the term loan bear interest, at our option, at a rate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equal to either the LIBOR rate, plus an applicable margin of 4.25% per annum (subject to a 1.0% LIBOR floor), or the prime lending rate, plus an applicable margin equal to 3.25% per annum (subject to a 2.0% prime rate floor). Borrowings under the revolving credit facility bear interest, at our option, at a rate equal to either the LIBOR rate, plus an applicable margin of 4.00% per annum, or the prime lending rate, plus an applicable margin equal to 3.00% per annum, subject to reduction by 0.25% or 0.50% based upon our secured leverage ratio. The revolving credit facility has a commitment fee payable on the undrawn amount ranging from 0.25% to 0.50% per annum based upon our secured leverage ratio.</w:t>
      </w:r>
    </w:p>
    <w:p>
      <w:pPr>
        <w:spacing w:after="0" w:line="119"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obligations of Jazz Pharmaceuticals, Inc. under the credit agreement and any hedging or cash management obligations entered into with a lender are guaranteed by Jazz Pharmaceuticals plc and certain of its subsidiaries and are secured by substantially all of their assets.</w:t>
      </w:r>
    </w:p>
    <w:p>
      <w:pPr>
        <w:spacing w:after="0" w:line="93"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may make prepayments of principal without premium or penalty, except that a 1% premium would apply to a repayment via a repricing of the loan under the term loan effected on or prior to June 12, 2013. We are required to make mandatory prepayments of borrowings under the term loan (without payment of a premium) with (1) net cash proceeds from certain non-ordinary course asset sales (subject to reinvestment rights and other exceptions), (2) net cash proceeds from issuances of debt (other than certain permitted debt), (3) beginning with the fiscal year ending December 31, 2013, 50% of our excess cash flow as defined in the credit agreement (subject to increase to 75% if our secured leverage ratio exceeds 2.25 to 1.0, or decrease to 25% or 0% if our secured leverage ratio is equal to or less than 1.25 to 1.0 or 0.75 to 1.0, respectively), and (4) casualty proceeds and condemnation awards (subject to reinvestment rights and other exceptions). No mandatory repayment was made or is required to be made under our term loan as a result of the sale of our women’s health business.</w:t>
      </w:r>
    </w:p>
    <w:p>
      <w:pPr>
        <w:spacing w:after="0" w:line="13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Principal repayments of the term loan are due quarterly and are equal to 5.0% of the original principal amount in the first year, 7.5% in the second year, 10.0% in each of the third and fourth years and 15.0% in each of the fifth and sixth years, with any remaining balance payable on the final maturity date. In 2012, $11.9 million of debt principal was repaid.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Scheduled maturities with respect to the term loan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14"/>
                <w:szCs w:val="14"/>
                <w:color w:val="auto"/>
              </w:rPr>
            </w:pPr>
          </w:p>
        </w:tc>
        <w:tc>
          <w:tcPr>
            <w:tcW w:w="156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Scheduled Term Loan</w:t>
            </w:r>
          </w:p>
        </w:tc>
        <w:tc>
          <w:tcPr>
            <w:tcW w:w="0" w:type="dxa"/>
            <w:vAlign w:val="bottom"/>
          </w:tcPr>
          <w:p>
            <w:pPr>
              <w:spacing w:after="0"/>
              <w:rPr>
                <w:sz w:val="1"/>
                <w:szCs w:val="1"/>
                <w:color w:val="auto"/>
              </w:rPr>
            </w:pPr>
          </w:p>
        </w:tc>
      </w:tr>
      <w:tr>
        <w:trPr>
          <w:trHeight w:val="158"/>
        </w:trPr>
        <w:tc>
          <w:tcPr>
            <w:tcW w:w="75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34"/>
              <w:spacing w:after="0" w:line="158" w:lineRule="exact"/>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29,688</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5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5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59,375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0" w:type="dxa"/>
            <w:vAlign w:val="bottom"/>
          </w:tcPr>
          <w:p>
            <w:pPr>
              <w:spacing w:after="0"/>
              <w:rPr>
                <w:sz w:val="1"/>
                <w:szCs w:val="1"/>
                <w:color w:val="auto"/>
              </w:rPr>
            </w:pPr>
          </w:p>
        </w:tc>
      </w:tr>
      <w:tr>
        <w:trPr>
          <w:trHeight w:val="243"/>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213,750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463,126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32"/>
        <w:spacing w:after="0" w:line="257" w:lineRule="auto"/>
        <w:rPr>
          <w:sz w:val="20"/>
          <w:szCs w:val="20"/>
          <w:color w:val="auto"/>
        </w:rPr>
      </w:pPr>
      <w:r>
        <w:rPr>
          <w:rFonts w:ascii="Arial" w:cs="Arial" w:eastAsia="Arial" w:hAnsi="Arial"/>
          <w:sz w:val="18"/>
          <w:szCs w:val="18"/>
          <w:color w:val="auto"/>
        </w:rPr>
        <w:t>The credit agreement contains customary representations and warranties and customary affirmative and negative covenants applicable to Jazz Pharmaceuticals plc and its restricted subsidiaries, including, among other things, restrictions on indebtedness, liens, investments, mergers, dispositions, prepayment of other indebtedness and dividends and other distributions. The credit agreement contains a financial covenant that requires Jazz Pharmaceuticals plc and its restricted subsidiaries to maintain a maximum secured leverage ratio. We are currently in compliance with our financial covenants.</w:t>
      </w:r>
    </w:p>
    <w:p>
      <w:pPr>
        <w:spacing w:after="0" w:line="13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$475.0 million principal amount of the term loan was recorded net of an original issue discount of $7.1 million. We incurred $15.0 million of debt issuance costs associated with the term loan. As of December 31, 2012, the interest rate on the term loan was 5.25%. Interest expense associated with the term loan is recorded using the interest method and includes non-cash interest related to the debt discount and debt issuance costs. The effective interest rate on the term loan is 6.7%. The current portion of the carrying amount of the term loan was $29.7 million as of December 31, 2012.</w:t>
      </w:r>
    </w:p>
    <w:p>
      <w:pPr>
        <w:spacing w:after="0" w:line="10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Financing costs of $3.5 million associated with the revolving credit facility were deferred and are being amortized to interest expense on a straight-line basis over the life of the facility. As of December 31, 2012, we had not borrowed under the revolving credit facility.</w:t>
      </w:r>
    </w:p>
    <w:p>
      <w:pPr>
        <w:spacing w:after="0" w:line="35"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2011, we terminated a credit agreement and repaid a term loan in full and as a result, we recorded a loss on extinguishment of debt of $1.2 million, which consisted of a $0.8 million non-cash charge related to the write-off of unamortized debt issuance costs and a debt discount and the remainder related to a prepayment penalty and a termination fee. In 2010, we repaid $119.5 million principal amount due under a previous debt agreement. As a result of the repayment of amounts due under the previous debt agreement, we recorded a loss on extinguishment of debt of $12.3 million in 2010, which consisted of a $3.8 million non-cash charge related to the write-off of unamortized debt issuance costs and a debt discount and an $8.5</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million prepayment penalty.</w:t>
      </w:r>
    </w:p>
    <w:p>
      <w:pPr>
        <w:spacing w:after="0" w:line="383" w:lineRule="exact"/>
        <w:rPr>
          <w:sz w:val="20"/>
          <w:szCs w:val="20"/>
          <w:color w:val="auto"/>
        </w:rPr>
      </w:pPr>
    </w:p>
    <w:p>
      <w:pPr>
        <w:jc w:val="both"/>
        <w:ind w:left="220" w:right="9860" w:hanging="212"/>
        <w:spacing w:after="0" w:line="416" w:lineRule="auto"/>
        <w:tabs>
          <w:tab w:leader="none" w:pos="274"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Liabilities </w:t>
      </w:r>
      <w:r>
        <w:rPr>
          <w:rFonts w:ascii="Arial" w:cs="Arial" w:eastAsia="Arial" w:hAnsi="Arial"/>
          <w:sz w:val="15"/>
          <w:szCs w:val="15"/>
          <w:b w:val="1"/>
          <w:bCs w:val="1"/>
          <w:i w:val="1"/>
          <w:iCs w:val="1"/>
          <w:color w:val="auto"/>
        </w:rPr>
        <w:t>Deferred Revenue</w:t>
      </w:r>
    </w:p>
    <w:p>
      <w:pPr>
        <w:ind w:right="100" w:firstLine="432"/>
        <w:spacing w:after="0" w:line="259" w:lineRule="auto"/>
        <w:rPr>
          <w:sz w:val="20"/>
          <w:szCs w:val="20"/>
          <w:color w:val="auto"/>
        </w:rPr>
      </w:pPr>
      <w:r>
        <w:rPr>
          <w:rFonts w:ascii="Arial" w:cs="Arial" w:eastAsia="Arial" w:hAnsi="Arial"/>
          <w:sz w:val="18"/>
          <w:szCs w:val="18"/>
          <w:color w:val="auto"/>
        </w:rPr>
        <w:t>We have an agreement with UCB under which UCB has the right to market Xyrem for certain indications in various countries outside of the United States. We recognized contract revenues of $1.1 million during each of 2012, 2011, and 2010 relating to two upfront payments received from UCB in 2006 totaling $15.0 million. As of December 31, 2012, $7.9 million was recorded as deferred revenues related to this agreement, of which $1.1 million is a current liability. The deferred revenue balance is being recognized ratably through 2019.</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Purchased Product Rights Liability</w:t>
      </w:r>
    </w:p>
    <w:p>
      <w:pPr>
        <w:spacing w:after="0" w:line="9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In 2007, we entered into a product license agreement with Solvay Pharmaceuticals, Inc., which was subsequently acquired by Abbott Laboratories, for the rights to market Luvox CR and Luvox in the United States, which agreement was subsequently amended. Under the amended agreement we paid $4.5 million in each of 2012 and 2011, and $4.0 million in 2010. Our payments in 2012 were the final payments under this amended agreement.</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Liability Under Government Litigation Settlement</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2007, we and Orphan Medical, LLC, formerly Orphan Medical, Inc., or Orphan Medical, entered into agreements with a number of government entities to settle various matters associated with an investigation relating to the sale and marketing of Xyrem by Orphan Medical, which we acquired in June 2005. Under these agreements we paid $7.3 million in 2012, which was our remaining obligation under these agreements, and $4.2 million and $3.0 million in 2011 and 2010,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13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agreed to indemnify our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have not recognized any liabilities relating to these obligations as of December 31, 2012 and December 31, 2011.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and Other Commitments</w:t>
      </w:r>
    </w:p>
    <w:p>
      <w:pPr>
        <w:spacing w:after="0" w:line="90"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We have noncancelable operating leases for our office buildings and we are obligated to make payments under noncancelable operating leases for automobiles used by our sales force.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under all operating leases was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2010</w:t>
            </w: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3,074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2,323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lease payments under our noncancelable operating leases at December 31, 2012, were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Pr>
          <w:p>
            <w:pPr>
              <w:spacing w:after="0"/>
              <w:rPr>
                <w:sz w:val="14"/>
                <w:szCs w:val="14"/>
                <w:color w:val="auto"/>
              </w:rPr>
            </w:pPr>
          </w:p>
        </w:tc>
        <w:tc>
          <w:tcPr>
            <w:tcW w:w="1720" w:type="dxa"/>
            <w:vAlign w:val="bottom"/>
          </w:tcPr>
          <w:p>
            <w:pPr>
              <w:jc w:val="right"/>
              <w:ind w:right="814"/>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158"/>
        </w:trPr>
        <w:tc>
          <w:tcPr>
            <w:tcW w:w="92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tcPr>
          <w:p>
            <w:pPr>
              <w:jc w:val="right"/>
              <w:ind w:right="694"/>
              <w:spacing w:after="0" w:line="15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7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7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4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7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6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7"/>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24,736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2012, we entered into an operating lease agreement for our new headquarters in Dublin for a term of 10 years. We have an option to terminate this lease in May 2017, with no less than six months’ prior written notice and the payment of a termination fee. We amended and extended the operating lease for our existing Philadelphia office building for a term of 4 years, we renewed the operating lease for our existing Palo Alto office building for a term of 5 years and we entered into a new operating sublease for additional office space in Palo Alto near our existing office location for a term of 5 years.</w:t>
      </w:r>
    </w:p>
    <w:p>
      <w:pPr>
        <w:spacing w:after="0" w:line="10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December 31, 2012 and 2011, we had $70.1 million and $5.7 million, respectively, of noncancelable purchase commitments under agreements with contract manufacturers due within one year.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involved in several legal proceedings, including the following matters:</w:t>
      </w:r>
    </w:p>
    <w:p>
      <w:pPr>
        <w:spacing w:after="0" w:line="90" w:lineRule="exact"/>
        <w:rPr>
          <w:sz w:val="20"/>
          <w:szCs w:val="20"/>
          <w:color w:val="auto"/>
        </w:rPr>
      </w:pPr>
    </w:p>
    <w:p>
      <w:pPr>
        <w:ind w:right="20" w:firstLine="432"/>
        <w:spacing w:after="0" w:line="279" w:lineRule="auto"/>
        <w:rPr>
          <w:sz w:val="20"/>
          <w:szCs w:val="20"/>
          <w:color w:val="auto"/>
        </w:rPr>
      </w:pPr>
      <w:r>
        <w:rPr>
          <w:rFonts w:ascii="Arial" w:cs="Arial" w:eastAsia="Arial" w:hAnsi="Arial"/>
          <w:sz w:val="16"/>
          <w:szCs w:val="16"/>
          <w:i w:val="1"/>
          <w:iCs w:val="1"/>
          <w:color w:val="auto"/>
        </w:rPr>
        <w:t>Xyrem</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ANDA Matters: </w:t>
      </w:r>
      <w:r>
        <w:rPr>
          <w:rFonts w:ascii="Arial" w:cs="Arial" w:eastAsia="Arial" w:hAnsi="Arial"/>
          <w:sz w:val="16"/>
          <w:szCs w:val="16"/>
          <w:color w:val="auto"/>
        </w:rPr>
        <w:t>On October 18, 2010, we received a Paragraph IV Patent Certification notice, or Paragraph IV Certification, from Roxane</w:t>
      </w:r>
      <w:r>
        <w:rPr>
          <w:rFonts w:ascii="Arial" w:cs="Arial" w:eastAsia="Arial" w:hAnsi="Arial"/>
          <w:sz w:val="16"/>
          <w:szCs w:val="16"/>
          <w:i w:val="1"/>
          <w:iCs w:val="1"/>
          <w:color w:val="auto"/>
        </w:rPr>
        <w:t xml:space="preserve"> </w:t>
      </w:r>
      <w:r>
        <w:rPr>
          <w:rFonts w:ascii="Arial" w:cs="Arial" w:eastAsia="Arial" w:hAnsi="Arial"/>
          <w:sz w:val="16"/>
          <w:szCs w:val="16"/>
          <w:color w:val="auto"/>
        </w:rPr>
        <w:t>Laboratories, Inc., or Roxane, that it had submitted an abbreviated new drug application, or ANDA, to the United States Food and Drug Administration, or FDA, requesting approval to market a generic version of Xyrem. Roxane’s Paragraph IV Certification alleged that all five patents then listed for Xyrem in the FDA’s publication “Approved Drug Products with Therapeutic Equivalence Evaluations,” or Orange Book, on the date of the Paragraph IV Certification are invalid, unenforceable or not infringed by Roxane’s proposed generic product. On November 22, 2010, we filed a lawsuit against Roxane in response to Roxane’s Paragraph IV Certification in the United States District Court for the District of New Jersey, or the District Court. We are seeking a permanent injunction to prevent Roxane from introducing a generic version of Xyrem that would infringe our patents. In accordance with the Hatch-Waxman Act, as a result of having filed a timely lawsuit against Roxane, FDA approval of Roxane’s ANDA will be stayed until the earlier of (i) April 18, 2013, which is 30 months after our October 18, 2010 receipt of Roxane’s Paragraph IV Certification, or (ii) a District Court decision finding that the identified patents are invalid, unenforceable or not infringed. Two additional method of use patents covering the distribution system for Xyrem were issued in December 2010 and February 2011, respectively, and were listed in the Orange Book, and we filed lawsuits against Roxane in February 2011 and again in May 2011 to include these additional patents in the litigation in response to Roxane’s Paragraph IV Certifications against each of these patents, and also to include another issued patent in the litigation which is not listed in the Orange Book. These additional lawsuits were subsequently consolidated with the action filed on November 22, 2010. On April 26, 2012, the District Court held a Markman hearing, a pretrial hearing following which the trial judge construes the claims of the patents at issue in a lawsuit, and the District Court issued a Markman order construing the claims of the patents then involved in the litigation in September 2012. New patents, one covering a formulation of Xyrem and the other covering use of Xyrem for treatment of narcolepsy, were issued in September 2012 and December 2012, respectively, and were listed in the Orange Book. In October 2012, we filed a new lawsuit in the District Court against Roxane in response to Roxane’s Paragraph IV Certification against the new formulation patent, and in December 2012, we filed a lawsuit in the District Court against Roxane alleging infringement of the new treatment patent. Our original lawsuit against Roxane has been temporarily stayed while the District Court determines whether to consolidate the three lawsuits, and no trial date has been scheduled. We cannot predict the timing or outcome of this matter.</w:t>
      </w:r>
    </w:p>
    <w:p>
      <w:pPr>
        <w:spacing w:after="0" w:line="45"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On December 10, 2012, we received a Paragraph IV Certification from Amneal Pharmaceuticals, LLC, or Amneal, that it had submitted an ANDA to the FDA requesting approval to market a generic version of Xyrem. Amneal’s Paragraph IV Certification alleged that seven patents listed for Xyrem in the Orange Book are not infringed by Amneal’s proposed generic product. Amneal’s Paragraph IV Certification further alleged that an eighth patent listed in the Orange Book for Xyrem is invalid. On December 13, 2012, we received a supplemental Paragraph IV Certification alleging that a ninth patent listed in the Orange Book for Xyrem is invalid. On January 18, 2013, we filed a lawsuit against Amneal in response to Amneal’s Paragraph IV Certifications in the District Court. We are seeking a permanent injunction to prevent Amneal from introducing a generic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version of Xyrem that would infringe our patents. In accordance with the Hatch-Waxman Act, as a result of having filed a timely lawsuit against Amneal, FDA approval of Amneal’s ANDA will be stayed until the earlier of (i) June 10, 2015, which is 30 months after our receipt of Amneal’s Paragraph IV Certification on December 10, 2012, or (ii) a District Court decision finding that the identified patents are invalid, unenforceable or not infringed. We cannot predict the outcome of this matter.</w:t>
      </w:r>
    </w:p>
    <w:p>
      <w:pPr>
        <w:spacing w:after="0" w:line="52"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May 18, 2012, we submitted a Citizen Petition to the FDA that addressed the legal and scientific bases for requiring in vivo bioequivalence studies for generic formulations of Xyrem. Among other actions requested of the FDA, this petition requested that the FDA (i) not accept for review, review, or approve any ANDA referencing Xyrem unless and until the FDA has published bioequivalence requirements in the Orange Book specifying whether in vitro bioequivalence studies, in vivo bioequivalence studies, or both, are required for such ANDAs and (ii) require in vivo bioequivalence studies for any sodium oxybate drug product for which approval is sought in an ANDA referencing Xyrem to the extent such drug product differs from Xyrem in manufacturing process, pH, excipients, impurities, degradants or contaminants. On November 13, 2012, the FDA denied this Citizen Petition. On July 10, 2012, we submitted a second Citizen Petition to the FDA that addressed the requirements for submission of any ANDA referencing Xyrem. This petition focused on our view that any ANDA referencing Xyrem must contain a proposed risk management system at the time it was or is filed in order to demonstrate, as required by law, that the new generic drug product would have the same labeling and conditions of use as Xyrem. Among other actions requested of the FDA, this petition asked the FDA to rescind the acceptance of any previously-accepted ANDA referencing Xyrem, including the Roxane ANDA, that did not contain a proposed risk management system at the time it was accepted for review. On December 13, 2012, the FDA denied this Citizen Petition. We are evaluating the FDA’s responses to both Citizen Petitions and potential further actions that we may take with respect to the issues raised in, and the FDA’s denials of, the Citizen Petitions. The FDA’s denial of the Citizen Petitions does not have a direct impact on the merits of our ongoing lawsuits with Roxane and Amneal. However, we cannot predict the effect of the denial of either of our Citizen Petitions, or the FDA’s stated positions in its responses to the Citizen Petitions, on the timing of the potential introduction of a generic version of Xyrem.</w:t>
      </w:r>
    </w:p>
    <w:p>
      <w:pPr>
        <w:spacing w:after="0" w:line="48" w:lineRule="exact"/>
        <w:rPr>
          <w:sz w:val="20"/>
          <w:szCs w:val="20"/>
          <w:color w:val="auto"/>
        </w:rPr>
      </w:pPr>
    </w:p>
    <w:p>
      <w:pPr>
        <w:ind w:firstLine="432"/>
        <w:spacing w:after="0" w:line="259" w:lineRule="auto"/>
        <w:rPr>
          <w:sz w:val="20"/>
          <w:szCs w:val="20"/>
          <w:color w:val="auto"/>
        </w:rPr>
      </w:pPr>
      <w:r>
        <w:rPr>
          <w:rFonts w:ascii="Arial" w:cs="Arial" w:eastAsia="Arial" w:hAnsi="Arial"/>
          <w:sz w:val="17"/>
          <w:szCs w:val="17"/>
          <w:i w:val="1"/>
          <w:iCs w:val="1"/>
          <w:color w:val="auto"/>
        </w:rPr>
        <w:t>FazaClo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ANDA Matters: </w:t>
      </w:r>
      <w:r>
        <w:rPr>
          <w:rFonts w:ascii="Arial" w:cs="Arial" w:eastAsia="Arial" w:hAnsi="Arial"/>
          <w:sz w:val="17"/>
          <w:szCs w:val="17"/>
          <w:color w:val="auto"/>
        </w:rPr>
        <w:t>Azur Pharma received Paragraph IV Certifications from three generics manufacturers, Barr Laboratories, Inc.; Novel</w:t>
      </w:r>
      <w:r>
        <w:rPr>
          <w:rFonts w:ascii="Arial" w:cs="Arial" w:eastAsia="Arial" w:hAnsi="Arial"/>
          <w:sz w:val="17"/>
          <w:szCs w:val="17"/>
          <w:i w:val="1"/>
          <w:iCs w:val="1"/>
          <w:color w:val="auto"/>
        </w:rPr>
        <w:t xml:space="preserve"> </w:t>
      </w:r>
      <w:r>
        <w:rPr>
          <w:rFonts w:ascii="Arial" w:cs="Arial" w:eastAsia="Arial" w:hAnsi="Arial"/>
          <w:sz w:val="17"/>
          <w:szCs w:val="17"/>
          <w:color w:val="auto"/>
        </w:rPr>
        <w:t>Laboratories, Inc.; and Mylan Pharmaceuticals, Inc., indicating that ANDAs had been filed with the FDA requesting approval to market generic versions of FazaClo LD. Azur Pharma and CIMA Labs Inc., or CIMA, a subsidiary of Teva Pharmaceutical Industries Limited, or Teva, our licensor and the entity whose drug-delivery technology is incorporated into FazaClo LD, filed a lawsuit in response to each certification claiming infringement based on such certification: against Barr Laboratories, Inc. on August 21, 2008, against Novel Laboratories, Inc. on November 25, 2008, and against Mylan Pharmaceuticals, Inc. on July 23, 2010. Each case was filed in the United States District Court for the District of Delaware. On July 6, 2011, CIMA, Azur Pharma and Teva, which had acquired Barr Laboratories, Inc., entered into an agreement settling the patent litigation and Azur Pharma granted a sublicense to an affiliate of Teva of Azur Pharma’s rights to have manufactured, market and sell a generic version of both FazaClo LD and FazaClo HD, as well as an option for supply of authorized generic product. The sublicense for FazaClo LD commenced in July 2012, and the sublicense for FazaClo HD will commence in May 2015, or earlier upon the occurrence of certain events. Teva exercised its option for supply of an authorized generic product for FazaClo LD and launched the authorized generic product at the end of August 2012. The Novel Laboratories, Inc. and Mylan Pharmaceuticals, Inc. matters have been stayed pending reexamination of the patents in the suit. We cannot predict the outcome of the matters with Novel Laboratories, Inc. and Mylan Pharmaceuticals, Inc., the reexamination proceedings, or when the stays will be lifted.</w:t>
      </w:r>
    </w:p>
    <w:p>
      <w:pPr>
        <w:spacing w:after="0" w:line="6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i w:val="1"/>
          <w:iCs w:val="1"/>
          <w:color w:val="auto"/>
        </w:rPr>
        <w:t xml:space="preserve">Cutler Matter: </w:t>
      </w:r>
      <w:r>
        <w:rPr>
          <w:rFonts w:ascii="Arial" w:cs="Arial" w:eastAsia="Arial" w:hAnsi="Arial"/>
          <w:sz w:val="16"/>
          <w:szCs w:val="16"/>
          <w:color w:val="auto"/>
        </w:rPr>
        <w:t>On October 19, 2011, Dr. Neal Cutler, one of the original owners of FazaClo, filed a complaint against Azur Pharma and one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as well as Avanir Pharmaceuticals, Inc., or Avanir, in California Superior Court in the County of Los Angeles, or the Superior Court. The complaint alleges that Azur Pharma and its subsidiary breached certain contractual obligations. Azur Pharma acquired rights to FazaClo from Avanir in 2007. The complaint alleges that as part of the acquisition of FazaClo, Azur Pharma’s subsidiary agreed to assume certain contingent payment obligations to</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Dr. Cutler. The complaint further alleges that certain contingent payments are due because revenue thresholds have been achieved, entitling Dr. Cutler to either a $10.5 million or $25.0 million contingent payment, plus unspecified punitive damages and attorneys’ fees. On March 14, 2012, the Superior Court granted our petition to compel arbitration of the dispute in New York and stayed the Superior Court litigation. We submitted a complaint in arbitration alleging that Dr. Cutler’s suit had been improperly filed in Los Angeles and seeking a declaratory judgment that we have complied with all contractual obligations to Dr. Cutler. On July 25, 2012, the arbitrator dismissed the arbitration on the grounds that the parties’ dispute falls outside of the scope of the arbitration clause in the applicable contract. We have asked the Superior Court to vacate the arbitrator’s dismissal of the arbitration and appealed the Superior Court’s denial of our motion to the California Court of Appeal. In addition, on November 7, 2012, we filed challenges to the sufficiency of the complaint in the Superior Court, but the Superior Court case has been stayed pending the outcome of our appeal. This matter, like all litigation, carries certain risks, and there can be no assurance of the outcome.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and Additional Paid-In Capital</w:t>
      </w:r>
    </w:p>
    <w:p>
      <w:pPr>
        <w:spacing w:after="0" w:line="9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Following the Azur Merger, our capital structure is comprised of ordinary shares and euro deferred shares. The outstanding 4,000,000 non-voting euro deferred shares of €0.01 par value each are held by nominees and were issued to satisfy the statutory minimum Euro-denominated share capital required for a public limited company incorporated in Ireland. The non-voting euro deferred shares have no right to receive dividends, no rights to attend and vote at our general meetings, are redeemable only at our option and have no substantive right to participate in a distribution of assets upon a winding up of our company. All references to common stock in the comparative prior year periods in the discussion and table below were replaced with references to ordinary shares to reflect the capital structure of Azur Pharma, the legal acquirer in the Azur Merger. Our earnings per share in comparative prior year periods were not impacted by the Azur Merger as a result of the one-for-one Azur exchange ratio.</w:t>
      </w:r>
    </w:p>
    <w:p>
      <w:pPr>
        <w:spacing w:after="0" w:line="124"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The total acquisition consideration of $576.5 million related to the Azur Merger was recorded by increasing total par value of our ordinary shares and euro deferred shares by $1,236 and $54,862, respectively; by creating a capital redemption reserve of $0.5 million as required by Irish company law to preserve permanent capital in our company; and by increasing our additional paid-in capital by $575.9 million.</w:t>
      </w:r>
    </w:p>
    <w:p>
      <w:pPr>
        <w:spacing w:after="0" w:line="111"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In 2012, we paid $25.3 million of income tax withholdings on behalf of certain employees of Jazz Pharmaceuticals, Inc. related to the net share settlement of exercised share options in connection with the Azur Merger. The number of shares issued to employees upon the net share settlement of the exercised share options was decreased by a number of shares having a total fair value on the date of the net share settlement equal to the amount of the income tax withholdings paid. The $25.3 million of income tax withholdings paid was recorded as a reduction to additional paid-in capital.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Authorized But Unissued Ordinary Shares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reserved the following shares of authorized but unissued ordinary shares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536"/>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53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536"/>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2011 Equity Incentive Plan</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2007 Equity Incentive Plan</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2007 Employee Stock Purchase Plan</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Amended and Restated 2007 Non-Employee Directors Stock Option Plan</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Amended and Restated Directors Deferred Compensation Plan</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Exercise of warrants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11,775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b w:val="1"/>
                <w:bCs w:val="1"/>
                <w:i w:val="1"/>
                <w:iCs w:val="1"/>
                <w:color w:val="auto"/>
              </w:rPr>
              <w:t>Warrants</w:t>
            </w:r>
          </w:p>
        </w:tc>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060" w:type="dxa"/>
            <w:vAlign w:val="bottom"/>
            <w:gridSpan w:val="5"/>
          </w:tcPr>
          <w:p>
            <w:pPr>
              <w:ind w:left="400"/>
              <w:spacing w:after="0"/>
              <w:rPr>
                <w:sz w:val="20"/>
                <w:szCs w:val="20"/>
                <w:color w:val="auto"/>
              </w:rPr>
            </w:pPr>
            <w:r>
              <w:rPr>
                <w:rFonts w:ascii="Arial" w:cs="Arial" w:eastAsia="Arial" w:hAnsi="Arial"/>
                <w:sz w:val="18"/>
                <w:szCs w:val="18"/>
                <w:color w:val="auto"/>
                <w:w w:val="92"/>
              </w:rPr>
              <w:t>As of December 31, 2012, we had ordinary shares issuable under the following warrants (in thousands):</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Warrants Issued</w:t>
            </w:r>
          </w:p>
        </w:tc>
        <w:tc>
          <w:tcPr>
            <w:tcW w:w="20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Expiration Date</w:t>
            </w:r>
          </w:p>
        </w:tc>
        <w:tc>
          <w:tcPr>
            <w:tcW w:w="1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Shares of</w:t>
            </w:r>
          </w:p>
        </w:tc>
        <w:tc>
          <w:tcPr>
            <w:tcW w:w="160" w:type="dxa"/>
            <w:vAlign w:val="bottom"/>
          </w:tcPr>
          <w:p>
            <w:pPr>
              <w:spacing w:after="0"/>
              <w:rPr>
                <w:sz w:val="24"/>
                <w:szCs w:val="24"/>
                <w:color w:val="auto"/>
              </w:rPr>
            </w:pPr>
          </w:p>
        </w:tc>
        <w:tc>
          <w:tcPr>
            <w:tcW w:w="1540" w:type="dxa"/>
            <w:vAlign w:val="bottom"/>
          </w:tcPr>
          <w:p>
            <w:pPr>
              <w:jc w:val="right"/>
              <w:ind w:right="516"/>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58"/>
        </w:trPr>
        <w:tc>
          <w:tcPr>
            <w:tcW w:w="6060" w:type="dxa"/>
            <w:vAlign w:val="bottom"/>
            <w:gridSpan w:val="3"/>
            <w:vMerge w:val="continue"/>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62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3"/>
                <w:szCs w:val="13"/>
                <w:color w:val="auto"/>
              </w:rPr>
            </w:pPr>
          </w:p>
        </w:tc>
        <w:tc>
          <w:tcPr>
            <w:tcW w:w="1540" w:type="dxa"/>
            <w:vAlign w:val="bottom"/>
          </w:tcPr>
          <w:p>
            <w:pPr>
              <w:jc w:val="right"/>
              <w:ind w:right="616"/>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color w:val="auto"/>
              </w:rPr>
              <w:t>Warrants issued in 2008 in conjunction with long-term debt</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60" w:type="dxa"/>
            <w:vAlign w:val="bottom"/>
            <w:gridSpan w:val="3"/>
            <w:vMerge w:val="continue"/>
          </w:tcPr>
          <w:p>
            <w:pPr>
              <w:spacing w:after="0"/>
              <w:rPr>
                <w:sz w:val="20"/>
                <w:szCs w:val="20"/>
                <w:color w:val="auto"/>
              </w:rPr>
            </w:pPr>
          </w:p>
        </w:tc>
        <w:tc>
          <w:tcPr>
            <w:tcW w:w="2040" w:type="dxa"/>
            <w:vAlign w:val="bottom"/>
            <w:gridSpan w:val="3"/>
          </w:tcPr>
          <w:p>
            <w:pPr>
              <w:jc w:val="right"/>
              <w:ind w:right="360"/>
              <w:spacing w:after="0"/>
              <w:rPr>
                <w:sz w:val="20"/>
                <w:szCs w:val="20"/>
                <w:color w:val="auto"/>
              </w:rPr>
            </w:pPr>
            <w:r>
              <w:rPr>
                <w:rFonts w:ascii="Arial" w:cs="Arial" w:eastAsia="Arial" w:hAnsi="Arial"/>
                <w:sz w:val="18"/>
                <w:szCs w:val="18"/>
                <w:color w:val="auto"/>
              </w:rPr>
              <w:t>March 16, 2013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Warrants issued in 2008 in conjunction with registered direct public offering</w:t>
            </w:r>
          </w:p>
        </w:tc>
        <w:tc>
          <w:tcPr>
            <w:tcW w:w="20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July 20, 2014</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Warrants issued in 2009 in conjunction with private placement</w:t>
            </w:r>
          </w:p>
        </w:tc>
        <w:tc>
          <w:tcPr>
            <w:tcW w:w="2040" w:type="dxa"/>
            <w:vAlign w:val="bottom"/>
            <w:gridSpan w:val="3"/>
          </w:tcPr>
          <w:p>
            <w:pPr>
              <w:jc w:val="right"/>
              <w:ind w:right="360"/>
              <w:spacing w:after="0"/>
              <w:rPr>
                <w:sz w:val="20"/>
                <w:szCs w:val="20"/>
                <w:color w:val="auto"/>
              </w:rPr>
            </w:pPr>
            <w:r>
              <w:rPr>
                <w:rFonts w:ascii="Arial" w:cs="Arial" w:eastAsia="Arial" w:hAnsi="Arial"/>
                <w:sz w:val="18"/>
                <w:szCs w:val="18"/>
                <w:color w:val="auto"/>
              </w:rPr>
              <w:t>July 5, 2016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3"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48895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these warrants were recorded in shareholders’ equity when they were originally issued.</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Comprehensive Income/(Loss)</w:t>
      </w:r>
    </w:p>
    <w:p>
      <w:pPr>
        <w:spacing w:after="0" w:line="9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Comprehensive income/(loss) includes net income/(loss) and all changes in shareholders’ equity during a period, except for those changes resulting from investments by shareholders or distributions to shareholders.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accumulated other comprehensive income/(loss) at December 31, 2012 and December 31, 2011 were as follows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Net Unrealized Gains (Losses)</w:t>
            </w:r>
          </w:p>
        </w:tc>
        <w:tc>
          <w:tcPr>
            <w:tcW w:w="2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Foreign Currency Translation</w:t>
            </w:r>
          </w:p>
        </w:tc>
        <w:tc>
          <w:tcPr>
            <w:tcW w:w="140" w:type="dxa"/>
            <w:vAlign w:val="bottom"/>
          </w:tcPr>
          <w:p>
            <w:pPr>
              <w:spacing w:after="0"/>
              <w:rPr>
                <w:sz w:val="14"/>
                <w:szCs w:val="14"/>
                <w:color w:val="auto"/>
              </w:rPr>
            </w:pPr>
          </w:p>
        </w:tc>
        <w:tc>
          <w:tcPr>
            <w:tcW w:w="17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Total Accumulated Other</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On Available-For-Sale</w:t>
            </w:r>
          </w:p>
        </w:tc>
        <w:tc>
          <w:tcPr>
            <w:tcW w:w="2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Income/(Loss)</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31,046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31,077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31,046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In connection with the Azur Merger, Jazz Pharmaceuticals, Inc.’s board of directors adopted the 2011 Equity Incentive Plan, or the 2011 Plan, in October 2011 and its stockholders approved the 2011 Plan at the special meeting of the stockholders held in December 2011 in connection with the Azur Merger. The 2011 Plan became effective immediately before the consummation of the Azur Merger and was assumed and adopted by us upon the consummation of the Azur Merger. The terms of the 2011 Plan provide for the grant of stock options, stock appreciation rights, restricted stock awards, RSUs, other stock awards, and performance awards that may be settled in cash, shares, or other property. All of the grants under the 2011 Plan were granted to employees and vest ratably over service periods of four years and expire no more than 10 years after the date of grant. As of December 31, 2012, a total of 8,335,255 of our ordinary shares had been authorized for issuance under the 2011 Plan (5,000,000 ordinary shares effective as of the closing of the Azur Merger plus 3,335,255 ordinary shares subject to outstanding options granted under the 2007 Equity Incentive Plan and the 2003 Equity Incentive Plan as of January 18, 2012). In addition, the share reserve under the 2011 Plan will automatically increase on January 1 of each year for a period of 10 years, starting on January 1, 2013 and continuing through January 1, 2022, by the least of (a) 4.5% of the total number of ordinary shares outstanding on December 31 of the preceding calendar year, (b) 5,000,000 shares, or (c) such lesser number of ordinary shares as determined by our board of directors. On January 1, 2013, the share reserve under the 2011 Plan increased by 2,629,000 ordinary shares pursuant to this automatic share provision.</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2007 Equity Incentive Plan, or the 2007 Plan, which was initially adopted by the Jazz Pharmaceuticals, Inc. board of directors and approved by the Jazz Pharmaceuticals, Inc. stockholders in connection with its initial public offering, was continued and assumed by us upon consummation of the Azur Merger. The 2007 Plan provided for the grant of incentive stock options, nonstatutory stock options, restricted stock awards, RSUs, stock appreciation rights, performance stock awards and other forms of equity compensation to employees, including officers, non-employee directors and consultants. Prior to the consummation of the Azur Merger, all of the grants under the 2007 Plan were granted to employees and vest ratably over service periods of three to five years and expire no more than 10 years after the date of grant. Effective as of the closing of the Azur Merger on January 18, 2012, the number of shares reserved for issuance under the 2007 Plan was set to 1,000,000 ordinary shares and there will be no further automatic increases to the share reserve of the 2007 Plan. Since the Azur Merger, all of the new grants under the 2007 Plan were granted to non-employee directors and vest ratably over service periods of one to three years and expire no more than 10 years after the date of grant.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2007 Employee Stock Purchase Plan</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2007, Jazz Pharmaceuticals, Inc.’s employees became eligible to participate in the Employee Stock Purchase Plan, or ESPP. The ESPP was amended and restated by Jazz Pharmaceuticals, Inc.’s board of directors in October 2011 and approved by its stockholders in December 2011. The amended ESPP became effective immediately prior to the effective time of the Azur Merger and was assumed by us upon the consummation of the Azur Merger. The ESPP allows our eligible employee participants (including employees of any of a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 month purchase period is 175,000 shares. As of December 31, 2012, a total of 2,660,000 of our ordinary shares had been authorized for issuance under the ESPP.</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2007 Non-Employee Directors Stock Option Plan</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Amended and Restated 2007 Non-Employee Directors Stock Option Plan, or the 2007 Directors Option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Option Plan provided for the automatic grant of nonstatutory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Option Plan to eliminate all future initial and annual automatic grants so that future automatic grants would not be made that would be subject to the excise tax imposed by Section 4985 of the Internal Revenue Code of 1986, as amended, in connection with the merger with Azur Pharma. Accordingly, all future stock option grants under the 2007 Directors Option Plan will be at the discretion of our board of directors. Since the date of the Azur Merger and as of the date of this report, our board of directors has approved one grant to a non-employee director under the 2007 Directors Option Plan. In addition, the 2007 Directors Option Plan provides the source of shares to fund distributions made prior to August 15, 2010 under the Directors Deferred Compensation Plan described below. As of December 31, 2012, a total of 777,713 of our ordinary shares had been authorized for issuance under the 2007 Directors Option Plan.</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Amended and Restated Directors Deferred Compensation Plan</w:t>
      </w:r>
    </w:p>
    <w:p>
      <w:pPr>
        <w:spacing w:after="0" w:line="9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May 2007, the Jazz Pharmaceuticals, Inc. board of directors adopted the Directors Deferred Compensation Plan, or the Directors Deferred Plan, which was amended in December 2008 and was then amended and restated in August 2010, and which was continued and assumed by us upon consummation of the Azur Merger. The Directors Deferred Plan allows each non-employee director to elect to defer receipt of all or a portion of his or her annual retainer fees to a future date or dates. Amounts deferred under the Directors Deferred Plan are credited as shares of Jazz Pharmaceuticals, Inc.’s common stock (or our ordinary shares following the Azur Merger) to a phantom stock account, the number of which are based on the amount of the retainer fees deferred divided by the market value of Jazz Pharmaceuticals, Inc.’s common stock (or our ordinary shares following the Azur Merger) on the first trading day of the first open window period following the date the retainer fees are deemed earned. On the 10th business day following the day of separation from the board of directors or the occurrence of a change in control, or as soon thereafter as practical once the non-employee director has provided the necessary information for electronic deposit of the deferred shares, each non-employee director will receive (or commence receiving, depending upon whether the director has elected to receive distributions from his or her phantom stock account in a lump sum or in installments over time) a distribution of his or her phantom stock account, in shares of our ordinary shares (i) reserved under the 2007 Directors Option Plan prior to August 15, 2010 and (ii) from a new reserve of 200,000 shares set up under the Directors Deferred Plan on August 15, 2010. We recorded no expense in 2012 related to retainer fees earned and deferred, and in 2011 and 2010 we incurred expense of $0.4 million and $0.2 million, respectively. As of December 31, 2012, 19,170 of our ordinary shares were unissued related to retainer fees that were deferred under the Directors Deferred Plan.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table below shows, for all share option grants, the weighted-average assumptions used in the Black-Scholes option pricing model and the resulting weighted-average grant date fair value of share options granted in each of the past three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2010</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7.84</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Range of risk-free rates</w:t>
            </w: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0.5-1.1%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0.0-2.7%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1.5-3.1%</w:t>
            </w:r>
          </w:p>
        </w:tc>
      </w:tr>
      <w:tr>
        <w:trPr>
          <w:trHeight w:val="27"/>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Prior to 2012, we used a blend of the historical volatility and implied volatility of our ordinary shares, as well as the historical volatility of a peer group, to determine expected volatility for share option grants, and we used the implied volatility of our ordinary shares for grants under our ESPP. We included consideration of the historical volatility of a peer group to estimate expected volatility for share option grants since the trading history of our ordinary shares was less than the expected term of the share options. Beginning in the year ended December 31, 2012, we rely only on a blend of the historical and implied volatilities of our own ordinary shares to determine expected volatility for share option grants because our trading history now exceeds the expected term of the share options. In addition, we use a single volatility estimate for each share option grant. The weighted average volatility is determined by calculating the weighted average of volatilities for all share options granted in a given year.</w:t>
      </w:r>
    </w:p>
    <w:p>
      <w:pPr>
        <w:spacing w:after="0" w:line="12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expected term of share option grants represents the weighted-average period the awards are expected to remain outstanding. For share options granted in 2012 and 2011, we estimated the weighted-average expected term based on historical exercise data. Prior to 2011, the expected term was estimated by assuming share options would be exercised at the mid-point between the vest date and the contractual term. The risk-free interest rate assumption was based on zero coupon U.S. Treasury instruments whose term was consistent with the expected term of our share option grants. The expected dividend yield assumption was based on our history and expectation of dividend payouts.</w:t>
      </w:r>
    </w:p>
    <w:p>
      <w:pPr>
        <w:spacing w:after="0" w:line="11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Share-based compensation expense in continuing operations related to share options, RSUs, ordinary shares credited to the directors’ phantom share accounts and grants under our ESPP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share-based compensation expense, pre-tax</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23,006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from share-based compensation expense</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(7,499)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share-based compensation expense, net of tax</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15,507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20,704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w:t>
            </w: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40" w:hanging="316"/>
        <w:spacing w:after="0" w:line="255"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expense of $7.3 million related to the acceleration of vesting in December 2011 of certain non-qualified share options held by 17 executives and non-employee directors in connection with the Azur Merger, of which $6.9 million was recorded in selling, general and administrative and $0.4 million was recorded in research and development.</w:t>
      </w:r>
    </w:p>
    <w:p>
      <w:pPr>
        <w:spacing w:after="0" w:line="136"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For the year ended December 31, 2012, we realized tax benefits related to share option exercises of $18.3 million and none in 2011 and 2010.</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Options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2012 and activity during 2012 related to our share option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3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2012</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5,506</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2012</w:t>
            </w: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4,178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88,174</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at December 31, 2012</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83,683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Exercisable at December 31, 2012</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51,463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$106.5 million, $33.5 million and $9.7 million, during 2012, 2011 and 2010, respectively. We issued new ordinary shares upon exercise of share options.</w:t>
      </w:r>
    </w:p>
    <w:p>
      <w:pPr>
        <w:spacing w:after="0" w:line="133"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As of December 31, 2012, total compensation cost not yet recognized related to unvested share options was $75.6 million, which is expected to be recognized over a weighted-average period of 2.9 years. As of December 31, 2012, total compensation cost not yet recognized related to grants under the ESPP was $1.6 million, which is expected to be recognized over a weighted-average period of less than one year.</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2012, we granted RSUs covering an equal number of our ordinary shares to employees with a weighted-average grant date fair value of $49.24. The fair value of RSUs is determined on the date of grant based on the market price of our ordinary shares as of that date. The fair value of the RSUs is recognized as expense ratably over the vesting period of four years.</w:t>
      </w:r>
    </w:p>
    <w:p>
      <w:pPr>
        <w:spacing w:after="0" w:line="12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2012, total compensation cost not yet recognized related to unvested RSUs was $30.6 million, which is expected to be recognized over a weighted-average period of 3.4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as of December 31, 2012 and activity during 2012 related to our RSUs: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Number of RSUs (in</w:t>
            </w: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Grant-Date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3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2012</w:t>
            </w:r>
          </w:p>
        </w:tc>
        <w:tc>
          <w:tcPr>
            <w:tcW w:w="2000" w:type="dxa"/>
            <w:vAlign w:val="bottom"/>
            <w:tcBorders>
              <w:bottom w:val="single" w:sz="8" w:color="CCEEFF"/>
            </w:tcBorders>
            <w:gridSpan w:val="3"/>
            <w:shd w:val="clear" w:color="auto" w:fill="CCEEFF"/>
          </w:tcPr>
          <w:p>
            <w:pPr>
              <w:ind w:left="1300"/>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RSUs 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released</w:t>
            </w:r>
          </w:p>
        </w:tc>
        <w:tc>
          <w:tcPr>
            <w:tcW w:w="20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RSUs 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expired</w:t>
            </w:r>
          </w:p>
        </w:tc>
        <w:tc>
          <w:tcPr>
            <w:tcW w:w="200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2012</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49.04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4"/>
              <w:spacing w:after="0"/>
              <w:rPr>
                <w:sz w:val="20"/>
                <w:szCs w:val="20"/>
                <w:color w:val="auto"/>
              </w:rPr>
            </w:pPr>
            <w:r>
              <w:rPr>
                <w:rFonts w:ascii="Arial" w:cs="Arial" w:eastAsia="Arial" w:hAnsi="Arial"/>
                <w:sz w:val="18"/>
                <w:szCs w:val="18"/>
                <w:color w:val="auto"/>
              </w:rPr>
              <w:t>50,899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00" w:type="dxa"/>
            <w:vAlign w:val="bottom"/>
          </w:tcPr>
          <w:p>
            <w:pPr>
              <w:spacing w:after="0"/>
              <w:rPr>
                <w:sz w:val="24"/>
                <w:szCs w:val="24"/>
                <w:color w:val="auto"/>
              </w:rPr>
            </w:pPr>
          </w:p>
        </w:tc>
        <w:tc>
          <w:tcPr>
            <w:tcW w:w="2000" w:type="dxa"/>
            <w:vAlign w:val="bottom"/>
            <w:gridSpan w:val="3"/>
          </w:tcPr>
          <w:p>
            <w:pPr>
              <w:ind w:left="840"/>
              <w:spacing w:after="0"/>
              <w:rPr>
                <w:sz w:val="20"/>
                <w:szCs w:val="20"/>
                <w:color w:val="auto"/>
              </w:rPr>
            </w:pPr>
            <w:r>
              <w:rPr>
                <w:rFonts w:ascii="Arial" w:cs="Arial" w:eastAsia="Arial" w:hAnsi="Arial"/>
                <w:sz w:val="18"/>
                <w:szCs w:val="18"/>
                <w:color w:val="auto"/>
              </w:rPr>
              <w:t>F-32</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Other Information</w:t>
      </w:r>
    </w:p>
    <w:p>
      <w:pPr>
        <w:spacing w:after="0" w:line="94" w:lineRule="exact"/>
        <w:rPr>
          <w:sz w:val="20"/>
          <w:szCs w:val="20"/>
          <w:color w:val="auto"/>
        </w:rPr>
      </w:pPr>
    </w:p>
    <w:p>
      <w:pPr>
        <w:ind w:right="340" w:firstLine="432"/>
        <w:spacing w:after="0" w:line="312" w:lineRule="auto"/>
        <w:rPr>
          <w:sz w:val="20"/>
          <w:szCs w:val="20"/>
          <w:color w:val="auto"/>
        </w:rPr>
      </w:pPr>
      <w:r>
        <w:rPr>
          <w:rFonts w:ascii="Arial" w:cs="Arial" w:eastAsia="Arial" w:hAnsi="Arial"/>
          <w:sz w:val="16"/>
          <w:szCs w:val="16"/>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development and commercialization of specialty pharmaceutical products. The following table presents a summary of total revenues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22"/>
                <w:szCs w:val="2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Xyrem</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378,663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233,348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142,630</w:t>
            </w:r>
          </w:p>
        </w:tc>
        <w:tc>
          <w:tcPr>
            <w:tcW w:w="6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Erwinaze/Erwinase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72,083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Prialt</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26,360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Psychiatry:</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Luvox CR</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42,419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33,170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27,376</w:t>
            </w:r>
          </w:p>
        </w:tc>
        <w:tc>
          <w:tcPr>
            <w:tcW w:w="60" w:type="dxa"/>
            <w:vAlign w:val="bottom"/>
          </w:tcPr>
          <w:p>
            <w:pPr>
              <w:spacing w:after="0"/>
              <w:rPr>
                <w:sz w:val="21"/>
                <w:szCs w:val="21"/>
                <w:color w:val="auto"/>
              </w:rPr>
            </w:pPr>
          </w:p>
        </w:tc>
      </w:tr>
      <w:tr>
        <w:trPr>
          <w:trHeight w:val="243"/>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FazaClo LD</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22,023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FazaClo HD</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26,932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580,527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266,518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170,006</w:t>
            </w:r>
          </w:p>
        </w:tc>
        <w:tc>
          <w:tcPr>
            <w:tcW w:w="60" w:type="dxa"/>
            <w:vAlign w:val="bottom"/>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Royalties and contract revenues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3,775</w:t>
            </w:r>
          </w:p>
        </w:tc>
        <w:tc>
          <w:tcPr>
            <w:tcW w:w="60" w:type="dxa"/>
            <w:vAlign w:val="bottom"/>
          </w:tcPr>
          <w:p>
            <w:pPr>
              <w:spacing w:after="0"/>
              <w:rPr>
                <w:sz w:val="21"/>
                <w:szCs w:val="2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9"/>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585,979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272,277</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173,781</w:t>
            </w:r>
          </w:p>
        </w:tc>
        <w:tc>
          <w:tcPr>
            <w:tcW w:w="60" w:type="dxa"/>
            <w:vAlign w:val="bottom"/>
          </w:tcPr>
          <w:p>
            <w:pPr>
              <w:spacing w:after="0"/>
              <w:rPr>
                <w:sz w:val="22"/>
                <w:szCs w:val="22"/>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8060" w:type="dxa"/>
            <w:vAlign w:val="bottom"/>
            <w:gridSpan w:val="9"/>
          </w:tcPr>
          <w:p>
            <w:pPr>
              <w:ind w:left="440"/>
              <w:spacing w:after="0"/>
              <w:rPr>
                <w:sz w:val="20"/>
                <w:szCs w:val="20"/>
                <w:color w:val="auto"/>
              </w:rPr>
            </w:pPr>
            <w:r>
              <w:rPr>
                <w:rFonts w:ascii="Arial" w:cs="Arial" w:eastAsia="Arial" w:hAnsi="Arial"/>
                <w:sz w:val="18"/>
                <w:szCs w:val="18"/>
                <w:color w:val="auto"/>
                <w:w w:val="90"/>
              </w:rPr>
              <w:t>The following table presents a summary of total revenues attributed to geographic sources (in thousands):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22"/>
                <w:szCs w:val="2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538,219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265,718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169,317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Europe</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38,590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6,224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4,169</w:t>
            </w:r>
          </w:p>
        </w:tc>
        <w:tc>
          <w:tcPr>
            <w:tcW w:w="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9,170</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585,979</w:t>
            </w: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272,277</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173,781</w:t>
            </w:r>
          </w:p>
        </w:tc>
        <w:tc>
          <w:tcPr>
            <w:tcW w:w="60" w:type="dxa"/>
            <w:vAlign w:val="bottom"/>
            <w:tcBorders>
              <w:top w:val="single" w:sz="8" w:color="auto"/>
            </w:tcBorders>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59"/>
        </w:trPr>
        <w:tc>
          <w:tcPr>
            <w:tcW w:w="9780" w:type="dxa"/>
            <w:vAlign w:val="bottom"/>
            <w:gridSpan w:val="18"/>
          </w:tcPr>
          <w:p>
            <w:pPr>
              <w:ind w:left="440"/>
              <w:spacing w:after="0"/>
              <w:rPr>
                <w:sz w:val="20"/>
                <w:szCs w:val="20"/>
                <w:color w:val="auto"/>
              </w:rPr>
            </w:pPr>
            <w:r>
              <w:rPr>
                <w:rFonts w:ascii="Arial" w:cs="Arial" w:eastAsia="Arial" w:hAnsi="Arial"/>
                <w:sz w:val="18"/>
                <w:szCs w:val="18"/>
                <w:color w:val="auto"/>
                <w:w w:val="91"/>
              </w:rPr>
              <w:t>The following table presents a summary of total revenues from customers that represented more than 10% of our total revenues: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22"/>
                <w:szCs w:val="2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Express Scripts</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85%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432"/>
        </w:trPr>
        <w:tc>
          <w:tcPr>
            <w:tcW w:w="6360" w:type="dxa"/>
            <w:vAlign w:val="bottom"/>
            <w:gridSpan w:val="2"/>
          </w:tcPr>
          <w:p>
            <w:pPr>
              <w:ind w:left="440"/>
              <w:spacing w:after="0"/>
              <w:rPr>
                <w:sz w:val="20"/>
                <w:szCs w:val="20"/>
                <w:color w:val="auto"/>
              </w:rPr>
            </w:pPr>
            <w:r>
              <w:rPr>
                <w:rFonts w:ascii="Arial" w:cs="Arial" w:eastAsia="Arial" w:hAnsi="Arial"/>
                <w:sz w:val="18"/>
                <w:szCs w:val="18"/>
                <w:color w:val="auto"/>
                <w:w w:val="95"/>
              </w:rPr>
              <w:t>The following table presents total long-lived assets by location (in thousands):</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22"/>
                <w:szCs w:val="2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1,557</w:t>
            </w:r>
          </w:p>
        </w:tc>
        <w:tc>
          <w:tcPr>
            <w:tcW w:w="60" w:type="dxa"/>
            <w:vAlign w:val="bottom"/>
          </w:tcPr>
          <w:p>
            <w:pPr>
              <w:spacing w:after="0"/>
              <w:rPr>
                <w:sz w:val="21"/>
                <w:szCs w:val="21"/>
                <w:color w:val="auto"/>
              </w:rPr>
            </w:pPr>
          </w:p>
        </w:tc>
      </w:tr>
      <w:tr>
        <w:trPr>
          <w:trHeight w:val="27"/>
        </w:trPr>
        <w:tc>
          <w:tcPr>
            <w:tcW w:w="63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Total long-lived assets (1)</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6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17145</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-130175</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Long-lived assets consist of property and equipment.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from continuing operations before the income tax provision (benefit)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Republic of Ireland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(73,949)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250,348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32,778</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177,355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124,984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32,778</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7260" w:type="dxa"/>
            <w:vAlign w:val="bottom"/>
            <w:gridSpan w:val="2"/>
          </w:tcPr>
          <w:p>
            <w:pPr>
              <w:ind w:left="440"/>
              <w:spacing w:after="0"/>
              <w:rPr>
                <w:sz w:val="20"/>
                <w:szCs w:val="20"/>
                <w:color w:val="auto"/>
              </w:rPr>
            </w:pPr>
            <w:r>
              <w:rPr>
                <w:rFonts w:ascii="Arial" w:cs="Arial" w:eastAsia="Arial" w:hAnsi="Arial"/>
                <w:sz w:val="18"/>
                <w:szCs w:val="18"/>
                <w:color w:val="auto"/>
                <w:w w:val="93"/>
              </w:rPr>
              <w:t>The following table sets forth the details of the income tax provision (benefit)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Republic of Ireland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(10,733)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income tax</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6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Republic of Ireland</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income tax benefit</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income tax benefit</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During 2011 and 2010, we had operations only in the United States and made no provision for income taxes due to our utilization of federal net operating loss carryforwards, or NOLs, to offset both regular taxable income and alternative minimum taxable income and to our utilization of deferred state tax benefits for which the related deferred tax assets were offset by a valuation allowance. As discussed in Note 1, in January 2012, the businesses of Jazz Pharmaceuticals, Inc. and Azur Pharma were combined in a merger transaction accounted for as a reverse acquisition and the combined company changed its domicile from the United States to Ireland. In June 2012, we completed the EUSA Acquisition, which further expanded our global operations.</w:t>
      </w:r>
    </w:p>
    <w:p>
      <w:pPr>
        <w:spacing w:after="0" w:line="2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During 2012, we recognized an income tax benefit of $83.8 million which resulted primarily from reversal of a valuation allowance on most of our U.S. federal and state deferred tax assets, as described below. We are currently paying taxes in Ireland, the United States and certain other foreign jurisdictions where we have operations and either all NOLs have been utilized, or are restricted as a result of the Azur Merger.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Following the Azur Merger and the change in the combined company’s domicile in 2012, the statutory income tax rate changed from the U.S. rate (35.0%) to the Irish rate (12.5%). A reconciliation of income taxes at the statutory income tax rate to our effective income tax rate was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2010</w:t>
            </w:r>
          </w:p>
        </w:tc>
      </w:tr>
      <w:tr>
        <w:trPr>
          <w:trHeight w:val="275"/>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at statutory rate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22,169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43,744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11,472</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Acquisition-related costs</w:t>
            </w:r>
          </w:p>
        </w:tc>
        <w:tc>
          <w:tcPr>
            <w:tcW w:w="4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3,552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other tax credits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1,083</w:t>
            </w:r>
          </w:p>
        </w:tc>
      </w:tr>
      <w:tr>
        <w:trPr>
          <w:trHeight w:val="27"/>
        </w:trPr>
        <w:tc>
          <w:tcPr>
            <w:tcW w:w="6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income tax rate differential</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52,066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Uncertain tax positions</w:t>
            </w:r>
          </w:p>
        </w:tc>
        <w:tc>
          <w:tcPr>
            <w:tcW w:w="4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Prior period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(80)</w:t>
            </w:r>
          </w:p>
        </w:tc>
      </w:tr>
      <w:tr>
        <w:trPr>
          <w:trHeight w:val="27"/>
        </w:trPr>
        <w:tc>
          <w:tcPr>
            <w:tcW w:w="6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(159,158)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(46,996)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(12,095)</w:t>
            </w: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(83,794)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r>
      <w:tr>
        <w:trPr>
          <w:trHeight w:val="67"/>
        </w:trPr>
        <w:tc>
          <w:tcPr>
            <w:tcW w:w="62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56"/>
        </w:trPr>
        <w:tc>
          <w:tcPr>
            <w:tcW w:w="6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Effective income tax rate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140" w:firstLine="405"/>
        <w:spacing w:after="0" w:line="277" w:lineRule="auto"/>
        <w:rPr>
          <w:sz w:val="20"/>
          <w:szCs w:val="20"/>
          <w:color w:val="auto"/>
        </w:rPr>
      </w:pPr>
      <w:r>
        <w:rPr>
          <w:rFonts w:ascii="Arial" w:cs="Arial" w:eastAsia="Arial" w:hAnsi="Arial"/>
          <w:sz w:val="18"/>
          <w:szCs w:val="18"/>
          <w:color w:val="auto"/>
        </w:rPr>
        <w:t>The change in valuation allowance of $159.2 million is comprised of NOL and tax credit carryforwards utilized in 2012 of $55.0 million and a release in valuation allowance of $104.2 million as described below.</w:t>
      </w:r>
    </w:p>
    <w:p>
      <w:pPr>
        <w:spacing w:after="0" w:line="170"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Deferred income taxes reflect the tax effects of NOLs and tax credit carryforwards and the net temporary differences between the carrying amounts of assets and liabilities for financial reporting and the amounts used for income tax purposes using currently enacted tax rates and regulations that are expected to be in effect when the differences are expected to be recovered or settled. Significant components of our net deferred tax assets/(liabilities)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r>
      <w:tr>
        <w:trPr>
          <w:trHeight w:val="264"/>
        </w:trPr>
        <w:tc>
          <w:tcPr>
            <w:tcW w:w="4100" w:type="dxa"/>
            <w:vAlign w:val="bottom"/>
          </w:tcPr>
          <w:p>
            <w:pPr>
              <w:spacing w:after="0"/>
              <w:rPr>
                <w:sz w:val="22"/>
                <w:szCs w:val="22"/>
                <w:color w:val="auto"/>
              </w:rPr>
            </w:pPr>
          </w:p>
        </w:tc>
        <w:tc>
          <w:tcPr>
            <w:tcW w:w="4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40" w:type="dxa"/>
            <w:vAlign w:val="bottom"/>
          </w:tcPr>
          <w:p>
            <w:pPr>
              <w:jc w:val="right"/>
              <w:ind w:right="731"/>
              <w:spacing w:after="0"/>
              <w:rPr>
                <w:sz w:val="20"/>
                <w:szCs w:val="20"/>
                <w:color w:val="auto"/>
              </w:rPr>
            </w:pPr>
            <w:r>
              <w:rPr>
                <w:rFonts w:ascii="Arial" w:cs="Arial" w:eastAsia="Arial" w:hAnsi="Arial"/>
                <w:sz w:val="14"/>
                <w:szCs w:val="14"/>
                <w:b w:val="1"/>
                <w:bCs w:val="1"/>
                <w:color w:val="auto"/>
              </w:rPr>
              <w:t>2011</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432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71,636</w:t>
            </w:r>
          </w:p>
        </w:tc>
        <w:tc>
          <w:tcPr>
            <w:tcW w:w="9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67,762</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carryforwards</w:t>
            </w:r>
          </w:p>
        </w:tc>
        <w:tc>
          <w:tcPr>
            <w:tcW w:w="3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6,034</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15,140</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3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13,940</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8,309</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3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6,293</w:t>
            </w: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Accruals</w:t>
            </w:r>
          </w:p>
        </w:tc>
        <w:tc>
          <w:tcPr>
            <w:tcW w:w="3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32,594</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8,188</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and other</w:t>
            </w:r>
          </w:p>
        </w:tc>
        <w:tc>
          <w:tcPr>
            <w:tcW w:w="3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13,797</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5,496</w:t>
            </w: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32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141,876</w:t>
            </w:r>
          </w:p>
        </w:tc>
        <w:tc>
          <w:tcPr>
            <w:tcW w:w="3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111,188</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(17,471)</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(111,188)</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26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124,405</w:t>
            </w:r>
          </w:p>
        </w:tc>
        <w:tc>
          <w:tcPr>
            <w:tcW w:w="3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Acquired intangible assets</w:t>
            </w:r>
          </w:p>
        </w:tc>
        <w:tc>
          <w:tcPr>
            <w:tcW w:w="3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(191,341)</w:t>
            </w: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00" w:type="dxa"/>
            <w:vAlign w:val="bottom"/>
          </w:tcPr>
          <w:p>
            <w:pPr>
              <w:ind w:left="380"/>
              <w:spacing w:after="0"/>
              <w:rPr>
                <w:sz w:val="20"/>
                <w:szCs w:val="20"/>
                <w:color w:val="auto"/>
              </w:rPr>
            </w:pPr>
            <w:r>
              <w:rPr>
                <w:rFonts w:ascii="Arial" w:cs="Arial" w:eastAsia="Arial" w:hAnsi="Arial"/>
                <w:sz w:val="18"/>
                <w:szCs w:val="18"/>
                <w:color w:val="auto"/>
              </w:rPr>
              <w:t>Net deferred tax liabilities</w:t>
            </w:r>
          </w:p>
        </w:tc>
        <w:tc>
          <w:tcPr>
            <w:tcW w:w="326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(68,005)</w:t>
            </w:r>
          </w:p>
        </w:tc>
        <w:tc>
          <w:tcPr>
            <w:tcW w:w="3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4320" w:type="dxa"/>
            <w:vAlign w:val="bottom"/>
            <w:gridSpan w:val="2"/>
          </w:tcPr>
          <w:p>
            <w:pPr>
              <w:jc w:val="right"/>
              <w:ind w:right="2450"/>
              <w:spacing w:after="0"/>
              <w:rPr>
                <w:sz w:val="20"/>
                <w:szCs w:val="20"/>
                <w:color w:val="auto"/>
              </w:rPr>
            </w:pPr>
            <w:r>
              <w:rPr>
                <w:rFonts w:ascii="Arial" w:cs="Arial" w:eastAsia="Arial" w:hAnsi="Arial"/>
                <w:sz w:val="18"/>
                <w:szCs w:val="18"/>
                <w:color w:val="auto"/>
              </w:rPr>
              <w:t>F-35</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breakdown between current and non-current deferred tax assets/(liabilities)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deferred tax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deferred tax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As of December 31, 2012, we had NOL carryforwards and tax credit carryforwards for U.S. federal income tax purposes of approximately $197.4 million and $12.7 million, respectively, available to reduce future income subject to income taxes. The NOL carryforwards are inclusive of $5.1 million from the Azur Merger and $116.7 million from the EUSA Acquisition in 2012. The federal NOL carryforwards will expire, if not utilized, in the tax years 2022 to 2030, and the federal tax credits will expire, if not utilized, in the tax years 2018 to 2032. In addition, we had approximately $237.4 million of NOL carryforwards and $2.4 million of tax credit carryforwards as of December 31, 2012 available to reduce future taxable income for state income tax purposes. The state NOL carryforwards will expire, if not utilized, in the tax years 2013 to 2032. The state tax credits have no expiration date. In addition, as of December 31, 2012, there were NOL carryforwards for income tax purposes of approximately $56.2 million and $4.5 million available to reduce future income subject to income taxes in the United Kingdom and Germany, respectively. The NOLs generated in the United Kingdom and Germany have no expiration period and we maintain a full valuation allowance against the associated deferred tax assets.</w:t>
      </w:r>
    </w:p>
    <w:p>
      <w:pPr>
        <w:spacing w:after="0" w:line="12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Approximately $35.3 million of both the U.S. federal and state NOL carryforwards as of December 31, 2012 resulted from exercises of employee share options and certain sales by employees of shares issued under other employee equity compensation plans. We have not recorded the tax benefit of the deduction related to these exercises and sales as deferred tax assets on our balance sheet. When we realize the tax benefit as a reduction to taxable income in our tax returns, we will account for the tax benefit as a credit to shareholders’ equity rather than as a reduction of our income tax provision in our financial statements.</w:t>
      </w:r>
    </w:p>
    <w:p>
      <w:pPr>
        <w:spacing w:after="0" w:line="5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Valuation allowances require an assessment of both positive and negative evidence when determining whether it is more likely than not that deferred tax assets are recoverable. Such assessment is required on a jurisdiction by jurisdiction basis. During the fourth quarter of 2012, we recognized an income tax benefit of $104.2 million relating to the reversal of a valuation allowance against substantially all of our U.S. federal and state deferred tax assets. Management determined that a valuation allowance was no longer needed on these deferred tax assets based on an assessment of the relative impact of all positive and negative evidence that existed at December 31, 2012, including an evaluation of cumulative income in recent years, future sources of taxable income exclusive of reversing temporary differences, and significant risks and uncertainties related to our business. As of December 31, 2012, we continued to maintain a valuation allowance of $17.5 million for certain U.S. state and foreign deferred tax assets until sufficient positive evidence exists to support reversal. We periodically evaluate the likelihood of the realization of deferred tax assets and will adjust such amounts in light of changing facts and circumstances including, but not limited to, future projections of taxable income, tax legislation, rulings by relevant tax authorities, the progress of tax audits and the regulatory approval of products currently under development.</w:t>
      </w:r>
    </w:p>
    <w:p>
      <w:pPr>
        <w:spacing w:after="0" w:line="43" w:lineRule="exact"/>
        <w:rPr>
          <w:sz w:val="20"/>
          <w:szCs w:val="20"/>
          <w:color w:val="auto"/>
        </w:rPr>
      </w:pPr>
    </w:p>
    <w:p>
      <w:pPr>
        <w:ind w:right="520" w:firstLine="432"/>
        <w:spacing w:after="0" w:line="302" w:lineRule="auto"/>
        <w:rPr>
          <w:sz w:val="20"/>
          <w:szCs w:val="20"/>
          <w:color w:val="auto"/>
        </w:rPr>
      </w:pPr>
      <w:r>
        <w:rPr>
          <w:rFonts w:ascii="Arial" w:cs="Arial" w:eastAsia="Arial" w:hAnsi="Arial"/>
          <w:sz w:val="16"/>
          <w:szCs w:val="16"/>
          <w:color w:val="auto"/>
        </w:rPr>
        <w:t>Utilization of certain of our NOL and tax credit carryforwards in the United States is subject to annual limitation due to the ownership change limitations provided by Sections 382 and 383 of the Internal Revenue Code and similar state provisions. Such an annual limitation may result in the expiration of certain NOLs and tax credits before future utilization. We currently estimate that we have an annual limitation on the utilization of certain acquired federal NOLs of $29 million for each of the years 2013 to 2016, $12 million for 2017, and a combined total of $3 million for 2018 to 2026.</w:t>
      </w:r>
    </w:p>
    <w:p>
      <w:pPr>
        <w:spacing w:after="0" w:line="100" w:lineRule="exact"/>
        <w:rPr>
          <w:sz w:val="20"/>
          <w:szCs w:val="20"/>
          <w:color w:val="auto"/>
        </w:rPr>
      </w:pPr>
    </w:p>
    <w:p>
      <w:pPr>
        <w:ind w:right="140" w:firstLine="432"/>
        <w:spacing w:after="0" w:line="258" w:lineRule="auto"/>
        <w:rPr>
          <w:sz w:val="20"/>
          <w:szCs w:val="20"/>
          <w:color w:val="auto"/>
        </w:rPr>
      </w:pPr>
      <w:r>
        <w:rPr>
          <w:rFonts w:ascii="Arial" w:cs="Arial" w:eastAsia="Arial" w:hAnsi="Arial"/>
          <w:sz w:val="18"/>
          <w:szCs w:val="18"/>
          <w:color w:val="auto"/>
        </w:rPr>
        <w:t>No provision for income tax in Ireland has been recognized on undistributed earnings of our foreign subsidiaries because we consider such earnings to be indefinitely reinvested. Cumulative unremitted earnings of overseas subsidiaries totaled</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approximately $604.2 million at December 31, 2012. In the event of the distribution of those earnings in the form of dividends or otherwise, we may be liable for income taxes, subject to an adjustment, if any, for foreign tax credits and foreign withholding taxes payable to certain foreign tax authorities. As of December 31, 2012, it is not practicable to determine the amount of the income tax liability related to these undistributed earnings due to a variety of factors.</w:t>
      </w:r>
    </w:p>
    <w:p>
      <w:pPr>
        <w:spacing w:after="0" w:line="10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We are required to recognize the financial statement effects of a tax position when it is more likely than not, based on the technical merits, that the position will be sustained upon examination. As a result, we have established a liability for certain 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benefits which we judge may not be sustained upon examination. A reconciliation of our unrecognized tax benefits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2010</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164</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year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applicable statute of limitations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104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7,288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4,852</w:t>
            </w:r>
          </w:p>
        </w:tc>
      </w:tr>
      <w:tr>
        <w:trPr>
          <w:trHeight w:val="27"/>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Interest related to our unrecognized tax benefits is recorded in income tax provision (benefit) in our consolidated statements of income. As of December 31, 2012 and 2011, our accrued interest and penalties related to uncertain tax positions were not significant. Included in the balance of unrecognized tax benefits at December 31, 2012 are potential benefits of $5.5 million that, if recognized, would affect the effective tax rate on income. We do not anticipate that the amount of existing unrecognized tax benefits will significantly increase or decrease within the next 12 months.</w:t>
      </w:r>
    </w:p>
    <w:p>
      <w:pPr>
        <w:spacing w:after="0" w:line="17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We file income tax returns in Ireland, the U.S. federal and various state jurisdictions and foreign jurisdictions, including France, which typically have three to four tax years open at any point in time. Because of our net operating loss and tax credit carryforwards, substantially all of our tax years remain open to federal, state, and foreign tax examination. We are currently under examination by the French tax authorities for fiscal years 2010 and 2011.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9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connection with the Azur Merger, we assumed a lease for office space in Dublin, Ireland. The lease agreement was with Seamus Mulligan, the former Chief Executive Officer of Azur Pharma, who is a member of our board of directors. Rentals paid on this lease amounted to $0.3 million in 2012. In November 2012, we terminated this lease at a cost of $1.2 million, which was the carrying value of our above market lease liability. There was no resulting gain or loss on the lease termination.</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2011, Azur Pharma entered into an agreement with Circ Pharma Limited/Circ Pharma Research and Development Limited, or Circ, companies controlled by Seamus Mulligan, whereby Azur Pharma obtained an option to license certain rights and assets in relation to Tramadol (a chronotherapeutic formulation) and to conduct certain development activities. Azur Pharma paid Circ $0.3 million for this option in 2011. In 2012, we terminated the agreement at no cost.</w:t>
      </w:r>
    </w:p>
    <w:p>
      <w:pPr>
        <w:spacing w:after="0" w:line="13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2012, we entered into an underwriting agreement with two underwriters and certain selling shareholders, pursuant to which the selling shareholders agreed to sell to the underwriters 7.9 million of our ordinary shares, resulting in aggregate gross proceeds to the selling shareholders of approximately $390.7 million. The selling shareholders included entities affiliated with certain members of our board of directors, four of our directors and four of our executive officers at the time of the agreement. We did not receive any proceeds from the sale of our ordinary shares by the selling shareholders in the offering, and we paid expenses of approximately $0.4 million in connection with this offering.</w:t>
      </w:r>
    </w:p>
    <w:p>
      <w:pPr>
        <w:spacing w:after="0" w:line="37"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In 2010, we repaid in full all of our then outstanding senior secured notes, of which $6.8 million principal amount was paid to an entity affiliated with Kohlberg, Kravis &amp; Roberts &amp; Co. L.P., or KKR, a significant stockholder. In addition, in 2010, we paid prepayment penalties and a fee to the holders of the senior secured notes totaling $8.5 million of which $0.5 million was paid to the KKR affiliate. Cash paid for interest with respect to then outstanding senior secured notes held by the KKR affiliate was $0.5 million in 2010. All payments to KKR were in proportion to its ownership of the senior secured notes.</w:t>
      </w:r>
    </w:p>
    <w:p>
      <w:pPr>
        <w:spacing w:after="0" w:line="10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2010, we issued 7,000,000 shares of our common stock in an underwritten public offering of which 821,851 shares and 16,472 shares were purchased from the underwriter by Longitude Venture Partners, L.P. and Longitude Capital Associates, L.P., respectively, which are entities affiliated with Patrick G. Enright, a member of our board of directors. The remaining shares were purchased from the underwriter by third party investors on the same terms and conditions.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w:t>
      </w:r>
    </w:p>
    <w:p>
      <w:pPr>
        <w:spacing w:after="0" w:line="94"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In June 2012, we initiated a restructuring plan to re-align certain support functions across the company following the Azur Merger and the EUSA Acquisition. In connection with this restructuring, we will incur costs of severance for terminated employees as well as retention bonus costs for certain employees retained to assist with the transition process, which is estimated to be completed by the second quarter of 2013. The one-time termination benefits are being recorded over the remaining service period where employees are required to stay through their termination date to receive the benefits. During the year ended December 31, 2012, we recorded $2.8 million of costs related to these one-time termination benefits, which are recorded within selling, general and administrative expenses in our consolidated statements of income. We expect to incur approximately $0.3 million in additional costs in connection with this plan. There were no restructuring activities during 2011 or 2010.</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amounts related to one-time termination benefits for the year ended December 31, 2012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5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Total Termination Benefits</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2012</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Costs incurred during the period</w:t>
            </w:r>
          </w:p>
        </w:tc>
        <w:tc>
          <w:tcPr>
            <w:tcW w:w="6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2,789</w:t>
            </w:r>
          </w:p>
        </w:tc>
      </w:tr>
      <w:tr>
        <w:trPr>
          <w:trHeight w:val="27"/>
        </w:trPr>
        <w:tc>
          <w:tcPr>
            <w:tcW w:w="9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payments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r>
      <w:tr>
        <w:trPr>
          <w:trHeight w:val="257"/>
        </w:trPr>
        <w:tc>
          <w:tcPr>
            <w:tcW w:w="9540" w:type="dxa"/>
            <w:vAlign w:val="bottom"/>
          </w:tcPr>
          <w:p>
            <w:pPr>
              <w:ind w:left="20"/>
              <w:spacing w:after="0"/>
              <w:rPr>
                <w:sz w:val="20"/>
                <w:szCs w:val="20"/>
                <w:color w:val="auto"/>
              </w:rPr>
            </w:pPr>
            <w:r>
              <w:rPr>
                <w:rFonts w:ascii="Arial" w:cs="Arial" w:eastAsia="Arial" w:hAnsi="Arial"/>
                <w:sz w:val="18"/>
                <w:szCs w:val="18"/>
                <w:color w:val="auto"/>
              </w:rPr>
              <w:t>Balance at December 31, 2012</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1,227</w:t>
            </w:r>
          </w:p>
        </w:tc>
      </w:tr>
      <w:tr>
        <w:trPr>
          <w:trHeight w:val="20"/>
        </w:trPr>
        <w:tc>
          <w:tcPr>
            <w:tcW w:w="9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balance for termination benefits at December 31, 2012 is included within accrued liabilities in our consolidated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Discontinued Operations</w:t>
      </w:r>
    </w:p>
    <w:p>
      <w:pPr>
        <w:spacing w:after="0" w:line="94"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In 2012, we sold the women’s health business, a component of the acquired Azur Pharma business, to Meda Pharmaceuticals Inc. and Meda Pharma, Sàrl, or collectively, Meda, for $97.6 million, including $2.6 million for certain inventory transferred to Meda upon the closing of the sale, less transaction costs of $3.7 million. As part of the transaction, Meda purchased six women’s health products from us and offered positions to approximately 60 of our employees who directly supported the women’s health business. We recorded a non-recurring gain on the sale of $35.2 million.</w:t>
      </w:r>
    </w:p>
    <w:p>
      <w:pPr>
        <w:spacing w:after="0" w:line="10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decided to sell our women’s health business to concentrate our commercial efforts on our core products in our target therapeutic areas. The results of the women’s health business are included in income from discontinued operations in 2012. As the women’s health business was acquired in the Azur Merger, it is not included in the results for 2011 or 2010. Goodwill was allocated to the divested women’s health business using the relative fair value method.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 and income from discontinued operations were as follows (in thousands):</w:t>
      </w: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ind w:right="45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4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December 31, 2012</w:t>
            </w:r>
          </w:p>
        </w:tc>
      </w:tr>
      <w:tr>
        <w:trPr>
          <w:trHeight w:val="263"/>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20,873</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4"/>
        </w:trPr>
        <w:tc>
          <w:tcPr>
            <w:tcW w:w="9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Income tax expense (1)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Gain on sale of discontinued operations (2)</w:t>
            </w: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35,244</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27,437</w:t>
            </w:r>
          </w:p>
        </w:tc>
      </w:tr>
      <w:tr>
        <w:trPr>
          <w:trHeight w:val="20"/>
        </w:trPr>
        <w:tc>
          <w:tcPr>
            <w:tcW w:w="9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ind w:left="480" w:hanging="256"/>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income tax expense relates to profits generated by the women’s health business in 2012 which are attributable to the United States.</w:t>
      </w:r>
    </w:p>
    <w:p>
      <w:pPr>
        <w:spacing w:after="0" w:line="9" w:lineRule="exact"/>
        <w:rPr>
          <w:rFonts w:ascii="Arial" w:cs="Arial" w:eastAsia="Arial" w:hAnsi="Arial"/>
          <w:sz w:val="18"/>
          <w:szCs w:val="18"/>
          <w:color w:val="auto"/>
        </w:rPr>
      </w:pPr>
    </w:p>
    <w:p>
      <w:pPr>
        <w:ind w:left="540" w:right="240" w:hanging="316"/>
        <w:spacing w:after="0" w:line="261" w:lineRule="auto"/>
        <w:tabs>
          <w:tab w:leader="none" w:pos="4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gain on sale of discontinued operations was not impacted by income taxes as the value attributable to the women’s health business was held in a non-taxable jurisdiction.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94"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operate a number of defined contribution retirement plans. The costs of these plans are charged to the income statement in the period they are incurred. We recorded expense related to our defined contribution plans of $0.3 million in 2012 and none in 2011 and 2010. In the United Kingdom, we operate a defined contribution plan in which we contribute up to 12% of an employee’s eligible earnings. We recorded expense of $0.2 million in 2012 and none in 2011 and 2010, in connection with contributions we made under the U.K. defined contribution plan. In France, we accrue for a potential liability which is payable if an employee retires and we recorded expense of $0.1 million in 2012 and none in 2011 and 2010 related to this plan. In the United States, we provide a qualified 401(k) savings plan for our U.S. based employees. All U.S. based employees are eligible to participate, provided they meet the requirements of the plan. While we can elect to match employee contributions under the 401(k) savings plan, no such matching contributions were made through December 31,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94"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following interim financial information presents our 2012 and 2011 results of operations on a quarterly basis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114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102,530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124,231</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175,515</w:t>
            </w:r>
          </w:p>
        </w:tc>
        <w:tc>
          <w:tcPr>
            <w:tcW w:w="5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183,703</w:t>
            </w: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Gross margin (1)(2)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93,708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4"/>
          </w:tcPr>
          <w:p>
            <w:pPr>
              <w:jc w:val="right"/>
              <w:ind w:right="8"/>
              <w:spacing w:after="0"/>
              <w:rPr>
                <w:sz w:val="20"/>
                <w:szCs w:val="20"/>
                <w:color w:val="auto"/>
              </w:rPr>
            </w:pPr>
            <w:r>
              <w:rPr>
                <w:rFonts w:ascii="Arial" w:cs="Arial" w:eastAsia="Arial" w:hAnsi="Arial"/>
                <w:sz w:val="18"/>
                <w:szCs w:val="18"/>
                <w:color w:val="auto"/>
              </w:rPr>
              <w:t>110,714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141,501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156,179</w:t>
            </w:r>
          </w:p>
        </w:tc>
      </w:tr>
      <w:tr>
        <w:trPr>
          <w:trHeight w:val="27"/>
        </w:trPr>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30,235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31,113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33,595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166,206</w:t>
            </w: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(3,968)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34,345</w:t>
            </w:r>
          </w:p>
        </w:tc>
      </w:tr>
      <w:tr>
        <w:trPr>
          <w:trHeight w:val="27"/>
        </w:trPr>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27,145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33,209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200,551</w:t>
            </w: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Net income per ordinary share, basic</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gridSpan w:val="3"/>
          </w:tcPr>
          <w:p>
            <w:pPr>
              <w:jc w:val="right"/>
              <w:ind w:right="8"/>
              <w:spacing w:after="0"/>
              <w:rPr>
                <w:sz w:val="20"/>
                <w:szCs w:val="20"/>
                <w:color w:val="auto"/>
              </w:rPr>
            </w:pPr>
            <w:r>
              <w:rPr>
                <w:rFonts w:ascii="Arial" w:cs="Arial" w:eastAsia="Arial" w:hAnsi="Arial"/>
                <w:sz w:val="18"/>
                <w:szCs w:val="18"/>
                <w:color w:val="auto"/>
                <w:w w:val="96"/>
              </w:rPr>
              <w:t>0.48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ordinary share, diluted</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6"/>
              </w:rPr>
              <w:t>0.45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332"/>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1140" w:type="dxa"/>
            <w:vAlign w:val="bottom"/>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June 30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5"/>
          </w:tcPr>
          <w:p>
            <w:pPr>
              <w:jc w:val="right"/>
              <w:ind w:right="11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64,567</w:t>
            </w:r>
          </w:p>
        </w:tc>
        <w:tc>
          <w:tcPr>
            <w:tcW w:w="4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73,293</w:t>
            </w:r>
          </w:p>
        </w:tc>
        <w:tc>
          <w:tcPr>
            <w:tcW w:w="7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83,536</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Gross margin (2)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68,315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77,073</w:t>
            </w:r>
          </w:p>
        </w:tc>
        <w:tc>
          <w:tcPr>
            <w:tcW w:w="114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32,482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37,473</w:t>
            </w:r>
          </w:p>
        </w:tc>
        <w:tc>
          <w:tcPr>
            <w:tcW w:w="11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Net income per ordinary share, basic</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0.88</w:t>
            </w:r>
          </w:p>
        </w:tc>
        <w:tc>
          <w:tcPr>
            <w:tcW w:w="114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4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ordinary share, diluted</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140" w:type="dxa"/>
            <w:vAlign w:val="bottom"/>
          </w:tcPr>
          <w:p>
            <w:pPr>
              <w:spacing w:after="0"/>
              <w:rPr>
                <w:sz w:val="21"/>
                <w:szCs w:val="21"/>
                <w:color w:val="auto"/>
              </w:rPr>
            </w:pPr>
          </w:p>
        </w:tc>
      </w:tr>
      <w:tr>
        <w:trPr>
          <w:trHeight w:val="218"/>
        </w:trPr>
        <w:tc>
          <w:tcPr>
            <w:tcW w:w="4800" w:type="dxa"/>
            <w:vAlign w:val="bottom"/>
            <w:gridSpan w:val="2"/>
          </w:tcPr>
          <w:p>
            <w:pPr>
              <w:ind w:left="100"/>
              <w:spacing w:after="0"/>
              <w:rPr>
                <w:sz w:val="20"/>
                <w:szCs w:val="20"/>
                <w:color w:val="auto"/>
              </w:rPr>
            </w:pPr>
            <w:r>
              <w:rPr>
                <w:rFonts w:ascii="Arial" w:cs="Arial" w:eastAsia="Arial" w:hAnsi="Arial"/>
                <w:sz w:val="18"/>
                <w:szCs w:val="18"/>
                <w:color w:val="auto"/>
              </w:rPr>
              <w:t>__________________________</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ind w:left="540" w:right="20" w:hanging="316"/>
        <w:spacing w:after="0" w:line="273"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2012, we sold our women’s health business. The women’s health business met the discontinued operations criteria in the third quarter of 2012. See Note 19 for information regarding discontinued operations. As a result, revenues and gross margin for the first two quarters of 2012 have been restated to reflect only our continuing operations. There was no effect on previously reported net income. Below is a reconciliation of the revenues and gross margin amounts as previously reported in our quarterly reports on Form 10-Q to the restated amounts reported above.</w:t>
      </w:r>
    </w:p>
    <w:p>
      <w:pPr>
        <w:spacing w:after="0" w:line="180"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spacing w:after="0"/>
              <w:rPr>
                <w:sz w:val="16"/>
                <w:szCs w:val="16"/>
                <w:color w:val="auto"/>
              </w:rPr>
            </w:pPr>
          </w:p>
        </w:tc>
      </w:tr>
      <w:tr>
        <w:trPr>
          <w:trHeight w:val="264"/>
        </w:trPr>
        <w:tc>
          <w:tcPr>
            <w:tcW w:w="5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30</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as previously reported</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129,539</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Less product sales from discontinued operations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(5,308)</w:t>
            </w:r>
          </w:p>
        </w:tc>
      </w:tr>
      <w:tr>
        <w:trPr>
          <w:trHeight w:val="27"/>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as adjusted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102,530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124,231</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as previously reported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96,578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112,940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Less gross margin from discontinued operations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27"/>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as adjusted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93,708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110,714</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right="300" w:hanging="316"/>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Gross margin excludes amortization of acquired developed technology of $10.7 million, $12.9 million, $19.7 million and $21.8 million in the first, second, third and fourth quarters of 2012, respectively, and $1.8 million in each quarter of 2011.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tables above include the following unusual or infrequently occurring items:</w:t>
      </w:r>
    </w:p>
    <w:p>
      <w:pPr>
        <w:spacing w:after="0" w:line="117" w:lineRule="exact"/>
        <w:rPr>
          <w:sz w:val="20"/>
          <w:szCs w:val="20"/>
          <w:color w:val="auto"/>
        </w:rPr>
      </w:pPr>
    </w:p>
    <w:p>
      <w:pPr>
        <w:ind w:left="980" w:hanging="486"/>
        <w:spacing w:after="0" w:line="279"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completed the Azur Merger on January 18, 2012 and the EUSA Acquisition on June 12, 2012 and contributions of the acquired businesses to our total revenues from continuing operations were $18.4 million, $23.5 million, $59.9 million and $59.6 million in the first, second, third and fourth quarters of 2012, respectively, as measured from the date of each acquisition. The portion of gross margin and net income associated with the acquired businesses was not separately identifiable due to the integration with our operations;</w:t>
      </w:r>
    </w:p>
    <w:p>
      <w:pPr>
        <w:spacing w:after="0" w:line="63" w:lineRule="exact"/>
        <w:rPr>
          <w:rFonts w:ascii="Arial" w:cs="Arial" w:eastAsia="Arial" w:hAnsi="Arial"/>
          <w:sz w:val="17"/>
          <w:szCs w:val="17"/>
          <w:color w:val="auto"/>
        </w:rPr>
      </w:pPr>
    </w:p>
    <w:p>
      <w:pPr>
        <w:ind w:left="980" w:hanging="486"/>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gain from the sale of our women’s health business of $35.2 million recorded in the fourth quarter of 2012;</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tax benefit of $104.2 million on the release of an income tax valuation allowance in the fourth quarter of 2012;</w:t>
      </w:r>
    </w:p>
    <w:p>
      <w:pPr>
        <w:spacing w:after="0" w:line="117" w:lineRule="exact"/>
        <w:rPr>
          <w:rFonts w:ascii="Arial" w:cs="Arial" w:eastAsia="Arial" w:hAnsi="Arial"/>
          <w:sz w:val="18"/>
          <w:szCs w:val="18"/>
          <w:color w:val="auto"/>
        </w:rPr>
      </w:pPr>
    </w:p>
    <w:p>
      <w:pPr>
        <w:ind w:left="980" w:right="220" w:hanging="486"/>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Acquisition accounting inventory fair value step-up adjustments in continuing operations of $1.3 million, $3.0 million, $10.3 million and $2.1 million in the first, second, third and fourth quarters of 2012, respectively;</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Transaction costs of $3.5 million and $8.9 million in the first and second quarters of 2012, respectively;</w:t>
      </w:r>
    </w:p>
    <w:p>
      <w:pPr>
        <w:spacing w:after="0" w:line="117" w:lineRule="exact"/>
        <w:rPr>
          <w:rFonts w:ascii="Arial" w:cs="Arial" w:eastAsia="Arial" w:hAnsi="Arial"/>
          <w:sz w:val="18"/>
          <w:szCs w:val="18"/>
          <w:color w:val="auto"/>
        </w:rPr>
      </w:pPr>
    </w:p>
    <w:p>
      <w:pPr>
        <w:ind w:left="980" w:right="920" w:hanging="486"/>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Transaction costs of $6.0 million and $5.3 million related to the Azur Merger were recorded in the third and fourth quarters of 2011, respectively;</w:t>
      </w:r>
    </w:p>
    <w:p>
      <w:pPr>
        <w:spacing w:after="0" w:line="62"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Share-based compensation expense of $7.3 million recorded in the fourth quarter of 2011 as a result of the vesting acceleration of non-qualified share options held by certain executives and non-employee directors;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loss on extinguishment of debt of $1.1 million in the third quarter of 2011.</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Additions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charged to</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beginning</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12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Other Additions</w:t>
            </w:r>
          </w:p>
        </w:tc>
        <w:tc>
          <w:tcPr>
            <w:tcW w:w="28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200" w:type="dxa"/>
            <w:vAlign w:val="bottom"/>
          </w:tcPr>
          <w:p>
            <w:pPr>
              <w:spacing w:after="0"/>
              <w:rPr>
                <w:sz w:val="12"/>
                <w:szCs w:val="12"/>
                <w:color w:val="auto"/>
              </w:rPr>
            </w:pPr>
          </w:p>
        </w:tc>
        <w:tc>
          <w:tcPr>
            <w:tcW w:w="100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of period</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expenses</w:t>
            </w: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2012</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62,971</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2011</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111,188</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the year ended December 31, 2010</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discounts</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Allowance for chargebacks</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162,661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155,519</w:t>
            </w:r>
          </w:p>
        </w:tc>
        <w:tc>
          <w:tcPr>
            <w:tcW w:w="0" w:type="dxa"/>
            <w:vAlign w:val="bottom"/>
          </w:tcPr>
          <w:p>
            <w:pPr>
              <w:spacing w:after="0"/>
              <w:rPr>
                <w:sz w:val="1"/>
                <w:szCs w:val="1"/>
                <w:color w:val="auto"/>
              </w:rPr>
            </w:pPr>
          </w:p>
        </w:tc>
      </w:tr>
      <w:tr>
        <w:trPr>
          <w:trHeight w:val="218"/>
        </w:trPr>
        <w:tc>
          <w:tcPr>
            <w:tcW w:w="3340" w:type="dxa"/>
            <w:vAlign w:val="bottom"/>
          </w:tcPr>
          <w:p>
            <w:pPr>
              <w:ind w:left="60"/>
              <w:spacing w:after="0"/>
              <w:rPr>
                <w:sz w:val="20"/>
                <w:szCs w:val="20"/>
                <w:color w:val="auto"/>
              </w:rPr>
            </w:pPr>
            <w:r>
              <w:rPr>
                <w:rFonts w:ascii="Arial" w:cs="Arial" w:eastAsia="Arial" w:hAnsi="Arial"/>
                <w:sz w:val="18"/>
                <w:szCs w:val="18"/>
                <w:color w:val="auto"/>
              </w:rPr>
              <w:t>__________________________</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Shown as a reduction of accounts receivable. Charges related to sales discounts and chargebacks are reflected as a reduction of revenue.</w:t>
      </w:r>
    </w:p>
    <w:p>
      <w:pPr>
        <w:spacing w:after="0" w:line="18" w:lineRule="exact"/>
        <w:rPr>
          <w:rFonts w:ascii="Arial" w:cs="Arial" w:eastAsia="Arial" w:hAnsi="Arial"/>
          <w:sz w:val="17"/>
          <w:szCs w:val="17"/>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additions to the deferred income tax asset valuation allowance resulted from the Azur Merger and the EUSA Acquisition.</w:t>
      </w:r>
    </w:p>
    <w:p>
      <w:pPr>
        <w:spacing w:after="0" w:line="9" w:lineRule="exact"/>
        <w:rPr>
          <w:rFonts w:ascii="Arial" w:cs="Arial" w:eastAsia="Arial" w:hAnsi="Arial"/>
          <w:sz w:val="18"/>
          <w:szCs w:val="18"/>
          <w:color w:val="auto"/>
        </w:rPr>
      </w:pPr>
    </w:p>
    <w:p>
      <w:pPr>
        <w:ind w:left="540" w:right="120" w:hanging="532"/>
        <w:spacing w:after="0" w:line="261"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Deductions to the deferred tax asset valuation allowance include movements relating to utilization of NOLs and tax credit carryforwards, release in valuation allowance and other movements including adjustments following finalization of tax returns.</w:t>
      </w:r>
    </w:p>
    <w:p>
      <w:pPr>
        <w:spacing w:after="0" w:line="49" w:lineRule="exact"/>
        <w:rPr>
          <w:sz w:val="20"/>
          <w:szCs w:val="20"/>
          <w:color w:val="auto"/>
        </w:rPr>
      </w:pPr>
    </w:p>
    <w:p>
      <w:pPr>
        <w:ind w:left="60" w:firstLine="432"/>
        <w:spacing w:after="0" w:line="277" w:lineRule="auto"/>
        <w:rPr>
          <w:sz w:val="20"/>
          <w:szCs w:val="20"/>
          <w:color w:val="auto"/>
        </w:rPr>
      </w:pPr>
      <w:r>
        <w:rPr>
          <w:rFonts w:ascii="Arial" w:cs="Arial" w:eastAsia="Arial" w:hAnsi="Arial"/>
          <w:sz w:val="18"/>
          <w:szCs w:val="18"/>
          <w:color w:val="auto"/>
        </w:rPr>
        <w:t>The schedule above does not include rebates and sales returns reserves which are reported in the Management’s Discussion and Analysis of Financial Condition and Results of Operations section of this Annual Report on Form 10-K.</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60"/>
          </w:cols>
          <w:pgMar w:left="240" w:top="125" w:right="39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280" w:type="dxa"/>
            <w:vAlign w:val="bottom"/>
          </w:tcPr>
          <w:p>
            <w:pPr>
              <w:ind w:left="19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9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21"/>
                <w:szCs w:val="21"/>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Agreement and Plan of Merger and Reorganization, dated as of September 19, 2011, by and among Azur Pharma Limited (now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Pharmaceuticals plc), Jaguar Merger Sub Inc., Jazz Pharmaceuticals, Inc. and Seamus Mulligan, solely in his capacity as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Indemnitors’ Representative (incorporated herein by reference to Exhibit 2.1 in Jazz Pharmaceuticals, Inc.’s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(File No. 001-33500) filed with the SEC on September 19, 2011).</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0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Letter Agreement, dated as of January 17, 2012, by and among Jazz Pharmaceuticals plc, Jaguar Merger Sub Inc. Jazz Pharmaceuticals,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Inc. and Seamus Mulligan, solely in his capacity as the Indemnitors’ Representative (incorporated by reference to Exhibit 2.2 in Jazz</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Agreement and Plan of Merger, dated as of April 26, 2012, by and among Jazz Pharmaceuticals plc, Jewel Merger Sub Inc., EUSA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Pharma Inc., and Essex Woodlands Health Ventures, Inc., Mayflower L.P., and Bryan Morton, in their capacity as the representatives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the equity holders of EUSA Pharma Inc. (incorporated herein by reference to Exhibit 2.1 in Jazz Pharmaceuticals plc’s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Form 8-K (File No. 001-33500), as filed with the SEC on April 27, 2012).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0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Assignment, dated as of June 11, 2012, by and among Jazz Pharmaceuticals plc and Jazz Pharmaceuticals, Inc. (incorporated herein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reference to Exhibit 2.1B in Jazz Pharmaceuticals plc’s current report on Form 8-K (File No. 001-33500), as filed with the SEC on June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12, 2012).</w:t>
            </w: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0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Asset Purchase Agreement, dated as of September 5, 2012, by and among Jazz Pharmaceuticals plc, Jazz Pharmaceuticals 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II Limited, Meda Pharmaceuticals Inc. and Meda Pharma, Sàrl (incorporated herein by reference to Exhibit 2.1 in Jazz Pharmaceuticals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plc’s current report on Form 8-K (File No. 001-33500), as filed with the SEC on October 15, 2012).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0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8"/>
              </w:rPr>
              <w:t>Memorandum and Articles of Association of Jazz Pharmaceuticals plc (incorporated herein by reference to Exhibit 3.1 in Jazz</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Pharmaceuticals plc’s current report on Form 8-K (File No. 001-33500), as filed with the SEC on January 18, 2012).</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23"/>
                <w:szCs w:val="23"/>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Reference is made to Exhibit 3.1.</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4.2A</w:t>
            </w: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Third Amended and Restated Investor Rights Agreement, made effective as of June 6, 2007, by and between Jazz Pharmaceuticals,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and the other parties named therein (incorporated herein by reference to Exhibit 4.3 in Jazz Pharmaceuticals, Inc.’s quarterly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Form 10-Q (File No. 001-33500) for the period ended June 30, 2007, as filed with the SEC on August 10, 2007).</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4.2B</w:t>
            </w:r>
          </w:p>
        </w:tc>
        <w:tc>
          <w:tcPr>
            <w:tcW w:w="9800" w:type="dxa"/>
            <w:vAlign w:val="bottom"/>
            <w:gridSpan w:val="2"/>
          </w:tcPr>
          <w:p>
            <w:pPr>
              <w:spacing w:after="0"/>
              <w:rPr>
                <w:sz w:val="20"/>
                <w:szCs w:val="20"/>
                <w:color w:val="auto"/>
              </w:rPr>
            </w:pPr>
            <w:r>
              <w:rPr>
                <w:rFonts w:ascii="Arial" w:cs="Arial" w:eastAsia="Arial" w:hAnsi="Arial"/>
                <w:sz w:val="18"/>
                <w:szCs w:val="18"/>
                <w:color w:val="auto"/>
                <w:w w:val="93"/>
              </w:rPr>
              <w:t>Waiver and Amendment Agreement, dated as of March 12, 2008, by and between Jazz Pharmaceuticals, Inc. and the other parties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named therein (incorporated herein by reference to Exhibit 4.3B in Jazz Pharmaceuticals, Inc.’s annual report on Form 10-K (File No.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001-33500), for the period ended December 31, 2007, as filed with the SEC on March 31, 2008).</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4.2C</w:t>
            </w: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Waiver and Amendment Agreement, dated as of May 7, 2008, by and between Jazz Pharmaceuticals, Inc. and the other parties named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4"/>
              </w:rPr>
              <w:t>therein (incorporated herein by reference to Exhibit 4.3C in Jazz Pharmaceuticals, Inc.’s current report on Form 8-K (File No. 001-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33500), as filed with the SEC on May 9, 2008).</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4.2D</w:t>
            </w: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Waiver and Amendment Agreement, dated as of July 6, 2009, by and between Jazz Pharmaceuticals, Inc. and the other parties named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therein (incorporated herein by reference to Exhibit 4.3D in Jazz Pharmaceuticals, Inc.’s quarterly report on Form 10-Q (File No. 001-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33500) for the period ended June 30, 2009, as filed with the SEC on August 14, 2009).</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Arial" w:cs="Arial" w:eastAsia="Arial" w:hAnsi="Arial"/>
                <w:sz w:val="18"/>
                <w:szCs w:val="18"/>
                <w:color w:val="auto"/>
              </w:rPr>
              <w:t>4.2E</w:t>
            </w: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Assignment, Assumption and Amendment Agreement, dated as of January 18, 2012, by and among Jazz Pharmaceuticals, Inc., Jazz</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Pharmaceuticals plc and the other parties named therein (incorporated herein by reference to Exhibit 4.2E in the annual report on Form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10-K (File No. 001-33500) for the period ended December 31, 2011, as filed by Jazz Pharmaceuticals plc on behalf of and as successor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to Jazz Pharmaceuticals, Inc. with the SEC on February 28, 2012).</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00" w:type="dxa"/>
            <w:vAlign w:val="bottom"/>
          </w:tcPr>
          <w:p>
            <w:pPr>
              <w:spacing w:after="0"/>
              <w:rPr>
                <w:sz w:val="22"/>
                <w:szCs w:val="22"/>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5"/>
              </w:rPr>
              <w:t>Form of Jazz Pharmaceuticals plc Warrant to Purchase Ordinary Shares issued to holders of assumed Common Stock Warrants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1"/>
              </w:rPr>
              <w:t>originally issued by Jazz Pharmaceuticals, Inc. (incorporated herein by reference to Exhibit 4.4 in the annual report on Form 10-K (File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No. 001-33500) for the period ended December 31, 2011, as filed by Jazz Pharmaceuticals plc on behalf of and as successor to Jazz</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Pharmaceuticals, Inc. with the SEC on February 28, 2012).</w:t>
            </w:r>
          </w:p>
        </w:tc>
        <w:tc>
          <w:tcPr>
            <w:tcW w:w="0" w:type="dxa"/>
            <w:vAlign w:val="bottom"/>
          </w:tcPr>
          <w:p>
            <w:pPr>
              <w:spacing w:after="0"/>
              <w:rPr>
                <w:sz w:val="1"/>
                <w:szCs w:val="1"/>
                <w:color w:val="auto"/>
              </w:rPr>
            </w:pPr>
          </w:p>
        </w:tc>
      </w:tr>
      <w:tr>
        <w:trPr>
          <w:trHeight w:val="472"/>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0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Form of Jazz Pharmaceuticals plc Warrant to Purchase Ordinary Shares issued to holders of assumed Registered Direct Common Stock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2"/>
              </w:rPr>
              <w:t>Warrants originally issued by Jazz Pharmaceuticals, Inc. (incorporated herein by reference to Exhibit 4.5 in the annual report on Form</w:t>
            </w:r>
          </w:p>
        </w:tc>
        <w:tc>
          <w:tcPr>
            <w:tcW w:w="0" w:type="dxa"/>
            <w:vAlign w:val="bottom"/>
          </w:tcPr>
          <w:p>
            <w:pPr>
              <w:spacing w:after="0"/>
              <w:rPr>
                <w:sz w:val="1"/>
                <w:szCs w:val="1"/>
                <w:color w:val="auto"/>
              </w:rPr>
            </w:pPr>
          </w:p>
        </w:tc>
      </w:tr>
    </w:tbl>
    <w:p>
      <w:pPr>
        <w:ind w:left="1540" w:right="80"/>
        <w:spacing w:after="0" w:line="261" w:lineRule="auto"/>
        <w:rPr>
          <w:sz w:val="20"/>
          <w:szCs w:val="20"/>
          <w:color w:val="auto"/>
        </w:rPr>
      </w:pPr>
      <w:r>
        <w:rPr>
          <w:rFonts w:ascii="Arial" w:cs="Arial" w:eastAsia="Arial" w:hAnsi="Arial"/>
          <w:sz w:val="18"/>
          <w:szCs w:val="18"/>
          <w:color w:val="auto"/>
        </w:rPr>
        <w:t>10-K (File No. 001-33500) for the period ended December 31, 2011, as filed by Jazz Pharmaceuticals plc on behalf of and as successor to Jazz Pharmaceuticals, Inc. with the SEC on February 28, 2012).</w:t>
      </w:r>
    </w:p>
    <w:p>
      <w:pPr>
        <w:sectPr>
          <w:pgSz w:w="11900" w:h="16838" w:orient="portrait"/>
          <w:cols w:equalWidth="0" w:num="1">
            <w:col w:w="11340"/>
          </w:cols>
          <w:pgMar w:left="240" w:top="125"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996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5"/>
              </w:rPr>
              <w:t>Form of Jazz Pharmaceuticals plc Warrant to Purchase Ordinary Shares issued to holders of assumed Common Stock Warrants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originally issued by Jazz Pharmaceuticals, Inc. on July 7, 2009 (incorporated herein by reference to Exhibit 4.6 in the annual report on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4"/>
              </w:rPr>
              <w:t>Form 10-K (File No. 001-33500) for the period ended December 31, 2011, as filed by Jazz Pharmaceuticals plc on behalf of and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successor to Jazz Pharmaceuticals, Inc. with the SEC on February 28, 2012).</w:t>
            </w:r>
          </w:p>
        </w:tc>
      </w:tr>
      <w:tr>
        <w:trPr>
          <w:trHeight w:val="472"/>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4.6A</w:t>
            </w:r>
          </w:p>
        </w:tc>
        <w:tc>
          <w:tcPr>
            <w:tcW w:w="9960" w:type="dxa"/>
            <w:vAlign w:val="bottom"/>
          </w:tcPr>
          <w:p>
            <w:pPr>
              <w:ind w:left="140"/>
              <w:spacing w:after="0"/>
              <w:rPr>
                <w:sz w:val="20"/>
                <w:szCs w:val="20"/>
                <w:color w:val="auto"/>
              </w:rPr>
            </w:pPr>
            <w:r>
              <w:rPr>
                <w:rFonts w:ascii="Arial" w:cs="Arial" w:eastAsia="Arial" w:hAnsi="Arial"/>
                <w:sz w:val="18"/>
                <w:szCs w:val="18"/>
                <w:color w:val="auto"/>
                <w:w w:val="96"/>
              </w:rPr>
              <w:t>Investor Rights Agreement, dated July 7, 2009 by and between Jazz Pharmaceuticals, Inc. and the other parties named therein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(incorporated herein by reference to Exhibit 10.88 in Jazz Pharmaceuticals, Inc.’s current report on Form 8-K (File No. 001-33500),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filed with the SEC on July 7, 2009).</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4.6B</w:t>
            </w: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Assignment, Assumption and Amendment Agreement, dated as of January 18, 2012, by and among Jazz Pharmaceuticals, Inc.,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1"/>
              </w:rPr>
              <w:t>Pharmaceuticals plc and the other parties named therein (incorporated herein by reference to Exhibit 4.7B in the annual report on Form</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0"/>
              </w:rPr>
              <w:t>10-K (File No. 001-33500) for the period ended December 31, 2011, as filed by Jazz Pharmaceuticals plc on behalf of and as successor</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to Jazz Pharmaceuticals, Inc. with the SEC on February 28,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0"/>
              </w:rPr>
              <w:t>Registration Rights Agreement made as of January 13, 2012, by and among Jazz Pharmaceuticals plc and certain shareholders named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6"/>
              </w:rPr>
              <w:t>therein (incorporated herein by reference to Exhibit 10.2 in Jazz Pharmaceuticals plc’s current report on Form 8-K (File No. 001-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33500), as filed with the SEC on 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Xyrem Manufacturing Services and Supply Agreement, dated as of March 13, 2007, by and between Jazz Pharmaceuticals, Inc.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1"/>
              </w:rPr>
              <w:t>Patheon Pharmaceuticals, Inc. (incorporated herein by reference to Exhibit 10.50 in Jazz Pharmaceuticals, Inc.’s registration statement</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on Form S-1, as amended (File No. 333-141164), as filed with the SEC on May 31, 2007).</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9960" w:type="dxa"/>
            <w:vAlign w:val="bottom"/>
          </w:tcPr>
          <w:p>
            <w:pPr>
              <w:ind w:left="140"/>
              <w:spacing w:after="0"/>
              <w:rPr>
                <w:sz w:val="20"/>
                <w:szCs w:val="20"/>
                <w:color w:val="auto"/>
              </w:rPr>
            </w:pPr>
            <w:r>
              <w:rPr>
                <w:rFonts w:ascii="Arial" w:cs="Arial" w:eastAsia="Arial" w:hAnsi="Arial"/>
                <w:sz w:val="18"/>
                <w:szCs w:val="18"/>
                <w:color w:val="auto"/>
                <w:w w:val="96"/>
              </w:rPr>
              <w:t>Quality Agreement, dated as of March 13, 2007, by and between Jazz Pharmaceuticals, Inc. and Patheon Pharmaceuticals, Inc.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0"/>
              </w:rPr>
              <w:t>(incorporated herein by reference to Exhibit 10.51 in Jazz Pharmaceuticals, Inc.’s registration statement on Form S-1, as amended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No. 333-141164), as filed with the SEC on March 27, 2007).</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9960" w:type="dxa"/>
            <w:vAlign w:val="bottom"/>
          </w:tcPr>
          <w:p>
            <w:pPr>
              <w:ind w:left="140"/>
              <w:spacing w:after="0"/>
              <w:rPr>
                <w:sz w:val="20"/>
                <w:szCs w:val="20"/>
                <w:color w:val="auto"/>
              </w:rPr>
            </w:pPr>
            <w:r>
              <w:rPr>
                <w:rFonts w:ascii="Arial" w:cs="Arial" w:eastAsia="Arial" w:hAnsi="Arial"/>
                <w:sz w:val="18"/>
                <w:szCs w:val="18"/>
                <w:color w:val="auto"/>
                <w:w w:val="91"/>
              </w:rPr>
              <w:t>Supply Agreement, dated as of April 1, 2010, by and between Jazz Pharmaceuticals, Inc. and Siegfried (USA) Inc. (incorporated herein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by reference to Exhibit 10.54 in Jazz Pharmaceuticals, Inc.’s quarterly report on Form 10-Q (File No. 001-33500) for the period ended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March 31, 2010, as filed with the SEC on May 6, 2010).</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Master Services Agreement, dated April 15, 2011, by and between Jazz Pharmaceuticals, Inc., CuraScript, Inc. and Express Scripts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1"/>
              </w:rPr>
              <w:t>Specialty Distribution Services, Inc. (incorporated herein by reference to Exhibit 10.2 in Jazz Pharmaceuticals, Inc.’s quarterly report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Form 10-Q (File No. 001-33500) for the period ended March 31, 2011, as filed with the SEC on May 9, 2011).</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0"/>
              </w:rPr>
              <w:t>Escrow Agreement made and entered into as of January 18, 2012, by and among Jazz Pharmaceuticals plc, Jazz Pharmaceuticals, Inc.,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4"/>
              </w:rPr>
              <w:t>Seamus Mulligan, solely in his capacity as Indemnitors’ Representative, and Deutsche Bank National Trust Association, as escrow</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1"/>
              </w:rPr>
              <w:t>agent (incorporated herein by reference to Exhibit 10.3 in Jazz Pharmaceuticals plc’s current report on Form 8-K (File No. 001-33500),</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as filed with the SEC on 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9960" w:type="dxa"/>
            <w:vAlign w:val="bottom"/>
          </w:tcPr>
          <w:p>
            <w:pPr>
              <w:ind w:left="140"/>
              <w:spacing w:after="0"/>
              <w:rPr>
                <w:sz w:val="20"/>
                <w:szCs w:val="20"/>
                <w:color w:val="auto"/>
              </w:rPr>
            </w:pPr>
            <w:r>
              <w:rPr>
                <w:rFonts w:ascii="Arial" w:cs="Arial" w:eastAsia="Arial" w:hAnsi="Arial"/>
                <w:sz w:val="18"/>
                <w:szCs w:val="18"/>
                <w:color w:val="auto"/>
                <w:w w:val="90"/>
              </w:rPr>
              <w:t>Royalty Bearing License Agreement and Supply Agreement Re Erwinia-Derived Asparaginase, dated July 22, 2005, between the Health</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4"/>
              </w:rPr>
              <w:t>Protection Agency and EUSA Pharma SAS (formerly OPi, S.A.), as amended on each of December 22, 2009, March 23, 2012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August 8, 2012 (incorporated herein by reference to Exhibit 10.11 in Jazz Pharmaceuticals plc’s quarterly report on Form 10-Q/A (File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No. 001-33500), as filed with the SEC on August 9,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Credit Agreement, dated as of June 12, 2012, by and among Jazz Pharmaceuticals plc, Jazz Pharmaceuticals, Inc., the Lenders 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Barclays Bank PLC, as Administrative Agent, Collateral Agent, Swing Line Lender and L/C Issuer (incorporated herein by reference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Exhibit 10.1 in Jazz Pharmaceuticals plc’s current report on Form 8-K (File No. 001-33500), as filed with the SEC on June 12,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Commercial Lease, dated as of June 2, 2004, by and between Jazz Pharmaceuticals, Inc. and The Board of Trustees of the Leland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Stanford Junior University (incorporated herein by reference to Exhibit 10.52 in Jazz Pharmaceuticals, Inc.’s registration statement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Form S-1, as amended (File No. 333-141164), as filed with the SEC on March 27, 2007).</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89"/>
              </w:rPr>
              <w:t>Lease Agreement, dated October 20, 2008, between Seamus Mulligan, as lessor, and Jazz Pharmaceuticals plc, as lessee (incorporated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herein by reference to Exhibit 10.1 in Jazz Pharmaceuticals plc’s registration statement on Form S-4 (File No. 333-177528), as filed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with the SEC on October 26, 2011).</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First Amendment of Lease, dated June 1, 2009, by and between Jazz Pharmaceuticals, Inc. and Wheatley-Fields, LLC, successor in</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interest to The Board of Trustees of the Leland Stanford Junior University (incorporated herein by reference to Exhibit 10.86 in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Pharmaceuticals, Inc.’s current report on Form 8-K (File No. 001-33500), as filed with the SEC on June 4, 2009).</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6"/>
              </w:rPr>
              <w:t>Second Amendment of Lease, dated February 28, 2012, by and between Jazz Pharmaceuticals, Inc. and Wheatley-Fields, LLC,</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4"/>
              </w:rPr>
              <w:t>successor in interest to The Board of Trustees of the Leland Stanford Junior University (incorporated herein by reference to Exhibit</w:t>
            </w:r>
          </w:p>
        </w:tc>
      </w:tr>
    </w:tbl>
    <w:p>
      <w:pPr>
        <w:ind w:left="1540" w:right="1160"/>
        <w:spacing w:after="0" w:line="323" w:lineRule="auto"/>
        <w:rPr>
          <w:sz w:val="20"/>
          <w:szCs w:val="20"/>
          <w:color w:val="auto"/>
        </w:rPr>
      </w:pPr>
      <w:r>
        <w:rPr>
          <w:rFonts w:ascii="Arial" w:cs="Arial" w:eastAsia="Arial" w:hAnsi="Arial"/>
          <w:sz w:val="16"/>
          <w:szCs w:val="16"/>
          <w:color w:val="auto"/>
        </w:rPr>
        <w:t>10.31 in the annual report on Form 10-K (File No. 001-33500) for the period ended December 31, 2011, as filed by Jazz Pharmaceuticals plc on behalf of and as successor to Jazz Pharmaceuticals, Inc. with the SEC on February 28, 2012).</w:t>
      </w:r>
    </w:p>
    <w:p>
      <w:pPr>
        <w:sectPr>
          <w:pgSz w:w="11900" w:h="16838" w:orient="portrait"/>
          <w:cols w:equalWidth="0" w:num="1">
            <w:col w:w="11360"/>
          </w:cols>
          <w:pgMar w:left="240" w:top="108" w:right="29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986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89"/>
              </w:rPr>
              <w:t>Lease, dated May 8, 2012, by and between John Ronan and Castle Cove Property Developments Limited and Jazz Pharmaceuticals plc</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0"/>
              </w:rPr>
              <w:t>(incorporated herein by reference to Exhibit 10.2 in Jazz Pharmaceuticals plc’s quarterly report on Form 10-Q (File No. 001-33500), as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filed with the SEC on August 7,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5"/>
              </w:rPr>
              <w:t>Surrender of Lease of 45 Fitzwilliam Square Dublin 2, dated November 9, 2012, between Seamus Mulligan, as lessor, and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Pharmaceuticals plc, as lessee.</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Form of Indemnification Agreement between Jazz Pharmaceuticals plc and its officers and directors (incorporated herein by reference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3"/>
              </w:rPr>
              <w:t>to Exhibit 10.1 in Jazz Pharmaceuticals plc’s current report on Form 8-K (File No. 001-33500), as filed with the SEC on January 18,</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Offer Letter from Jazz Pharmaceuticals, Inc. to Kathryn Falberg (incorporated herein by reference to Exhibit 10.92 in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Pharmaceuticals, Inc.’s current report on Form 8-K (File No. 001-33500), as filed with the SEC on December 3, 2009).</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1"/>
              </w:rPr>
              <w:t>Employment Agreement by and between Seamus Mulligan and Jazz Pharmaceuticals plc (incorporated herein by reference to Exhibit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3"/>
              </w:rPr>
              <w:t>10.2 in Jazz Pharmaceuticals plc’s registration statement on Form S-4 (File No. 333-177528), as filed with the SEC on October 26,</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2011).</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4"/>
              </w:rPr>
              <w:t>Noncompetition Agreement by and between Seamus Mulligan and Jazz Pharmaceuticals plc (incorporated herein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1"/>
              </w:rPr>
              <w:t>Exhibit 10.3 in Jazz Pharmaceuticals plc’s registration statement on Form S-4 (File No. 333-177528), as filed with the SEC on October</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26, 2011).</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w w:val="98"/>
              </w:rPr>
              <w:t>Offer Letter from Jazz Pharmaceuticals, Inc. to Jeffrey Tobias, M.D. (incorporated herein by reference to Exhibit 10.1 in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120"/>
              <w:spacing w:after="0"/>
              <w:rPr>
                <w:sz w:val="20"/>
                <w:szCs w:val="20"/>
                <w:color w:val="auto"/>
              </w:rPr>
            </w:pPr>
            <w:r>
              <w:rPr>
                <w:rFonts w:ascii="Arial" w:cs="Arial" w:eastAsia="Arial" w:hAnsi="Arial"/>
                <w:sz w:val="18"/>
                <w:szCs w:val="18"/>
                <w:color w:val="auto"/>
              </w:rPr>
              <w:t>Pharmaceuticals, Inc.’s quarterly report on Form 10-Q (File No. 001-33500), as filed with the SEC on November 8, 2011).</w:t>
            </w:r>
          </w:p>
        </w:tc>
      </w:tr>
    </w:tbl>
    <w:p>
      <w:pPr>
        <w:spacing w:after="0" w:line="40" w:lineRule="exact"/>
        <w:rPr>
          <w:sz w:val="20"/>
          <w:szCs w:val="20"/>
          <w:color w:val="auto"/>
        </w:rPr>
      </w:pPr>
    </w:p>
    <w:p>
      <w:pPr>
        <w:sectPr>
          <w:pgSz w:w="11900" w:h="16838" w:orient="portrait"/>
          <w:cols w:equalWidth="0" w:num="1">
            <w:col w:w="11340"/>
          </w:cols>
          <w:pgMar w:left="240" w:top="108" w:right="319" w:bottom="1440" w:gutter="0" w:footer="0" w:header="0"/>
        </w:sectPr>
      </w:pPr>
    </w:p>
    <w:p>
      <w:pPr>
        <w:ind w:left="40"/>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10.20+</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10.21+</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Separation Agreement, dated January 18, 2012, by and between Jazz Pharmaceuticals plc and Carol Gamble (incorporated herein by reference to Exhibit 10.27 in the annual report on Form 10-K (File No. 001-33500) for the period ended December 31, 2011, as filed by Jazz Pharmaceuticals plc on behalf of and as successor to Jazz Pharmaceuticals, Inc. with the SEC on February 28, 2012).</w:t>
      </w:r>
    </w:p>
    <w:p>
      <w:pPr>
        <w:spacing w:after="0" w:line="200" w:lineRule="exact"/>
        <w:rPr>
          <w:sz w:val="20"/>
          <w:szCs w:val="20"/>
          <w:color w:val="auto"/>
        </w:rPr>
      </w:pPr>
    </w:p>
    <w:p>
      <w:pPr>
        <w:spacing w:after="0" w:line="217" w:lineRule="exact"/>
        <w:rPr>
          <w:sz w:val="20"/>
          <w:szCs w:val="20"/>
          <w:color w:val="auto"/>
        </w:rPr>
      </w:pPr>
    </w:p>
    <w:p>
      <w:pPr>
        <w:ind w:right="220"/>
        <w:spacing w:after="0" w:line="298" w:lineRule="auto"/>
        <w:rPr>
          <w:sz w:val="20"/>
          <w:szCs w:val="20"/>
          <w:color w:val="auto"/>
        </w:rPr>
      </w:pPr>
      <w:r>
        <w:rPr>
          <w:rFonts w:ascii="Arial" w:cs="Arial" w:eastAsia="Arial" w:hAnsi="Arial"/>
          <w:sz w:val="17"/>
          <w:szCs w:val="17"/>
          <w:color w:val="auto"/>
        </w:rPr>
        <w:t>Offer Letter from Jazz Pharmaceuticals, Inc. to Suzanne Sawochka Hooper (incorporated herein by reference to Exhibit 10.19 in Jazz Pharmaceuticals plc’s quarterly report on Form 10-Q (File No. 001-33500), as filed with the SEC on May 8, 2012).</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Amendment to Employment Agreement by and between Jazz Pharmaceuticals plc and Seamus Mulligan (incorporated herein by reference to Exhibit 10.20 in Jazz Pharmaceuticals plc’s quarterly report on Form 10-Q (File No. 001-33500), as filed with the SEC on May 8, 2012).</w:t>
      </w:r>
    </w:p>
    <w:p>
      <w:pPr>
        <w:spacing w:after="0" w:line="19" w:lineRule="exact"/>
        <w:rPr>
          <w:sz w:val="20"/>
          <w:szCs w:val="20"/>
          <w:color w:val="auto"/>
        </w:rPr>
      </w:pPr>
    </w:p>
    <w:p>
      <w:pPr>
        <w:sectPr>
          <w:pgSz w:w="11900" w:h="16838" w:orient="portrait"/>
          <w:cols w:equalWidth="0" w:num="2">
            <w:col w:w="800" w:space="720"/>
            <w:col w:w="9820"/>
          </w:cols>
          <w:pgMar w:left="240" w:top="108" w:right="31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10240" w:type="dxa"/>
            <w:vAlign w:val="bottom"/>
          </w:tcPr>
          <w:p>
            <w:pPr>
              <w:ind w:left="420"/>
              <w:spacing w:after="0"/>
              <w:rPr>
                <w:sz w:val="20"/>
                <w:szCs w:val="20"/>
                <w:color w:val="auto"/>
              </w:rPr>
            </w:pPr>
            <w:r>
              <w:rPr>
                <w:rFonts w:ascii="Arial" w:cs="Arial" w:eastAsia="Arial" w:hAnsi="Arial"/>
                <w:sz w:val="18"/>
                <w:szCs w:val="18"/>
                <w:color w:val="auto"/>
                <w:w w:val="90"/>
              </w:rPr>
              <w:t>Employment Agreement by and between Fintan Keegan and Jazz Pharmaceuticals plc (incorporated herein by reference to Exhibit 10.4</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9"/>
              </w:rPr>
              <w:t>in Jazz Pharmaceuticals plc’s quarterly report on Form 10-Q (File No. 001-33500), as filed with the SEC on August 7, 2012).</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10240" w:type="dxa"/>
            <w:vAlign w:val="bottom"/>
          </w:tcPr>
          <w:p>
            <w:pPr>
              <w:ind w:left="420"/>
              <w:spacing w:after="0"/>
              <w:rPr>
                <w:sz w:val="20"/>
                <w:szCs w:val="20"/>
                <w:color w:val="auto"/>
              </w:rPr>
            </w:pPr>
            <w:r>
              <w:rPr>
                <w:rFonts w:ascii="Arial" w:cs="Arial" w:eastAsia="Arial" w:hAnsi="Arial"/>
                <w:sz w:val="18"/>
                <w:szCs w:val="18"/>
                <w:color w:val="auto"/>
                <w:w w:val="90"/>
              </w:rPr>
              <w:t>Amendment to Employment Agreement by and between Fintan Keegan and Jazz Pharmaceuticals plc (incorporated herein by reference</w:t>
            </w:r>
          </w:p>
        </w:tc>
      </w:tr>
      <w:tr>
        <w:trPr>
          <w:trHeight w:val="216"/>
        </w:trPr>
        <w:tc>
          <w:tcPr>
            <w:tcW w:w="10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3"/>
              </w:rPr>
              <w:t>to Exhibit 10.6 in Jazz Pharmaceuticals plc’s quarterly report on Form 10-Q (File No. 001-33500), as filed with the SEC on August 7,</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2012).</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10240" w:type="dxa"/>
            <w:vAlign w:val="bottom"/>
          </w:tcPr>
          <w:p>
            <w:pPr>
              <w:ind w:left="460"/>
              <w:spacing w:after="0"/>
              <w:rPr>
                <w:sz w:val="20"/>
                <w:szCs w:val="20"/>
                <w:color w:val="auto"/>
              </w:rPr>
            </w:pPr>
            <w:r>
              <w:rPr>
                <w:rFonts w:ascii="Arial" w:cs="Arial" w:eastAsia="Arial" w:hAnsi="Arial"/>
                <w:sz w:val="18"/>
                <w:szCs w:val="18"/>
                <w:color w:val="auto"/>
                <w:w w:val="91"/>
              </w:rPr>
              <w:t>Noncompetition Agreement by and between Fintan Keegan and Jazz Pharmaceuticals plc (incorporated herein by reference to Exhibit</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5"/>
              </w:rPr>
              <w:t>10.5 in Jazz Pharmaceuticals plc’s quarterly report on Form 10-Q (File No. 001-33500), as filed with the SEC on August 7, 2012).</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10.25A</w:t>
            </w:r>
          </w:p>
        </w:tc>
        <w:tc>
          <w:tcPr>
            <w:tcW w:w="10240" w:type="dxa"/>
            <w:vAlign w:val="bottom"/>
          </w:tcPr>
          <w:p>
            <w:pPr>
              <w:ind w:left="420"/>
              <w:spacing w:after="0"/>
              <w:rPr>
                <w:sz w:val="20"/>
                <w:szCs w:val="20"/>
                <w:color w:val="auto"/>
              </w:rPr>
            </w:pPr>
            <w:r>
              <w:rPr>
                <w:rFonts w:ascii="Arial" w:cs="Arial" w:eastAsia="Arial" w:hAnsi="Arial"/>
                <w:sz w:val="18"/>
                <w:szCs w:val="18"/>
                <w:color w:val="auto"/>
                <w:w w:val="92"/>
              </w:rPr>
              <w:t>Civil Settlement Agreement, dated July 13, 2007, among the United States of America acting through the entities named therein, Jazz</w:t>
            </w:r>
          </w:p>
        </w:tc>
      </w:tr>
      <w:tr>
        <w:trPr>
          <w:trHeight w:val="216"/>
        </w:trPr>
        <w:tc>
          <w:tcPr>
            <w:tcW w:w="10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4"/>
              </w:rPr>
              <w:t>Pharmaceuticals, Inc. and Orphan Medical, Inc. (incorporated herein by reference to Exhibit 10.57A in Jazz Pharmaceuticals, Inc.’s</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current report on Form 8-K (File No. 001-33500), as filed with the SEC on July 18, 2007).</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10.25B</w:t>
            </w:r>
          </w:p>
        </w:tc>
        <w:tc>
          <w:tcPr>
            <w:tcW w:w="10240" w:type="dxa"/>
            <w:vAlign w:val="bottom"/>
          </w:tcPr>
          <w:p>
            <w:pPr>
              <w:ind w:left="420"/>
              <w:spacing w:after="0"/>
              <w:rPr>
                <w:sz w:val="20"/>
                <w:szCs w:val="20"/>
                <w:color w:val="auto"/>
              </w:rPr>
            </w:pPr>
            <w:r>
              <w:rPr>
                <w:rFonts w:ascii="Arial" w:cs="Arial" w:eastAsia="Arial" w:hAnsi="Arial"/>
                <w:sz w:val="18"/>
                <w:szCs w:val="18"/>
                <w:color w:val="auto"/>
                <w:w w:val="91"/>
              </w:rPr>
              <w:t>Non-Prosecution Agreement, dated July 13, 2007, between the United States Attorney’s Office for the Eastern District of New York and</w:t>
            </w:r>
          </w:p>
        </w:tc>
      </w:tr>
      <w:tr>
        <w:trPr>
          <w:trHeight w:val="216"/>
        </w:trPr>
        <w:tc>
          <w:tcPr>
            <w:tcW w:w="10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0"/>
              </w:rPr>
              <w:t>Jazz Pharmaceuticals, Inc. (incorporated herein by reference to Exhibit 10.57B in Jazz Pharmaceuticals, Inc.’s current report on Form 8-</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K (File No. 001-33500), as filed with the SEC on July 18, 2007).</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10.25C</w:t>
            </w:r>
          </w:p>
        </w:tc>
        <w:tc>
          <w:tcPr>
            <w:tcW w:w="10240" w:type="dxa"/>
            <w:vAlign w:val="bottom"/>
          </w:tcPr>
          <w:p>
            <w:pPr>
              <w:ind w:left="420"/>
              <w:spacing w:after="0"/>
              <w:rPr>
                <w:sz w:val="20"/>
                <w:szCs w:val="20"/>
                <w:color w:val="auto"/>
              </w:rPr>
            </w:pPr>
            <w:r>
              <w:rPr>
                <w:rFonts w:ascii="Arial" w:cs="Arial" w:eastAsia="Arial" w:hAnsi="Arial"/>
                <w:sz w:val="18"/>
                <w:szCs w:val="18"/>
                <w:color w:val="auto"/>
                <w:w w:val="93"/>
              </w:rPr>
              <w:t>Plea Agreement, dated July 13, 2007, between the United States Attorney for the Eastern District of New York and Orphan Medical,</w:t>
            </w:r>
          </w:p>
        </w:tc>
      </w:tr>
      <w:tr>
        <w:trPr>
          <w:trHeight w:val="216"/>
        </w:trPr>
        <w:tc>
          <w:tcPr>
            <w:tcW w:w="10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5"/>
              </w:rPr>
              <w:t>Inc. (incorporated herein by reference to Exhibit 10.57C in Jazz Pharmaceuticals, Inc.’s current report on Form 8-K (File No. 001-</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33500), as filed with the SEC on July 18, 2007).</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10.25D</w:t>
            </w:r>
          </w:p>
        </w:tc>
        <w:tc>
          <w:tcPr>
            <w:tcW w:w="10240" w:type="dxa"/>
            <w:vAlign w:val="bottom"/>
          </w:tcPr>
          <w:p>
            <w:pPr>
              <w:ind w:left="420"/>
              <w:spacing w:after="0"/>
              <w:rPr>
                <w:sz w:val="20"/>
                <w:szCs w:val="20"/>
                <w:color w:val="auto"/>
              </w:rPr>
            </w:pPr>
            <w:r>
              <w:rPr>
                <w:rFonts w:ascii="Arial" w:cs="Arial" w:eastAsia="Arial" w:hAnsi="Arial"/>
                <w:sz w:val="18"/>
                <w:szCs w:val="18"/>
                <w:color w:val="auto"/>
                <w:w w:val="92"/>
              </w:rPr>
              <w:t>Corporate Integrity Agreement, dated July 13, 2007, between the Office of Inspector General of the Department of Health and Human</w:t>
            </w:r>
          </w:p>
        </w:tc>
      </w:tr>
      <w:tr>
        <w:trPr>
          <w:trHeight w:val="216"/>
        </w:trPr>
        <w:tc>
          <w:tcPr>
            <w:tcW w:w="10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3"/>
              </w:rPr>
              <w:t>Services and Jazz Pharmaceuticals, Inc. (incorporated herein by reference to Exhibit 10.57D in Jazz Pharmaceuticals, Inc.’s current</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report on Form 8-K (File No. 001-33500), as filed with the SEC on July 18, 2007).</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10.26A+</w:t>
            </w:r>
          </w:p>
        </w:tc>
        <w:tc>
          <w:tcPr>
            <w:tcW w:w="10240" w:type="dxa"/>
            <w:vAlign w:val="bottom"/>
          </w:tcPr>
          <w:p>
            <w:pPr>
              <w:ind w:left="420"/>
              <w:spacing w:after="0"/>
              <w:rPr>
                <w:sz w:val="20"/>
                <w:szCs w:val="20"/>
                <w:color w:val="auto"/>
              </w:rPr>
            </w:pPr>
            <w:r>
              <w:rPr>
                <w:rFonts w:ascii="Arial" w:cs="Arial" w:eastAsia="Arial" w:hAnsi="Arial"/>
                <w:sz w:val="18"/>
                <w:szCs w:val="18"/>
                <w:color w:val="auto"/>
                <w:w w:val="93"/>
              </w:rPr>
              <w:t>Jazz Pharmaceuticals plc 2003 Equity Incentive Plan (incorporated herein by reference to Exhibit 99.5 in Jazz Pharmaceuticals plc’s</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060" w:type="dxa"/>
            <w:vAlign w:val="bottom"/>
          </w:tcPr>
          <w:p>
            <w:pPr>
              <w:spacing w:after="0"/>
              <w:rPr>
                <w:sz w:val="20"/>
                <w:szCs w:val="20"/>
                <w:color w:val="auto"/>
              </w:rPr>
            </w:pPr>
            <w:r>
              <w:rPr>
                <w:rFonts w:ascii="Arial" w:cs="Arial" w:eastAsia="Arial" w:hAnsi="Arial"/>
                <w:sz w:val="18"/>
                <w:szCs w:val="18"/>
                <w:color w:val="auto"/>
              </w:rPr>
              <w:t>10.26B+</w:t>
            </w:r>
          </w:p>
        </w:tc>
        <w:tc>
          <w:tcPr>
            <w:tcW w:w="10240" w:type="dxa"/>
            <w:vAlign w:val="bottom"/>
          </w:tcPr>
          <w:p>
            <w:pPr>
              <w:ind w:left="420"/>
              <w:spacing w:after="0"/>
              <w:rPr>
                <w:sz w:val="20"/>
                <w:szCs w:val="20"/>
                <w:color w:val="auto"/>
              </w:rPr>
            </w:pPr>
            <w:r>
              <w:rPr>
                <w:rFonts w:ascii="Arial" w:cs="Arial" w:eastAsia="Arial" w:hAnsi="Arial"/>
                <w:sz w:val="18"/>
                <w:szCs w:val="18"/>
                <w:color w:val="auto"/>
                <w:w w:val="90"/>
              </w:rPr>
              <w:t>Form of Option Exercise and Stock Purchase Agreement and Forms of Grant Notices under the Jazz Pharmaceuticals, Inc. 2003 Equity</w:t>
            </w:r>
          </w:p>
        </w:tc>
      </w:tr>
      <w:tr>
        <w:trPr>
          <w:trHeight w:val="216"/>
        </w:trPr>
        <w:tc>
          <w:tcPr>
            <w:tcW w:w="1060" w:type="dxa"/>
            <w:vAlign w:val="bottom"/>
          </w:tcPr>
          <w:p>
            <w:pPr>
              <w:spacing w:after="0"/>
              <w:rPr>
                <w:sz w:val="18"/>
                <w:szCs w:val="18"/>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w w:val="91"/>
              </w:rPr>
              <w:t>Incentive Plan (incorporated herein by reference to Exhibit 10.22 in Jazz Pharmaceuticals, Inc.’s registration statement on Form S-1, as</w:t>
            </w:r>
          </w:p>
        </w:tc>
      </w:tr>
      <w:tr>
        <w:trPr>
          <w:trHeight w:val="230"/>
        </w:trPr>
        <w:tc>
          <w:tcPr>
            <w:tcW w:w="1060" w:type="dxa"/>
            <w:vAlign w:val="bottom"/>
          </w:tcPr>
          <w:p>
            <w:pPr>
              <w:spacing w:after="0"/>
              <w:rPr>
                <w:sz w:val="20"/>
                <w:szCs w:val="20"/>
                <w:color w:val="auto"/>
              </w:rPr>
            </w:pPr>
          </w:p>
        </w:tc>
        <w:tc>
          <w:tcPr>
            <w:tcW w:w="10240" w:type="dxa"/>
            <w:vAlign w:val="bottom"/>
          </w:tcPr>
          <w:p>
            <w:pPr>
              <w:ind w:left="420"/>
              <w:spacing w:after="0"/>
              <w:rPr>
                <w:sz w:val="20"/>
                <w:szCs w:val="20"/>
                <w:color w:val="auto"/>
              </w:rPr>
            </w:pPr>
            <w:r>
              <w:rPr>
                <w:rFonts w:ascii="Arial" w:cs="Arial" w:eastAsia="Arial" w:hAnsi="Arial"/>
                <w:sz w:val="18"/>
                <w:szCs w:val="18"/>
                <w:color w:val="auto"/>
              </w:rPr>
              <w:t>amended (File No. 333-141164), as filed with the SEC on May 17, 2007).</w:t>
            </w:r>
          </w:p>
        </w:tc>
      </w:tr>
    </w:tbl>
    <w:p>
      <w:pPr>
        <w:sectPr>
          <w:pgSz w:w="11900" w:h="16838" w:orient="portrait"/>
          <w:cols w:equalWidth="0" w:num="1">
            <w:col w:w="11340"/>
          </w:cols>
          <w:pgMar w:left="240" w:top="108" w:right="319" w:bottom="1440" w:gutter="0" w:footer="0" w:header="0"/>
          <w:type w:val="continuous"/>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9920" w:type="dxa"/>
            <w:vAlign w:val="bottom"/>
          </w:tcPr>
          <w:p>
            <w:pPr>
              <w:spacing w:after="0"/>
              <w:rPr>
                <w:sz w:val="17"/>
                <w:szCs w:val="17"/>
                <w:color w:val="auto"/>
              </w:rPr>
            </w:pPr>
          </w:p>
        </w:tc>
      </w:tr>
      <w:tr>
        <w:trPr>
          <w:trHeight w:val="843"/>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10.26C+</w:t>
            </w:r>
          </w:p>
        </w:tc>
        <w:tc>
          <w:tcPr>
            <w:tcW w:w="120" w:type="dxa"/>
            <w:vAlign w:val="bottom"/>
          </w:tcPr>
          <w:p>
            <w:pPr>
              <w:spacing w:after="0"/>
              <w:rPr>
                <w:sz w:val="24"/>
                <w:szCs w:val="24"/>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2"/>
              </w:rPr>
              <w:t>Form of Letter, amending outstanding options granted under the Jazz Pharmaceuticals, Inc. 2003 Equity Incentive Plan (incorporated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2"/>
              </w:rPr>
              <w:t>herein by reference to Exhibit 10.60 in Jazz Pharmaceuticals, Inc.’s quarterly report on Form 10-Q (File No. 001-33500) for the period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ended June 30, 2007, as filed with the SEC on August 10, 2007).</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10.27A+</w:t>
            </w:r>
          </w:p>
        </w:tc>
        <w:tc>
          <w:tcPr>
            <w:tcW w:w="9920" w:type="dxa"/>
            <w:vAlign w:val="bottom"/>
          </w:tcPr>
          <w:p>
            <w:pPr>
              <w:ind w:left="140"/>
              <w:spacing w:after="0"/>
              <w:rPr>
                <w:sz w:val="20"/>
                <w:szCs w:val="20"/>
                <w:color w:val="auto"/>
              </w:rPr>
            </w:pPr>
            <w:r>
              <w:rPr>
                <w:rFonts w:ascii="Arial" w:cs="Arial" w:eastAsia="Arial" w:hAnsi="Arial"/>
                <w:sz w:val="18"/>
                <w:szCs w:val="18"/>
                <w:color w:val="auto"/>
                <w:w w:val="92"/>
              </w:rPr>
              <w:t>Jazz Pharmaceuticals plc 2007 Equity Incentive Plan (incorporated herein by reference to Exhibit 99.3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10.27B+</w:t>
            </w:r>
          </w:p>
        </w:tc>
        <w:tc>
          <w:tcPr>
            <w:tcW w:w="9920" w:type="dxa"/>
            <w:vAlign w:val="bottom"/>
          </w:tcPr>
          <w:p>
            <w:pPr>
              <w:ind w:left="140"/>
              <w:spacing w:after="0"/>
              <w:rPr>
                <w:sz w:val="20"/>
                <w:szCs w:val="20"/>
                <w:color w:val="auto"/>
              </w:rPr>
            </w:pPr>
            <w:r>
              <w:rPr>
                <w:rFonts w:ascii="Arial" w:cs="Arial" w:eastAsia="Arial" w:hAnsi="Arial"/>
                <w:sz w:val="18"/>
                <w:szCs w:val="18"/>
                <w:color w:val="auto"/>
                <w:w w:val="99"/>
              </w:rPr>
              <w:t>Jazz Pharmaceuticals plc 2007 Equity Incentive Plan Sub-Plan Governing Awards to Participants in the Republic of Ireland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6"/>
              </w:rPr>
              <w:t>(incorporated herein by reference to Exhibit 10.3B in the annual report on Form 10-K (File No. 001-33500) for the period ended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1"/>
              </w:rPr>
              <w:t>December 31, 2011, as filed by Jazz Pharmaceuticals plc on behalf of and as successor to Jazz Pharmaceuticals Inc. with the SEC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February 28, 2012).</w:t>
            </w:r>
          </w:p>
        </w:tc>
      </w:tr>
      <w:tr>
        <w:trPr>
          <w:trHeight w:val="269"/>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10.27C+</w:t>
            </w:r>
          </w:p>
        </w:tc>
        <w:tc>
          <w:tcPr>
            <w:tcW w:w="9920" w:type="dxa"/>
            <w:vAlign w:val="bottom"/>
          </w:tcPr>
          <w:p>
            <w:pPr>
              <w:ind w:left="140"/>
              <w:spacing w:after="0"/>
              <w:rPr>
                <w:sz w:val="20"/>
                <w:szCs w:val="20"/>
                <w:color w:val="auto"/>
              </w:rPr>
            </w:pPr>
            <w:r>
              <w:rPr>
                <w:rFonts w:ascii="Arial" w:cs="Arial" w:eastAsia="Arial" w:hAnsi="Arial"/>
                <w:sz w:val="18"/>
                <w:szCs w:val="18"/>
                <w:color w:val="auto"/>
                <w:w w:val="95"/>
              </w:rPr>
              <w:t>Form of Notice of Grant of Stock Options and Form of Option Agreement (U.S.) under the Jazz Pharmaceuticals plc 2007 Equity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Incentive Plan.</w:t>
            </w:r>
          </w:p>
        </w:tc>
      </w:tr>
      <w:tr>
        <w:trPr>
          <w:trHeight w:val="269"/>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10.27D+</w:t>
            </w:r>
          </w:p>
        </w:tc>
        <w:tc>
          <w:tcPr>
            <w:tcW w:w="9920" w:type="dxa"/>
            <w:vAlign w:val="bottom"/>
          </w:tcPr>
          <w:p>
            <w:pPr>
              <w:ind w:left="140"/>
              <w:spacing w:after="0"/>
              <w:rPr>
                <w:sz w:val="20"/>
                <w:szCs w:val="20"/>
                <w:color w:val="auto"/>
              </w:rPr>
            </w:pPr>
            <w:r>
              <w:rPr>
                <w:rFonts w:ascii="Arial" w:cs="Arial" w:eastAsia="Arial" w:hAnsi="Arial"/>
                <w:sz w:val="18"/>
                <w:szCs w:val="18"/>
                <w:color w:val="auto"/>
                <w:w w:val="91"/>
              </w:rPr>
              <w:t>Form of Notice of Grant of Stock Options and Form of Option Agreement (Irish) under Jazz Pharmaceuticals plc 2007 Equity Incentive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Plan.</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10.27E+</w:t>
            </w:r>
          </w:p>
        </w:tc>
        <w:tc>
          <w:tcPr>
            <w:tcW w:w="992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Pharmaceuticals plc 2007 Equity Incentive Plan.</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10.27F+</w:t>
            </w:r>
          </w:p>
        </w:tc>
        <w:tc>
          <w:tcPr>
            <w:tcW w:w="992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Pharmaceuticals plc 2007 Equity Incentive Plan.</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10.28A+</w:t>
            </w:r>
          </w:p>
        </w:tc>
        <w:tc>
          <w:tcPr>
            <w:tcW w:w="9920" w:type="dxa"/>
            <w:vAlign w:val="bottom"/>
          </w:tcPr>
          <w:p>
            <w:pPr>
              <w:ind w:left="140"/>
              <w:spacing w:after="0"/>
              <w:rPr>
                <w:sz w:val="20"/>
                <w:szCs w:val="20"/>
                <w:color w:val="auto"/>
              </w:rPr>
            </w:pPr>
            <w:r>
              <w:rPr>
                <w:rFonts w:ascii="Arial" w:cs="Arial" w:eastAsia="Arial" w:hAnsi="Arial"/>
                <w:sz w:val="18"/>
                <w:szCs w:val="18"/>
                <w:color w:val="auto"/>
                <w:w w:val="92"/>
              </w:rPr>
              <w:t>Jazz Pharmaceuticals plc 2011 Equity Incentive Plan (incorporated herein by reference to Exhibit 99.1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registration statement on Form S-8 (File No. 333-179075), as filed with the SEC on January 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10.28B+</w:t>
            </w:r>
          </w:p>
        </w:tc>
        <w:tc>
          <w:tcPr>
            <w:tcW w:w="9920" w:type="dxa"/>
            <w:vAlign w:val="bottom"/>
          </w:tcPr>
          <w:p>
            <w:pPr>
              <w:ind w:left="140"/>
              <w:spacing w:after="0"/>
              <w:rPr>
                <w:sz w:val="20"/>
                <w:szCs w:val="20"/>
                <w:color w:val="auto"/>
              </w:rPr>
            </w:pPr>
            <w:r>
              <w:rPr>
                <w:rFonts w:ascii="Arial" w:cs="Arial" w:eastAsia="Arial" w:hAnsi="Arial"/>
                <w:sz w:val="18"/>
                <w:szCs w:val="18"/>
                <w:color w:val="auto"/>
                <w:w w:val="99"/>
              </w:rPr>
              <w:t>Jazz Pharmaceuticals plc 2011 Equity Incentive Plan Sub-Plan Governing Awards to Participants in the Republic of Ireland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5"/>
              </w:rPr>
              <w:t>(incorporated herein by reference to Exhibit 10.39B in the annual report on Form 10-K (File No. 001-33500) for the period ended</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1"/>
              </w:rPr>
              <w:t>December 31, 2011, as filed by Jazz Pharmaceuticals plc on behalf of and as successor to Jazz Pharmaceuticals Inc. with the SEC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February 28,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10.28C+</w:t>
            </w:r>
          </w:p>
        </w:tc>
        <w:tc>
          <w:tcPr>
            <w:tcW w:w="9920" w:type="dxa"/>
            <w:vAlign w:val="bottom"/>
          </w:tcPr>
          <w:p>
            <w:pPr>
              <w:ind w:left="140"/>
              <w:spacing w:after="0"/>
              <w:rPr>
                <w:sz w:val="20"/>
                <w:szCs w:val="20"/>
                <w:color w:val="auto"/>
              </w:rPr>
            </w:pPr>
            <w:r>
              <w:rPr>
                <w:rFonts w:ascii="Arial" w:cs="Arial" w:eastAsia="Arial" w:hAnsi="Arial"/>
                <w:sz w:val="18"/>
                <w:szCs w:val="18"/>
                <w:color w:val="auto"/>
                <w:w w:val="93"/>
              </w:rPr>
              <w:t>Form of Option Grant Notice and Form of Stock Option Agreement (U.S.) under the Jazz Pharmaceuticals plc 2011 Equity Incentive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5"/>
              </w:rPr>
              <w:t>Plan (incorporated herein by reference to Exhibit 10.7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33500),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10.28D+</w:t>
            </w:r>
          </w:p>
        </w:tc>
        <w:tc>
          <w:tcPr>
            <w:tcW w:w="9920" w:type="dxa"/>
            <w:vAlign w:val="bottom"/>
          </w:tcPr>
          <w:p>
            <w:pPr>
              <w:ind w:left="140"/>
              <w:spacing w:after="0"/>
              <w:rPr>
                <w:sz w:val="20"/>
                <w:szCs w:val="20"/>
                <w:color w:val="auto"/>
              </w:rPr>
            </w:pPr>
            <w:r>
              <w:rPr>
                <w:rFonts w:ascii="Arial" w:cs="Arial" w:eastAsia="Arial" w:hAnsi="Arial"/>
                <w:sz w:val="18"/>
                <w:szCs w:val="18"/>
                <w:color w:val="auto"/>
                <w:w w:val="93"/>
              </w:rPr>
              <w:t>Form of Stock Option Grant Notice and Form of Option Agreement (Irish) under the Jazz Pharmaceuticals plc 2011 Equity Incentive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5"/>
              </w:rPr>
              <w:t>Plan (incorporated herein by reference to Exhibit 10.8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33500),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10.28E+</w:t>
            </w:r>
          </w:p>
        </w:tc>
        <w:tc>
          <w:tcPr>
            <w:tcW w:w="9920" w:type="dxa"/>
            <w:vAlign w:val="bottom"/>
          </w:tcPr>
          <w:p>
            <w:pPr>
              <w:ind w:left="140"/>
              <w:spacing w:after="0"/>
              <w:rPr>
                <w:sz w:val="20"/>
                <w:szCs w:val="20"/>
                <w:color w:val="auto"/>
              </w:rPr>
            </w:pPr>
            <w:r>
              <w:rPr>
                <w:rFonts w:ascii="Arial" w:cs="Arial" w:eastAsia="Arial" w:hAnsi="Arial"/>
                <w:sz w:val="18"/>
                <w:szCs w:val="18"/>
                <w:color w:val="auto"/>
                <w:w w:val="95"/>
              </w:rPr>
              <w:t>Form of Non-U.S. Option Grant Notice and Form of Non-U.S. Option Agreement under the Jazz Pharmaceuticals plc 2011 Equity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Incentive Plan.</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10.28F+</w:t>
            </w:r>
          </w:p>
        </w:tc>
        <w:tc>
          <w:tcPr>
            <w:tcW w:w="992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(U.S.)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6"/>
              </w:rPr>
              <w:t>Pharmaceuticals plc 2011 Equity Incentive Plan (incorporated herein by reference to Exhibit 10.9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quarterly report on Form 10-Q (File No. 001-33500),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10.28G+</w:t>
            </w:r>
          </w:p>
        </w:tc>
        <w:tc>
          <w:tcPr>
            <w:tcW w:w="9920" w:type="dxa"/>
            <w:vAlign w:val="bottom"/>
          </w:tcPr>
          <w:p>
            <w:pPr>
              <w:ind w:left="140"/>
              <w:spacing w:after="0"/>
              <w:rPr>
                <w:sz w:val="20"/>
                <w:szCs w:val="20"/>
                <w:color w:val="auto"/>
              </w:rPr>
            </w:pPr>
            <w:r>
              <w:rPr>
                <w:rFonts w:ascii="Arial" w:cs="Arial" w:eastAsia="Arial" w:hAnsi="Arial"/>
                <w:sz w:val="18"/>
                <w:szCs w:val="18"/>
                <w:color w:val="auto"/>
              </w:rPr>
              <w:t>Form of Restricted Stock Unit Grant Notice and Form of Restricted Stock Unit Award Agreement (Irish) under the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5"/>
              </w:rPr>
              <w:t>Pharmaceuticals plc 2011 Equity Incentive Plan (incorporated herein by reference to Exhibit 10.10 in Jazz Pharmaceuticals plc’s</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quarterly report on Form 10-Q (File No. 001-33500), as filed with the SEC on August 7,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10.28H+</w:t>
            </w:r>
          </w:p>
        </w:tc>
        <w:tc>
          <w:tcPr>
            <w:tcW w:w="9920" w:type="dxa"/>
            <w:vAlign w:val="bottom"/>
          </w:tcPr>
          <w:p>
            <w:pPr>
              <w:ind w:left="140"/>
              <w:spacing w:after="0"/>
              <w:rPr>
                <w:sz w:val="20"/>
                <w:szCs w:val="20"/>
                <w:color w:val="auto"/>
              </w:rPr>
            </w:pPr>
            <w:r>
              <w:rPr>
                <w:rFonts w:ascii="Arial" w:cs="Arial" w:eastAsia="Arial" w:hAnsi="Arial"/>
                <w:sz w:val="18"/>
                <w:szCs w:val="18"/>
                <w:color w:val="auto"/>
                <w:w w:val="93"/>
              </w:rPr>
              <w:t>Form of Non-U.S. Restricted Stock Unit Grant Notice and Form of Non-U.S. Restricted Stock Unit Award Agreement under the Jazz</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Pharmaceuticals plc 2011 Equity Incentive Plan.</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2"/>
                <w:szCs w:val="22"/>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1"/>
              </w:rPr>
              <w:t>Jazz Pharmaceuticals plc Amended and Restated Directors Deferred Compensation Plan (incorporated herein by reference to Exhibit</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3"/>
              </w:rPr>
              <w:t>99.6 in Jazz Pharmaceuticals plc’s registration statement on Form S-8 (File No. 333-179075), as filed with the SEC on January 18,</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10.30A+</w:t>
            </w:r>
          </w:p>
        </w:tc>
        <w:tc>
          <w:tcPr>
            <w:tcW w:w="9920" w:type="dxa"/>
            <w:vAlign w:val="bottom"/>
          </w:tcPr>
          <w:p>
            <w:pPr>
              <w:ind w:left="140"/>
              <w:spacing w:after="0"/>
              <w:rPr>
                <w:sz w:val="20"/>
                <w:szCs w:val="20"/>
                <w:color w:val="auto"/>
              </w:rPr>
            </w:pPr>
            <w:r>
              <w:rPr>
                <w:rFonts w:ascii="Arial" w:cs="Arial" w:eastAsia="Arial" w:hAnsi="Arial"/>
                <w:sz w:val="18"/>
                <w:szCs w:val="18"/>
                <w:color w:val="auto"/>
                <w:w w:val="90"/>
              </w:rPr>
              <w:t>Jazz Pharmaceuticals plc Amended and Restated 2007 Non-Employee Directors Stock Option Plan (incorporated herein by reference to</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1"/>
              </w:rPr>
              <w:t>Exhibit 99.4 in Jazz Pharmaceuticals plc’s registration statement on Form S-8 (File No. 333-179075), as filed with the SEC on January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18, 2012).</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10.30B+</w:t>
            </w:r>
          </w:p>
        </w:tc>
        <w:tc>
          <w:tcPr>
            <w:tcW w:w="9920" w:type="dxa"/>
            <w:vAlign w:val="bottom"/>
          </w:tcPr>
          <w:p>
            <w:pPr>
              <w:ind w:left="140"/>
              <w:spacing w:after="0"/>
              <w:rPr>
                <w:sz w:val="20"/>
                <w:szCs w:val="20"/>
                <w:color w:val="auto"/>
              </w:rPr>
            </w:pPr>
            <w:r>
              <w:rPr>
                <w:rFonts w:ascii="Arial" w:cs="Arial" w:eastAsia="Arial" w:hAnsi="Arial"/>
                <w:sz w:val="18"/>
                <w:szCs w:val="18"/>
                <w:color w:val="auto"/>
                <w:w w:val="93"/>
              </w:rPr>
              <w:t>Form of Non-U.S. Option Grant Notice and Form of Non-U.S. Option Agreement under the Jazz Pharmaceuticals plc Amended and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Restated 2007 Non-Employee Directors Stock Option Plan.</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10.31A+</w:t>
            </w:r>
          </w:p>
        </w:tc>
        <w:tc>
          <w:tcPr>
            <w:tcW w:w="9920" w:type="dxa"/>
            <w:vAlign w:val="bottom"/>
          </w:tcPr>
          <w:p>
            <w:pPr>
              <w:ind w:left="180"/>
              <w:spacing w:after="0"/>
              <w:rPr>
                <w:sz w:val="20"/>
                <w:szCs w:val="20"/>
                <w:color w:val="auto"/>
              </w:rPr>
            </w:pPr>
            <w:r>
              <w:rPr>
                <w:rFonts w:ascii="Arial" w:cs="Arial" w:eastAsia="Arial" w:hAnsi="Arial"/>
                <w:sz w:val="18"/>
                <w:szCs w:val="18"/>
                <w:color w:val="auto"/>
              </w:rPr>
              <w:t>Jazz Pharmaceuticals plc 2007 Employee Stock Purchase Plan, as amended and restated.</w:t>
            </w: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10.31B+</w:t>
            </w:r>
          </w:p>
        </w:tc>
        <w:tc>
          <w:tcPr>
            <w:tcW w:w="9920" w:type="dxa"/>
            <w:vAlign w:val="bottom"/>
          </w:tcPr>
          <w:p>
            <w:pPr>
              <w:ind w:left="140"/>
              <w:spacing w:after="0"/>
              <w:rPr>
                <w:sz w:val="20"/>
                <w:szCs w:val="20"/>
                <w:color w:val="auto"/>
              </w:rPr>
            </w:pPr>
            <w:r>
              <w:rPr>
                <w:rFonts w:ascii="Arial" w:cs="Arial" w:eastAsia="Arial" w:hAnsi="Arial"/>
                <w:sz w:val="18"/>
                <w:szCs w:val="18"/>
                <w:color w:val="auto"/>
                <w:w w:val="91"/>
              </w:rPr>
              <w:t>Jazz Pharmaceuticals plc 2007 Employee Stock Purchase Plan Sub-Plan Governing Purchase Rights to Participants in the Republic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w w:val="92"/>
              </w:rPr>
              <w:t>Ireland (incorporated by reference herein to Exhibit 10.4C in Jazz Pharmaceuticals plc’s quarterly report on Form 10-Q (File No. 001-</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Arial" w:cs="Arial" w:eastAsia="Arial" w:hAnsi="Arial"/>
                <w:sz w:val="18"/>
                <w:szCs w:val="18"/>
                <w:color w:val="auto"/>
              </w:rPr>
              <w:t>33500) for the period ended March 31, 2012, as filed with the SEC on August 7, 2012).</w:t>
            </w:r>
          </w:p>
        </w:tc>
      </w:tr>
    </w:tbl>
    <w:p>
      <w:pPr>
        <w:sectPr>
          <w:pgSz w:w="11900" w:h="16838" w:orient="portrait"/>
          <w:cols w:equalWidth="0" w:num="1">
            <w:col w:w="11320"/>
          </w:cols>
          <w:pgMar w:left="240" w:top="108"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FF"/>
                <w:w w:val="97"/>
              </w:rPr>
            </w:pPr>
            <w:hyperlink w:anchor="page1">
              <w:r>
                <w:rPr>
                  <w:rFonts w:ascii="Arial" w:cs="Arial" w:eastAsia="Arial" w:hAnsi="Arial"/>
                  <w:sz w:val="18"/>
                  <w:szCs w:val="18"/>
                  <w:color w:val="0000FF"/>
                  <w:w w:val="97"/>
                </w:rPr>
                <w:t>Table of Contents</w:t>
              </w:r>
            </w:hyperlink>
          </w:p>
        </w:tc>
        <w:tc>
          <w:tcPr>
            <w:tcW w:w="9940" w:type="dxa"/>
            <w:vAlign w:val="bottom"/>
          </w:tcPr>
          <w:p>
            <w:pPr>
              <w:spacing w:after="0"/>
              <w:rPr>
                <w:sz w:val="17"/>
                <w:szCs w:val="17"/>
                <w:color w:val="auto"/>
              </w:rPr>
            </w:pPr>
          </w:p>
        </w:tc>
      </w:tr>
      <w:tr>
        <w:trPr>
          <w:trHeight w:val="844"/>
        </w:trPr>
        <w:tc>
          <w:tcPr>
            <w:tcW w:w="1280" w:type="dxa"/>
            <w:vAlign w:val="bottom"/>
            <w:tcBorders>
              <w:top w:val="single" w:sz="8" w:color="0000FF"/>
            </w:tcBorders>
          </w:tcPr>
          <w:p>
            <w:pPr>
              <w:ind w:left="40"/>
              <w:spacing w:after="0"/>
              <w:rPr>
                <w:sz w:val="20"/>
                <w:szCs w:val="20"/>
                <w:color w:val="auto"/>
              </w:rPr>
            </w:pPr>
            <w:r>
              <w:rPr>
                <w:rFonts w:ascii="Arial" w:cs="Arial" w:eastAsia="Arial" w:hAnsi="Arial"/>
                <w:sz w:val="18"/>
                <w:szCs w:val="18"/>
                <w:color w:val="auto"/>
              </w:rPr>
              <w:t>10.32A+</w:t>
            </w:r>
          </w:p>
        </w:tc>
        <w:tc>
          <w:tcPr>
            <w:tcW w:w="120" w:type="dxa"/>
            <w:vAlign w:val="bottom"/>
          </w:tcPr>
          <w:p>
            <w:pPr>
              <w:spacing w:after="0"/>
              <w:rPr>
                <w:sz w:val="24"/>
                <w:szCs w:val="24"/>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Jazz Pharmaceuticals plc Cash Bonus Plan, (incorporated herein by reference to Exhibit 10.33 in the annual report on Form 10-K/A</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(File No. 001-33500) for the period ended December 31, 2011, as filed by Jazz Pharmaceuticals plc on behalf of and as successor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Jazz Pharmaceuticals, Inc. with the SEC on April 27, 2012).</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10.32B+</w:t>
            </w:r>
          </w:p>
        </w:tc>
        <w:tc>
          <w:tcPr>
            <w:tcW w:w="9940" w:type="dxa"/>
            <w:vAlign w:val="bottom"/>
          </w:tcPr>
          <w:p>
            <w:pPr>
              <w:ind w:left="140"/>
              <w:spacing w:after="0"/>
              <w:rPr>
                <w:sz w:val="20"/>
                <w:szCs w:val="20"/>
                <w:color w:val="auto"/>
              </w:rPr>
            </w:pPr>
            <w:r>
              <w:rPr>
                <w:rFonts w:ascii="Arial" w:cs="Arial" w:eastAsia="Arial" w:hAnsi="Arial"/>
                <w:sz w:val="18"/>
                <w:szCs w:val="18"/>
                <w:color w:val="auto"/>
              </w:rPr>
              <w:t>Jazz Pharmaceuticals plc Cash Bonus Plan for U.S. Affiliates.</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10.32C+</w:t>
            </w:r>
          </w:p>
        </w:tc>
        <w:tc>
          <w:tcPr>
            <w:tcW w:w="9940" w:type="dxa"/>
            <w:vAlign w:val="bottom"/>
          </w:tcPr>
          <w:p>
            <w:pPr>
              <w:ind w:left="140"/>
              <w:spacing w:after="0"/>
              <w:rPr>
                <w:sz w:val="20"/>
                <w:szCs w:val="20"/>
                <w:color w:val="auto"/>
              </w:rPr>
            </w:pPr>
            <w:r>
              <w:rPr>
                <w:rFonts w:ascii="Arial" w:cs="Arial" w:eastAsia="Arial" w:hAnsi="Arial"/>
                <w:sz w:val="18"/>
                <w:szCs w:val="18"/>
                <w:color w:val="auto"/>
              </w:rPr>
              <w:t>Jazz Pharmaceuticals Cash Bonus Plan for International Affiliates (2013).</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Jazz Pharmaceuticals plc Amended and Restated Executive Change in Control and Severance Benefit Plan (incorporated herein by</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reference to Exhibit 10.34 in the annual report on Form 10-K/A (File No. 001-33500) for the period ended December 31, 2011, as filed</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by Jazz Pharmaceuticals plc on behalf of and as successor to Jazz Pharmaceuticals, Inc. with the SEC on April 27,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Jazz Pharmaceuticals plc 2012 Non-Employee Director Compensation Arrangements (incorporated herein by reference to Exhibit 10.32</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in the annual report on Form 10-K (File No. 001-33500) for the period ended December 31, 2011, as filed by Jazz Pharmaceuticals plc</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on behalf of and as successor to Jazz Pharmaceuticals Inc. with the SEC on February 28, 2012).</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Jazz Pharmaceuticals plc 2012 Executive Officer Compensation Arrangements (incorporated herein by reference to Exhibit 10.3 in Jazz</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Pharmaceuticals plc’s quarterly report on Form 10-Q (File No. 001-33500) for the period ended June 30, 2012, as filed with the SEC on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August 7, 2012).</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Subsidiaries of Jazz Pharmaceuticals plc.</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Power of Attorney (included on the signature page hereto).</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Certification of Chief Executive Officer pursuant to Rules 13a-14(a) and 15d-14(a) promulgated under the Securities Exchange Act of</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1934, as amended.</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3"/>
              </w:rPr>
              <w:t>Certification of Chief Financial Officer pursuant to Rules 13a-14(a) and 15d-14(a) promulgated under the Securities Exchange Act of</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1934, as amended.</w:t>
            </w:r>
          </w:p>
        </w:tc>
      </w:tr>
      <w:tr>
        <w:trPr>
          <w:trHeight w:val="256"/>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6"/>
              </w:rPr>
              <w:t>Certifications of Chief Executive Officer and Chief Financial Officer pursuant to 18 U.S.C. Section 1350, as adopted pursuant to</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4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270"/>
        </w:trPr>
        <w:tc>
          <w:tcPr>
            <w:tcW w:w="14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1" w:lineRule="exact"/>
        <w:rPr>
          <w:sz w:val="20"/>
          <w:szCs w:val="20"/>
          <w:color w:val="auto"/>
        </w:rPr>
      </w:pPr>
    </w:p>
    <w:p>
      <w:pPr>
        <w:ind w:left="580" w:right="280" w:hanging="572"/>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Securities and Exchange Commission.</w:t>
      </w:r>
    </w:p>
    <w:p>
      <w:pPr>
        <w:spacing w:after="0" w:line="170" w:lineRule="exact"/>
        <w:rPr>
          <w:sz w:val="20"/>
          <w:szCs w:val="20"/>
          <w:color w:val="auto"/>
        </w:rPr>
      </w:pPr>
    </w:p>
    <w:p>
      <w:pPr>
        <w:ind w:left="580" w:right="80" w:hanging="572"/>
        <w:spacing w:after="0" w:line="26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81" w:lineRule="exact"/>
        <w:rPr>
          <w:sz w:val="20"/>
          <w:szCs w:val="20"/>
          <w:color w:val="auto"/>
        </w:rPr>
      </w:pPr>
    </w:p>
    <w:p>
      <w:pPr>
        <w:ind w:left="580" w:right="20" w:hanging="572"/>
        <w:spacing w:after="0" w:line="293" w:lineRule="auto"/>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fails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ectPr>
          <w:pgSz w:w="11900" w:h="16838" w:orient="portrait"/>
          <w:cols w:equalWidth="0" w:num="1">
            <w:col w:w="11340"/>
          </w:cols>
          <w:pgMar w:left="240" w:top="108"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10.13</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Dated 9</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SURRENDER</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36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Lease of 45 Fitzwilliam Square, Dublin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A &amp; L GOODBODY</w:t>
      </w:r>
    </w:p>
    <w:p>
      <w:pPr>
        <w:sectPr>
          <w:pgSz w:w="11900" w:h="16838" w:orient="portrait"/>
          <w:cols w:equalWidth="0" w:num="1">
            <w:col w:w="10220"/>
          </w:cols>
          <w:pgMar w:left="1440" w:top="68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 xml:space="preserve">SURRENDER </w:t>
      </w:r>
      <w:r>
        <w:rPr>
          <w:rFonts w:ascii="Arial" w:cs="Arial" w:eastAsia="Arial" w:hAnsi="Arial"/>
          <w:sz w:val="18"/>
          <w:szCs w:val="18"/>
          <w:color w:val="auto"/>
        </w:rPr>
        <w:t>dated the</w:t>
      </w:r>
      <w:r>
        <w:rPr>
          <w:rFonts w:ascii="Arial" w:cs="Arial" w:eastAsia="Arial" w:hAnsi="Arial"/>
          <w:sz w:val="18"/>
          <w:szCs w:val="18"/>
          <w:b w:val="1"/>
          <w:bCs w:val="1"/>
          <w:color w:val="auto"/>
        </w:rPr>
        <w:t xml:space="preserve"> 9th </w:t>
      </w:r>
      <w:r>
        <w:rPr>
          <w:rFonts w:ascii="Arial" w:cs="Arial" w:eastAsia="Arial" w:hAnsi="Arial"/>
          <w:sz w:val="18"/>
          <w:szCs w:val="18"/>
          <w:color w:val="auto"/>
        </w:rPr>
        <w:t>day of November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300" w:hanging="644"/>
        <w:spacing w:after="0" w:line="331"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JAZZ PHARMACEUTICALS PLC </w:t>
      </w:r>
      <w:r>
        <w:rPr>
          <w:rFonts w:ascii="Arial" w:cs="Arial" w:eastAsia="Arial" w:hAnsi="Arial"/>
          <w:sz w:val="18"/>
          <w:szCs w:val="18"/>
          <w:color w:val="auto"/>
        </w:rPr>
        <w:t>(formerly known as Azur Pharma Limited) having its registered office at 4</w:t>
      </w:r>
      <w:r>
        <w:rPr>
          <w:rFonts w:ascii="Arial" w:cs="Arial" w:eastAsia="Arial" w:hAnsi="Arial"/>
          <w:sz w:val="21"/>
          <w:szCs w:val="21"/>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Connaught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House, 1 Burlington Road, Dublin 4 (hereinafter called the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which expression shall where the context so admits or requires include the Tenant’s successors) of the one part; and</w:t>
      </w:r>
    </w:p>
    <w:p>
      <w:pPr>
        <w:spacing w:after="0" w:line="183" w:lineRule="exact"/>
        <w:rPr>
          <w:rFonts w:ascii="Arial" w:cs="Arial" w:eastAsia="Arial" w:hAnsi="Arial"/>
          <w:sz w:val="18"/>
          <w:szCs w:val="18"/>
          <w:color w:val="auto"/>
        </w:rPr>
      </w:pPr>
    </w:p>
    <w:p>
      <w:pPr>
        <w:ind w:left="1300" w:right="180" w:hanging="644"/>
        <w:spacing w:after="0" w:line="34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SEAMUS MULLIGAN </w:t>
      </w:r>
      <w:r>
        <w:rPr>
          <w:rFonts w:ascii="Arial" w:cs="Arial" w:eastAsia="Arial" w:hAnsi="Arial"/>
          <w:sz w:val="18"/>
          <w:szCs w:val="18"/>
          <w:color w:val="auto"/>
        </w:rPr>
        <w:t>of Wood O’Berries, Barrymore, Athlone, County Roscommon (hereinafter called the</w:t>
      </w:r>
      <w:r>
        <w:rPr>
          <w:rFonts w:ascii="Arial" w:cs="Arial" w:eastAsia="Arial" w:hAnsi="Arial"/>
          <w:sz w:val="18"/>
          <w:szCs w:val="18"/>
          <w:b w:val="1"/>
          <w:bCs w:val="1"/>
          <w:color w:val="auto"/>
        </w:rPr>
        <w:t xml:space="preserve"> Landlord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shall where the context so admits or requires include the Landlord’s executors, administrators and assigns) of the other part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33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By a Lease (hereinafter called the </w:t>
      </w:r>
      <w:r>
        <w:rPr>
          <w:rFonts w:ascii="Arial" w:cs="Arial" w:eastAsia="Arial" w:hAnsi="Arial"/>
          <w:sz w:val="18"/>
          <w:szCs w:val="18"/>
          <w:b w:val="1"/>
          <w:bCs w:val="1"/>
          <w:color w:val="auto"/>
        </w:rPr>
        <w:t>Lease</w:t>
      </w:r>
      <w:r>
        <w:rPr>
          <w:rFonts w:ascii="Arial" w:cs="Arial" w:eastAsia="Arial" w:hAnsi="Arial"/>
          <w:sz w:val="18"/>
          <w:szCs w:val="18"/>
          <w:color w:val="auto"/>
        </w:rPr>
        <w:t>) dated the 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of October 2008 and made between the Landlord of the one part and the</w:t>
      </w:r>
    </w:p>
    <w:p>
      <w:pPr>
        <w:spacing w:after="0" w:line="85" w:lineRule="exact"/>
        <w:rPr>
          <w:rFonts w:ascii="Arial" w:cs="Arial" w:eastAsia="Arial" w:hAnsi="Arial"/>
          <w:sz w:val="18"/>
          <w:szCs w:val="18"/>
          <w:color w:val="auto"/>
        </w:rPr>
      </w:pPr>
    </w:p>
    <w:p>
      <w:pPr>
        <w:ind w:left="660" w:right="340"/>
        <w:spacing w:after="0" w:line="315" w:lineRule="auto"/>
        <w:rPr>
          <w:rFonts w:ascii="Arial" w:cs="Arial" w:eastAsia="Arial" w:hAnsi="Arial"/>
          <w:sz w:val="18"/>
          <w:szCs w:val="18"/>
          <w:color w:val="auto"/>
        </w:rPr>
      </w:pPr>
      <w:r>
        <w:rPr>
          <w:rFonts w:ascii="Arial" w:cs="Arial" w:eastAsia="Arial" w:hAnsi="Arial"/>
          <w:sz w:val="18"/>
          <w:szCs w:val="18"/>
          <w:color w:val="auto"/>
        </w:rPr>
        <w:t xml:space="preserve">Tenant of the other part the premises more particularly described in the First Schedule to the Lease and the Schedule hereto (the </w:t>
      </w:r>
      <w:r>
        <w:rPr>
          <w:rFonts w:ascii="Arial" w:cs="Arial" w:eastAsia="Arial" w:hAnsi="Arial"/>
          <w:sz w:val="18"/>
          <w:szCs w:val="18"/>
          <w:b w:val="1"/>
          <w:bCs w:val="1"/>
          <w:color w:val="auto"/>
        </w:rPr>
        <w:t>Demised Premises</w:t>
      </w:r>
      <w:r>
        <w:rPr>
          <w:rFonts w:ascii="Arial" w:cs="Arial" w:eastAsia="Arial" w:hAnsi="Arial"/>
          <w:sz w:val="18"/>
          <w:szCs w:val="18"/>
          <w:color w:val="auto"/>
        </w:rPr>
        <w:t>) were demised to the Tenant for the term of 21 years from the 20</w:t>
      </w:r>
      <w:r>
        <w:rPr>
          <w:rFonts w:ascii="Arial" w:cs="Arial" w:eastAsia="Arial" w:hAnsi="Arial"/>
          <w:sz w:val="21"/>
          <w:szCs w:val="21"/>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2008 (the</w:t>
      </w:r>
      <w:r>
        <w:rPr>
          <w:rFonts w:ascii="Arial" w:cs="Arial" w:eastAsia="Arial" w:hAnsi="Arial"/>
          <w:sz w:val="18"/>
          <w:szCs w:val="18"/>
          <w:b w:val="1"/>
          <w:bCs w:val="1"/>
          <w:color w:val="auto"/>
        </w:rPr>
        <w:t xml:space="preserve"> Leasehold Term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payment of the rents thereby reserved and to the observance and performance of the covenants on the part of the Tenant and conditions therein contained.</w:t>
      </w:r>
    </w:p>
    <w:p>
      <w:pPr>
        <w:spacing w:after="0" w:line="286" w:lineRule="exact"/>
        <w:rPr>
          <w:rFonts w:ascii="Arial" w:cs="Arial" w:eastAsia="Arial" w:hAnsi="Arial"/>
          <w:sz w:val="18"/>
          <w:szCs w:val="18"/>
          <w:color w:val="auto"/>
        </w:rPr>
      </w:pPr>
    </w:p>
    <w:p>
      <w:pPr>
        <w:ind w:left="660" w:hanging="652"/>
        <w:spacing w:after="0" w:line="33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Tenant has requested the Landlord to accept a surrender of all its estate right title and interest in the Demised Premises comprised in and demised by the Lease free from incumbrances with effect from 31 October 2012 for the sum of $1.2 million (one million two hundred thousand dollars) which the Landlord has agreed to do.</w:t>
      </w:r>
    </w:p>
    <w:p>
      <w:pPr>
        <w:spacing w:after="0" w:line="18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OPERATIVE PROVISIONS</w:t>
      </w:r>
    </w:p>
    <w:p>
      <w:pPr>
        <w:spacing w:after="0" w:line="382" w:lineRule="exact"/>
        <w:rPr>
          <w:sz w:val="20"/>
          <w:szCs w:val="20"/>
          <w:color w:val="auto"/>
        </w:rPr>
      </w:pPr>
    </w:p>
    <w:p>
      <w:pPr>
        <w:jc w:val="center"/>
        <w:ind w:right="120"/>
        <w:spacing w:after="0"/>
        <w:tabs>
          <w:tab w:leader="none" w:pos="3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pursuance of the agreement and in consideration of the sum of $1.2 million (one million two hundred thousand dollars) now paid by</w:t>
      </w:r>
    </w:p>
    <w:p>
      <w:pPr>
        <w:spacing w:after="0" w:line="77" w:lineRule="exact"/>
        <w:rPr>
          <w:sz w:val="20"/>
          <w:szCs w:val="20"/>
          <w:color w:val="auto"/>
        </w:rPr>
      </w:pPr>
    </w:p>
    <w:p>
      <w:pPr>
        <w:ind w:left="660" w:right="40"/>
        <w:spacing w:after="0" w:line="331" w:lineRule="auto"/>
        <w:rPr>
          <w:sz w:val="20"/>
          <w:szCs w:val="20"/>
          <w:color w:val="auto"/>
        </w:rPr>
      </w:pPr>
      <w:r>
        <w:rPr>
          <w:rFonts w:ascii="Arial" w:cs="Arial" w:eastAsia="Arial" w:hAnsi="Arial"/>
          <w:sz w:val="18"/>
          <w:szCs w:val="18"/>
          <w:color w:val="auto"/>
        </w:rPr>
        <w:t xml:space="preserve">the Tenant to the Landlord (the receipt of which sum the Landlord acknowledges) the Tenant as beneficial owner assigns and surrenders the Demised Premises to the Landlord for all the unexpired residue of the Leasehold Term and all other estate, interest or rights of the Tenant in the Demised Premises whether granted by or arising from the Lease or by any deeds or documents supplemental to the Lease or otherwise </w:t>
      </w:r>
      <w:r>
        <w:rPr>
          <w:rFonts w:ascii="Arial" w:cs="Arial" w:eastAsia="Arial" w:hAnsi="Arial"/>
          <w:sz w:val="18"/>
          <w:szCs w:val="18"/>
          <w:b w:val="1"/>
          <w:bCs w:val="1"/>
          <w:color w:val="auto"/>
        </w:rPr>
        <w:t>TO THE INTENT</w:t>
      </w:r>
      <w:r>
        <w:rPr>
          <w:rFonts w:ascii="Arial" w:cs="Arial" w:eastAsia="Arial" w:hAnsi="Arial"/>
          <w:sz w:val="18"/>
          <w:szCs w:val="18"/>
          <w:color w:val="auto"/>
        </w:rPr>
        <w:t xml:space="preserve"> that the Leasehold Term shall merge in the freehold reversion and become extinguished and the Landlord </w:t>
      </w:r>
      <w:r>
        <w:rPr>
          <w:rFonts w:ascii="Arial" w:cs="Arial" w:eastAsia="Arial" w:hAnsi="Arial"/>
          <w:sz w:val="18"/>
          <w:szCs w:val="18"/>
          <w:b w:val="1"/>
          <w:bCs w:val="1"/>
          <w:color w:val="auto"/>
        </w:rPr>
        <w:t>HEREBY RELEASES AND DISCHARGES</w:t>
      </w:r>
      <w:r>
        <w:rPr>
          <w:rFonts w:ascii="Arial" w:cs="Arial" w:eastAsia="Arial" w:hAnsi="Arial"/>
          <w:sz w:val="18"/>
          <w:szCs w:val="18"/>
          <w:color w:val="auto"/>
        </w:rPr>
        <w:t xml:space="preserve"> the Tenant from all future claims and demands in respect of its obligations under the Leases in respect of the Demised Premises.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43" w:right="259" w:bottom="1440" w:gutter="0" w:footer="0" w:header="0"/>
        </w:sectPr>
      </w:pPr>
    </w:p>
    <w:bookmarkStart w:id="140" w:name="page141"/>
    <w:bookmarkEnd w:id="140"/>
    <w:p>
      <w:pPr>
        <w:ind w:left="660" w:right="20" w:hanging="647"/>
        <w:spacing w:after="0" w:line="37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Tenant hereby acknowledges and confirms that it is the only occupier of the Demised Premises and that no other party (other than the Landlord) has any interest in the Demised Premises or an entitlement to occupy or be in possession of the Demised Premises.</w:t>
      </w:r>
    </w:p>
    <w:p>
      <w:pPr>
        <w:spacing w:after="0" w:line="242" w:lineRule="exact"/>
        <w:rPr>
          <w:sz w:val="20"/>
          <w:szCs w:val="20"/>
          <w:color w:val="auto"/>
        </w:rPr>
      </w:pPr>
    </w:p>
    <w:p>
      <w:pPr>
        <w:ind w:left="660" w:right="100" w:hanging="647"/>
        <w:spacing w:after="0" w:line="328"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Tenant hereby acknowledges that it has no claim for compensation against the Landlord under the provisions of the Landlord and Tenant Acts 1967 to 2005 (as amended) or otherwise, arising from any works that the Tenant may have carried out to the Demised Premises and to the extent that the Tenant has any claim, the Tenant acknowledges that the within Surrender is a full and final settlement for such a claim.</w:t>
      </w:r>
    </w:p>
    <w:p>
      <w:pPr>
        <w:spacing w:after="0" w:line="3" w:lineRule="exact"/>
        <w:rPr>
          <w:sz w:val="20"/>
          <w:szCs w:val="20"/>
          <w:color w:val="auto"/>
        </w:rPr>
      </w:pPr>
    </w:p>
    <w:p>
      <w:pPr>
        <w:ind w:left="660" w:hanging="647"/>
        <w:spacing w:after="0" w:line="328"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Landlord shall have no liability to the Tenant under or in connection with this surrender nor in relation to any related matter or claim howsoever, whenever and wherever arising and whether the claim is formulated in contract and/ or tort or by reference to any other remedy or right and in whatever jurisdiction or forum.</w:t>
      </w:r>
    </w:p>
    <w:p>
      <w:pPr>
        <w:spacing w:after="0" w:line="2" w:lineRule="exact"/>
        <w:rPr>
          <w:sz w:val="20"/>
          <w:szCs w:val="20"/>
          <w:color w:val="auto"/>
        </w:rPr>
      </w:pPr>
    </w:p>
    <w:p>
      <w:pPr>
        <w:ind w:left="660" w:hanging="647"/>
        <w:spacing w:after="0" w:line="334"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Tenant shall have no liability to the Landlord under or in connection with this surrender nor in relation to any related matter or claim howsoever, whenever and wherever arising and whether the claim is formulated in contract and/ or tort or by reference to any other remedy or right and in whatever jurisdiction or forum.</w:t>
      </w:r>
    </w:p>
    <w:p>
      <w:pPr>
        <w:spacing w:after="0" w:line="270" w:lineRule="exact"/>
        <w:rPr>
          <w:sz w:val="20"/>
          <w:szCs w:val="20"/>
          <w:color w:val="auto"/>
        </w:rPr>
      </w:pPr>
    </w:p>
    <w:p>
      <w:pPr>
        <w:ind w:left="660" w:right="100" w:hanging="647"/>
        <w:spacing w:after="0" w:line="328"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In the event that the Tenant has created a refurbishment capital good as defined by the VAT Act, any VAT liability arising in this regard shall be the sole responsibility of the Tenant.</w:t>
      </w:r>
    </w:p>
    <w:p>
      <w:pPr>
        <w:spacing w:after="0" w:line="1" w:lineRule="exact"/>
        <w:rPr>
          <w:sz w:val="20"/>
          <w:szCs w:val="20"/>
          <w:color w:val="auto"/>
        </w:rPr>
      </w:pPr>
    </w:p>
    <w:p>
      <w:pPr>
        <w:ind w:left="660" w:right="100" w:hanging="647"/>
        <w:spacing w:after="0" w:line="332"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It is acknowledged and agreed by the Landlord that on execution of this surrender the Landlord has no right to claim for rent arrears, service charges, outgoings, dilapidations and other amounts due to it by the Tenant up to the date of the surrender arising from the Lease and the Landlord agrees and confirm that he will not bring any claim against the Tenant for any breach of covenant or condition contained in the Lease which may have occurred prior to 31 October 2012.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 IS HEREBY CERTIFIED </w:t>
      </w:r>
      <w:r>
        <w:rPr>
          <w:rFonts w:ascii="Arial" w:cs="Arial" w:eastAsia="Arial" w:hAnsi="Arial"/>
          <w:sz w:val="18"/>
          <w:szCs w:val="18"/>
          <w:color w:val="auto"/>
        </w:rPr>
        <w:t>as follows:-</w:t>
      </w:r>
    </w:p>
    <w:p>
      <w:pPr>
        <w:spacing w:after="0" w:line="288" w:lineRule="exact"/>
        <w:rPr>
          <w:sz w:val="20"/>
          <w:szCs w:val="20"/>
          <w:color w:val="auto"/>
        </w:rPr>
      </w:pPr>
    </w:p>
    <w:p>
      <w:pPr>
        <w:ind w:left="660" w:right="1040" w:hanging="647"/>
        <w:spacing w:after="0" w:line="340"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that Section 29 (conveyance on sale combined with building agreement for dwellinghouse/apartment) of the Stamp Duties Consolidation Act, 1999, does not apply to this instrument.</w:t>
      </w:r>
    </w:p>
    <w:p>
      <w:pPr>
        <w:spacing w:after="0" w:line="2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that this instrument is a surrender of property, or of a right or interest in property, not being a surrender on a sale.</w:t>
      </w:r>
    </w:p>
    <w:p>
      <w:pPr>
        <w:spacing w:after="0" w:line="77" w:lineRule="exact"/>
        <w:rPr>
          <w:sz w:val="20"/>
          <w:szCs w:val="20"/>
          <w:color w:val="auto"/>
        </w:rPr>
      </w:pPr>
    </w:p>
    <w:p>
      <w:pPr>
        <w:ind w:left="660" w:right="300" w:hanging="647"/>
        <w:spacing w:after="0" w:line="340"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that for the purposes of Section 29 of the Companies Act, 1990 the transaction hereby effected has been approved by a Resolution of the members of the Tenant, passed as a written resolution on 13 January 2012.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06" w:right="2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hereto have executed this Deed in the manner following and on the day and year first herein</w:t>
      </w:r>
      <w:r>
        <w:rPr>
          <w:rFonts w:ascii="Arial" w:cs="Arial" w:eastAsia="Arial" w:hAnsi="Arial"/>
          <w:sz w:val="18"/>
          <w:szCs w:val="18"/>
          <w:b w:val="1"/>
          <w:bCs w:val="1"/>
          <w:color w:val="auto"/>
        </w:rPr>
        <w:t xml:space="preserve"> WRITTEN</w:t>
      </w:r>
    </w:p>
    <w:p>
      <w:pPr>
        <w:sectPr>
          <w:pgSz w:w="11900" w:h="16838" w:orient="portrait"/>
          <w:cols w:equalWidth="0" w:num="1">
            <w:col w:w="10880"/>
          </w:cols>
          <w:pgMar w:left="240" w:top="968" w:right="779" w:bottom="1440" w:gutter="0" w:footer="0" w:header="0"/>
        </w:sectPr>
      </w:pPr>
    </w:p>
    <w:p>
      <w:pPr>
        <w:spacing w:after="0" w:line="34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80"/>
          </w:cols>
          <w:pgMar w:left="240" w:top="968" w:right="779" w:bottom="1440" w:gutter="0" w:footer="0" w:header="0"/>
          <w:type w:val="continuous"/>
        </w:sectPr>
      </w:pPr>
    </w:p>
    <w:bookmarkStart w:id="142" w:name="page143"/>
    <w:bookmarkEnd w:id="142"/>
    <w:p>
      <w:pPr>
        <w:jc w:val="center"/>
        <w:ind w:right="-559"/>
        <w:spacing w:after="0"/>
        <w:rPr>
          <w:sz w:val="20"/>
          <w:szCs w:val="20"/>
          <w:color w:val="auto"/>
        </w:rPr>
      </w:pPr>
      <w:r>
        <w:rPr>
          <w:rFonts w:ascii="Arial" w:cs="Arial" w:eastAsia="Arial" w:hAnsi="Arial"/>
          <w:sz w:val="18"/>
          <w:szCs w:val="18"/>
          <w:b w:val="1"/>
          <w:bCs w:val="1"/>
          <w:color w:val="auto"/>
        </w:rPr>
        <w:t>SCHEDULE</w:t>
      </w:r>
    </w:p>
    <w:p>
      <w:pPr>
        <w:spacing w:after="0" w:line="5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Demised Premises)</w:t>
      </w:r>
    </w:p>
    <w:p>
      <w:pPr>
        <w:spacing w:after="0" w:line="360" w:lineRule="exact"/>
        <w:rPr>
          <w:sz w:val="20"/>
          <w:szCs w:val="20"/>
          <w:color w:val="auto"/>
        </w:rPr>
      </w:pPr>
    </w:p>
    <w:p>
      <w:pPr>
        <w:spacing w:after="0" w:line="337" w:lineRule="auto"/>
        <w:rPr>
          <w:sz w:val="20"/>
          <w:szCs w:val="20"/>
          <w:color w:val="auto"/>
        </w:rPr>
      </w:pPr>
      <w:r>
        <w:rPr>
          <w:rFonts w:ascii="Arial" w:cs="Arial" w:eastAsia="Arial" w:hAnsi="Arial"/>
          <w:sz w:val="18"/>
          <w:szCs w:val="18"/>
          <w:b w:val="1"/>
          <w:bCs w:val="1"/>
          <w:color w:val="auto"/>
        </w:rPr>
        <w:t xml:space="preserve">ALL THAT AND THOSE </w:t>
      </w:r>
      <w:r>
        <w:rPr>
          <w:rFonts w:ascii="Arial" w:cs="Arial" w:eastAsia="Arial" w:hAnsi="Arial"/>
          <w:sz w:val="18"/>
          <w:szCs w:val="18"/>
          <w:color w:val="auto"/>
        </w:rPr>
        <w:t>the entire of the building known as 45 Fitzwilliam Square, Dublin 2 and comprising an area of 4,128 square feet</w:t>
      </w:r>
      <w:r>
        <w:rPr>
          <w:rFonts w:ascii="Arial" w:cs="Arial" w:eastAsia="Arial" w:hAnsi="Arial"/>
          <w:sz w:val="18"/>
          <w:szCs w:val="18"/>
          <w:b w:val="1"/>
          <w:bCs w:val="1"/>
          <w:color w:val="auto"/>
        </w:rPr>
        <w:t xml:space="preserve"> </w:t>
      </w:r>
      <w:r>
        <w:rPr>
          <w:rFonts w:ascii="Arial" w:cs="Arial" w:eastAsia="Arial" w:hAnsi="Arial"/>
          <w:sz w:val="18"/>
          <w:szCs w:val="18"/>
          <w:color w:val="auto"/>
        </w:rPr>
        <w:t>(383.50 square metres) excluding the basement level and including without prejudice to the generality of the foregoing:-1.0 all the Conduits and Plant in, upon, over or under and exclusively serving the same;</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2.0</w:t>
        <w:tab/>
        <w:t>all Landlord's fixtures and fittings now or hereafter in or upon the same;</w:t>
      </w:r>
    </w:p>
    <w:p>
      <w:pPr>
        <w:spacing w:after="0" w:line="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7"/>
          <w:szCs w:val="17"/>
          <w:color w:val="auto"/>
        </w:rPr>
        <w:t>all additions, alterations and improvements thereto;</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but excluding the airspace above and the ground below the Demised Premises.</w:t>
      </w:r>
    </w:p>
    <w:p>
      <w:pPr>
        <w:spacing w:after="0" w:line="32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240" w:top="643" w:right="7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 xml:space="preserve">SIGNED and DELIVERED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the said </w:t>
      </w:r>
      <w:r>
        <w:rPr>
          <w:rFonts w:ascii="Arial" w:cs="Arial" w:eastAsia="Arial" w:hAnsi="Arial"/>
          <w:sz w:val="18"/>
          <w:szCs w:val="18"/>
          <w:b w:val="1"/>
          <w:bCs w:val="1"/>
          <w:color w:val="auto"/>
        </w:rPr>
        <w:t>SEAMUS MULLIGAN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 Eunan Maguire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580" w:type="dxa"/>
            <w:vAlign w:val="bottom"/>
          </w:tcPr>
          <w:p>
            <w:pPr>
              <w:spacing w:after="0"/>
              <w:rPr>
                <w:sz w:val="20"/>
                <w:szCs w:val="20"/>
                <w:color w:val="auto"/>
              </w:rPr>
            </w:pPr>
            <w:r>
              <w:rPr>
                <w:rFonts w:ascii="Arial" w:cs="Arial" w:eastAsia="Arial" w:hAnsi="Arial"/>
                <w:sz w:val="18"/>
                <w:szCs w:val="18"/>
                <w:b w:val="1"/>
                <w:bCs w:val="1"/>
                <w:color w:val="auto"/>
              </w:rPr>
              <w:t xml:space="preserve">GIVEN </w:t>
            </w:r>
            <w:r>
              <w:rPr>
                <w:rFonts w:ascii="Arial" w:cs="Arial" w:eastAsia="Arial" w:hAnsi="Arial"/>
                <w:sz w:val="18"/>
                <w:szCs w:val="18"/>
                <w:color w:val="auto"/>
              </w:rPr>
              <w:t>under the Common Seal</w:t>
            </w:r>
          </w:p>
        </w:tc>
        <w:tc>
          <w:tcPr>
            <w:tcW w:w="4380" w:type="dxa"/>
            <w:vAlign w:val="bottom"/>
          </w:tcPr>
          <w:p>
            <w:pPr>
              <w:spacing w:after="0"/>
              <w:rPr>
                <w:sz w:val="17"/>
                <w:szCs w:val="17"/>
                <w:color w:val="auto"/>
              </w:rPr>
            </w:pPr>
          </w:p>
        </w:tc>
      </w:tr>
      <w:tr>
        <w:trPr>
          <w:trHeight w:val="246"/>
        </w:trPr>
        <w:tc>
          <w:tcPr>
            <w:tcW w:w="6580" w:type="dxa"/>
            <w:vAlign w:val="bottom"/>
          </w:tcPr>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JAZZ PHARMACEUTICALS PLC</w:t>
            </w:r>
            <w:r>
              <w:rPr>
                <w:rFonts w:ascii="Arial" w:cs="Arial" w:eastAsia="Arial" w:hAnsi="Arial"/>
                <w:sz w:val="18"/>
                <w:szCs w:val="18"/>
                <w:color w:val="auto"/>
              </w:rPr>
              <w:t>:-</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Fintan Keegan</w:t>
            </w:r>
          </w:p>
        </w:tc>
      </w:tr>
      <w:tr>
        <w:trPr>
          <w:trHeight w:val="243"/>
        </w:trPr>
        <w:tc>
          <w:tcPr>
            <w:tcW w:w="658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Fintan Keegan</w:t>
            </w:r>
          </w:p>
        </w:tc>
      </w:tr>
      <w:tr>
        <w:trPr>
          <w:trHeight w:val="270"/>
        </w:trPr>
        <w:tc>
          <w:tcPr>
            <w:tcW w:w="6580" w:type="dxa"/>
            <w:vAlign w:val="bottom"/>
          </w:tcPr>
          <w:p>
            <w:pPr>
              <w:spacing w:after="0"/>
              <w:rPr>
                <w:sz w:val="23"/>
                <w:szCs w:val="23"/>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Company Secretary</w:t>
            </w:r>
          </w:p>
        </w:tc>
      </w:tr>
      <w:tr>
        <w:trPr>
          <w:trHeight w:val="574"/>
        </w:trPr>
        <w:tc>
          <w:tcPr>
            <w:tcW w:w="6580" w:type="dxa"/>
            <w:vAlign w:val="bottom"/>
          </w:tcPr>
          <w:p>
            <w:pPr>
              <w:spacing w:after="0"/>
              <w:rPr>
                <w:sz w:val="24"/>
                <w:szCs w:val="24"/>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Seamus Mulligan</w:t>
            </w:r>
          </w:p>
        </w:tc>
      </w:tr>
      <w:tr>
        <w:trPr>
          <w:trHeight w:val="243"/>
        </w:trPr>
        <w:tc>
          <w:tcPr>
            <w:tcW w:w="658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Seamus Mulligan</w:t>
            </w:r>
          </w:p>
        </w:tc>
      </w:tr>
      <w:tr>
        <w:trPr>
          <w:trHeight w:val="257"/>
        </w:trPr>
        <w:tc>
          <w:tcPr>
            <w:tcW w:w="6580" w:type="dxa"/>
            <w:vAlign w:val="bottom"/>
          </w:tcPr>
          <w:p>
            <w:pPr>
              <w:spacing w:after="0"/>
              <w:rPr>
                <w:sz w:val="22"/>
                <w:szCs w:val="22"/>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777"/>
        </w:trPr>
        <w:tc>
          <w:tcPr>
            <w:tcW w:w="6580" w:type="dxa"/>
            <w:vAlign w:val="bottom"/>
          </w:tcPr>
          <w:p>
            <w:pPr>
              <w:spacing w:after="0"/>
              <w:rPr>
                <w:sz w:val="24"/>
                <w:szCs w:val="24"/>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Suzanne Sawochka Hooper</w:t>
            </w:r>
          </w:p>
        </w:tc>
      </w:tr>
      <w:tr>
        <w:trPr>
          <w:trHeight w:val="229"/>
        </w:trPr>
        <w:tc>
          <w:tcPr>
            <w:tcW w:w="65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Suzanne Sawochka Hooper</w:t>
            </w:r>
          </w:p>
        </w:tc>
      </w:tr>
      <w:tr>
        <w:trPr>
          <w:trHeight w:val="203"/>
        </w:trPr>
        <w:tc>
          <w:tcPr>
            <w:tcW w:w="6580" w:type="dxa"/>
            <w:vAlign w:val="bottom"/>
          </w:tcPr>
          <w:p>
            <w:pPr>
              <w:spacing w:after="0"/>
              <w:rPr>
                <w:sz w:val="17"/>
                <w:szCs w:val="17"/>
                <w:color w:val="auto"/>
              </w:rPr>
            </w:pPr>
          </w:p>
        </w:tc>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Executive Vice President &amp;</w:t>
            </w:r>
          </w:p>
        </w:tc>
      </w:tr>
      <w:tr>
        <w:trPr>
          <w:trHeight w:val="203"/>
        </w:trPr>
        <w:tc>
          <w:tcPr>
            <w:tcW w:w="6580" w:type="dxa"/>
            <w:vAlign w:val="bottom"/>
          </w:tcPr>
          <w:p>
            <w:pPr>
              <w:spacing w:after="0"/>
              <w:rPr>
                <w:sz w:val="17"/>
                <w:szCs w:val="17"/>
                <w:color w:val="auto"/>
              </w:rPr>
            </w:pPr>
          </w:p>
        </w:tc>
        <w:tc>
          <w:tcPr>
            <w:tcW w:w="4380" w:type="dxa"/>
            <w:vAlign w:val="bottom"/>
          </w:tcPr>
          <w:p>
            <w:pPr>
              <w:ind w:left="20"/>
              <w:spacing w:after="0" w:line="202" w:lineRule="exact"/>
              <w:rPr>
                <w:sz w:val="20"/>
                <w:szCs w:val="20"/>
                <w:color w:val="auto"/>
              </w:rPr>
            </w:pPr>
            <w:r>
              <w:rPr>
                <w:rFonts w:ascii="Arial" w:cs="Arial" w:eastAsia="Arial" w:hAnsi="Arial"/>
                <w:sz w:val="18"/>
                <w:szCs w:val="18"/>
                <w:color w:val="auto"/>
              </w:rPr>
              <w:t>General Counsel</w:t>
            </w:r>
          </w:p>
        </w:tc>
      </w:tr>
      <w:tr>
        <w:trPr>
          <w:trHeight w:val="217"/>
        </w:trPr>
        <w:tc>
          <w:tcPr>
            <w:tcW w:w="65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JAZZ PHARMACEUTICALS PLC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684" w:right="659" w:bottom="1440" w:gutter="0" w:footer="0" w:header="0"/>
        </w:sectPr>
      </w:pPr>
    </w:p>
    <w:bookmarkStart w:id="144" w:name="page145"/>
    <w:bookmarkEnd w:id="144"/>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10.27E</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JAZZ PHARMACEUTICALS PLC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GRANT NOTICE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EQUITY INCENTIVE PLAN)</w:t>
      </w:r>
    </w:p>
    <w:p>
      <w:pPr>
        <w:spacing w:after="0" w:line="200" w:lineRule="exact"/>
        <w:rPr>
          <w:sz w:val="20"/>
          <w:szCs w:val="20"/>
          <w:color w:val="auto"/>
        </w:rPr>
      </w:pP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Section 6(b) of the Company’s 2007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a Restricted Stock Unit Award covering the number of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This Award shall be evidenced by a Restricted Stock Unit Award Agreement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This Award is subject to all of the terms and conditions as set forth herein and in the applicable Award Agreement and the Plan, each of which are attached hereto and incorporated herein in their entirety.</w:t>
      </w:r>
    </w:p>
    <w:p>
      <w:pPr>
        <w:spacing w:after="0" w:line="19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16"/>
          <w:szCs w:val="16"/>
          <w:u w:val="single" w:color="auto"/>
          <w:color w:val="auto"/>
        </w:rPr>
        <w:t>________________________________</w:t>
      </w:r>
    </w:p>
    <w:p>
      <w:pPr>
        <w:spacing w:after="0" w:line="1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0"/>
          <w:szCs w:val="20"/>
          <w:color w:val="auto"/>
        </w:rPr>
        <w:t>RSU#:</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19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3300" w:val="left"/>
        </w:tabs>
        <w:rPr>
          <w:sz w:val="20"/>
          <w:szCs w:val="20"/>
          <w:color w:val="auto"/>
        </w:rPr>
      </w:pPr>
      <w:r>
        <w:rPr>
          <w:rFonts w:ascii="Arial" w:cs="Arial" w:eastAsia="Arial" w:hAnsi="Arial"/>
          <w:sz w:val="20"/>
          <w:szCs w:val="20"/>
          <w:color w:val="auto"/>
        </w:rPr>
        <w:t>Vesting Commencement Date:</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2260" w:val="left"/>
        </w:tabs>
        <w:rPr>
          <w:sz w:val="20"/>
          <w:szCs w:val="20"/>
          <w:color w:val="auto"/>
        </w:rPr>
      </w:pPr>
      <w:r>
        <w:rPr>
          <w:rFonts w:ascii="Arial" w:cs="Arial" w:eastAsia="Arial" w:hAnsi="Arial"/>
          <w:sz w:val="20"/>
          <w:szCs w:val="20"/>
          <w:color w:val="auto"/>
        </w:rPr>
        <w:t>Number of RSUs:</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2000" w:val="left"/>
        </w:tabs>
        <w:rPr>
          <w:sz w:val="20"/>
          <w:szCs w:val="20"/>
          <w:color w:val="auto"/>
        </w:rPr>
      </w:pPr>
      <w:r>
        <w:rPr>
          <w:rFonts w:ascii="Arial" w:cs="Arial" w:eastAsia="Arial" w:hAnsi="Arial"/>
          <w:sz w:val="20"/>
          <w:szCs w:val="20"/>
          <w:color w:val="auto"/>
        </w:rPr>
        <w:t>Consideration:</w:t>
      </w:r>
      <w:r>
        <w:rPr>
          <w:sz w:val="20"/>
          <w:szCs w:val="20"/>
          <w:color w:val="auto"/>
        </w:rPr>
        <w:tab/>
      </w:r>
      <w:r>
        <w:rPr>
          <w:rFonts w:ascii="Arial" w:cs="Arial" w:eastAsia="Arial" w:hAnsi="Arial"/>
          <w:sz w:val="16"/>
          <w:szCs w:val="16"/>
          <w:color w:val="auto"/>
        </w:rPr>
        <w:t>Participant’s Services</w:t>
      </w:r>
    </w:p>
    <w:p>
      <w:pPr>
        <w:spacing w:after="0" w:line="207"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[____________________________________]</w:t>
      </w:r>
    </w:p>
    <w:p>
      <w:pPr>
        <w:spacing w:after="0" w:line="216"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16"/>
          <w:szCs w:val="16"/>
          <w:color w:val="auto"/>
        </w:rPr>
        <w:t>One Ordinary Share will be issued for each RSU which vests at the time set forth in Section 4 of the 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 Tax</w:t>
      </w:r>
    </w:p>
    <w:p>
      <w:pPr>
        <w:spacing w:after="0" w:line="25" w:lineRule="exact"/>
        <w:rPr>
          <w:sz w:val="20"/>
          <w:szCs w:val="20"/>
          <w:color w:val="auto"/>
        </w:rPr>
      </w:pPr>
    </w:p>
    <w:p>
      <w:pPr>
        <w:jc w:val="both"/>
        <w:ind w:left="2120" w:hanging="2106"/>
        <w:spacing w:after="0" w:line="255" w:lineRule="exact"/>
        <w:tabs>
          <w:tab w:leader="none" w:pos="2100" w:val="left"/>
        </w:tabs>
        <w:rPr>
          <w:sz w:val="20"/>
          <w:szCs w:val="20"/>
          <w:color w:val="auto"/>
        </w:rPr>
      </w:pPr>
      <w:r>
        <w:rPr>
          <w:rFonts w:ascii="Arial" w:cs="Arial" w:eastAsia="Arial" w:hAnsi="Arial"/>
          <w:sz w:val="20"/>
          <w:szCs w:val="20"/>
          <w:b w:val="1"/>
          <w:bCs w:val="1"/>
          <w:color w:val="auto"/>
        </w:rPr>
        <w:t xml:space="preserve">Withholding Right: </w:t>
      </w:r>
      <w:r>
        <w:rPr>
          <w:rFonts w:ascii="MS PGothic" w:cs="MS PGothic" w:eastAsia="MS PGothic" w:hAnsi="MS PGothic"/>
          <w:sz w:val="21"/>
          <w:szCs w:val="21"/>
          <w:color w:val="auto"/>
        </w:rPr>
        <w:t>☐</w:t>
      </w:r>
      <w:r>
        <w:rPr>
          <w:sz w:val="20"/>
          <w:szCs w:val="20"/>
          <w:color w:val="auto"/>
        </w:rPr>
        <w:tab/>
      </w:r>
      <w:r>
        <w:rPr>
          <w:rFonts w:ascii="Arial" w:cs="Arial" w:eastAsia="Arial" w:hAnsi="Arial"/>
          <w:sz w:val="19"/>
          <w:szCs w:val="19"/>
          <w:color w:val="auto"/>
        </w:rPr>
        <w:t>You may direct the Company (i) to withhold, from Ordinary Shares otherwise issuable in respect of the Award, a portion of those Ordinary Shares with an aggregate fair market value (measured as of the delivery date) equal to the amount of the applicable withholding taxes, and (ii) to make a cash payment equal to such fair market value directly to the appropriate taxing authorities, as provided in Section 11 of the Award Agreement.</w:t>
      </w:r>
    </w:p>
    <w:p>
      <w:pPr>
        <w:spacing w:after="0" w:line="28" w:lineRule="exact"/>
        <w:rPr>
          <w:sz w:val="20"/>
          <w:szCs w:val="20"/>
          <w:color w:val="auto"/>
        </w:rPr>
      </w:pPr>
    </w:p>
    <w:p>
      <w:pPr>
        <w:ind w:left="4280" w:hanging="382"/>
        <w:spacing w:after="0"/>
        <w:tabs>
          <w:tab w:leader="none" w:pos="4280" w:val="left"/>
        </w:tabs>
        <w:numPr>
          <w:ilvl w:val="0"/>
          <w:numId w:val="60"/>
        </w:numPr>
        <w:rPr>
          <w:rFonts w:ascii="MS PGothic" w:cs="MS PGothic" w:eastAsia="MS PGothic" w:hAnsi="MS PGothic"/>
          <w:sz w:val="22"/>
          <w:szCs w:val="22"/>
          <w:color w:val="auto"/>
        </w:rPr>
      </w:pPr>
      <w:r>
        <w:rPr>
          <w:rFonts w:ascii="Arial" w:cs="Arial" w:eastAsia="Arial" w:hAnsi="Arial"/>
          <w:sz w:val="20"/>
          <w:szCs w:val="20"/>
          <w:color w:val="auto"/>
        </w:rPr>
        <w:t>None</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 this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 Grant Notice, the Award Agreement and the Plan. Participant further acknowledges that as of the Date of Grant, this Restricted Stock Unit Grant Notice, the Award Agreement and the Plan set forth the entire understanding between Participant and the Company regarding the Award and supersedes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761476 v2/SD</w:t>
      </w:r>
    </w:p>
    <w:p>
      <w:pPr>
        <w:sectPr>
          <w:pgSz w:w="11900" w:h="16838" w:orient="portrait"/>
          <w:cols w:equalWidth="0" w:num="1">
            <w:col w:w="11420"/>
          </w:cols>
          <w:pgMar w:left="240" w:top="873" w:right="239" w:bottom="1440" w:gutter="0" w:footer="0" w:header="0"/>
        </w:sectPr>
      </w:pPr>
    </w:p>
    <w:bookmarkStart w:id="145" w:name="page146"/>
    <w:bookmarkEnd w:id="145"/>
    <w:tbl>
      <w:tblPr>
        <w:tblLayout w:type="fixed"/>
        <w:tblInd w:w="160" w:type="dxa"/>
        <w:tblCellMar>
          <w:top w:w="0" w:type="dxa"/>
          <w:left w:w="0" w:type="dxa"/>
          <w:bottom w:w="0" w:type="dxa"/>
          <w:right w:w="0" w:type="dxa"/>
        </w:tblCellMar>
      </w:tblPr>
      <w:tr>
        <w:trPr>
          <w:trHeight w:val="256"/>
        </w:trPr>
        <w:tc>
          <w:tcPr>
            <w:tcW w:w="4800" w:type="dxa"/>
            <w:vAlign w:val="bottom"/>
            <w:gridSpan w:val="5"/>
          </w:tcPr>
          <w:p>
            <w:pPr>
              <w:spacing w:after="0"/>
              <w:rPr>
                <w:sz w:val="20"/>
                <w:szCs w:val="20"/>
                <w:color w:val="auto"/>
              </w:rPr>
            </w:pPr>
            <w:r>
              <w:rPr>
                <w:rFonts w:ascii="Arial" w:cs="Arial" w:eastAsia="Arial" w:hAnsi="Arial"/>
                <w:sz w:val="20"/>
                <w:szCs w:val="20"/>
                <w:b w:val="1"/>
                <w:bCs w:val="1"/>
                <w:color w:val="auto"/>
              </w:rPr>
              <w:t>JAZZ PHARMACEUTICALS PLC</w:t>
            </w:r>
          </w:p>
        </w:tc>
        <w:tc>
          <w:tcPr>
            <w:tcW w:w="4740" w:type="dxa"/>
            <w:vAlign w:val="bottom"/>
            <w:gridSpan w:val="4"/>
          </w:tcPr>
          <w:p>
            <w:pPr>
              <w:ind w:left="780"/>
              <w:spacing w:after="0"/>
              <w:rPr>
                <w:sz w:val="20"/>
                <w:szCs w:val="20"/>
                <w:color w:val="auto"/>
              </w:rPr>
            </w:pPr>
            <w:r>
              <w:rPr>
                <w:rFonts w:ascii="Arial" w:cs="Arial" w:eastAsia="Arial" w:hAnsi="Arial"/>
                <w:sz w:val="20"/>
                <w:szCs w:val="20"/>
                <w:b w:val="1"/>
                <w:bCs w:val="1"/>
                <w:color w:val="auto"/>
              </w:rPr>
              <w:t>PARTICIPANT:</w:t>
            </w:r>
          </w:p>
        </w:tc>
      </w:tr>
      <w:tr>
        <w:trPr>
          <w:trHeight w:val="570"/>
        </w:trPr>
        <w:tc>
          <w:tcPr>
            <w:tcW w:w="4800" w:type="dxa"/>
            <w:vAlign w:val="bottom"/>
            <w:gridSpan w:val="5"/>
          </w:tcPr>
          <w:p>
            <w:pPr>
              <w:spacing w:after="0"/>
              <w:rPr>
                <w:sz w:val="20"/>
                <w:szCs w:val="20"/>
                <w:color w:val="auto"/>
              </w:rPr>
            </w:pPr>
            <w:r>
              <w:rPr>
                <w:rFonts w:ascii="Arial" w:cs="Arial" w:eastAsia="Arial" w:hAnsi="Arial"/>
                <w:sz w:val="20"/>
                <w:szCs w:val="20"/>
                <w:color w:val="auto"/>
              </w:rPr>
              <w:t>By: ____________________________________</w:t>
            </w:r>
          </w:p>
        </w:tc>
        <w:tc>
          <w:tcPr>
            <w:tcW w:w="4740" w:type="dxa"/>
            <w:vAlign w:val="bottom"/>
            <w:gridSpan w:val="4"/>
          </w:tcPr>
          <w:p>
            <w:pPr>
              <w:ind w:left="780"/>
              <w:spacing w:after="0"/>
              <w:rPr>
                <w:sz w:val="20"/>
                <w:szCs w:val="20"/>
                <w:color w:val="auto"/>
              </w:rPr>
            </w:pPr>
            <w:r>
              <w:rPr>
                <w:rFonts w:ascii="Arial" w:cs="Arial" w:eastAsia="Arial" w:hAnsi="Arial"/>
                <w:sz w:val="20"/>
                <w:szCs w:val="20"/>
                <w:color w:val="auto"/>
                <w:w w:val="98"/>
              </w:rPr>
              <w:t>____________________________________</w:t>
            </w:r>
          </w:p>
        </w:tc>
      </w:tr>
      <w:tr>
        <w:trPr>
          <w:trHeight w:val="301"/>
        </w:trPr>
        <w:tc>
          <w:tcPr>
            <w:tcW w:w="280" w:type="dxa"/>
            <w:vAlign w:val="bottom"/>
          </w:tcPr>
          <w:p>
            <w:pPr>
              <w:spacing w:after="0"/>
              <w:rPr>
                <w:sz w:val="24"/>
                <w:szCs w:val="24"/>
                <w:color w:val="auto"/>
              </w:rPr>
            </w:pPr>
          </w:p>
        </w:tc>
        <w:tc>
          <w:tcPr>
            <w:tcW w:w="366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Signature</w:t>
            </w:r>
          </w:p>
        </w:tc>
        <w:tc>
          <w:tcPr>
            <w:tcW w:w="8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Borders>
              <w:top w:val="single" w:sz="8" w:color="auto"/>
            </w:tcBorders>
            <w:gridSpan w:val="3"/>
          </w:tcPr>
          <w:p>
            <w:pPr>
              <w:ind w:left="440"/>
              <w:spacing w:after="0"/>
              <w:rPr>
                <w:sz w:val="20"/>
                <w:szCs w:val="20"/>
                <w:color w:val="auto"/>
              </w:rPr>
            </w:pPr>
            <w:r>
              <w:rPr>
                <w:rFonts w:ascii="Arial" w:cs="Arial" w:eastAsia="Arial" w:hAnsi="Arial"/>
                <w:sz w:val="20"/>
                <w:szCs w:val="20"/>
                <w:color w:val="auto"/>
              </w:rPr>
              <w:t>Signature</w:t>
            </w:r>
          </w:p>
        </w:tc>
      </w:tr>
      <w:tr>
        <w:trPr>
          <w:trHeight w:val="779"/>
        </w:trPr>
        <w:tc>
          <w:tcPr>
            <w:tcW w:w="4800" w:type="dxa"/>
            <w:vAlign w:val="bottom"/>
            <w:gridSpan w:val="5"/>
          </w:tcPr>
          <w:p>
            <w:pPr>
              <w:spacing w:after="0"/>
              <w:rPr>
                <w:sz w:val="20"/>
                <w:szCs w:val="20"/>
                <w:color w:val="auto"/>
              </w:rPr>
            </w:pPr>
            <w:r>
              <w:rPr>
                <w:rFonts w:ascii="Arial" w:cs="Arial" w:eastAsia="Arial" w:hAnsi="Arial"/>
                <w:sz w:val="20"/>
                <w:szCs w:val="20"/>
                <w:color w:val="auto"/>
              </w:rPr>
              <w:t>Title: ____________________________________</w:t>
            </w:r>
          </w:p>
        </w:tc>
        <w:tc>
          <w:tcPr>
            <w:tcW w:w="4740" w:type="dxa"/>
            <w:vAlign w:val="bottom"/>
            <w:gridSpan w:val="4"/>
          </w:tcPr>
          <w:p>
            <w:pPr>
              <w:ind w:left="780"/>
              <w:spacing w:after="0"/>
              <w:rPr>
                <w:sz w:val="20"/>
                <w:szCs w:val="20"/>
                <w:color w:val="auto"/>
              </w:rPr>
            </w:pPr>
            <w:r>
              <w:rPr>
                <w:rFonts w:ascii="Arial" w:cs="Arial" w:eastAsia="Arial" w:hAnsi="Arial"/>
                <w:sz w:val="20"/>
                <w:szCs w:val="20"/>
                <w:color w:val="auto"/>
                <w:w w:val="89"/>
              </w:rPr>
              <w:t>Date: ___________________________________</w:t>
            </w: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3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4800" w:type="dxa"/>
            <w:vAlign w:val="bottom"/>
            <w:gridSpan w:val="5"/>
          </w:tcPr>
          <w:p>
            <w:pPr>
              <w:spacing w:after="0"/>
              <w:rPr>
                <w:sz w:val="20"/>
                <w:szCs w:val="20"/>
                <w:color w:val="auto"/>
              </w:rPr>
            </w:pPr>
            <w:r>
              <w:rPr>
                <w:rFonts w:ascii="Arial" w:cs="Arial" w:eastAsia="Arial" w:hAnsi="Arial"/>
                <w:sz w:val="20"/>
                <w:szCs w:val="20"/>
                <w:color w:val="auto"/>
              </w:rPr>
              <w:t>Date: ___________________________________</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 Award Agreement, 2007 Equity Incentive Plan</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761476 v2/SD</w:t>
      </w:r>
    </w:p>
    <w:p>
      <w:pPr>
        <w:sectPr>
          <w:pgSz w:w="11900" w:h="16838" w:orient="portrait"/>
          <w:cols w:equalWidth="0" w:num="1">
            <w:col w:w="10219"/>
          </w:cols>
          <w:pgMar w:left="240" w:top="1359"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ATTACHMENT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761476 v2/SD</w:t>
      </w:r>
    </w:p>
    <w:p>
      <w:pPr>
        <w:sectPr>
          <w:pgSz w:w="11900" w:h="16838" w:orient="portrait"/>
          <w:cols w:equalWidth="0" w:num="1">
            <w:col w:w="11420"/>
          </w:cols>
          <w:pgMar w:left="240" w:top="65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2"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2007 EQUITY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in consideration of your services, 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you a Restricted Stock Unit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under its 2007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the number of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set forth in the Grant Notice. Capitalized terms not explicitly defined in this Agreement shall have the same meanings given to them in the Plan or the Grant Notice, as applicable. Except as otherwise explicitly provided herein, in the event of any conflict between the terms in this Agreement and the Plan, the terms of the Plan shall control.</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Award, in addition to those set forth in the Grant Notice and the Plan, are as follows.</w:t>
      </w:r>
    </w:p>
    <w:p>
      <w:pPr>
        <w:spacing w:after="0" w:line="223" w:lineRule="exact"/>
        <w:rPr>
          <w:sz w:val="20"/>
          <w:szCs w:val="20"/>
          <w:color w:val="auto"/>
        </w:rPr>
      </w:pPr>
    </w:p>
    <w:p>
      <w:pPr>
        <w:jc w:val="both"/>
        <w:ind w:firstLine="656"/>
        <w:spacing w:after="0" w:line="305" w:lineRule="auto"/>
        <w:tabs>
          <w:tab w:leader="none" w:pos="144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THE AWARD. </w:t>
      </w:r>
      <w:r>
        <w:rPr>
          <w:rFonts w:ascii="Arial" w:cs="Arial" w:eastAsia="Arial" w:hAnsi="Arial"/>
          <w:sz w:val="18"/>
          <w:szCs w:val="18"/>
          <w:color w:val="auto"/>
        </w:rPr>
        <w:t>This Award represents your right to be issued on a future date the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equal to the number of RSUs indicated in the Grant Notice. As of the Date of Grant, the Company will credit to a bookkeeping account maintained by the Company for your benefit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xml:space="preserve">”) the number of RSUs subject to the Award. This Award was granted in consideration of your services to the Company. Except as otherwise provided herein, you will not be required to make any payment to the Company (other than past and future services to the Company) with respect to your receipt of the Award, the vesting of the RSUs or the delivery of the Ordinary Shares to be issued in respect of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that any Ordinary Shares issued upon settlement of your Award are newly issued Ordinary Shares, you must pay in cash or by check, bank draft or money order payable to the Company an amount equal to the par value of such number of newly issued Ordinary Shares (rounded up to the nearest whole cent).</w:t>
      </w:r>
    </w:p>
    <w:p>
      <w:pPr>
        <w:spacing w:after="0" w:line="151" w:lineRule="exact"/>
        <w:rPr>
          <w:rFonts w:ascii="Arial" w:cs="Arial" w:eastAsia="Arial" w:hAnsi="Arial"/>
          <w:sz w:val="18"/>
          <w:szCs w:val="18"/>
          <w:b w:val="1"/>
          <w:bCs w:val="1"/>
          <w:color w:val="auto"/>
        </w:rPr>
      </w:pPr>
    </w:p>
    <w:p>
      <w:pPr>
        <w:ind w:left="1000" w:hanging="344"/>
        <w:spacing w:after="0"/>
        <w:tabs>
          <w:tab w:leader="none" w:pos="10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RSUS AND ORDINARY SHARES.</w:t>
      </w:r>
    </w:p>
    <w:p>
      <w:pPr>
        <w:spacing w:after="0" w:line="221" w:lineRule="exact"/>
        <w:rPr>
          <w:rFonts w:ascii="Arial" w:cs="Arial" w:eastAsia="Arial" w:hAnsi="Arial"/>
          <w:sz w:val="20"/>
          <w:szCs w:val="20"/>
          <w:b w:val="1"/>
          <w:bCs w:val="1"/>
          <w:color w:val="auto"/>
        </w:rPr>
      </w:pPr>
    </w:p>
    <w:p>
      <w:pPr>
        <w:ind w:left="1920" w:hanging="615"/>
        <w:spacing w:after="0"/>
        <w:tabs>
          <w:tab w:leader="none" w:pos="1920" w:val="left"/>
        </w:tabs>
        <w:numPr>
          <w:ilvl w:val="1"/>
          <w:numId w:val="61"/>
        </w:numPr>
        <w:rPr>
          <w:rFonts w:ascii="Arial" w:cs="Arial" w:eastAsia="Arial" w:hAnsi="Arial"/>
          <w:sz w:val="19"/>
          <w:szCs w:val="19"/>
          <w:b w:val="1"/>
          <w:bCs w:val="1"/>
          <w:color w:val="auto"/>
        </w:rPr>
      </w:pPr>
      <w:r>
        <w:rPr>
          <w:rFonts w:ascii="Arial" w:cs="Arial" w:eastAsia="Arial" w:hAnsi="Arial"/>
          <w:sz w:val="19"/>
          <w:szCs w:val="19"/>
          <w:color w:val="auto"/>
        </w:rPr>
        <w:t>The number of RSUs subject to your Award may be adjusted from time to time for Capitalization Adjustments, as</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provided in the Plan.</w:t>
      </w:r>
    </w:p>
    <w:p>
      <w:pPr>
        <w:spacing w:after="0" w:line="159" w:lineRule="exact"/>
        <w:rPr>
          <w:rFonts w:ascii="Arial" w:cs="Arial" w:eastAsia="Arial" w:hAnsi="Arial"/>
          <w:sz w:val="19"/>
          <w:szCs w:val="19"/>
          <w:b w:val="1"/>
          <w:bCs w:val="1"/>
          <w:color w:val="auto"/>
        </w:rPr>
      </w:pPr>
    </w:p>
    <w:p>
      <w:pPr>
        <w:jc w:val="both"/>
        <w:ind w:firstLine="1305"/>
        <w:spacing w:after="0" w:line="250" w:lineRule="auto"/>
        <w:tabs>
          <w:tab w:leader="none" w:pos="1725" w:val="left"/>
        </w:tabs>
        <w:numPr>
          <w:ilvl w:val="1"/>
          <w:numId w:val="61"/>
        </w:numPr>
        <w:rPr>
          <w:rFonts w:ascii="Arial" w:cs="Arial" w:eastAsia="Arial" w:hAnsi="Arial"/>
          <w:sz w:val="20"/>
          <w:szCs w:val="20"/>
          <w:b w:val="1"/>
          <w:bCs w:val="1"/>
          <w:color w:val="auto"/>
        </w:rPr>
      </w:pPr>
      <w:r>
        <w:rPr>
          <w:rFonts w:ascii="Arial" w:cs="Arial" w:eastAsia="Arial" w:hAnsi="Arial"/>
          <w:sz w:val="20"/>
          <w:szCs w:val="20"/>
          <w:color w:val="auto"/>
        </w:rPr>
        <w:t>Any additional RSUs that become subject to the Award pursuant to this Section 2 shall be subject, in a manner determined by the Board, to the same forfeiture restrictions, restrictions on transferability, and time and manner of delivery as applicable to the other RSUs covered by your Award.</w:t>
      </w:r>
    </w:p>
    <w:p>
      <w:pPr>
        <w:spacing w:after="0" w:line="145" w:lineRule="exact"/>
        <w:rPr>
          <w:rFonts w:ascii="Arial" w:cs="Arial" w:eastAsia="Arial" w:hAnsi="Arial"/>
          <w:sz w:val="20"/>
          <w:szCs w:val="20"/>
          <w:b w:val="1"/>
          <w:bCs w:val="1"/>
          <w:color w:val="auto"/>
        </w:rPr>
      </w:pPr>
    </w:p>
    <w:p>
      <w:pPr>
        <w:jc w:val="both"/>
        <w:ind w:firstLine="1305"/>
        <w:spacing w:after="0" w:line="269" w:lineRule="auto"/>
        <w:tabs>
          <w:tab w:leader="none" w:pos="1768" w:val="left"/>
        </w:tabs>
        <w:numPr>
          <w:ilvl w:val="1"/>
          <w:numId w:val="61"/>
        </w:numPr>
        <w:rPr>
          <w:rFonts w:ascii="Arial" w:cs="Arial" w:eastAsia="Arial" w:hAnsi="Arial"/>
          <w:sz w:val="19"/>
          <w:szCs w:val="19"/>
          <w:b w:val="1"/>
          <w:bCs w:val="1"/>
          <w:color w:val="auto"/>
        </w:rPr>
      </w:pPr>
      <w:r>
        <w:rPr>
          <w:rFonts w:ascii="Arial" w:cs="Arial" w:eastAsia="Arial" w:hAnsi="Arial"/>
          <w:sz w:val="19"/>
          <w:szCs w:val="19"/>
          <w:color w:val="auto"/>
        </w:rPr>
        <w:t>Notwithstanding the provisions of this Section 2, no fractional Ordinary Shares or rights for fractional Ordinary Shares shall be created pursuant to this Section 2. The Board shall, in its discretion, determine an equivalent benefit for any fractional Ordinary Shares or fractional Ordinary Shares that might be created by the adjustments referred to in this Section 2.</w:t>
      </w:r>
    </w:p>
    <w:p>
      <w:pPr>
        <w:spacing w:after="0" w:line="123" w:lineRule="exact"/>
        <w:rPr>
          <w:rFonts w:ascii="Arial" w:cs="Arial" w:eastAsia="Arial" w:hAnsi="Arial"/>
          <w:sz w:val="19"/>
          <w:szCs w:val="19"/>
          <w:b w:val="1"/>
          <w:bCs w:val="1"/>
          <w:color w:val="auto"/>
        </w:rPr>
      </w:pPr>
    </w:p>
    <w:p>
      <w:pPr>
        <w:jc w:val="both"/>
        <w:ind w:firstLine="656"/>
        <w:spacing w:after="0" w:line="273" w:lineRule="auto"/>
        <w:tabs>
          <w:tab w:leader="none" w:pos="1076"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Subject to Section 12 and the limitations contained herein, your Award will vest, if at all,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schedule provided in the Grant Notice, provided that vesting will cease upon the termination of your Continuous Service. Upon such termination of your Continuous Service, the RSUs credited to the Account that were not vested on the date of such</w:t>
      </w:r>
    </w:p>
    <w:p>
      <w:pPr>
        <w:sectPr>
          <w:pgSz w:w="11900" w:h="16838" w:orient="portrait"/>
          <w:cols w:equalWidth="0" w:num="1">
            <w:col w:w="11420"/>
          </w:cols>
          <w:pgMar w:left="240" w:top="65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termination will be forfeited at no cost to the Company and you will have no further right, title or interest in such RSUs or the Ordinary Shares to be issued in respect of such portion of the Award.</w:t>
      </w:r>
    </w:p>
    <w:p>
      <w:pPr>
        <w:spacing w:after="0" w:line="171" w:lineRule="exact"/>
        <w:rPr>
          <w:sz w:val="20"/>
          <w:szCs w:val="20"/>
          <w:color w:val="auto"/>
        </w:rPr>
      </w:pPr>
    </w:p>
    <w:p>
      <w:pPr>
        <w:ind w:left="1000" w:hanging="344"/>
        <w:spacing w:after="0"/>
        <w:tabs>
          <w:tab w:leader="none" w:pos="1000" w:val="left"/>
        </w:tabs>
        <w:numPr>
          <w:ilvl w:val="1"/>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DATE OF ISSUANCE.</w:t>
      </w:r>
    </w:p>
    <w:p>
      <w:pPr>
        <w:spacing w:after="0" w:line="221" w:lineRule="exact"/>
        <w:rPr>
          <w:rFonts w:ascii="Arial" w:cs="Arial" w:eastAsia="Arial" w:hAnsi="Arial"/>
          <w:sz w:val="20"/>
          <w:szCs w:val="20"/>
          <w:b w:val="1"/>
          <w:bCs w:val="1"/>
          <w:color w:val="auto"/>
        </w:rPr>
      </w:pPr>
    </w:p>
    <w:p>
      <w:pPr>
        <w:jc w:val="both"/>
        <w:ind w:firstLine="1305"/>
        <w:spacing w:after="0" w:line="269" w:lineRule="auto"/>
        <w:tabs>
          <w:tab w:leader="none" w:pos="1793"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To the extent your Award is exempt from application of Section 409A of the Code and any state law of similar effect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the Company will deliver to you a number of Ordinary Shares equal to the number of vested RSUs subject to your Award, including any additional RSUs received pursuant to Section 2 above that relate to those vested RSUs on the applicable vesting date(s). However, if a scheduled delivery date falls on a date that is not a business day, such delivery date shall instead fall on the next following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8"/>
          <w:szCs w:val="18"/>
          <w:b w:val="1"/>
          <w:bCs w:val="1"/>
          <w:i w:val="1"/>
          <w:iCs w:val="1"/>
          <w:color w:val="auto"/>
        </w:rPr>
        <w:t>Original Distribution Date</w:t>
      </w:r>
      <w:r>
        <w:rPr>
          <w:rFonts w:ascii="Arial" w:cs="Arial" w:eastAsia="Arial" w:hAnsi="Arial"/>
          <w:sz w:val="18"/>
          <w:szCs w:val="18"/>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its tax withholding obligations by withholding Ordinary Shares from your distribution, then such Ordinary Shares shall not be delivered on such Original Distribution Date and shall instead be delivered on the first business day of the next occurring open “window period” applicable to you pursuant to the Policy (regardless of whether you are still providing Continuous Service at such time) or the next business day when you are not prohibited from selling Ordinary Shares in the open market, but in no event later than the fifteenth (15th) day of the third calendar month of the calendar year following the calendar year in which the Ordinary Shares covered by the Award vest. Delivery of the Ordinary Shares pursuant to the provisions of this Section 4(a)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8"/>
          <w:szCs w:val="18"/>
          <w:i w:val="1"/>
          <w:iCs w:val="1"/>
          <w:color w:val="auto"/>
        </w:rPr>
        <w:t>e.g.</w:t>
      </w:r>
      <w:r>
        <w:rPr>
          <w:rFonts w:ascii="Arial" w:cs="Arial" w:eastAsia="Arial" w:hAnsi="Arial"/>
          <w:sz w:val="18"/>
          <w:szCs w:val="18"/>
          <w:color w:val="auto"/>
        </w:rPr>
        <w:t>, a share certificate or electronic entry evidencing such Ordinary Shares) shall be determined by the Company.</w:t>
      </w:r>
    </w:p>
    <w:p>
      <w:pPr>
        <w:spacing w:after="0" w:line="129" w:lineRule="exact"/>
        <w:rPr>
          <w:rFonts w:ascii="Arial" w:cs="Arial" w:eastAsia="Arial" w:hAnsi="Arial"/>
          <w:sz w:val="18"/>
          <w:szCs w:val="18"/>
          <w:b w:val="1"/>
          <w:bCs w:val="1"/>
          <w:color w:val="auto"/>
        </w:rPr>
      </w:pPr>
    </w:p>
    <w:p>
      <w:pPr>
        <w:jc w:val="both"/>
        <w:ind w:firstLine="1305"/>
        <w:spacing w:after="0" w:line="269" w:lineRule="auto"/>
        <w:tabs>
          <w:tab w:leader="none" w:pos="1761" w:val="left"/>
        </w:tabs>
        <w:numPr>
          <w:ilvl w:val="2"/>
          <w:numId w:val="62"/>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4(b) are intended to apply to the extent your Award is subject to Section 409A because of the terms of a severance arrangement or other agreement between you and the Company, if any, that provide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and such severance benefit does not satisfy the requirements for an exemption from application of Section 409A provided under Treasury Regulations Section 1.409A-1(b)(4) or 1.409A-1(b)</w:t>
      </w:r>
    </w:p>
    <w:p>
      <w:pPr>
        <w:spacing w:after="0" w:line="3" w:lineRule="exact"/>
        <w:rPr>
          <w:rFonts w:ascii="Arial" w:cs="Arial" w:eastAsia="Arial" w:hAnsi="Arial"/>
          <w:sz w:val="18"/>
          <w:szCs w:val="18"/>
          <w:b w:val="1"/>
          <w:bCs w:val="1"/>
          <w:color w:val="auto"/>
        </w:rPr>
      </w:pPr>
    </w:p>
    <w:p>
      <w:pPr>
        <w:jc w:val="both"/>
        <w:ind w:firstLine="8"/>
        <w:spacing w:after="0" w:line="241" w:lineRule="auto"/>
        <w:tabs>
          <w:tab w:leader="none" w:pos="2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Non-Exempt Severance Arrangement</w:t>
      </w:r>
      <w:r>
        <w:rPr>
          <w:rFonts w:ascii="Arial" w:cs="Arial" w:eastAsia="Arial" w:hAnsi="Arial"/>
          <w:sz w:val="20"/>
          <w:szCs w:val="20"/>
          <w:color w:val="auto"/>
        </w:rPr>
        <w:t>”). To the extent your Award is subject to and not exempt from application of Section 409A due to application of a Non-Exempt Severance Arrangement, the following provisions in this Section 4(b) shall supersede anything to the contrary in Section 4(a).</w:t>
      </w:r>
    </w:p>
    <w:p>
      <w:pPr>
        <w:spacing w:after="0" w:line="155" w:lineRule="exact"/>
        <w:rPr>
          <w:rFonts w:ascii="Arial" w:cs="Arial" w:eastAsia="Arial" w:hAnsi="Arial"/>
          <w:sz w:val="20"/>
          <w:szCs w:val="20"/>
          <w:color w:val="auto"/>
        </w:rPr>
      </w:pPr>
    </w:p>
    <w:p>
      <w:pPr>
        <w:jc w:val="both"/>
        <w:ind w:firstLine="1953"/>
        <w:spacing w:after="0" w:line="277" w:lineRule="auto"/>
        <w:tabs>
          <w:tab w:leader="none" w:pos="2467" w:val="left"/>
        </w:tabs>
        <w:numPr>
          <w:ilvl w:val="3"/>
          <w:numId w:val="63"/>
        </w:numPr>
        <w:rPr>
          <w:rFonts w:ascii="Arial" w:cs="Arial" w:eastAsia="Arial" w:hAnsi="Arial"/>
          <w:sz w:val="19"/>
          <w:szCs w:val="19"/>
          <w:b w:val="1"/>
          <w:bCs w:val="1"/>
          <w:color w:val="auto"/>
        </w:rPr>
      </w:pPr>
      <w:r>
        <w:rPr>
          <w:rFonts w:ascii="Arial" w:cs="Arial" w:eastAsia="Arial" w:hAnsi="Arial"/>
          <w:sz w:val="19"/>
          <w:szCs w:val="19"/>
          <w:color w:val="auto"/>
        </w:rPr>
        <w:t>If your Award vests in the ordinary course during your Continuous Service in accordance with the vesting schedule set forth in the Grant Notice, without accelerating vesting under the terms of a Non-Exempt Severance Arrangement, in no event will the Ordinary Shares be issued in respect of your Award any later than the later of: (A)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of the calendar</w:t>
      </w:r>
    </w:p>
    <w:p>
      <w:pPr>
        <w:sectPr>
          <w:pgSz w:w="11900" w:h="16838" w:orient="portrait"/>
          <w:cols w:equalWidth="0" w:num="1">
            <w:col w:w="11420"/>
          </w:cols>
          <w:pgMar w:left="240" w:top="657"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year that includes the applicable vesting date and (B)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that follows the applicable vesting date.</w:t>
      </w:r>
    </w:p>
    <w:p>
      <w:pPr>
        <w:spacing w:after="0" w:line="118" w:lineRule="exact"/>
        <w:rPr>
          <w:sz w:val="20"/>
          <w:szCs w:val="20"/>
          <w:color w:val="auto"/>
        </w:rPr>
      </w:pPr>
    </w:p>
    <w:p>
      <w:pPr>
        <w:jc w:val="both"/>
        <w:ind w:firstLine="1953"/>
        <w:spacing w:after="0" w:line="247" w:lineRule="auto"/>
        <w:tabs>
          <w:tab w:leader="none" w:pos="2464"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that follows the date of your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54" w:lineRule="exact"/>
        <w:rPr>
          <w:rFonts w:ascii="Arial" w:cs="Arial" w:eastAsia="Arial" w:hAnsi="Arial"/>
          <w:sz w:val="19"/>
          <w:szCs w:val="19"/>
          <w:b w:val="1"/>
          <w:bCs w:val="1"/>
          <w:color w:val="auto"/>
        </w:rPr>
      </w:pPr>
    </w:p>
    <w:p>
      <w:pPr>
        <w:jc w:val="both"/>
        <w:ind w:firstLine="1953"/>
        <w:spacing w:after="0" w:line="243" w:lineRule="auto"/>
        <w:tabs>
          <w:tab w:leader="none" w:pos="2505" w:val="left"/>
        </w:tabs>
        <w:numPr>
          <w:ilvl w:val="1"/>
          <w:numId w:val="64"/>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but the Ordinary Shares shall instead be issued on the same schedule as set forth in the Grant Notice as if they had vested in the ordinary course during your Continuous Service, notwithstanding the vesting acceleration of the Award. Such issuance schedule is intended to satisfy the requirements of payment on a specified date or pursuant to a fixed schedule, as provided under Treasury Regulations Section 1.409A-3(a)(4).</w:t>
      </w:r>
    </w:p>
    <w:p>
      <w:pPr>
        <w:spacing w:after="0" w:line="152" w:lineRule="exact"/>
        <w:rPr>
          <w:rFonts w:ascii="Arial" w:cs="Arial" w:eastAsia="Arial" w:hAnsi="Arial"/>
          <w:sz w:val="20"/>
          <w:szCs w:val="20"/>
          <w:b w:val="1"/>
          <w:bCs w:val="1"/>
          <w:color w:val="auto"/>
        </w:rPr>
      </w:pPr>
    </w:p>
    <w:p>
      <w:pPr>
        <w:jc w:val="both"/>
        <w:ind w:firstLine="1305"/>
        <w:spacing w:after="0" w:line="250" w:lineRule="auto"/>
        <w:tabs>
          <w:tab w:leader="none" w:pos="1800"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If your Award is subject to and not exempt from Section 409A (a “</w:t>
      </w:r>
      <w:r>
        <w:rPr>
          <w:rFonts w:ascii="Arial" w:cs="Arial" w:eastAsia="Arial" w:hAnsi="Arial"/>
          <w:sz w:val="20"/>
          <w:szCs w:val="20"/>
          <w:b w:val="1"/>
          <w:bCs w:val="1"/>
          <w:i w:val="1"/>
          <w:iCs w:val="1"/>
          <w:color w:val="auto"/>
        </w:rPr>
        <w:t>Non-Exempt Award</w:t>
      </w:r>
      <w:r>
        <w:rPr>
          <w:rFonts w:ascii="Arial" w:cs="Arial" w:eastAsia="Arial" w:hAnsi="Arial"/>
          <w:sz w:val="20"/>
          <w:szCs w:val="20"/>
          <w:color w:val="auto"/>
        </w:rPr>
        <w:t>”), then the provisions in this Section 4(c) shall apply and supersede anything to the contrary that may be set forth in the Plan, the Grant Notice or in any other section of this Agreement with respect to the permitted treatment of your Non-Exempt Award:</w:t>
      </w:r>
    </w:p>
    <w:p>
      <w:pPr>
        <w:spacing w:after="0" w:line="145" w:lineRule="exact"/>
        <w:rPr>
          <w:rFonts w:ascii="Arial" w:cs="Arial" w:eastAsia="Arial" w:hAnsi="Arial"/>
          <w:sz w:val="20"/>
          <w:szCs w:val="20"/>
          <w:b w:val="1"/>
          <w:bCs w:val="1"/>
          <w:color w:val="auto"/>
        </w:rPr>
      </w:pPr>
    </w:p>
    <w:p>
      <w:pPr>
        <w:jc w:val="both"/>
        <w:ind w:firstLine="1953"/>
        <w:spacing w:after="0" w:line="269" w:lineRule="auto"/>
        <w:tabs>
          <w:tab w:leader="none" w:pos="2370" w:val="left"/>
        </w:tabs>
        <w:numPr>
          <w:ilvl w:val="1"/>
          <w:numId w:val="65"/>
        </w:numPr>
        <w:rPr>
          <w:rFonts w:ascii="Arial" w:cs="Arial" w:eastAsia="Arial" w:hAnsi="Arial"/>
          <w:sz w:val="19"/>
          <w:szCs w:val="19"/>
          <w:b w:val="1"/>
          <w:bCs w:val="1"/>
          <w:color w:val="auto"/>
        </w:rPr>
      </w:pPr>
      <w:r>
        <w:rPr>
          <w:rFonts w:ascii="Arial" w:cs="Arial" w:eastAsia="Arial" w:hAnsi="Arial"/>
          <w:sz w:val="19"/>
          <w:szCs w:val="19"/>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129" w:lineRule="exact"/>
        <w:rPr>
          <w:rFonts w:ascii="Arial" w:cs="Arial" w:eastAsia="Arial" w:hAnsi="Arial"/>
          <w:sz w:val="19"/>
          <w:szCs w:val="19"/>
          <w:b w:val="1"/>
          <w:bCs w:val="1"/>
          <w:color w:val="auto"/>
        </w:rPr>
      </w:pPr>
    </w:p>
    <w:p>
      <w:pPr>
        <w:jc w:val="both"/>
        <w:ind w:firstLine="1953"/>
        <w:spacing w:after="0" w:line="263" w:lineRule="auto"/>
        <w:tabs>
          <w:tab w:leader="none" w:pos="2429" w:val="left"/>
        </w:tabs>
        <w:numPr>
          <w:ilvl w:val="1"/>
          <w:numId w:val="65"/>
        </w:numPr>
        <w:rPr>
          <w:rFonts w:ascii="Arial" w:cs="Arial" w:eastAsia="Arial" w:hAnsi="Arial"/>
          <w:sz w:val="19"/>
          <w:szCs w:val="19"/>
          <w:b w:val="1"/>
          <w:bCs w:val="1"/>
          <w:color w:val="auto"/>
        </w:rPr>
      </w:pPr>
      <w:r>
        <w:rPr>
          <w:rFonts w:ascii="Arial" w:cs="Arial" w:eastAsia="Arial" w:hAnsi="Arial"/>
          <w:sz w:val="19"/>
          <w:szCs w:val="19"/>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1.409A-3(j)(4)(ix) and (B) provide that you will receive a cash settlement equal to the Fair Market Value of the Ordinary Shares that would otherwise be issued to you, if applicable and in compliance with the requirements of Section 409A.</w:t>
      </w:r>
    </w:p>
    <w:p>
      <w:pPr>
        <w:spacing w:after="0" w:line="136" w:lineRule="exact"/>
        <w:rPr>
          <w:rFonts w:ascii="Arial" w:cs="Arial" w:eastAsia="Arial" w:hAnsi="Arial"/>
          <w:sz w:val="19"/>
          <w:szCs w:val="19"/>
          <w:b w:val="1"/>
          <w:bCs w:val="1"/>
          <w:color w:val="auto"/>
        </w:rPr>
      </w:pPr>
    </w:p>
    <w:p>
      <w:pPr>
        <w:jc w:val="both"/>
        <w:ind w:firstLine="1953"/>
        <w:spacing w:after="0" w:line="244" w:lineRule="auto"/>
        <w:tabs>
          <w:tab w:leader="none" w:pos="2479" w:val="left"/>
        </w:tabs>
        <w:numPr>
          <w:ilvl w:val="1"/>
          <w:numId w:val="65"/>
        </w:numPr>
        <w:rPr>
          <w:rFonts w:ascii="Arial" w:cs="Arial" w:eastAsia="Arial" w:hAnsi="Arial"/>
          <w:sz w:val="20"/>
          <w:szCs w:val="20"/>
          <w:b w:val="1"/>
          <w:bCs w:val="1"/>
          <w:color w:val="auto"/>
        </w:rPr>
      </w:pPr>
      <w:r>
        <w:rPr>
          <w:rFonts w:ascii="Arial" w:cs="Arial" w:eastAsia="Arial" w:hAnsi="Arial"/>
          <w:sz w:val="20"/>
          <w:szCs w:val="20"/>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Section 409A(a)(2)(A)(v) of the Code and Treasury Regulations Section 1.409A-3(i)(5) (a “</w:t>
      </w:r>
      <w:r>
        <w:rPr>
          <w:rFonts w:ascii="Arial" w:cs="Arial" w:eastAsia="Arial" w:hAnsi="Arial"/>
          <w:sz w:val="20"/>
          <w:szCs w:val="20"/>
          <w:b w:val="1"/>
          <w:bCs w:val="1"/>
          <w:i w:val="1"/>
          <w:iCs w:val="1"/>
          <w:color w:val="auto"/>
        </w:rPr>
        <w:t>409A Change of</w:t>
      </w:r>
    </w:p>
    <w:p>
      <w:pPr>
        <w:sectPr>
          <w:pgSz w:w="11900" w:h="16838" w:orient="portrait"/>
          <w:cols w:equalWidth="0" w:num="1">
            <w:col w:w="11420"/>
          </w:cols>
          <w:pgMar w:left="240" w:top="657"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Control</w:t>
      </w:r>
      <w:r>
        <w:rPr>
          <w:rFonts w:ascii="Arial" w:cs="Arial" w:eastAsia="Arial" w:hAnsi="Arial"/>
          <w:sz w:val="18"/>
          <w:szCs w:val="18"/>
          <w:color w:val="auto"/>
        </w:rPr>
        <w:t>”). To the extent the terms of your Non-Exempt Award provide that it will be settled upon a termination of employment or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25" w:lineRule="exact"/>
        <w:rPr>
          <w:sz w:val="20"/>
          <w:szCs w:val="20"/>
          <w:color w:val="auto"/>
        </w:rPr>
      </w:pPr>
    </w:p>
    <w:p>
      <w:pPr>
        <w:jc w:val="both"/>
        <w:ind w:firstLine="1953"/>
        <w:spacing w:after="0" w:line="269" w:lineRule="auto"/>
        <w:tabs>
          <w:tab w:leader="none" w:pos="2474" w:val="left"/>
        </w:tabs>
        <w:numPr>
          <w:ilvl w:val="2"/>
          <w:numId w:val="66"/>
        </w:numPr>
        <w:rPr>
          <w:rFonts w:ascii="Arial" w:cs="Arial" w:eastAsia="Arial" w:hAnsi="Arial"/>
          <w:sz w:val="19"/>
          <w:szCs w:val="19"/>
          <w:b w:val="1"/>
          <w:bCs w:val="1"/>
          <w:color w:val="auto"/>
        </w:rPr>
      </w:pPr>
      <w:r>
        <w:rPr>
          <w:rFonts w:ascii="Arial" w:cs="Arial" w:eastAsia="Arial" w:hAnsi="Arial"/>
          <w:sz w:val="19"/>
          <w:szCs w:val="19"/>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pacing w:after="0" w:line="123" w:lineRule="exact"/>
        <w:rPr>
          <w:rFonts w:ascii="Arial" w:cs="Arial" w:eastAsia="Arial" w:hAnsi="Arial"/>
          <w:sz w:val="19"/>
          <w:szCs w:val="19"/>
          <w:b w:val="1"/>
          <w:bCs w:val="1"/>
          <w:color w:val="auto"/>
        </w:rPr>
      </w:pPr>
    </w:p>
    <w:p>
      <w:pPr>
        <w:jc w:val="both"/>
        <w:ind w:firstLine="656"/>
        <w:spacing w:after="0" w:line="248" w:lineRule="auto"/>
        <w:tabs>
          <w:tab w:leader="none" w:pos="995"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DIVIDENDS. </w:t>
      </w:r>
      <w:r>
        <w:rPr>
          <w:rFonts w:ascii="Arial" w:cs="Arial" w:eastAsia="Arial" w:hAnsi="Arial"/>
          <w:sz w:val="20"/>
          <w:szCs w:val="20"/>
          <w:color w:val="auto"/>
        </w:rPr>
        <w:t>You shall receive no benefit or adjustment to your Award with respect to any cash dividend, share dividend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distribution that does not result from a Capitalization Adjustment as provided in the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this sentence shall not apply with respect to any Ordinary Shares that are delivered to you in connection with your Award after such Ordinary Shares have been delivered to you.</w:t>
      </w:r>
    </w:p>
    <w:p>
      <w:pPr>
        <w:spacing w:after="0" w:line="183" w:lineRule="exact"/>
        <w:rPr>
          <w:rFonts w:ascii="Arial" w:cs="Arial" w:eastAsia="Arial" w:hAnsi="Arial"/>
          <w:sz w:val="20"/>
          <w:szCs w:val="20"/>
          <w:b w:val="1"/>
          <w:bCs w:val="1"/>
          <w:color w:val="auto"/>
        </w:rPr>
      </w:pPr>
    </w:p>
    <w:p>
      <w:pPr>
        <w:jc w:val="both"/>
        <w:ind w:firstLine="656"/>
        <w:spacing w:after="0" w:line="246" w:lineRule="auto"/>
        <w:tabs>
          <w:tab w:leader="none" w:pos="1008"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SECURITIES LAW COMPLIANCE. </w:t>
      </w:r>
      <w:r>
        <w:rPr>
          <w:rFonts w:ascii="Arial" w:cs="Arial" w:eastAsia="Arial" w:hAnsi="Arial"/>
          <w:sz w:val="20"/>
          <w:szCs w:val="20"/>
          <w:color w:val="auto"/>
        </w:rPr>
        <w:t>You may not be issued any Ordinary Shares in respect of your Award unless either (i) the</w:t>
      </w:r>
      <w:r>
        <w:rPr>
          <w:rFonts w:ascii="Arial" w:cs="Arial" w:eastAsia="Arial" w:hAnsi="Arial"/>
          <w:sz w:val="20"/>
          <w:szCs w:val="20"/>
          <w:b w:val="1"/>
          <w:bCs w:val="1"/>
          <w:color w:val="auto"/>
        </w:rPr>
        <w:t xml:space="preserve"> </w:t>
      </w:r>
      <w:r>
        <w:rPr>
          <w:rFonts w:ascii="Arial" w:cs="Arial" w:eastAsia="Arial" w:hAnsi="Arial"/>
          <w:sz w:val="20"/>
          <w:szCs w:val="20"/>
          <w:color w:val="auto"/>
        </w:rPr>
        <w:t>Ordinary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w:t>
      </w:r>
    </w:p>
    <w:p>
      <w:pPr>
        <w:spacing w:after="0" w:line="185" w:lineRule="exact"/>
        <w:rPr>
          <w:rFonts w:ascii="Arial" w:cs="Arial" w:eastAsia="Arial" w:hAnsi="Arial"/>
          <w:sz w:val="20"/>
          <w:szCs w:val="20"/>
          <w:b w:val="1"/>
          <w:bCs w:val="1"/>
          <w:color w:val="auto"/>
        </w:rPr>
      </w:pPr>
    </w:p>
    <w:p>
      <w:pPr>
        <w:ind w:firstLine="656"/>
        <w:spacing w:after="0" w:line="267" w:lineRule="auto"/>
        <w:tabs>
          <w:tab w:leader="none" w:pos="1049"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RESTRICTIVE LEGENDS. </w:t>
      </w:r>
      <w:r>
        <w:rPr>
          <w:rFonts w:ascii="Arial" w:cs="Arial" w:eastAsia="Arial" w:hAnsi="Arial"/>
          <w:sz w:val="20"/>
          <w:szCs w:val="20"/>
          <w:color w:val="auto"/>
        </w:rPr>
        <w:t>The Ordinary Shares issued in respect of your Award shall be endorsed with appropriate legends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by the Company.</w:t>
      </w:r>
    </w:p>
    <w:p>
      <w:pPr>
        <w:spacing w:after="0" w:line="163" w:lineRule="exact"/>
        <w:rPr>
          <w:rFonts w:ascii="Arial" w:cs="Arial" w:eastAsia="Arial" w:hAnsi="Arial"/>
          <w:sz w:val="20"/>
          <w:szCs w:val="20"/>
          <w:b w:val="1"/>
          <w:bCs w:val="1"/>
          <w:color w:val="auto"/>
        </w:rPr>
      </w:pPr>
    </w:p>
    <w:p>
      <w:pPr>
        <w:jc w:val="both"/>
        <w:ind w:firstLine="656"/>
        <w:spacing w:after="0" w:line="258" w:lineRule="auto"/>
        <w:tabs>
          <w:tab w:leader="none" w:pos="1076"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Your Award is not transferable, except by will or by the laws of descent and distribution.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4 of this Agreement. After the Ordinary Shares have been issued to you, you are free to assign, hypothecate, donate, encumber or otherwise dispose of any interest in such Ordinary Shares provided that any such actions are in compliance with the provisions herein and applicable securities laws. Notwithstanding the foregoing, by delivering written notice to the Company, in a form satisfactory to the Company, you may designate a third party who, in the event of your death, shall thereafter be entitled to receive any distribution of Ordinary Shares to which you were entitled at the time of your death pursuant to this Agreement.</w:t>
      </w:r>
    </w:p>
    <w:p>
      <w:pPr>
        <w:spacing w:after="0" w:line="173" w:lineRule="exact"/>
        <w:rPr>
          <w:rFonts w:ascii="Arial" w:cs="Arial" w:eastAsia="Arial" w:hAnsi="Arial"/>
          <w:sz w:val="19"/>
          <w:szCs w:val="19"/>
          <w:b w:val="1"/>
          <w:bCs w:val="1"/>
          <w:color w:val="auto"/>
        </w:rPr>
      </w:pPr>
    </w:p>
    <w:p>
      <w:pPr>
        <w:ind w:left="1000" w:hanging="344"/>
        <w:spacing w:after="0"/>
        <w:tabs>
          <w:tab w:leader="none" w:pos="10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AWARD NOT A SERVICE CONTRACT.</w:t>
      </w:r>
    </w:p>
    <w:p>
      <w:pPr>
        <w:spacing w:after="0" w:line="221" w:lineRule="exact"/>
        <w:rPr>
          <w:rFonts w:ascii="Arial" w:cs="Arial" w:eastAsia="Arial" w:hAnsi="Arial"/>
          <w:sz w:val="20"/>
          <w:szCs w:val="20"/>
          <w:b w:val="1"/>
          <w:bCs w:val="1"/>
          <w:color w:val="auto"/>
        </w:rPr>
      </w:pPr>
    </w:p>
    <w:p>
      <w:pPr>
        <w:jc w:val="both"/>
        <w:ind w:firstLine="1305"/>
        <w:spacing w:after="0" w:line="269" w:lineRule="auto"/>
        <w:tabs>
          <w:tab w:leader="none" w:pos="1731"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Your Continuous Service with the Company or an Affiliate is not for any specified term and may be terminated by you or by the Company or an Affiliate at any time, for any reason, with or without cause and with or without notice. Nothing in this Agreement (including, but not limited to, the vesting of your Award pursuant to the schedule set forth in Section 3 herein</w:t>
      </w:r>
    </w:p>
    <w:p>
      <w:pPr>
        <w:sectPr>
          <w:pgSz w:w="11900" w:h="16838" w:orient="portrait"/>
          <w:cols w:equalWidth="0" w:num="1">
            <w:col w:w="11420"/>
          </w:cols>
          <w:pgMar w:left="240" w:top="657"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25" w:lineRule="exact"/>
        <w:rPr>
          <w:sz w:val="20"/>
          <w:szCs w:val="20"/>
          <w:color w:val="auto"/>
        </w:rPr>
      </w:pPr>
    </w:p>
    <w:p>
      <w:pPr>
        <w:jc w:val="both"/>
        <w:ind w:firstLine="1305"/>
        <w:spacing w:after="0" w:line="255" w:lineRule="auto"/>
        <w:tabs>
          <w:tab w:leader="none" w:pos="1826" w:val="left"/>
        </w:tabs>
        <w:numPr>
          <w:ilvl w:val="1"/>
          <w:numId w:val="68"/>
        </w:numPr>
        <w:rPr>
          <w:rFonts w:ascii="Arial" w:cs="Arial" w:eastAsia="Arial" w:hAnsi="Arial"/>
          <w:sz w:val="19"/>
          <w:szCs w:val="19"/>
          <w:b w:val="1"/>
          <w:bCs w:val="1"/>
          <w:color w:val="auto"/>
        </w:rPr>
      </w:pPr>
      <w:r>
        <w:rPr>
          <w:rFonts w:ascii="Arial" w:cs="Arial" w:eastAsia="Arial" w:hAnsi="Arial"/>
          <w:sz w:val="19"/>
          <w:szCs w:val="19"/>
          <w:color w:val="auto"/>
        </w:rPr>
        <w:t>By accepting this Award, you acknowledge and agree that the right to continue vesting in the Award pursuant to the schedule set forth in Section 3 is earned only by providing Continuous Service at the will of the Company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Company’s right to terminate your Continuous Service at any time, with or without cause and with or without notice.</w:t>
      </w:r>
    </w:p>
    <w:p>
      <w:pPr>
        <w:spacing w:after="0" w:line="141" w:lineRule="exact"/>
        <w:rPr>
          <w:rFonts w:ascii="Arial" w:cs="Arial" w:eastAsia="Arial" w:hAnsi="Arial"/>
          <w:sz w:val="19"/>
          <w:szCs w:val="19"/>
          <w:b w:val="1"/>
          <w:bCs w:val="1"/>
          <w:color w:val="auto"/>
        </w:rPr>
      </w:pPr>
    </w:p>
    <w:p>
      <w:pPr>
        <w:jc w:val="both"/>
        <w:ind w:firstLine="656"/>
        <w:spacing w:after="0" w:line="277" w:lineRule="auto"/>
        <w:tabs>
          <w:tab w:leader="none" w:pos="1229"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4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60" w:lineRule="exact"/>
        <w:rPr>
          <w:rFonts w:ascii="Arial" w:cs="Arial" w:eastAsia="Arial" w:hAnsi="Arial"/>
          <w:sz w:val="18"/>
          <w:szCs w:val="18"/>
          <w:b w:val="1"/>
          <w:bCs w:val="1"/>
          <w:color w:val="auto"/>
        </w:rPr>
      </w:pPr>
    </w:p>
    <w:p>
      <w:pPr>
        <w:ind w:left="1100" w:hanging="444"/>
        <w:spacing w:after="0"/>
        <w:tabs>
          <w:tab w:leader="none" w:pos="110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OBLIGATIONS.</w:t>
      </w:r>
    </w:p>
    <w:p>
      <w:pPr>
        <w:spacing w:after="0" w:line="221" w:lineRule="exact"/>
        <w:rPr>
          <w:rFonts w:ascii="Arial" w:cs="Arial" w:eastAsia="Arial" w:hAnsi="Arial"/>
          <w:sz w:val="20"/>
          <w:szCs w:val="20"/>
          <w:b w:val="1"/>
          <w:bCs w:val="1"/>
          <w:color w:val="auto"/>
        </w:rPr>
      </w:pPr>
    </w:p>
    <w:p>
      <w:pPr>
        <w:jc w:val="both"/>
        <w:ind w:firstLine="1305"/>
        <w:spacing w:after="0" w:line="256" w:lineRule="auto"/>
        <w:tabs>
          <w:tab w:leader="none" w:pos="1733" w:val="left"/>
        </w:tabs>
        <w:numPr>
          <w:ilvl w:val="1"/>
          <w:numId w:val="69"/>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any required withholding from the Ordinary Shares issuable to you and/or otherwise agree to make adequate provision in cash for any sums required to satisfy the federal, state, local and foreign tax withholding obligations of the Company or any Affiliate which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Additionally, the Company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RSUs to satisfy the Withholding</w:t>
      </w:r>
    </w:p>
    <w:p>
      <w:pPr>
        <w:sectPr>
          <w:pgSz w:w="11900" w:h="16838" w:orient="portrait"/>
          <w:cols w:equalWidth="0" w:num="1">
            <w:col w:w="11420"/>
          </w:cols>
          <w:pgMar w:left="240" w:top="657"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Taxes and whereby the FINRA Dealer irrevocably commits to forward the proceeds necessary to satisfy the Withholding Taxes directly to the Company and/or its Affiliates; or (iv) withholding Ordinary Shares from the Ordinary Shares issued or otherwise issuable to you in connection with the Award with a Fair Market Value (measured as of the date Ordinary Shares are issued to pursuant to Section 4) equal to the amount of such Withholding Taxes;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number of such Ordinary Shares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w:t>
      </w:r>
    </w:p>
    <w:p>
      <w:pPr>
        <w:spacing w:after="0" w:line="138" w:lineRule="exact"/>
        <w:rPr>
          <w:sz w:val="20"/>
          <w:szCs w:val="20"/>
          <w:color w:val="auto"/>
        </w:rPr>
      </w:pPr>
    </w:p>
    <w:p>
      <w:pPr>
        <w:ind w:firstLine="1305"/>
        <w:spacing w:after="0" w:line="260" w:lineRule="auto"/>
        <w:tabs>
          <w:tab w:leader="none" w:pos="1819"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Unless the tax withholding obligations of the Company and/or any Affiliate are satisfied, the Company shall have no obligation to deliver to you any Ordinary Shares.</w:t>
      </w:r>
    </w:p>
    <w:p>
      <w:pPr>
        <w:spacing w:after="0" w:line="136" w:lineRule="exact"/>
        <w:rPr>
          <w:rFonts w:ascii="Arial" w:cs="Arial" w:eastAsia="Arial" w:hAnsi="Arial"/>
          <w:sz w:val="20"/>
          <w:szCs w:val="20"/>
          <w:b w:val="1"/>
          <w:bCs w:val="1"/>
          <w:color w:val="auto"/>
        </w:rPr>
      </w:pPr>
    </w:p>
    <w:p>
      <w:pPr>
        <w:jc w:val="both"/>
        <w:ind w:firstLine="1305"/>
        <w:spacing w:after="0" w:line="246" w:lineRule="auto"/>
        <w:tabs>
          <w:tab w:leader="none" w:pos="1867"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In the event the Company’s obligation to withhold arises prior to the delivery to you of Ordinary Shares or it is determined after the delivery of Ordinary Shares to you that the amount of the Company’s withholding obligation was greater than the amount withheld by the Company, you agree to indemnify and hold the Company harmless from any failure by the Company to withhold the proper amount.</w:t>
      </w:r>
    </w:p>
    <w:p>
      <w:pPr>
        <w:spacing w:after="0" w:line="151" w:lineRule="exact"/>
        <w:rPr>
          <w:rFonts w:ascii="Arial" w:cs="Arial" w:eastAsia="Arial" w:hAnsi="Arial"/>
          <w:sz w:val="20"/>
          <w:szCs w:val="20"/>
          <w:b w:val="1"/>
          <w:bCs w:val="1"/>
          <w:color w:val="auto"/>
        </w:rPr>
      </w:pPr>
    </w:p>
    <w:p>
      <w:pPr>
        <w:jc w:val="both"/>
        <w:ind w:firstLine="1305"/>
        <w:spacing w:after="0" w:line="244" w:lineRule="auto"/>
        <w:tabs>
          <w:tab w:leader="none" w:pos="1797"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 xml:space="preserve">If specified in your Grant Notice, you may direct the Company to withhold Ordinary Shares with a Fair Market Value (measured as of the date Ordinary Shares are issued pursuant to Section 4) equal to the amount of such Withholding Taxes;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number of such Ordinary Shares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w:t>
      </w:r>
    </w:p>
    <w:p>
      <w:pPr>
        <w:spacing w:after="0" w:line="148" w:lineRule="exact"/>
        <w:rPr>
          <w:rFonts w:ascii="Arial" w:cs="Arial" w:eastAsia="Arial" w:hAnsi="Arial"/>
          <w:sz w:val="20"/>
          <w:szCs w:val="20"/>
          <w:b w:val="1"/>
          <w:bCs w:val="1"/>
          <w:color w:val="auto"/>
        </w:rPr>
      </w:pPr>
    </w:p>
    <w:p>
      <w:pPr>
        <w:ind w:left="1100" w:hanging="444"/>
        <w:spacing w:after="0"/>
        <w:tabs>
          <w:tab w:leader="none" w:pos="110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305"/>
        <w:spacing w:after="0" w:line="244" w:lineRule="auto"/>
        <w:tabs>
          <w:tab w:leader="none" w:pos="1750"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If your Continuous Service terminates either within twelve (12) months following or one (1) month prior to the effective date of a Change in Control due to an Involuntary Termination Without Cause, the vesting of the RSUs subject to this Award shall be accelerated in full. In order to give effect to the intent of this provision, in the event of your Involuntary Termination Without Cause, notwithstanding anything to the contrary set forth in the Plan or Section 3 of this Agreement, in no event will any portion of this Award be forfeited or terminate any earlier than one (1) month following such termination date.</w:t>
      </w:r>
    </w:p>
    <w:p>
      <w:pPr>
        <w:spacing w:after="0" w:line="154" w:lineRule="exact"/>
        <w:rPr>
          <w:rFonts w:ascii="Arial" w:cs="Arial" w:eastAsia="Arial" w:hAnsi="Arial"/>
          <w:sz w:val="20"/>
          <w:szCs w:val="20"/>
          <w:b w:val="1"/>
          <w:bCs w:val="1"/>
          <w:color w:val="auto"/>
        </w:rPr>
      </w:pPr>
    </w:p>
    <w:p>
      <w:pPr>
        <w:jc w:val="both"/>
        <w:ind w:firstLine="1305"/>
        <w:spacing w:after="0" w:line="263" w:lineRule="auto"/>
        <w:tabs>
          <w:tab w:leader="none" w:pos="1784"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means the involuntary termination of your Continuous Service for reasons other than death, Disability, or Cause. Any determination by the Company (or an Affiliate, if applicable) that your Continuous Service was terminated by reason of dismissal without Cause for the purposes of this Agreement shall have no effect upon any determination of the rights or obligations of you or the Company for any other purpose.</w:t>
      </w:r>
    </w:p>
    <w:p>
      <w:pPr>
        <w:spacing w:after="0" w:line="130" w:lineRule="exact"/>
        <w:rPr>
          <w:rFonts w:ascii="Arial" w:cs="Arial" w:eastAsia="Arial" w:hAnsi="Arial"/>
          <w:sz w:val="19"/>
          <w:szCs w:val="19"/>
          <w:b w:val="1"/>
          <w:bCs w:val="1"/>
          <w:color w:val="auto"/>
        </w:rPr>
      </w:pPr>
    </w:p>
    <w:p>
      <w:pPr>
        <w:ind w:left="1100" w:hanging="444"/>
        <w:spacing w:after="0"/>
        <w:tabs>
          <w:tab w:leader="none" w:pos="110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PARACHUTE PAYMENTS.</w:t>
      </w:r>
    </w:p>
    <w:p>
      <w:pPr>
        <w:spacing w:after="0" w:line="221" w:lineRule="exact"/>
        <w:rPr>
          <w:rFonts w:ascii="Arial" w:cs="Arial" w:eastAsia="Arial" w:hAnsi="Arial"/>
          <w:sz w:val="20"/>
          <w:szCs w:val="20"/>
          <w:b w:val="1"/>
          <w:bCs w:val="1"/>
          <w:color w:val="auto"/>
        </w:rPr>
      </w:pPr>
    </w:p>
    <w:p>
      <w:pPr>
        <w:jc w:val="both"/>
        <w:ind w:firstLine="1305"/>
        <w:spacing w:after="0" w:line="246" w:lineRule="auto"/>
        <w:tabs>
          <w:tab w:leader="none" w:pos="1757"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If any payment or benefit you would receive from the Company or otherwise in connection with a Change in Control or other similar transaction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0"/>
          <w:szCs w:val="20"/>
          <w:b w:val="1"/>
          <w:bCs w:val="1"/>
          <w:i w:val="1"/>
          <w:iCs w:val="1"/>
          <w:color w:val="auto"/>
        </w:rPr>
        <w:t>Excise Tax</w:t>
      </w:r>
      <w:r>
        <w:rPr>
          <w:rFonts w:ascii="Arial" w:cs="Arial" w:eastAsia="Arial" w:hAnsi="Arial"/>
          <w:sz w:val="20"/>
          <w:szCs w:val="20"/>
          <w:color w:val="auto"/>
        </w:rPr>
        <w:t>”), then such Payment shall be equal to the Reduced Amount. The “Reduced Amount” shall be either (x) the</w:t>
      </w:r>
    </w:p>
    <w:p>
      <w:pPr>
        <w:sectPr>
          <w:pgSz w:w="11900" w:h="16838" w:orient="portrait"/>
          <w:cols w:equalWidth="0" w:num="1">
            <w:col w:w="11420"/>
          </w:cols>
          <w:pgMar w:left="240" w:top="657"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38" w:lineRule="exact"/>
        <w:rPr>
          <w:sz w:val="20"/>
          <w:szCs w:val="20"/>
          <w:color w:val="auto"/>
        </w:rPr>
      </w:pPr>
    </w:p>
    <w:p>
      <w:pPr>
        <w:jc w:val="both"/>
        <w:ind w:firstLine="1305"/>
        <w:spacing w:after="0" w:line="259" w:lineRule="auto"/>
        <w:tabs>
          <w:tab w:leader="none" w:pos="1733" w:val="left"/>
        </w:tabs>
        <w:numPr>
          <w:ilvl w:val="1"/>
          <w:numId w:val="72"/>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38" w:lineRule="exact"/>
        <w:rPr>
          <w:rFonts w:ascii="Arial" w:cs="Arial" w:eastAsia="Arial" w:hAnsi="Arial"/>
          <w:sz w:val="19"/>
          <w:szCs w:val="19"/>
          <w:b w:val="1"/>
          <w:bCs w:val="1"/>
          <w:color w:val="auto"/>
        </w:rPr>
      </w:pPr>
    </w:p>
    <w:p>
      <w:pPr>
        <w:jc w:val="both"/>
        <w:ind w:firstLine="1305"/>
        <w:spacing w:after="0" w:line="244" w:lineRule="auto"/>
        <w:tabs>
          <w:tab w:leader="none" w:pos="1849" w:val="left"/>
        </w:tabs>
        <w:numPr>
          <w:ilvl w:val="1"/>
          <w:numId w:val="72"/>
        </w:numPr>
        <w:rPr>
          <w:rFonts w:ascii="Arial" w:cs="Arial" w:eastAsia="Arial" w:hAnsi="Arial"/>
          <w:sz w:val="20"/>
          <w:szCs w:val="20"/>
          <w:b w:val="1"/>
          <w:bCs w:val="1"/>
          <w:color w:val="auto"/>
        </w:rPr>
      </w:pPr>
      <w:r>
        <w:rPr>
          <w:rFonts w:ascii="Arial" w:cs="Arial" w:eastAsia="Arial" w:hAnsi="Arial"/>
          <w:sz w:val="20"/>
          <w:szCs w:val="20"/>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48" w:lineRule="exact"/>
        <w:rPr>
          <w:rFonts w:ascii="Arial" w:cs="Arial" w:eastAsia="Arial" w:hAnsi="Arial"/>
          <w:sz w:val="20"/>
          <w:szCs w:val="20"/>
          <w:b w:val="1"/>
          <w:bCs w:val="1"/>
          <w:color w:val="auto"/>
        </w:rPr>
      </w:pPr>
    </w:p>
    <w:p>
      <w:pPr>
        <w:jc w:val="both"/>
        <w:ind w:firstLine="656"/>
        <w:spacing w:after="0" w:line="259" w:lineRule="auto"/>
        <w:tabs>
          <w:tab w:leader="none" w:pos="1121"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w:t>
      </w:r>
      <w:r>
        <w:rPr>
          <w:rFonts w:ascii="Arial" w:cs="Arial" w:eastAsia="Arial" w:hAnsi="Arial"/>
          <w:sz w:val="19"/>
          <w:szCs w:val="19"/>
          <w:color w:val="auto"/>
        </w:rPr>
        <w:t>Any notices provided for in your Award or the Plan shall be given in writing (including electronically)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effectively given upon receipt or, in the case of notices delivered by the Company to you, five (5)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2" w:lineRule="exact"/>
        <w:rPr>
          <w:rFonts w:ascii="Arial" w:cs="Arial" w:eastAsia="Arial" w:hAnsi="Arial"/>
          <w:sz w:val="19"/>
          <w:szCs w:val="19"/>
          <w:b w:val="1"/>
          <w:bCs w:val="1"/>
          <w:color w:val="auto"/>
        </w:rPr>
      </w:pPr>
    </w:p>
    <w:p>
      <w:pPr>
        <w:ind w:firstLine="656"/>
        <w:spacing w:after="0" w:line="267" w:lineRule="auto"/>
        <w:tabs>
          <w:tab w:leader="none" w:pos="1188"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w:t>
      </w:r>
      <w:r>
        <w:rPr>
          <w:rFonts w:ascii="Arial" w:cs="Arial" w:eastAsia="Arial" w:hAnsi="Arial"/>
          <w:sz w:val="20"/>
          <w:szCs w:val="20"/>
          <w:color w:val="auto"/>
        </w:rPr>
        <w:t>The headings of the Sections in this Agreement are inserted for convenience only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 part of this Agreement or to affect the meaning of this Agreement.</w:t>
      </w:r>
    </w:p>
    <w:p>
      <w:pPr>
        <w:spacing w:after="0" w:line="163" w:lineRule="exact"/>
        <w:rPr>
          <w:rFonts w:ascii="Arial" w:cs="Arial" w:eastAsia="Arial" w:hAnsi="Arial"/>
          <w:sz w:val="20"/>
          <w:szCs w:val="20"/>
          <w:b w:val="1"/>
          <w:bCs w:val="1"/>
          <w:color w:val="auto"/>
        </w:rPr>
      </w:pPr>
    </w:p>
    <w:p>
      <w:pPr>
        <w:jc w:val="both"/>
        <w:ind w:firstLine="656"/>
        <w:spacing w:after="0" w:line="260" w:lineRule="auto"/>
        <w:tabs>
          <w:tab w:leader="none" w:pos="1094"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This Agreement may not be modified, amended or terminated except by an instrument in writing, signed by you</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no such amendment adversely affecting your rights hereunder may be made without your written consent;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the foregoing or anything in the Plan to the contrary and to the extent permitted by applicable law, you hereby acknowledge and agree that this Agreement may be amended without your consent if the</w:t>
      </w:r>
    </w:p>
    <w:p>
      <w:pPr>
        <w:sectPr>
          <w:pgSz w:w="11900" w:h="16838" w:orient="portrait"/>
          <w:cols w:equalWidth="0" w:num="1">
            <w:col w:w="11420"/>
          </w:cols>
          <w:pgMar w:left="240" w:top="65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Board determines, in its discretion, that such amendment is necessary for legal, regulatory or tax reasons due to a change in the entity for which you render service. Without limiting the foregoing, the Board reserves the right to change, by written notice to you, the provisions of this Agreement in any way it may deem necessary or advisable to carry out the purpose of the grant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75" w:lineRule="exact"/>
        <w:rPr>
          <w:sz w:val="20"/>
          <w:szCs w:val="20"/>
          <w:color w:val="auto"/>
        </w:rPr>
      </w:pPr>
    </w:p>
    <w:p>
      <w:pPr>
        <w:ind w:left="1100" w:hanging="444"/>
        <w:spacing w:after="0"/>
        <w:tabs>
          <w:tab w:leader="none" w:pos="11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1" w:lineRule="exact"/>
        <w:rPr>
          <w:rFonts w:ascii="Arial" w:cs="Arial" w:eastAsia="Arial" w:hAnsi="Arial"/>
          <w:sz w:val="20"/>
          <w:szCs w:val="20"/>
          <w:b w:val="1"/>
          <w:bCs w:val="1"/>
          <w:color w:val="auto"/>
        </w:rPr>
      </w:pPr>
    </w:p>
    <w:p>
      <w:pPr>
        <w:jc w:val="both"/>
        <w:ind w:firstLine="1305"/>
        <w:spacing w:after="0" w:line="269" w:lineRule="auto"/>
        <w:tabs>
          <w:tab w:leader="none" w:pos="1735" w:val="left"/>
        </w:tabs>
        <w:numPr>
          <w:ilvl w:val="1"/>
          <w:numId w:val="74"/>
        </w:numPr>
        <w:rPr>
          <w:rFonts w:ascii="Arial" w:cs="Arial" w:eastAsia="Arial" w:hAnsi="Arial"/>
          <w:sz w:val="19"/>
          <w:szCs w:val="19"/>
          <w:b w:val="1"/>
          <w:bCs w:val="1"/>
          <w:color w:val="auto"/>
        </w:rPr>
      </w:pPr>
      <w:r>
        <w:rPr>
          <w:rFonts w:ascii="Arial" w:cs="Arial" w:eastAsia="Arial" w:hAnsi="Arial"/>
          <w:sz w:val="19"/>
          <w:szCs w:val="19"/>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Company.</w:t>
      </w:r>
    </w:p>
    <w:p>
      <w:pPr>
        <w:spacing w:after="0" w:line="129" w:lineRule="exact"/>
        <w:rPr>
          <w:rFonts w:ascii="Arial" w:cs="Arial" w:eastAsia="Arial" w:hAnsi="Arial"/>
          <w:sz w:val="19"/>
          <w:szCs w:val="19"/>
          <w:b w:val="1"/>
          <w:bCs w:val="1"/>
          <w:color w:val="auto"/>
        </w:rPr>
      </w:pPr>
    </w:p>
    <w:p>
      <w:pPr>
        <w:ind w:right="20" w:firstLine="1305"/>
        <w:spacing w:after="0" w:line="260" w:lineRule="auto"/>
        <w:tabs>
          <w:tab w:leader="none" w:pos="1752"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36" w:lineRule="exact"/>
        <w:rPr>
          <w:rFonts w:ascii="Arial" w:cs="Arial" w:eastAsia="Arial" w:hAnsi="Arial"/>
          <w:sz w:val="20"/>
          <w:szCs w:val="20"/>
          <w:b w:val="1"/>
          <w:bCs w:val="1"/>
          <w:color w:val="auto"/>
        </w:rPr>
      </w:pPr>
    </w:p>
    <w:p>
      <w:pPr>
        <w:ind w:firstLine="1305"/>
        <w:spacing w:after="0" w:line="260" w:lineRule="auto"/>
        <w:tabs>
          <w:tab w:leader="none" w:pos="1787"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36" w:lineRule="exact"/>
        <w:rPr>
          <w:rFonts w:ascii="Arial" w:cs="Arial" w:eastAsia="Arial" w:hAnsi="Arial"/>
          <w:sz w:val="20"/>
          <w:szCs w:val="20"/>
          <w:b w:val="1"/>
          <w:bCs w:val="1"/>
          <w:color w:val="auto"/>
        </w:rPr>
      </w:pPr>
    </w:p>
    <w:p>
      <w:pPr>
        <w:ind w:right="20" w:firstLine="1305"/>
        <w:spacing w:after="0" w:line="260" w:lineRule="auto"/>
        <w:tabs>
          <w:tab w:leader="none" w:pos="1743"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36" w:lineRule="exact"/>
        <w:rPr>
          <w:rFonts w:ascii="Arial" w:cs="Arial" w:eastAsia="Arial" w:hAnsi="Arial"/>
          <w:sz w:val="20"/>
          <w:szCs w:val="20"/>
          <w:b w:val="1"/>
          <w:bCs w:val="1"/>
          <w:color w:val="auto"/>
        </w:rPr>
      </w:pPr>
    </w:p>
    <w:p>
      <w:pPr>
        <w:jc w:val="both"/>
        <w:ind w:firstLine="1305"/>
        <w:spacing w:after="0" w:line="250" w:lineRule="auto"/>
        <w:tabs>
          <w:tab w:leader="none" w:pos="1764" w:val="left"/>
        </w:tabs>
        <w:numPr>
          <w:ilvl w:val="1"/>
          <w:numId w:val="74"/>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39" w:lineRule="exact"/>
        <w:rPr>
          <w:rFonts w:ascii="Arial" w:cs="Arial" w:eastAsia="Arial" w:hAnsi="Arial"/>
          <w:sz w:val="20"/>
          <w:szCs w:val="20"/>
          <w:b w:val="1"/>
          <w:bCs w:val="1"/>
          <w:color w:val="auto"/>
        </w:rPr>
      </w:pPr>
    </w:p>
    <w:p>
      <w:pPr>
        <w:jc w:val="both"/>
        <w:ind w:firstLine="656"/>
        <w:spacing w:after="0" w:line="244" w:lineRule="auto"/>
        <w:tabs>
          <w:tab w:leader="none" w:pos="1094"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PLAN DOCUMENT. </w:t>
      </w:r>
      <w:r>
        <w:rPr>
          <w:rFonts w:ascii="Arial" w:cs="Arial" w:eastAsia="Arial" w:hAnsi="Arial"/>
          <w:sz w:val="20"/>
          <w:szCs w:val="20"/>
          <w:color w:val="auto"/>
        </w:rPr>
        <w:t>Your Award is subject to all the provisions of the Plan, the provisions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86" w:lineRule="exact"/>
        <w:rPr>
          <w:rFonts w:ascii="Arial" w:cs="Arial" w:eastAsia="Arial" w:hAnsi="Arial"/>
          <w:sz w:val="20"/>
          <w:szCs w:val="20"/>
          <w:b w:val="1"/>
          <w:bCs w:val="1"/>
          <w:color w:val="auto"/>
        </w:rPr>
      </w:pPr>
    </w:p>
    <w:p>
      <w:pPr>
        <w:jc w:val="both"/>
        <w:ind w:firstLine="656"/>
        <w:spacing w:after="0" w:line="266" w:lineRule="auto"/>
        <w:tabs>
          <w:tab w:leader="none" w:pos="1202"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ON OTHER EMPLOYEE BENEFIT PLANS. </w:t>
      </w:r>
      <w:r>
        <w:rPr>
          <w:rFonts w:ascii="Arial" w:cs="Arial" w:eastAsia="Arial" w:hAnsi="Arial"/>
          <w:sz w:val="19"/>
          <w:szCs w:val="19"/>
          <w:color w:val="auto"/>
        </w:rPr>
        <w:t>The value of the Award subject to this Agreement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ectPr>
          <w:pgSz w:w="11900" w:h="16838" w:orient="portrait"/>
          <w:cols w:equalWidth="0" w:num="1">
            <w:col w:w="11420"/>
          </w:cols>
          <w:pgMar w:left="240" w:top="657"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2" w:lineRule="exact"/>
        <w:rPr>
          <w:sz w:val="20"/>
          <w:szCs w:val="20"/>
          <w:color w:val="auto"/>
        </w:rPr>
      </w:pPr>
    </w:p>
    <w:p>
      <w:pPr>
        <w:jc w:val="both"/>
        <w:ind w:firstLine="656"/>
        <w:spacing w:after="0" w:line="285" w:lineRule="auto"/>
        <w:tabs>
          <w:tab w:leader="none" w:pos="117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51" w:lineRule="exact"/>
        <w:rPr>
          <w:rFonts w:ascii="Arial" w:cs="Arial" w:eastAsia="Arial" w:hAnsi="Arial"/>
          <w:sz w:val="18"/>
          <w:szCs w:val="18"/>
          <w:b w:val="1"/>
          <w:bCs w:val="1"/>
          <w:color w:val="auto"/>
        </w:rPr>
      </w:pPr>
    </w:p>
    <w:p>
      <w:pPr>
        <w:jc w:val="both"/>
        <w:ind w:firstLine="656"/>
        <w:spacing w:after="0" w:line="248" w:lineRule="auto"/>
        <w:tabs>
          <w:tab w:leader="none" w:pos="1094"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or the right to receive a document providing the information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83" w:lineRule="exact"/>
        <w:rPr>
          <w:rFonts w:ascii="Arial" w:cs="Arial" w:eastAsia="Arial" w:hAnsi="Arial"/>
          <w:sz w:val="20"/>
          <w:szCs w:val="20"/>
          <w:b w:val="1"/>
          <w:bCs w:val="1"/>
          <w:color w:val="auto"/>
        </w:rPr>
      </w:pPr>
    </w:p>
    <w:p>
      <w:pPr>
        <w:jc w:val="both"/>
        <w:ind w:firstLine="656"/>
        <w:spacing w:after="0" w:line="266" w:lineRule="auto"/>
        <w:tabs>
          <w:tab w:leader="none" w:pos="1107"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OBLIGATION TO MINIMIZE TAXES. </w:t>
      </w:r>
      <w:r>
        <w:rPr>
          <w:rFonts w:ascii="Arial" w:cs="Arial" w:eastAsia="Arial" w:hAnsi="Arial"/>
          <w:sz w:val="19"/>
          <w:szCs w:val="19"/>
          <w:color w:val="auto"/>
        </w:rPr>
        <w:t>The Company has no duty or obligation to minimize the tax consequences to you</w:t>
      </w:r>
      <w:r>
        <w:rPr>
          <w:rFonts w:ascii="Arial" w:cs="Arial" w:eastAsia="Arial" w:hAnsi="Arial"/>
          <w:sz w:val="19"/>
          <w:szCs w:val="19"/>
          <w:b w:val="1"/>
          <w:bCs w:val="1"/>
          <w:color w:val="auto"/>
        </w:rPr>
        <w:t xml:space="preserve"> </w:t>
      </w:r>
      <w:r>
        <w:rPr>
          <w:rFonts w:ascii="Arial" w:cs="Arial" w:eastAsia="Arial" w:hAnsi="Arial"/>
          <w:sz w:val="19"/>
          <w:szCs w:val="19"/>
          <w:color w:val="auto"/>
        </w:rPr>
        <w:t>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w:t>
      </w:r>
    </w:p>
    <w:p>
      <w:pPr>
        <w:spacing w:after="0" w:line="200" w:lineRule="exact"/>
        <w:rPr>
          <w:sz w:val="20"/>
          <w:szCs w:val="20"/>
          <w:color w:val="auto"/>
        </w:rPr>
      </w:pPr>
    </w:p>
    <w:p>
      <w:pPr>
        <w:spacing w:after="0" w:line="201" w:lineRule="exact"/>
        <w:rPr>
          <w:sz w:val="20"/>
          <w:szCs w:val="20"/>
          <w:color w:val="auto"/>
        </w:rPr>
      </w:pPr>
    </w:p>
    <w:p>
      <w:pPr>
        <w:jc w:val="center"/>
        <w:ind w:left="660"/>
        <w:spacing w:after="0"/>
        <w:rPr>
          <w:sz w:val="20"/>
          <w:szCs w:val="20"/>
          <w:color w:val="auto"/>
        </w:rPr>
      </w:pPr>
      <w:r>
        <w:rPr>
          <w:rFonts w:ascii="Arial" w:cs="Arial" w:eastAsia="Arial" w:hAnsi="Arial"/>
          <w:sz w:val="20"/>
          <w:szCs w:val="20"/>
          <w:color w:val="auto"/>
        </w:rPr>
        <w:t>* * * * *</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This Restricted Stock Unit Award Agreement will be deemed to be signed by you upon the signing by you of the Restricted Stock Unit Grant Notice to which it is attached.</w:t>
      </w:r>
    </w:p>
    <w:p>
      <w:pPr>
        <w:sectPr>
          <w:pgSz w:w="11900" w:h="16838" w:orient="portrait"/>
          <w:cols w:equalWidth="0" w:num="1">
            <w:col w:w="11420"/>
          </w:cols>
          <w:pgMar w:left="240" w:top="657"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5"/>
          <w:szCs w:val="25"/>
          <w:b w:val="1"/>
          <w:bCs w:val="1"/>
          <w:color w:val="auto"/>
        </w:rPr>
        <w:t>U.S.</w:t>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ATTACHMENT II</w:t>
      </w:r>
    </w:p>
    <w:p>
      <w:pPr>
        <w:spacing w:after="0" w:line="216"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2007 EQUITY INCENTIVE PLAN</w:t>
      </w:r>
    </w:p>
    <w:p>
      <w:pPr>
        <w:sectPr>
          <w:pgSz w:w="11900" w:h="16838" w:orient="portrait"/>
          <w:cols w:equalWidth="0" w:num="1">
            <w:col w:w="10220"/>
          </w:cols>
          <w:pgMar w:left="1440" w:top="657" w:right="239" w:bottom="1440" w:gutter="0" w:footer="0" w:header="0"/>
        </w:sectPr>
      </w:pPr>
    </w:p>
    <w:bookmarkStart w:id="157" w:name="page158"/>
    <w:bookmarkEnd w:id="157"/>
    <w:p>
      <w:pPr>
        <w:ind w:left="10060"/>
        <w:spacing w:after="0"/>
        <w:rPr>
          <w:sz w:val="20"/>
          <w:szCs w:val="20"/>
          <w:color w:val="auto"/>
        </w:rPr>
      </w:pPr>
      <w:r>
        <w:rPr>
          <w:rFonts w:ascii="Arial" w:cs="Arial" w:eastAsia="Arial" w:hAnsi="Arial"/>
          <w:sz w:val="19"/>
          <w:szCs w:val="19"/>
          <w:b w:val="1"/>
          <w:bCs w:val="1"/>
          <w:color w:val="auto"/>
        </w:rPr>
        <w:t>Exhibit 10.28E</w:t>
      </w:r>
    </w:p>
    <w:p>
      <w:pPr>
        <w:spacing w:after="0" w:line="254"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JAZZ PHARMACEUTICALS PLC</w:t>
      </w:r>
    </w:p>
    <w:p>
      <w:pPr>
        <w:spacing w:after="0" w:line="2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2011 EQUITY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OPTION GRANT NOTICE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Jazz Pharmaceuticals plc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2011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Optionholder an option to purchase the number of Ordinary Shares set forth below. This option is subject to all of the terms and conditions as set forth herein and in the Non-U.S. Option Agreement and the Plan, all of which are attached hereto and incorporated herein in their entirety.</w:t>
      </w:r>
    </w:p>
    <w:p>
      <w:pPr>
        <w:spacing w:after="0" w:line="23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Option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Number of Ordinary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Exercise Price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40640</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Expiration Date:</w:t>
      </w:r>
    </w:p>
    <w:p>
      <w:pPr>
        <w:spacing w:after="0" w:line="205" w:lineRule="exact"/>
        <w:rPr>
          <w:sz w:val="20"/>
          <w:szCs w:val="20"/>
          <w:color w:val="auto"/>
        </w:rPr>
      </w:pPr>
    </w:p>
    <w:p>
      <w:pPr>
        <w:spacing w:after="0" w:line="207" w:lineRule="exact"/>
        <w:tabs>
          <w:tab w:leader="none" w:pos="132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MS PGothic" w:cs="MS PGothic" w:eastAsia="MS PGothic" w:hAnsi="MS PGothic"/>
          <w:sz w:val="19"/>
          <w:szCs w:val="19"/>
          <w:color w:val="auto"/>
        </w:rPr>
        <w:t xml:space="preserve">☐ </w:t>
      </w:r>
      <w:r>
        <w:rPr>
          <w:rFonts w:ascii="Arial" w:cs="Arial" w:eastAsia="Arial" w:hAnsi="Arial"/>
          <w:sz w:val="16"/>
          <w:szCs w:val="16"/>
          <w:color w:val="auto"/>
        </w:rPr>
        <w:t>Incentive Stock Option</w:t>
      </w:r>
      <w:r>
        <w:rPr>
          <w:rFonts w:ascii="MS PGothic" w:cs="MS PGothic" w:eastAsia="MS PGothic" w:hAnsi="MS PGothic"/>
          <w:sz w:val="19"/>
          <w:szCs w:val="19"/>
          <w:color w:val="auto"/>
        </w:rPr>
        <w:t xml:space="preserve">  ☒ </w:t>
      </w:r>
      <w:r>
        <w:rPr>
          <w:rFonts w:ascii="Arial" w:cs="Arial" w:eastAsia="Arial" w:hAnsi="Arial"/>
          <w:sz w:val="16"/>
          <w:szCs w:val="16"/>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-109220</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4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color w:val="auto"/>
        </w:rPr>
        <w:t>______________________________________</w:t>
      </w:r>
      <w:r>
        <w:rPr>
          <w:rFonts w:ascii="Arial" w:cs="Arial" w:eastAsia="Arial" w:hAnsi="Arial"/>
          <w:sz w:val="16"/>
          <w:szCs w:val="16"/>
          <w:b w:val="1"/>
          <w:bCs w:val="1"/>
          <w:color w:val="auto"/>
        </w:rPr>
        <w:t>]</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Payment:</w:t>
      </w:r>
      <w:r>
        <w:rPr>
          <w:sz w:val="20"/>
          <w:szCs w:val="20"/>
          <w:color w:val="auto"/>
        </w:rPr>
        <w:tab/>
      </w:r>
      <w:r>
        <w:rPr>
          <w:rFonts w:ascii="Arial" w:cs="Arial" w:eastAsia="Arial" w:hAnsi="Arial"/>
          <w:sz w:val="18"/>
          <w:szCs w:val="18"/>
          <w:color w:val="auto"/>
        </w:rPr>
        <w:t>By one or a combination of the following items (described in the Option Agreement):</w:t>
      </w:r>
    </w:p>
    <w:p>
      <w:pPr>
        <w:spacing w:after="0" w:line="162" w:lineRule="exact"/>
        <w:rPr>
          <w:sz w:val="20"/>
          <w:szCs w:val="20"/>
          <w:color w:val="auto"/>
        </w:rPr>
      </w:pPr>
    </w:p>
    <w:p>
      <w:pPr>
        <w:ind w:left="2040" w:hanging="411"/>
        <w:spacing w:after="0"/>
        <w:tabs>
          <w:tab w:leader="none" w:pos="2040" w:val="left"/>
        </w:tabs>
        <w:numPr>
          <w:ilvl w:val="0"/>
          <w:numId w:val="76"/>
        </w:numPr>
        <w:rPr>
          <w:rFonts w:ascii="MS PGothic" w:cs="MS PGothic" w:eastAsia="MS PGothic" w:hAnsi="MS PGothic"/>
          <w:sz w:val="22"/>
          <w:szCs w:val="22"/>
          <w:color w:val="auto"/>
        </w:rPr>
      </w:pPr>
      <w:r>
        <w:rPr>
          <w:rFonts w:ascii="Arial" w:cs="Arial" w:eastAsia="Arial" w:hAnsi="Arial"/>
          <w:sz w:val="18"/>
          <w:szCs w:val="18"/>
          <w:color w:val="auto"/>
        </w:rPr>
        <w:t>By cash, check, bank draft or money order payable to the Company</w:t>
      </w:r>
    </w:p>
    <w:p>
      <w:pPr>
        <w:spacing w:after="0" w:line="42" w:lineRule="exact"/>
        <w:rPr>
          <w:rFonts w:ascii="MS PGothic" w:cs="MS PGothic" w:eastAsia="MS PGothic" w:hAnsi="MS PGothic"/>
          <w:sz w:val="22"/>
          <w:szCs w:val="22"/>
          <w:color w:val="auto"/>
        </w:rPr>
      </w:pPr>
    </w:p>
    <w:p>
      <w:pPr>
        <w:ind w:left="2000" w:hanging="371"/>
        <w:spacing w:after="0"/>
        <w:tabs>
          <w:tab w:leader="none" w:pos="2000" w:val="left"/>
        </w:tabs>
        <w:numPr>
          <w:ilvl w:val="0"/>
          <w:numId w:val="76"/>
        </w:numPr>
        <w:rPr>
          <w:rFonts w:ascii="MS PGothic" w:cs="MS PGothic" w:eastAsia="MS PGothic" w:hAnsi="MS PGothic"/>
          <w:sz w:val="22"/>
          <w:szCs w:val="22"/>
          <w:color w:val="auto"/>
        </w:rPr>
      </w:pPr>
      <w:r>
        <w:rPr>
          <w:rFonts w:ascii="Arial" w:cs="Arial" w:eastAsia="Arial" w:hAnsi="Arial"/>
          <w:sz w:val="18"/>
          <w:szCs w:val="18"/>
          <w:color w:val="auto"/>
        </w:rPr>
        <w:t>Pursuant to a Regulation T Program if the Ordinary Shares are publicly traded</w:t>
      </w:r>
    </w:p>
    <w:p>
      <w:pPr>
        <w:spacing w:after="0" w:line="42" w:lineRule="exact"/>
        <w:rPr>
          <w:rFonts w:ascii="MS PGothic" w:cs="MS PGothic" w:eastAsia="MS PGothic" w:hAnsi="MS PGothic"/>
          <w:sz w:val="22"/>
          <w:szCs w:val="22"/>
          <w:color w:val="auto"/>
        </w:rPr>
      </w:pPr>
    </w:p>
    <w:p>
      <w:pPr>
        <w:ind w:left="2000" w:hanging="371"/>
        <w:spacing w:after="0"/>
        <w:tabs>
          <w:tab w:leader="none" w:pos="2000" w:val="left"/>
        </w:tabs>
        <w:numPr>
          <w:ilvl w:val="0"/>
          <w:numId w:val="76"/>
        </w:numPr>
        <w:rPr>
          <w:rFonts w:ascii="MS PGothic" w:cs="MS PGothic" w:eastAsia="MS PGothic" w:hAnsi="MS PGothic"/>
          <w:sz w:val="22"/>
          <w:szCs w:val="22"/>
          <w:color w:val="auto"/>
        </w:rPr>
      </w:pPr>
      <w:r>
        <w:rPr>
          <w:rFonts w:ascii="Arial" w:cs="Arial" w:eastAsia="Arial" w:hAnsi="Arial"/>
          <w:sz w:val="18"/>
          <w:szCs w:val="18"/>
          <w:color w:val="auto"/>
        </w:rPr>
        <w:t>By delivery of already-owned Ordinary Shares if the Ordinary Shares are publicly traded</w:t>
      </w:r>
    </w:p>
    <w:p>
      <w:pPr>
        <w:spacing w:after="0" w:line="42" w:lineRule="exact"/>
        <w:rPr>
          <w:rFonts w:ascii="MS PGothic" w:cs="MS PGothic" w:eastAsia="MS PGothic" w:hAnsi="MS PGothic"/>
          <w:sz w:val="22"/>
          <w:szCs w:val="22"/>
          <w:color w:val="auto"/>
        </w:rPr>
      </w:pPr>
    </w:p>
    <w:p>
      <w:pPr>
        <w:ind w:left="1960" w:firstLine="1613"/>
        <w:spacing w:after="0" w:line="301" w:lineRule="auto"/>
        <w:tabs>
          <w:tab w:leader="none" w:pos="4035" w:val="left"/>
        </w:tabs>
        <w:numPr>
          <w:ilvl w:val="1"/>
          <w:numId w:val="76"/>
        </w:numPr>
        <w:rPr>
          <w:rFonts w:ascii="MS PGothic" w:cs="MS PGothic" w:eastAsia="MS PGothic" w:hAnsi="MS PGothic"/>
          <w:sz w:val="22"/>
          <w:szCs w:val="22"/>
          <w:color w:val="auto"/>
        </w:rPr>
      </w:pPr>
      <w:r>
        <w:rPr>
          <w:rFonts w:ascii="Arial" w:cs="Arial" w:eastAsia="Arial" w:hAnsi="Arial"/>
          <w:sz w:val="18"/>
          <w:szCs w:val="18"/>
          <w:color w:val="auto"/>
        </w:rPr>
        <w:t>If and only to the extent this option is a Nonstatutory Stock Option, and subject to the Company’s consent at the time of exercise, by a “net exercise” arrangement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Additional Terms/Acknowledgements: </w:t>
      </w:r>
      <w:r>
        <w:rPr>
          <w:rFonts w:ascii="Arial" w:cs="Arial" w:eastAsia="Arial" w:hAnsi="Arial"/>
          <w:sz w:val="16"/>
          <w:szCs w:val="16"/>
          <w:color w:val="auto"/>
        </w:rPr>
        <w:t>The undersigned Optionholder acknowledges receipt of, and understands and agrees to, this Non-U.S. Option Grant</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the Non-U.S. Option Agreement and the Plan. Optionholder further acknowledges that as of the Date of Grant, this Non-U.S. Option Grant Notice, the Non-U.S. Option Agreement, and the Plan set forth the entire understanding between Optionholder and the Company regarding the acquisition of Ordinary Shares and supersede all prior oral and written agreements, promises and/or representations on that subject with the exception of (i) options previously granted and delivered to Optionholder under the Plan, (ii) any other specific written agreement between Optionholder and the Company and</w:t>
      </w:r>
    </w:p>
    <w:p>
      <w:pPr>
        <w:spacing w:after="0" w:line="2" w:lineRule="exact"/>
        <w:rPr>
          <w:sz w:val="20"/>
          <w:szCs w:val="20"/>
          <w:color w:val="auto"/>
        </w:rPr>
      </w:pPr>
    </w:p>
    <w:p>
      <w:pPr>
        <w:jc w:val="both"/>
        <w:ind w:firstLine="8"/>
        <w:spacing w:after="0" w:line="255" w:lineRule="auto"/>
        <w:tabs>
          <w:tab w:leader="none" w:pos="3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compensation recovery policy that is adopted by the Company or is otherwise required by applicable law. By accepting this option, Optionholder consents to receive Plan documents by electronic delivery and to participate in the Plan through an on-line or electronic system established and maintained by the Company or another third party designated by the Company.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6"/>
          </w:tcPr>
          <w:p>
            <w:pPr>
              <w:ind w:left="40"/>
              <w:spacing w:after="0"/>
              <w:rPr>
                <w:sz w:val="20"/>
                <w:szCs w:val="20"/>
                <w:color w:val="auto"/>
              </w:rPr>
            </w:pPr>
            <w:r>
              <w:rPr>
                <w:rFonts w:ascii="Arial" w:cs="Arial" w:eastAsia="Arial" w:hAnsi="Arial"/>
                <w:sz w:val="18"/>
                <w:szCs w:val="18"/>
                <w:b w:val="1"/>
                <w:bCs w:val="1"/>
                <w:color w:val="auto"/>
              </w:rPr>
              <w:t>JAZZ PHARMACEUTICALS PLC</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vMerge w:val="restart"/>
          </w:tcPr>
          <w:p>
            <w:pPr>
              <w:ind w:left="40"/>
              <w:spacing w:after="0"/>
              <w:rPr>
                <w:sz w:val="20"/>
                <w:szCs w:val="20"/>
                <w:color w:val="auto"/>
              </w:rPr>
            </w:pPr>
            <w:r>
              <w:rPr>
                <w:rFonts w:ascii="Arial" w:cs="Arial" w:eastAsia="Arial" w:hAnsi="Arial"/>
                <w:sz w:val="18"/>
                <w:szCs w:val="18"/>
                <w:color w:val="auto"/>
                <w:w w:val="92"/>
              </w:rPr>
              <w:t>By:</w:t>
            </w:r>
          </w:p>
        </w:tc>
        <w:tc>
          <w:tcPr>
            <w:tcW w:w="3520" w:type="dxa"/>
            <w:vAlign w:val="bottom"/>
            <w:gridSpan w:val="4"/>
            <w:vMerge w:val="restart"/>
          </w:tcPr>
          <w:p>
            <w:pPr>
              <w:spacing w:after="0"/>
              <w:rPr>
                <w:sz w:val="24"/>
                <w:szCs w:val="24"/>
                <w:color w:val="auto"/>
              </w:rPr>
            </w:pPr>
          </w:p>
        </w:tc>
        <w:tc>
          <w:tcPr>
            <w:tcW w:w="1920" w:type="dxa"/>
            <w:vAlign w:val="bottom"/>
            <w:vMerge w:val="restart"/>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OPTIONHOLDER: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00" w:type="dxa"/>
            <w:vAlign w:val="bottom"/>
            <w:vMerge w:val="continue"/>
          </w:tcPr>
          <w:p>
            <w:pPr>
              <w:spacing w:after="0"/>
              <w:rPr>
                <w:sz w:val="5"/>
                <w:szCs w:val="5"/>
                <w:color w:val="auto"/>
              </w:rPr>
            </w:pPr>
          </w:p>
        </w:tc>
        <w:tc>
          <w:tcPr>
            <w:tcW w:w="3520" w:type="dxa"/>
            <w:vAlign w:val="bottom"/>
            <w:tcBorders>
              <w:bottom w:val="single" w:sz="8" w:color="auto"/>
            </w:tcBorders>
            <w:gridSpan w:val="4"/>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3"/>
          </w:tcPr>
          <w:p>
            <w:pPr>
              <w:ind w:left="2080"/>
              <w:spacing w:after="0"/>
              <w:rPr>
                <w:sz w:val="20"/>
                <w:szCs w:val="20"/>
                <w:color w:val="auto"/>
              </w:rPr>
            </w:pPr>
            <w:r>
              <w:rPr>
                <w:rFonts w:ascii="Arial" w:cs="Arial" w:eastAsia="Arial" w:hAnsi="Arial"/>
                <w:sz w:val="18"/>
                <w:szCs w:val="18"/>
                <w:color w:val="auto"/>
              </w:rPr>
              <w:t>Signature</w:t>
            </w:r>
          </w:p>
        </w:tc>
        <w:tc>
          <w:tcPr>
            <w:tcW w:w="4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740" w:type="dxa"/>
            <w:vAlign w:val="bottom"/>
            <w:gridSpan w:val="6"/>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2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2"/>
              </w:rPr>
              <w:t>Title:</w:t>
            </w:r>
          </w:p>
        </w:tc>
        <w:tc>
          <w:tcPr>
            <w:tcW w:w="3380" w:type="dxa"/>
            <w:vAlign w:val="bottom"/>
            <w:tcBorders>
              <w:bottom w:val="single" w:sz="8" w:color="auto"/>
            </w:tcBorders>
            <w:gridSpan w:val="2"/>
          </w:tcPr>
          <w:p>
            <w:pPr>
              <w:spacing w:after="0"/>
              <w:rPr>
                <w:sz w:val="17"/>
                <w:szCs w:val="17"/>
                <w:color w:val="auto"/>
              </w:rPr>
            </w:pPr>
          </w:p>
        </w:tc>
        <w:tc>
          <w:tcPr>
            <w:tcW w:w="19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3480" w:type="dxa"/>
            <w:vAlign w:val="bottom"/>
          </w:tcPr>
          <w:p>
            <w:pPr>
              <w:ind w:left="2080"/>
              <w:spacing w:after="0" w:line="196" w:lineRule="exact"/>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3"/>
          </w:tcPr>
          <w:p>
            <w:pPr>
              <w:ind w:left="40"/>
              <w:spacing w:after="0"/>
              <w:rPr>
                <w:sz w:val="20"/>
                <w:szCs w:val="20"/>
                <w:color w:val="auto"/>
              </w:rPr>
            </w:pPr>
            <w:r>
              <w:rPr>
                <w:rFonts w:ascii="Arial" w:cs="Arial" w:eastAsia="Arial" w:hAnsi="Arial"/>
                <w:sz w:val="18"/>
                <w:szCs w:val="18"/>
                <w:color w:val="auto"/>
                <w:w w:val="88"/>
              </w:rPr>
              <w:t>Date:</w:t>
            </w:r>
          </w:p>
        </w:tc>
        <w:tc>
          <w:tcPr>
            <w:tcW w:w="3360" w:type="dxa"/>
            <w:vAlign w:val="bottom"/>
            <w:tcBorders>
              <w:bottom w:val="single" w:sz="8" w:color="auto"/>
            </w:tcBorders>
          </w:tcPr>
          <w:p>
            <w:pPr>
              <w:spacing w:after="0"/>
              <w:rPr>
                <w:sz w:val="24"/>
                <w:szCs w:val="24"/>
                <w:color w:val="auto"/>
              </w:rPr>
            </w:pPr>
          </w:p>
        </w:tc>
        <w:tc>
          <w:tcPr>
            <w:tcW w:w="1940" w:type="dxa"/>
            <w:vAlign w:val="bottom"/>
            <w:gridSpan w:val="2"/>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8"/>
              </w:rPr>
              <w:t>Date:</w:t>
            </w:r>
          </w:p>
        </w:tc>
        <w:tc>
          <w:tcPr>
            <w:tcW w:w="3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740" w:type="dxa"/>
            <w:vAlign w:val="bottom"/>
            <w:gridSpan w:val="6"/>
          </w:tcPr>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Option Agreement and 2011 Equity Incentive Plan</w:t>
            </w:r>
          </w:p>
        </w:tc>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740" w:type="dxa"/>
            <w:vAlign w:val="bottom"/>
            <w:gridSpan w:val="6"/>
          </w:tcPr>
          <w:p>
            <w:pPr>
              <w:spacing w:after="0"/>
              <w:rPr>
                <w:sz w:val="20"/>
                <w:szCs w:val="20"/>
                <w:color w:val="auto"/>
              </w:rPr>
            </w:pPr>
            <w:r>
              <w:rPr>
                <w:rFonts w:ascii="Arial" w:cs="Arial" w:eastAsia="Arial" w:hAnsi="Arial"/>
                <w:sz w:val="14"/>
                <w:szCs w:val="14"/>
                <w:color w:val="auto"/>
              </w:rPr>
              <w:t>804520 v2/SD</w:t>
            </w:r>
          </w:p>
        </w:tc>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6" w:right="239" w:bottom="1440" w:gutter="0" w:footer="0" w:header="0"/>
        </w:sectPr>
      </w:pPr>
    </w:p>
    <w:bookmarkStart w:id="158" w:name="page159"/>
    <w:bookmarkEnd w:id="158"/>
    <w:p>
      <w:pPr>
        <w:jc w:val="center"/>
        <w:ind w:right="-1220"/>
        <w:spacing w:after="0"/>
        <w:rPr>
          <w:sz w:val="20"/>
          <w:szCs w:val="20"/>
          <w:color w:val="auto"/>
        </w:rPr>
      </w:pPr>
      <w:r>
        <w:rPr>
          <w:rFonts w:ascii="Arial" w:cs="Arial" w:eastAsia="Arial" w:hAnsi="Arial"/>
          <w:sz w:val="20"/>
          <w:szCs w:val="20"/>
          <w:b w:val="1"/>
          <w:bCs w:val="1"/>
          <w:color w:val="auto"/>
        </w:rPr>
        <w:t>ATTACHMENT I</w:t>
      </w:r>
    </w:p>
    <w:p>
      <w:pPr>
        <w:spacing w:after="0" w:line="216" w:lineRule="exact"/>
        <w:rPr>
          <w:sz w:val="20"/>
          <w:szCs w:val="20"/>
          <w:color w:val="auto"/>
        </w:rPr>
      </w:pPr>
    </w:p>
    <w:p>
      <w:pPr>
        <w:jc w:val="right"/>
        <w:ind w:right="2979"/>
        <w:spacing w:after="0"/>
        <w:rPr>
          <w:sz w:val="20"/>
          <w:szCs w:val="20"/>
          <w:color w:val="auto"/>
        </w:rPr>
      </w:pPr>
      <w:r>
        <w:rPr>
          <w:rFonts w:ascii="Arial" w:cs="Arial" w:eastAsia="Arial" w:hAnsi="Arial"/>
          <w:sz w:val="20"/>
          <w:szCs w:val="20"/>
          <w:b w:val="1"/>
          <w:bCs w:val="1"/>
          <w:color w:val="auto"/>
        </w:rPr>
        <w:t>NON-U.S.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0219"/>
          </w:cols>
          <w:pgMar w:left="240" w:top="657" w:right="1440" w:bottom="1440" w:gutter="0" w:footer="0" w:header="0"/>
        </w:sectPr>
      </w:pPr>
    </w:p>
    <w:bookmarkStart w:id="159" w:name="page160"/>
    <w:bookmarkEnd w:id="159"/>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2011 EQUITY INCENTIVE PLAN</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NON-U.S. OPTION AGREEMENT</w:t>
      </w:r>
    </w:p>
    <w:p>
      <w:pPr>
        <w:spacing w:after="0" w:line="22"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(NONSTATUTORY STOCK OPTION)</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20"/>
          <w:szCs w:val="20"/>
          <w:color w:val="auto"/>
        </w:rPr>
        <w:t>Pursuant to your Non-U.S. Option Grant Notice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Non-U.S. Option Agreement, including any country</w:t>
      </w:r>
      <w:r>
        <w:rPr>
          <w:rFonts w:ascii="MS PGothic" w:cs="MS PGothic" w:eastAsia="MS PGothic" w:hAnsi="MS PGothic"/>
          <w:sz w:val="20"/>
          <w:szCs w:val="20"/>
          <w:color w:val="auto"/>
        </w:rPr>
        <w:t>‑</w:t>
      </w:r>
      <w:r>
        <w:rPr>
          <w:rFonts w:ascii="Arial" w:cs="Arial" w:eastAsia="Arial" w:hAnsi="Arial"/>
          <w:sz w:val="20"/>
          <w:szCs w:val="20"/>
          <w:color w:val="auto"/>
        </w:rPr>
        <w:t>specific appendix (the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you an option under its 2011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to purchase the number of Ordinary Shares indicated in your Grant Notice at the exercise price indicated in your Grant Notice. The option is granted to you effective as of the date of grant set forth in the Grant Notice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 Except as otherwise explicitly provided herein, if there is any conflict between the terms in this Option Agreement and the Plan, the terms of the Plan will control. Capitalized terms not explicitly defined in this Option Agreement or in the Grant Notice but defined in the Plan shall have the same definitions as in the Plan.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23" w:lineRule="exact"/>
        <w:rPr>
          <w:sz w:val="20"/>
          <w:szCs w:val="20"/>
          <w:color w:val="auto"/>
        </w:rPr>
      </w:pPr>
    </w:p>
    <w:p>
      <w:pPr>
        <w:ind w:firstLine="656"/>
        <w:spacing w:after="0" w:line="295" w:lineRule="auto"/>
        <w:tabs>
          <w:tab w:leader="none" w:pos="1445"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Section 9 and the limitations contained herein, your option will vest as provided in your Grant Notice,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vesting will cease upon the termination of your Continuous Service.</w:t>
      </w:r>
    </w:p>
    <w:p>
      <w:pPr>
        <w:spacing w:after="0" w:line="150" w:lineRule="exact"/>
        <w:rPr>
          <w:rFonts w:ascii="Arial" w:cs="Arial" w:eastAsia="Arial" w:hAnsi="Arial"/>
          <w:sz w:val="20"/>
          <w:szCs w:val="20"/>
          <w:b w:val="1"/>
          <w:bCs w:val="1"/>
          <w:color w:val="auto"/>
        </w:rPr>
      </w:pPr>
    </w:p>
    <w:p>
      <w:pPr>
        <w:ind w:right="20" w:firstLine="656"/>
        <w:spacing w:after="0" w:line="293" w:lineRule="auto"/>
        <w:tabs>
          <w:tab w:leader="none" w:pos="1049"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NUMBER OF SHARES AND EXERCISE PRICE. </w:t>
      </w:r>
      <w:r>
        <w:rPr>
          <w:rFonts w:ascii="Arial" w:cs="Arial" w:eastAsia="Arial" w:hAnsi="Arial"/>
          <w:sz w:val="19"/>
          <w:szCs w:val="19"/>
          <w:color w:val="auto"/>
        </w:rPr>
        <w:t>The number of Ordinary Shares subject to your option and your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per Ordinary Share referenced in your Grant Notice may be adjusted from time to time for Capitalization Adjustments.</w:t>
      </w:r>
    </w:p>
    <w:p>
      <w:pPr>
        <w:spacing w:after="0" w:line="141" w:lineRule="exact"/>
        <w:rPr>
          <w:rFonts w:ascii="Arial" w:cs="Arial" w:eastAsia="Arial" w:hAnsi="Arial"/>
          <w:sz w:val="19"/>
          <w:szCs w:val="19"/>
          <w:b w:val="1"/>
          <w:bCs w:val="1"/>
          <w:color w:val="auto"/>
        </w:rPr>
      </w:pPr>
    </w:p>
    <w:p>
      <w:pPr>
        <w:jc w:val="both"/>
        <w:ind w:firstLine="656"/>
        <w:spacing w:after="0" w:line="253" w:lineRule="auto"/>
        <w:tabs>
          <w:tab w:leader="none" w:pos="1008"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 OF PAYMENT. </w:t>
      </w:r>
      <w:r>
        <w:rPr>
          <w:rFonts w:ascii="Arial" w:cs="Arial" w:eastAsia="Arial" w:hAnsi="Arial"/>
          <w:sz w:val="20"/>
          <w:szCs w:val="20"/>
          <w:color w:val="auto"/>
        </w:rPr>
        <w:t>You must pay the full amount of the exercise price for the Ordinary Shares you wish to exercise. You</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pay the exercise price in cash or by check, bank draft or money order payable to the Company (subject to Section 4) or in any other manner </w:t>
      </w:r>
      <w:r>
        <w:rPr>
          <w:rFonts w:ascii="Arial" w:cs="Arial" w:eastAsia="Arial" w:hAnsi="Arial"/>
          <w:sz w:val="20"/>
          <w:szCs w:val="20"/>
          <w:b w:val="1"/>
          <w:bCs w:val="1"/>
          <w:i w:val="1"/>
          <w:iCs w:val="1"/>
          <w:color w:val="auto"/>
        </w:rPr>
        <w:t>permitted by your Grant Notice,</w:t>
      </w:r>
      <w:r>
        <w:rPr>
          <w:rFonts w:ascii="Arial" w:cs="Arial" w:eastAsia="Arial" w:hAnsi="Arial"/>
          <w:sz w:val="20"/>
          <w:szCs w:val="20"/>
          <w:color w:val="auto"/>
        </w:rPr>
        <w:t xml:space="preserve"> which may include one or more of the following:</w:t>
      </w:r>
    </w:p>
    <w:p>
      <w:pPr>
        <w:spacing w:after="0" w:line="183" w:lineRule="exact"/>
        <w:rPr>
          <w:rFonts w:ascii="Arial" w:cs="Arial" w:eastAsia="Arial" w:hAnsi="Arial"/>
          <w:sz w:val="20"/>
          <w:szCs w:val="20"/>
          <w:b w:val="1"/>
          <w:bCs w:val="1"/>
          <w:color w:val="auto"/>
        </w:rPr>
      </w:pPr>
    </w:p>
    <w:p>
      <w:pPr>
        <w:jc w:val="both"/>
        <w:ind w:firstLine="1305"/>
        <w:spacing w:after="0" w:line="282" w:lineRule="auto"/>
        <w:tabs>
          <w:tab w:leader="none" w:pos="180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Ordinary Shares are publicly traded, pursuant to a program developed under Regulation T as promulgated by the U.S. Federal Reserve Board that, prior to the issuance of Ordinary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61" w:lineRule="exact"/>
        <w:rPr>
          <w:rFonts w:ascii="Arial" w:cs="Arial" w:eastAsia="Arial" w:hAnsi="Arial"/>
          <w:sz w:val="18"/>
          <w:szCs w:val="18"/>
          <w:b w:val="1"/>
          <w:bCs w:val="1"/>
          <w:color w:val="auto"/>
        </w:rPr>
      </w:pPr>
    </w:p>
    <w:p>
      <w:pPr>
        <w:jc w:val="both"/>
        <w:ind w:firstLine="1305"/>
        <w:spacing w:after="0" w:line="276" w:lineRule="auto"/>
        <w:tabs>
          <w:tab w:leader="none" w:pos="1736"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Ordinary Shares are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applicable to the or restricting the redemption of the Ordinary Shares.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57" w:right="239" w:bottom="1440" w:gutter="0" w:footer="0" w:header="0"/>
        </w:sectPr>
      </w:pPr>
    </w:p>
    <w:bookmarkStart w:id="160" w:name="page161"/>
    <w:bookmarkEnd w:id="160"/>
    <w:p>
      <w:pPr>
        <w:jc w:val="both"/>
        <w:ind w:firstLine="1305"/>
        <w:spacing w:after="0" w:line="243" w:lineRule="auto"/>
        <w:tabs>
          <w:tab w:leader="none" w:pos="1779" w:val="left"/>
        </w:tabs>
        <w:numPr>
          <w:ilvl w:val="1"/>
          <w:numId w:val="79"/>
        </w:numPr>
        <w:rPr>
          <w:rFonts w:ascii="Arial" w:cs="Arial" w:eastAsia="Arial" w:hAnsi="Arial"/>
          <w:sz w:val="20"/>
          <w:szCs w:val="20"/>
          <w:b w:val="1"/>
          <w:bCs w:val="1"/>
          <w:color w:val="auto"/>
        </w:rPr>
      </w:pPr>
      <w:r>
        <w:rPr>
          <w:rFonts w:ascii="Arial" w:cs="Arial" w:eastAsia="Arial" w:hAnsi="Arial"/>
          <w:sz w:val="20"/>
          <w:szCs w:val="20"/>
          <w:color w:val="auto"/>
        </w:rPr>
        <w:t>If this option is a Nonstatutory Stock Option, subject to the consent of the Company at the time of exercise, by a “net exercise” arrangement pursuant to which the Company will reduce the number of Ordinary Shares issued upon exercise of your option by the largest whole number of Ordinary Shares with a Fair Market Value that does not exceed the aggregate exercise price. You must pay any remaining balance of the aggregate exercise price not satisfied by the “net exercise” in cash or other permitted form of payment. Ordinary Shares will no longer be outstanding under your option and will not be exercisable thereafter if those Ordinary Shares (i) are used to pay the exercise price pursuant to the “net exercise,” (ii) are delivered to you as a result of such exercise, and (iii) are withheld to satisfy any Tax-Related Items (defined below).</w:t>
      </w:r>
    </w:p>
    <w:p>
      <w:pPr>
        <w:spacing w:after="0" w:line="187" w:lineRule="exact"/>
        <w:rPr>
          <w:rFonts w:ascii="Arial" w:cs="Arial" w:eastAsia="Arial" w:hAnsi="Arial"/>
          <w:sz w:val="20"/>
          <w:szCs w:val="20"/>
          <w:b w:val="1"/>
          <w:bCs w:val="1"/>
          <w:color w:val="auto"/>
        </w:rPr>
      </w:pPr>
    </w:p>
    <w:p>
      <w:pPr>
        <w:jc w:val="both"/>
        <w:ind w:firstLine="656"/>
        <w:spacing w:after="0" w:line="253" w:lineRule="auto"/>
        <w:tabs>
          <w:tab w:leader="none" w:pos="1076"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OF PAR (NOMINAL) VALUE. </w:t>
      </w:r>
      <w:r>
        <w:rPr>
          <w:rFonts w:ascii="Arial" w:cs="Arial" w:eastAsia="Arial" w:hAnsi="Arial"/>
          <w:sz w:val="20"/>
          <w:szCs w:val="20"/>
          <w:color w:val="auto"/>
        </w:rPr>
        <w:t>To the extent that any Ordinary Shares issued upon exercise of your option are</w:t>
      </w:r>
      <w:r>
        <w:rPr>
          <w:rFonts w:ascii="Arial" w:cs="Arial" w:eastAsia="Arial" w:hAnsi="Arial"/>
          <w:sz w:val="20"/>
          <w:szCs w:val="20"/>
          <w:b w:val="1"/>
          <w:bCs w:val="1"/>
          <w:color w:val="auto"/>
        </w:rPr>
        <w:t xml:space="preserve"> </w:t>
      </w:r>
      <w:r>
        <w:rPr>
          <w:rFonts w:ascii="Arial" w:cs="Arial" w:eastAsia="Arial" w:hAnsi="Arial"/>
          <w:sz w:val="20"/>
          <w:szCs w:val="20"/>
          <w:color w:val="auto"/>
        </w:rPr>
        <w:t>newly issued Ordinary Shares, you must pay in cash or by check, bank draft or money order payable to the Company an amount equal to the par value of such number of newly issued Ordinary Shares (rounded up to the nearest whole cent).</w:t>
      </w:r>
    </w:p>
    <w:p>
      <w:pPr>
        <w:spacing w:after="0" w:line="177" w:lineRule="exact"/>
        <w:rPr>
          <w:rFonts w:ascii="Arial" w:cs="Arial" w:eastAsia="Arial" w:hAnsi="Arial"/>
          <w:sz w:val="20"/>
          <w:szCs w:val="20"/>
          <w:b w:val="1"/>
          <w:bCs w:val="1"/>
          <w:color w:val="auto"/>
        </w:rPr>
      </w:pPr>
    </w:p>
    <w:p>
      <w:pPr>
        <w:ind w:left="1000" w:hanging="344"/>
        <w:spacing w:after="0"/>
        <w:tabs>
          <w:tab w:leader="none" w:pos="100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WHOLE SHARES. </w:t>
      </w:r>
      <w:r>
        <w:rPr>
          <w:rFonts w:ascii="Arial" w:cs="Arial" w:eastAsia="Arial" w:hAnsi="Arial"/>
          <w:sz w:val="20"/>
          <w:szCs w:val="20"/>
          <w:color w:val="auto"/>
        </w:rPr>
        <w:t>You may exercise your option only for whole Ordinary Shares.</w:t>
      </w:r>
    </w:p>
    <w:p>
      <w:pPr>
        <w:spacing w:after="0" w:line="215" w:lineRule="exact"/>
        <w:rPr>
          <w:rFonts w:ascii="Arial" w:cs="Arial" w:eastAsia="Arial" w:hAnsi="Arial"/>
          <w:sz w:val="20"/>
          <w:szCs w:val="20"/>
          <w:b w:val="1"/>
          <w:bCs w:val="1"/>
          <w:color w:val="auto"/>
        </w:rPr>
      </w:pPr>
    </w:p>
    <w:p>
      <w:pPr>
        <w:jc w:val="both"/>
        <w:ind w:firstLine="656"/>
        <w:spacing w:after="0" w:line="258" w:lineRule="auto"/>
        <w:tabs>
          <w:tab w:leader="none" w:pos="107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Notwithstanding anything to the contrary contained herein, you may not exercise your</w:t>
      </w:r>
      <w:r>
        <w:rPr>
          <w:rFonts w:ascii="Arial" w:cs="Arial" w:eastAsia="Arial" w:hAnsi="Arial"/>
          <w:sz w:val="19"/>
          <w:szCs w:val="19"/>
          <w:b w:val="1"/>
          <w:bCs w:val="1"/>
          <w:color w:val="auto"/>
        </w:rPr>
        <w:t xml:space="preserve"> </w:t>
      </w:r>
      <w:r>
        <w:rPr>
          <w:rFonts w:ascii="Arial" w:cs="Arial" w:eastAsia="Arial" w:hAnsi="Arial"/>
          <w:sz w:val="19"/>
          <w:szCs w:val="19"/>
          <w:color w:val="auto"/>
        </w:rPr>
        <w:t>option unless the Ordinary Shares issuable upon such exercise are then registered under the Securities Act or, if such Ordinary Shares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 The Company shall have no liability to you should your option expire unexercised as a result of the Company’s determination that the exercise of your option does not comply with the applicable laws and regulations governing the option or that the exercise is not in material compliance with such laws and regulations.</w:t>
      </w:r>
    </w:p>
    <w:p>
      <w:pPr>
        <w:spacing w:after="0" w:line="173" w:lineRule="exact"/>
        <w:rPr>
          <w:rFonts w:ascii="Arial" w:cs="Arial" w:eastAsia="Arial" w:hAnsi="Arial"/>
          <w:sz w:val="19"/>
          <w:szCs w:val="19"/>
          <w:b w:val="1"/>
          <w:bCs w:val="1"/>
          <w:color w:val="auto"/>
        </w:rPr>
      </w:pPr>
    </w:p>
    <w:p>
      <w:pPr>
        <w:ind w:firstLine="656"/>
        <w:spacing w:after="0" w:line="323" w:lineRule="auto"/>
        <w:tabs>
          <w:tab w:leader="none" w:pos="1035"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You may not exercise your option before the commencement or after the expiration of its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subject to the provisions of Section 5(h) of the Plan, upon the earliest of the following:</w:t>
      </w:r>
    </w:p>
    <w:p>
      <w:pPr>
        <w:spacing w:after="0" w:line="124" w:lineRule="exact"/>
        <w:rPr>
          <w:rFonts w:ascii="Arial" w:cs="Arial" w:eastAsia="Arial" w:hAnsi="Arial"/>
          <w:sz w:val="18"/>
          <w:szCs w:val="18"/>
          <w:b w:val="1"/>
          <w:bCs w:val="1"/>
          <w:color w:val="auto"/>
        </w:rPr>
      </w:pPr>
    </w:p>
    <w:p>
      <w:pPr>
        <w:jc w:val="both"/>
        <w:ind w:firstLine="1305"/>
        <w:spacing w:after="0" w:line="244" w:lineRule="auto"/>
        <w:tabs>
          <w:tab w:leader="none" w:pos="1767"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 xml:space="preserve">three (3) months after the termination of your Continuous Service for any reason other than Cause or your Disability or death (except as otherwise provided in Section 7(c) below);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w:t>
      </w:r>
    </w:p>
    <w:p>
      <w:pPr>
        <w:spacing w:after="0" w:line="194" w:lineRule="exact"/>
        <w:rPr>
          <w:rFonts w:ascii="Arial" w:cs="Arial" w:eastAsia="Arial" w:hAnsi="Arial"/>
          <w:sz w:val="20"/>
          <w:szCs w:val="20"/>
          <w:b w:val="1"/>
          <w:bCs w:val="1"/>
          <w:color w:val="auto"/>
        </w:rPr>
      </w:pPr>
    </w:p>
    <w:p>
      <w:pPr>
        <w:ind w:right="20" w:firstLine="1305"/>
        <w:spacing w:after="0" w:line="260" w:lineRule="auto"/>
        <w:tabs>
          <w:tab w:leader="none" w:pos="1741"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8(c) below);</w:t>
      </w:r>
    </w:p>
    <w:p>
      <w:pPr>
        <w:spacing w:after="0" w:line="176" w:lineRule="exact"/>
        <w:rPr>
          <w:rFonts w:ascii="Arial" w:cs="Arial" w:eastAsia="Arial" w:hAnsi="Arial"/>
          <w:sz w:val="20"/>
          <w:szCs w:val="20"/>
          <w:b w:val="1"/>
          <w:bCs w:val="1"/>
          <w:color w:val="auto"/>
        </w:rPr>
      </w:pPr>
    </w:p>
    <w:p>
      <w:pPr>
        <w:ind w:right="20" w:firstLine="1305"/>
        <w:spacing w:after="0" w:line="260" w:lineRule="auto"/>
        <w:tabs>
          <w:tab w:leader="none" w:pos="1761"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eighteen (18) months after your death if you die either during your Continuous Service or within three (3) months after your Continuous Service terminates for any reason other than Cause;</w:t>
      </w:r>
    </w:p>
    <w:p>
      <w:pPr>
        <w:spacing w:after="0" w:line="176" w:lineRule="exact"/>
        <w:rPr>
          <w:rFonts w:ascii="Arial" w:cs="Arial" w:eastAsia="Arial" w:hAnsi="Arial"/>
          <w:sz w:val="20"/>
          <w:szCs w:val="20"/>
          <w:b w:val="1"/>
          <w:bCs w:val="1"/>
          <w:color w:val="auto"/>
        </w:rPr>
      </w:pPr>
    </w:p>
    <w:p>
      <w:pPr>
        <w:ind w:left="1740" w:hanging="435"/>
        <w:spacing w:after="0"/>
        <w:tabs>
          <w:tab w:leader="none" w:pos="1740"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five (5) days following the termination of your Continuous Service for Cause;</w:t>
      </w:r>
    </w:p>
    <w:p>
      <w:pPr>
        <w:spacing w:after="0" w:line="215" w:lineRule="exact"/>
        <w:rPr>
          <w:rFonts w:ascii="Arial" w:cs="Arial" w:eastAsia="Arial" w:hAnsi="Arial"/>
          <w:sz w:val="20"/>
          <w:szCs w:val="20"/>
          <w:b w:val="1"/>
          <w:bCs w:val="1"/>
          <w:color w:val="auto"/>
        </w:rPr>
      </w:pPr>
    </w:p>
    <w:p>
      <w:pPr>
        <w:ind w:left="1720" w:hanging="415"/>
        <w:spacing w:after="0"/>
        <w:tabs>
          <w:tab w:leader="none" w:pos="1720"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the Expiration Date indicated in your Grant Notice; or</w:t>
      </w:r>
    </w:p>
    <w:p>
      <w:pPr>
        <w:spacing w:after="0" w:line="215" w:lineRule="exact"/>
        <w:rPr>
          <w:rFonts w:ascii="Arial" w:cs="Arial" w:eastAsia="Arial" w:hAnsi="Arial"/>
          <w:sz w:val="20"/>
          <w:szCs w:val="20"/>
          <w:b w:val="1"/>
          <w:bCs w:val="1"/>
          <w:color w:val="auto"/>
        </w:rPr>
      </w:pPr>
    </w:p>
    <w:p>
      <w:pPr>
        <w:ind w:left="1700" w:hanging="395"/>
        <w:spacing w:after="0"/>
        <w:tabs>
          <w:tab w:leader="none" w:pos="1700" w:val="left"/>
        </w:tabs>
        <w:numPr>
          <w:ilvl w:val="1"/>
          <w:numId w:val="80"/>
        </w:numPr>
        <w:rPr>
          <w:rFonts w:ascii="Arial" w:cs="Arial" w:eastAsia="Arial" w:hAnsi="Arial"/>
          <w:sz w:val="20"/>
          <w:szCs w:val="20"/>
          <w:b w:val="1"/>
          <w:bCs w:val="1"/>
          <w:color w:val="auto"/>
        </w:rPr>
      </w:pPr>
      <w:r>
        <w:rPr>
          <w:rFonts w:ascii="Arial" w:cs="Arial" w:eastAsia="Arial" w:hAnsi="Arial"/>
          <w:sz w:val="20"/>
          <w:szCs w:val="20"/>
          <w:color w:val="auto"/>
        </w:rPr>
        <w:t>the day before the tenth (10th)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1" w:name="page162"/>
    <w:bookmarkEnd w:id="161"/>
    <w:p>
      <w:pPr>
        <w:jc w:val="both"/>
        <w:ind w:firstLine="648"/>
        <w:spacing w:after="0" w:line="271" w:lineRule="auto"/>
        <w:rPr>
          <w:sz w:val="20"/>
          <w:szCs w:val="20"/>
          <w:color w:val="auto"/>
        </w:rPr>
      </w:pPr>
      <w:r>
        <w:rPr>
          <w:rFonts w:ascii="Arial" w:cs="Arial" w:eastAsia="Arial" w:hAnsi="Arial"/>
          <w:sz w:val="18"/>
          <w:szCs w:val="18"/>
          <w:color w:val="auto"/>
        </w:rPr>
        <w:t>For purposes of this Option Agreement, “Cause” shall mean the occurrence of any of the following events that has a material negative impact on the business or reputation of the Company or an Affiliate: (i) your conviction for any criminal offence (other than an offence under any road traffic legislation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 your unauthorized use or disclosure of the Company’s or an Affiliate’s confidential information or trade secrets; or (v) your gross misconduct. The determination that a termination of your Continuous Service is either for Cause or without Cause shall be made by the Company (or an Affiliate, if applicable) in its sole discretion. Any determination by the Company (or an Affiliate, if applicable) that your Continuous Service was terminated with or without Cause for the purposes of this Option Agreement shall have no effect upon any determination of the rights or obligations of the Company or an Affiliate or you for any other purpose.</w:t>
      </w:r>
    </w:p>
    <w:p>
      <w:pPr>
        <w:spacing w:after="0" w:line="169" w:lineRule="exact"/>
        <w:rPr>
          <w:sz w:val="20"/>
          <w:szCs w:val="20"/>
          <w:color w:val="auto"/>
        </w:rPr>
      </w:pPr>
    </w:p>
    <w:p>
      <w:pPr>
        <w:ind w:left="1000" w:hanging="344"/>
        <w:spacing w:after="0"/>
        <w:tabs>
          <w:tab w:leader="none" w:pos="100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EXERCISE.</w:t>
      </w:r>
    </w:p>
    <w:p>
      <w:pPr>
        <w:spacing w:after="0" w:line="221" w:lineRule="exact"/>
        <w:rPr>
          <w:rFonts w:ascii="Arial" w:cs="Arial" w:eastAsia="Arial" w:hAnsi="Arial"/>
          <w:sz w:val="20"/>
          <w:szCs w:val="20"/>
          <w:b w:val="1"/>
          <w:bCs w:val="1"/>
          <w:color w:val="auto"/>
        </w:rPr>
      </w:pPr>
    </w:p>
    <w:p>
      <w:pPr>
        <w:jc w:val="both"/>
        <w:ind w:firstLine="1305"/>
        <w:spacing w:after="0" w:line="263" w:lineRule="auto"/>
        <w:tabs>
          <w:tab w:leader="none" w:pos="1811" w:val="left"/>
        </w:tabs>
        <w:numPr>
          <w:ilvl w:val="1"/>
          <w:numId w:val="81"/>
        </w:numPr>
        <w:rPr>
          <w:rFonts w:ascii="Arial" w:cs="Arial" w:eastAsia="Arial" w:hAnsi="Arial"/>
          <w:sz w:val="19"/>
          <w:szCs w:val="19"/>
          <w:b w:val="1"/>
          <w:bCs w:val="1"/>
          <w:color w:val="auto"/>
        </w:rPr>
      </w:pPr>
      <w:r>
        <w:rPr>
          <w:rFonts w:ascii="Arial" w:cs="Arial" w:eastAsia="Arial" w:hAnsi="Arial"/>
          <w:sz w:val="19"/>
          <w:szCs w:val="19"/>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Tax-Related Items to the Company’s Secretary, stock plan administrator, or such other person as the Company may designate, together with such additional documents as the Company may then require.</w:t>
      </w:r>
    </w:p>
    <w:p>
      <w:pPr>
        <w:spacing w:after="0" w:line="176" w:lineRule="exact"/>
        <w:rPr>
          <w:rFonts w:ascii="Arial" w:cs="Arial" w:eastAsia="Arial" w:hAnsi="Arial"/>
          <w:sz w:val="19"/>
          <w:szCs w:val="19"/>
          <w:b w:val="1"/>
          <w:bCs w:val="1"/>
          <w:color w:val="auto"/>
        </w:rPr>
      </w:pPr>
    </w:p>
    <w:p>
      <w:pPr>
        <w:jc w:val="both"/>
        <w:ind w:firstLine="1305"/>
        <w:spacing w:after="0" w:line="250" w:lineRule="auto"/>
        <w:tabs>
          <w:tab w:leader="none" w:pos="1754"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By exercising your option you agree that, as a condition to any exercise of your option, the Company may require you to enter into an arrangement providing for the payment by you to the Company of any Tax-Related Items arising by reason of (i) the exercise of your option or (ii) the disposition of Ordinary Shares acquired upon such exercise.</w:t>
      </w:r>
    </w:p>
    <w:p>
      <w:pPr>
        <w:spacing w:after="0" w:line="180" w:lineRule="exact"/>
        <w:rPr>
          <w:rFonts w:ascii="Arial" w:cs="Arial" w:eastAsia="Arial" w:hAnsi="Arial"/>
          <w:sz w:val="20"/>
          <w:szCs w:val="20"/>
          <w:b w:val="1"/>
          <w:bCs w:val="1"/>
          <w:color w:val="auto"/>
        </w:rPr>
      </w:pPr>
    </w:p>
    <w:p>
      <w:pPr>
        <w:ind w:left="1000" w:hanging="344"/>
        <w:spacing w:after="0"/>
        <w:tabs>
          <w:tab w:leader="none" w:pos="100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p>
    <w:p>
      <w:pPr>
        <w:spacing w:after="0" w:line="221" w:lineRule="exact"/>
        <w:rPr>
          <w:rFonts w:ascii="Arial" w:cs="Arial" w:eastAsia="Arial" w:hAnsi="Arial"/>
          <w:sz w:val="20"/>
          <w:szCs w:val="20"/>
          <w:b w:val="1"/>
          <w:bCs w:val="1"/>
          <w:color w:val="auto"/>
        </w:rPr>
      </w:pPr>
    </w:p>
    <w:p>
      <w:pPr>
        <w:jc w:val="both"/>
        <w:ind w:right="20" w:firstLine="1305"/>
        <w:spacing w:after="0" w:line="250" w:lineRule="auto"/>
        <w:tabs>
          <w:tab w:leader="none" w:pos="1750"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If your Continuous Service terminates either within twelve (12) months following or one (1) month prior to the effective date of a Change in Control due to an Involuntary Termination Without Cause, the vesting and exercisability of your option shall be accelerated in full.</w:t>
      </w:r>
    </w:p>
    <w:p>
      <w:pPr>
        <w:spacing w:after="0" w:line="186" w:lineRule="exact"/>
        <w:rPr>
          <w:rFonts w:ascii="Arial" w:cs="Arial" w:eastAsia="Arial" w:hAnsi="Arial"/>
          <w:sz w:val="20"/>
          <w:szCs w:val="20"/>
          <w:b w:val="1"/>
          <w:bCs w:val="1"/>
          <w:color w:val="auto"/>
        </w:rPr>
      </w:pPr>
    </w:p>
    <w:p>
      <w:pPr>
        <w:jc w:val="both"/>
        <w:ind w:firstLine="1305"/>
        <w:spacing w:after="0" w:line="263" w:lineRule="auto"/>
        <w:tabs>
          <w:tab w:leader="none" w:pos="1742" w:val="left"/>
        </w:tabs>
        <w:numPr>
          <w:ilvl w:val="1"/>
          <w:numId w:val="81"/>
        </w:numPr>
        <w:rPr>
          <w:rFonts w:ascii="Arial" w:cs="Arial" w:eastAsia="Arial" w:hAnsi="Arial"/>
          <w:sz w:val="19"/>
          <w:szCs w:val="19"/>
          <w:b w:val="1"/>
          <w:bCs w:val="1"/>
          <w:color w:val="auto"/>
        </w:rPr>
      </w:pPr>
      <w:r>
        <w:rPr>
          <w:rFonts w:ascii="Arial" w:cs="Arial" w:eastAsia="Arial" w:hAnsi="Arial"/>
          <w:sz w:val="19"/>
          <w:szCs w:val="19"/>
          <w:color w:val="auto"/>
        </w:rPr>
        <w:t>For purposes of this Option Agreement,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means the involuntary termination of your Continuous Service for reasons other than death, Disability, or Cause. Any determination by the Company (or an Affiliate, if applicable) that your Continuous Service was terminated by reason of dismissal without Cause for the purposes of this Option Agreement shall have no effect upon any determination of the rights or obligations of you or the Company for any other purpose.</w:t>
      </w:r>
    </w:p>
    <w:p>
      <w:pPr>
        <w:spacing w:after="0" w:line="170" w:lineRule="exact"/>
        <w:rPr>
          <w:rFonts w:ascii="Arial" w:cs="Arial" w:eastAsia="Arial" w:hAnsi="Arial"/>
          <w:sz w:val="19"/>
          <w:szCs w:val="19"/>
          <w:b w:val="1"/>
          <w:bCs w:val="1"/>
          <w:color w:val="auto"/>
        </w:rPr>
      </w:pPr>
    </w:p>
    <w:p>
      <w:pPr>
        <w:ind w:left="1100" w:hanging="444"/>
        <w:spacing w:after="0"/>
        <w:tabs>
          <w:tab w:leader="none" w:pos="110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PARACHUTE PAYMENTS.</w:t>
      </w:r>
    </w:p>
    <w:p>
      <w:pPr>
        <w:spacing w:after="0" w:line="221" w:lineRule="exact"/>
        <w:rPr>
          <w:rFonts w:ascii="Arial" w:cs="Arial" w:eastAsia="Arial" w:hAnsi="Arial"/>
          <w:sz w:val="20"/>
          <w:szCs w:val="20"/>
          <w:b w:val="1"/>
          <w:bCs w:val="1"/>
          <w:color w:val="auto"/>
        </w:rPr>
      </w:pPr>
    </w:p>
    <w:p>
      <w:pPr>
        <w:jc w:val="both"/>
        <w:ind w:firstLine="1305"/>
        <w:spacing w:after="0" w:line="276" w:lineRule="auto"/>
        <w:tabs>
          <w:tab w:leader="none" w:pos="1761"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If you are a U.S. taxpayer and any payment or benefit you would receive from the Company or otherwise in connection with a Change in Control or other similar transaction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2" w:name="page163"/>
    <w:bookmarkEnd w:id="162"/>
    <w:p>
      <w:pPr>
        <w:jc w:val="both"/>
        <w:spacing w:after="0" w:line="246" w:lineRule="auto"/>
        <w:rPr>
          <w:sz w:val="20"/>
          <w:szCs w:val="20"/>
          <w:color w:val="auto"/>
        </w:rPr>
      </w:pPr>
      <w:r>
        <w:rPr>
          <w:rFonts w:ascii="Arial" w:cs="Arial" w:eastAsia="Arial" w:hAnsi="Arial"/>
          <w:sz w:val="20"/>
          <w:szCs w:val="20"/>
          <w:color w:val="auto"/>
        </w:rPr>
        <w:t>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92" w:lineRule="exact"/>
        <w:rPr>
          <w:sz w:val="20"/>
          <w:szCs w:val="20"/>
          <w:color w:val="auto"/>
        </w:rPr>
      </w:pPr>
    </w:p>
    <w:p>
      <w:pPr>
        <w:jc w:val="both"/>
        <w:ind w:firstLine="1305"/>
        <w:spacing w:after="0" w:line="259" w:lineRule="auto"/>
        <w:tabs>
          <w:tab w:leader="none" w:pos="1733" w:val="left"/>
        </w:tabs>
        <w:numPr>
          <w:ilvl w:val="1"/>
          <w:numId w:val="82"/>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78" w:lineRule="exact"/>
        <w:rPr>
          <w:rFonts w:ascii="Arial" w:cs="Arial" w:eastAsia="Arial" w:hAnsi="Arial"/>
          <w:sz w:val="19"/>
          <w:szCs w:val="19"/>
          <w:b w:val="1"/>
          <w:bCs w:val="1"/>
          <w:color w:val="auto"/>
        </w:rPr>
      </w:pPr>
    </w:p>
    <w:p>
      <w:pPr>
        <w:jc w:val="both"/>
        <w:ind w:firstLine="1305"/>
        <w:spacing w:after="0" w:line="244" w:lineRule="auto"/>
        <w:tabs>
          <w:tab w:leader="none" w:pos="1849" w:val="left"/>
        </w:tabs>
        <w:numPr>
          <w:ilvl w:val="1"/>
          <w:numId w:val="82"/>
        </w:numPr>
        <w:rPr>
          <w:rFonts w:ascii="Arial" w:cs="Arial" w:eastAsia="Arial" w:hAnsi="Arial"/>
          <w:sz w:val="20"/>
          <w:szCs w:val="20"/>
          <w:b w:val="1"/>
          <w:bCs w:val="1"/>
          <w:color w:val="auto"/>
        </w:rPr>
      </w:pPr>
      <w:r>
        <w:rPr>
          <w:rFonts w:ascii="Arial" w:cs="Arial" w:eastAsia="Arial" w:hAnsi="Arial"/>
          <w:sz w:val="20"/>
          <w:szCs w:val="20"/>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88" w:lineRule="exact"/>
        <w:rPr>
          <w:rFonts w:ascii="Arial" w:cs="Arial" w:eastAsia="Arial" w:hAnsi="Arial"/>
          <w:sz w:val="20"/>
          <w:szCs w:val="20"/>
          <w:b w:val="1"/>
          <w:bCs w:val="1"/>
          <w:color w:val="auto"/>
        </w:rPr>
      </w:pPr>
    </w:p>
    <w:p>
      <w:pPr>
        <w:ind w:firstLine="656"/>
        <w:spacing w:after="0" w:line="267" w:lineRule="auto"/>
        <w:tabs>
          <w:tab w:leader="none" w:pos="1231"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Your option is not transferable, except by will or by the laws of descent and distribution, and is</w:t>
      </w:r>
      <w:r>
        <w:rPr>
          <w:rFonts w:ascii="Arial" w:cs="Arial" w:eastAsia="Arial" w:hAnsi="Arial"/>
          <w:sz w:val="20"/>
          <w:szCs w:val="20"/>
          <w:b w:val="1"/>
          <w:bCs w:val="1"/>
          <w:color w:val="auto"/>
        </w:rPr>
        <w:t xml:space="preserve"> </w:t>
      </w:r>
      <w:r>
        <w:rPr>
          <w:rFonts w:ascii="Arial" w:cs="Arial" w:eastAsia="Arial" w:hAnsi="Arial"/>
          <w:sz w:val="20"/>
          <w:szCs w:val="20"/>
          <w:color w:val="auto"/>
        </w:rPr>
        <w:t>exercisable during your life only by you.</w:t>
      </w:r>
    </w:p>
    <w:p>
      <w:pPr>
        <w:spacing w:after="0" w:line="163" w:lineRule="exact"/>
        <w:rPr>
          <w:rFonts w:ascii="Arial" w:cs="Arial" w:eastAsia="Arial" w:hAnsi="Arial"/>
          <w:sz w:val="20"/>
          <w:szCs w:val="20"/>
          <w:b w:val="1"/>
          <w:bCs w:val="1"/>
          <w:color w:val="auto"/>
        </w:rPr>
      </w:pPr>
    </w:p>
    <w:p>
      <w:pPr>
        <w:jc w:val="both"/>
        <w:ind w:firstLine="656"/>
        <w:spacing w:after="0" w:line="245" w:lineRule="auto"/>
        <w:tabs>
          <w:tab w:leader="none" w:pos="1134"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OPTION NOT A SERVICE CONTRACT. </w:t>
      </w:r>
      <w:r>
        <w:rPr>
          <w:rFonts w:ascii="Arial" w:cs="Arial" w:eastAsia="Arial" w:hAnsi="Arial"/>
          <w:sz w:val="20"/>
          <w:szCs w:val="20"/>
          <w:color w:val="auto"/>
        </w:rPr>
        <w:t>Your option is not an employment or service contract, and nothing in your option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create in any way whatsoever any obligation on your part to continue in the employ of the Company or an Affiliate, or of the Company or an Affiliate to continue your employment and shall not in any way restrict the Company or an Affiliate to terminate your Continuous Service or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85" w:lineRule="exact"/>
        <w:rPr>
          <w:rFonts w:ascii="Arial" w:cs="Arial" w:eastAsia="Arial" w:hAnsi="Arial"/>
          <w:sz w:val="20"/>
          <w:szCs w:val="20"/>
          <w:b w:val="1"/>
          <w:bCs w:val="1"/>
          <w:color w:val="auto"/>
        </w:rPr>
      </w:pPr>
    </w:p>
    <w:p>
      <w:pPr>
        <w:ind w:left="1100" w:hanging="444"/>
        <w:spacing w:after="0"/>
        <w:tabs>
          <w:tab w:leader="none" w:pos="110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 OBLIGATIONS.</w:t>
      </w:r>
    </w:p>
    <w:p>
      <w:pPr>
        <w:spacing w:after="0" w:line="22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9"/>
          <w:szCs w:val="19"/>
          <w:color w:val="auto"/>
        </w:rPr>
        <w:t>You acknowledge that, regardless of any action taken by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your responsibility and may exceed the amount actually withheld by the Company or the Employer. You further acknowledge that the Company and/or the Employer (i) make no representations or undertakings regarding the treatment of any Tax-Related Items in connection with any aspect of the option, including, but not limited to, the grant, vesting or exercise of the option, the subsequent sale of Ordinary Shares acquired pursuant to such exercise and the receipt of any dividends; and (ii) do not commit to and are under no obligation to structure the terms of the grant or any aspect of the option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3" w:name="page164"/>
    <w:bookmarkEnd w:id="163"/>
    <w:p>
      <w:pPr>
        <w:jc w:val="both"/>
        <w:ind w:firstLine="648"/>
        <w:spacing w:after="0" w:line="260" w:lineRule="auto"/>
        <w:rPr>
          <w:sz w:val="20"/>
          <w:szCs w:val="20"/>
          <w:color w:val="auto"/>
        </w:rPr>
      </w:pPr>
      <w:r>
        <w:rPr>
          <w:rFonts w:ascii="Arial" w:cs="Arial" w:eastAsia="Arial" w:hAnsi="Arial"/>
          <w:sz w:val="20"/>
          <w:szCs w:val="20"/>
          <w:color w:val="auto"/>
        </w:rPr>
        <w:t>Prior to the relevant taxable or tax withholding event, as applicable, you agree to make adequate arrangements satisfactory to the Company and/or the Employer to satisfy all Tax-Related Items.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this regard, you authorize the Company and/or the Employer, or their respective agents, at their discretion, to satisfy the obligations with regard to all Tax-Related Items by (i) withholding from proceeds of the sale of Ordinary Shares acquired at exercise of the option either through a voluntary sale or through a mandatory sale arranged by the Company (on your behalf pursuant to this authorization) without further consent or (ii) withholding in Ordinary Shares to be issued at exercise of the option.</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in Ordinary Shares, for tax purposes, you are deemed to have been issued the full number of Ordinary Shares subject to the exercised options, notwithstanding that a number of the Ordinary Shares are held back solely for the purpose of paying the Tax-Related Items.</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Finally, you agree to pay to the Company or the Employer, including through withholding from your wages or other cash compensation paid to you by the Company and/or the Employer, any amount of Tax-Related Items that the Company or the Employer may be required to withhold or account for as a result of your participation in the Plan that cannot be satisfied by the means previously described. The Company may refuse to issue or deliver the Ordinary Shares or the proceeds of the sale of Ordinary Shares, if you fail to comply with your obligations in connection with the Tax-Related Items.</w:t>
      </w:r>
    </w:p>
    <w:p>
      <w:pPr>
        <w:spacing w:after="0" w:line="189" w:lineRule="exact"/>
        <w:rPr>
          <w:sz w:val="20"/>
          <w:szCs w:val="20"/>
          <w:color w:val="auto"/>
        </w:rPr>
      </w:pPr>
    </w:p>
    <w:p>
      <w:pPr>
        <w:ind w:left="1100" w:hanging="444"/>
        <w:spacing w:after="0"/>
        <w:tabs>
          <w:tab w:leader="none" w:pos="110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In accepting the option, you acknowledge, understand and agree that:</w:t>
      </w:r>
    </w:p>
    <w:p>
      <w:pPr>
        <w:spacing w:after="0" w:line="221" w:lineRule="exact"/>
        <w:rPr>
          <w:rFonts w:ascii="Arial" w:cs="Arial" w:eastAsia="Arial" w:hAnsi="Arial"/>
          <w:sz w:val="20"/>
          <w:szCs w:val="20"/>
          <w:b w:val="1"/>
          <w:bCs w:val="1"/>
          <w:color w:val="auto"/>
        </w:rPr>
      </w:pPr>
    </w:p>
    <w:p>
      <w:pPr>
        <w:ind w:firstLine="1305"/>
        <w:spacing w:after="0" w:line="260" w:lineRule="auto"/>
        <w:tabs>
          <w:tab w:leader="none" w:pos="1821"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76" w:lineRule="exact"/>
        <w:rPr>
          <w:rFonts w:ascii="Arial" w:cs="Arial" w:eastAsia="Arial" w:hAnsi="Arial"/>
          <w:sz w:val="20"/>
          <w:szCs w:val="20"/>
          <w:b w:val="1"/>
          <w:bCs w:val="1"/>
          <w:color w:val="auto"/>
        </w:rPr>
      </w:pPr>
    </w:p>
    <w:p>
      <w:pPr>
        <w:ind w:right="20" w:firstLine="1305"/>
        <w:spacing w:after="0" w:line="260" w:lineRule="auto"/>
        <w:tabs>
          <w:tab w:leader="none" w:pos="1806"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6" w:lineRule="exact"/>
        <w:rPr>
          <w:rFonts w:ascii="Arial" w:cs="Arial" w:eastAsia="Arial" w:hAnsi="Arial"/>
          <w:sz w:val="20"/>
          <w:szCs w:val="20"/>
          <w:b w:val="1"/>
          <w:bCs w:val="1"/>
          <w:color w:val="auto"/>
        </w:rPr>
      </w:pPr>
    </w:p>
    <w:p>
      <w:pPr>
        <w:ind w:left="1720" w:hanging="415"/>
        <w:spacing w:after="0"/>
        <w:tabs>
          <w:tab w:leader="none" w:pos="172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all decisions with respect to future option or other grants, if any, will be at the sole discretion of the Company;</w:t>
      </w:r>
    </w:p>
    <w:p>
      <w:pPr>
        <w:spacing w:after="0" w:line="215" w:lineRule="exact"/>
        <w:rPr>
          <w:rFonts w:ascii="Arial" w:cs="Arial" w:eastAsia="Arial" w:hAnsi="Arial"/>
          <w:sz w:val="20"/>
          <w:szCs w:val="20"/>
          <w:b w:val="1"/>
          <w:bCs w:val="1"/>
          <w:color w:val="auto"/>
        </w:rPr>
      </w:pPr>
    </w:p>
    <w:p>
      <w:pPr>
        <w:ind w:left="1740" w:hanging="435"/>
        <w:spacing w:after="0"/>
        <w:tabs>
          <w:tab w:leader="none" w:pos="1740" w:val="left"/>
        </w:tabs>
        <w:numPr>
          <w:ilvl w:val="1"/>
          <w:numId w:val="84"/>
        </w:numPr>
        <w:rPr>
          <w:rFonts w:ascii="Arial" w:cs="Arial" w:eastAsia="Arial" w:hAnsi="Arial"/>
          <w:sz w:val="20"/>
          <w:szCs w:val="20"/>
          <w:b w:val="1"/>
          <w:bCs w:val="1"/>
          <w:color w:val="auto"/>
        </w:rPr>
      </w:pPr>
      <w:r>
        <w:rPr>
          <w:rFonts w:ascii="Arial" w:cs="Arial" w:eastAsia="Arial" w:hAnsi="Arial"/>
          <w:sz w:val="20"/>
          <w:szCs w:val="20"/>
          <w:color w:val="auto"/>
        </w:rPr>
        <w:t>you are voluntarily participating in the Plan;</w:t>
      </w:r>
    </w:p>
    <w:p>
      <w:pPr>
        <w:spacing w:after="0" w:line="215" w:lineRule="exact"/>
        <w:rPr>
          <w:rFonts w:ascii="Arial" w:cs="Arial" w:eastAsia="Arial" w:hAnsi="Arial"/>
          <w:sz w:val="20"/>
          <w:szCs w:val="20"/>
          <w:b w:val="1"/>
          <w:bCs w:val="1"/>
          <w:color w:val="auto"/>
        </w:rPr>
      </w:pPr>
    </w:p>
    <w:p>
      <w:pPr>
        <w:ind w:left="1920" w:hanging="615"/>
        <w:spacing w:after="0"/>
        <w:tabs>
          <w:tab w:leader="none" w:pos="1920"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the option and any Ordinary Shares acquired under the Plan are not intended to replace any pension rights or</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compensation;</w:t>
      </w:r>
    </w:p>
    <w:p>
      <w:pPr>
        <w:spacing w:after="0" w:line="199" w:lineRule="exact"/>
        <w:rPr>
          <w:rFonts w:ascii="Arial" w:cs="Arial" w:eastAsia="Arial" w:hAnsi="Arial"/>
          <w:sz w:val="19"/>
          <w:szCs w:val="19"/>
          <w:b w:val="1"/>
          <w:bCs w:val="1"/>
          <w:color w:val="auto"/>
        </w:rPr>
      </w:pPr>
    </w:p>
    <w:p>
      <w:pPr>
        <w:jc w:val="both"/>
        <w:ind w:firstLine="1305"/>
        <w:spacing w:after="0" w:line="291" w:lineRule="auto"/>
        <w:tabs>
          <w:tab w:leader="none" w:pos="1723"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the option and any Ordinary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51" w:lineRule="exact"/>
        <w:rPr>
          <w:rFonts w:ascii="Arial" w:cs="Arial" w:eastAsia="Arial" w:hAnsi="Arial"/>
          <w:sz w:val="18"/>
          <w:szCs w:val="18"/>
          <w:b w:val="1"/>
          <w:bCs w:val="1"/>
          <w:color w:val="auto"/>
        </w:rPr>
      </w:pPr>
    </w:p>
    <w:p>
      <w:pPr>
        <w:ind w:left="1780" w:hanging="475"/>
        <w:spacing w:after="0"/>
        <w:tabs>
          <w:tab w:leader="none" w:pos="178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the future value of the Ordinary Shares underlying the option is unknown, indeterminable, and cannot be predicted with</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certainty;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4" w:name="page165"/>
    <w:bookmarkEnd w:id="164"/>
    <w:p>
      <w:pPr>
        <w:ind w:left="1740" w:hanging="435"/>
        <w:spacing w:after="0"/>
        <w:tabs>
          <w:tab w:leader="none" w:pos="1740"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if the underlying Ordinary Shares do not increase in value, the option will have no value;</w:t>
      </w:r>
    </w:p>
    <w:p>
      <w:pPr>
        <w:spacing w:after="0" w:line="215" w:lineRule="exact"/>
        <w:rPr>
          <w:rFonts w:ascii="Arial" w:cs="Arial" w:eastAsia="Arial" w:hAnsi="Arial"/>
          <w:sz w:val="20"/>
          <w:szCs w:val="20"/>
          <w:b w:val="1"/>
          <w:bCs w:val="1"/>
          <w:color w:val="auto"/>
        </w:rPr>
      </w:pPr>
    </w:p>
    <w:p>
      <w:pPr>
        <w:ind w:firstLine="1305"/>
        <w:spacing w:after="0" w:line="260" w:lineRule="auto"/>
        <w:tabs>
          <w:tab w:leader="none" w:pos="1747" w:val="left"/>
        </w:tabs>
        <w:numPr>
          <w:ilvl w:val="1"/>
          <w:numId w:val="85"/>
        </w:numPr>
        <w:rPr>
          <w:rFonts w:ascii="Arial" w:cs="Arial" w:eastAsia="Arial" w:hAnsi="Arial"/>
          <w:sz w:val="20"/>
          <w:szCs w:val="20"/>
          <w:b w:val="1"/>
          <w:bCs w:val="1"/>
          <w:color w:val="auto"/>
        </w:rPr>
      </w:pPr>
      <w:r>
        <w:rPr>
          <w:rFonts w:ascii="Arial" w:cs="Arial" w:eastAsia="Arial" w:hAnsi="Arial"/>
          <w:sz w:val="20"/>
          <w:szCs w:val="20"/>
          <w:color w:val="auto"/>
        </w:rPr>
        <w:t>if you exercise the option and acquire Ordinary Shares, the value of such Ordinary Shares may increase or decrease in value, even below the exercise price;</w:t>
      </w:r>
    </w:p>
    <w:p>
      <w:pPr>
        <w:spacing w:after="0" w:line="176" w:lineRule="exact"/>
        <w:rPr>
          <w:rFonts w:ascii="Arial" w:cs="Arial" w:eastAsia="Arial" w:hAnsi="Arial"/>
          <w:sz w:val="20"/>
          <w:szCs w:val="20"/>
          <w:b w:val="1"/>
          <w:bCs w:val="1"/>
          <w:color w:val="auto"/>
        </w:rPr>
      </w:pPr>
    </w:p>
    <w:p>
      <w:pPr>
        <w:jc w:val="both"/>
        <w:ind w:firstLine="1305"/>
        <w:spacing w:after="0" w:line="257" w:lineRule="auto"/>
        <w:tabs>
          <w:tab w:leader="none" w:pos="1692"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no claim or entitlement to compensation or damages shall arise from forfeiture of the option resulting from the termination of your Continuous Service (for any reason whatsoever, whether or not later found to be invalid or in breach of employment laws in the jurisdiction where you are providing Continuous Service or the terms of your employment agreement, if any), and in consideration of the grant of the option to which you are otherwise not entitled, you irrevocably agree never to institute any claim against the Company, any Affiliate or the Employer, waive your ability, if any, to bring any such claim, and release the Company, any Affiliate and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181" w:lineRule="exact"/>
        <w:rPr>
          <w:rFonts w:ascii="Arial" w:cs="Arial" w:eastAsia="Arial" w:hAnsi="Arial"/>
          <w:sz w:val="19"/>
          <w:szCs w:val="19"/>
          <w:b w:val="1"/>
          <w:bCs w:val="1"/>
          <w:color w:val="auto"/>
        </w:rPr>
      </w:pPr>
    </w:p>
    <w:p>
      <w:pPr>
        <w:jc w:val="both"/>
        <w:ind w:firstLine="1305"/>
        <w:spacing w:after="0" w:line="270" w:lineRule="auto"/>
        <w:tabs>
          <w:tab w:leader="none" w:pos="1844"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for purposes of the option, your Continuous Service will be considered terminated as of the date you are no longer actively providing services to the Company or any Affiliate (regardless of the reason for such termination and whether or not later found to be invalid or in breach of employment laws in the jurisdiction where you are providing Continuous Service or the terms of your employment agreement, if any), and unless otherwise expressly provided in this Option Agreement or determined by the Company, (i) your right to vest in the option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agreement, if any); and (ii) the period (if any) during which you may exercise the option after such termination of your Continuous Service will commence on the date you cease to actively provide services and will not be extended by any notice period mandated under employment laws in the jurisdiction where you are providing Continuous Service or the terms of your employment agreement, if any; the Board or the chief executive officer of the Company or an Affiliate, as applicable, shall have the exclusive discretion to determine when you are no longer actively providing services for purposes of your option grant (including whether you may still be considered to be providing services while on a leave of absence);</w:t>
      </w:r>
    </w:p>
    <w:p>
      <w:pPr>
        <w:spacing w:after="0" w:line="176" w:lineRule="exact"/>
        <w:rPr>
          <w:rFonts w:ascii="Arial" w:cs="Arial" w:eastAsia="Arial" w:hAnsi="Arial"/>
          <w:sz w:val="18"/>
          <w:szCs w:val="18"/>
          <w:b w:val="1"/>
          <w:bCs w:val="1"/>
          <w:color w:val="auto"/>
        </w:rPr>
      </w:pPr>
    </w:p>
    <w:p>
      <w:pPr>
        <w:jc w:val="both"/>
        <w:ind w:firstLine="1305"/>
        <w:spacing w:after="0" w:line="291" w:lineRule="auto"/>
        <w:tabs>
          <w:tab w:leader="none" w:pos="1728"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Ordinary Shares; and</w:t>
      </w:r>
    </w:p>
    <w:p>
      <w:pPr>
        <w:spacing w:after="0" w:line="151" w:lineRule="exact"/>
        <w:rPr>
          <w:rFonts w:ascii="Arial" w:cs="Arial" w:eastAsia="Arial" w:hAnsi="Arial"/>
          <w:sz w:val="18"/>
          <w:szCs w:val="18"/>
          <w:b w:val="1"/>
          <w:bCs w:val="1"/>
          <w:color w:val="auto"/>
        </w:rPr>
      </w:pPr>
    </w:p>
    <w:p>
      <w:pPr>
        <w:jc w:val="both"/>
        <w:ind w:firstLine="1305"/>
        <w:spacing w:after="0" w:line="269" w:lineRule="auto"/>
        <w:tabs>
          <w:tab w:leader="none" w:pos="1872"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neither the Company, the Employer nor any Affiliate shall be liable for any foreign exchange rate fluctuation between your local currency and the United States Dollar that may affect the value of the option or of any amounts due to you pursuant to the exercise of the option or the subsequent sale of any Ordinary Shares acquired upon exercise.</w:t>
      </w:r>
    </w:p>
    <w:p>
      <w:pPr>
        <w:spacing w:after="0" w:line="164" w:lineRule="exact"/>
        <w:rPr>
          <w:rFonts w:ascii="Arial" w:cs="Arial" w:eastAsia="Arial" w:hAnsi="Arial"/>
          <w:sz w:val="19"/>
          <w:szCs w:val="19"/>
          <w:b w:val="1"/>
          <w:bCs w:val="1"/>
          <w:color w:val="auto"/>
        </w:rPr>
      </w:pPr>
    </w:p>
    <w:p>
      <w:pPr>
        <w:jc w:val="both"/>
        <w:ind w:firstLine="656"/>
        <w:spacing w:after="0" w:line="253" w:lineRule="auto"/>
        <w:tabs>
          <w:tab w:leader="none" w:pos="1148"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ADVICE REGARDING GRANT. </w:t>
      </w:r>
      <w:r>
        <w:rPr>
          <w:rFonts w:ascii="Arial" w:cs="Arial" w:eastAsia="Arial" w:hAnsi="Arial"/>
          <w:sz w:val="20"/>
          <w:szCs w:val="20"/>
          <w:color w:val="auto"/>
        </w:rPr>
        <w:t>The Company is not providing any tax, legal or financial advice, nor is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making any recommendations regarding your participation in the Plan, or your acquisition or sale of the underlying Ordinary Shares. You are hereby advised to consult with your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own personal tax, legal and financial advisors regarding your participation in the Plan before taking any action related to the Plan.</w:t>
      </w:r>
    </w:p>
    <w:p>
      <w:pPr>
        <w:spacing w:after="0" w:line="210" w:lineRule="exact"/>
        <w:rPr>
          <w:sz w:val="20"/>
          <w:szCs w:val="20"/>
          <w:color w:val="auto"/>
        </w:rPr>
      </w:pPr>
    </w:p>
    <w:p>
      <w:pPr>
        <w:jc w:val="both"/>
        <w:ind w:firstLine="656"/>
        <w:spacing w:after="0" w:line="248" w:lineRule="auto"/>
        <w:tabs>
          <w:tab w:leader="none" w:pos="1121"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DATA PRIVACY.</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You hereby explicitly and unambiguously consent to the collection, use and transfer, in electronic or other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form, of your personal data as described in this Option Agreement and any other option grant materials by and among, as applicable, the Employer, the Company and any Affiliate for the exclusive purpose of implementing, administering and managing your participation in the Plan.</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options or any other entitlement to Ordinary Shares awarded, canceled, exercised, vested, unvested or outstanding in your favor (“Data”), for the exclusive purpose of implementing, administering and managing the Plan.</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You understand that Data will be transferred to a third party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with a lower level of protection than your country. You understand that you may request a list with the names and addresses of any potential recipients of the Data by contacting your local human resources representative. You authorize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Continuous Service and career with the Employer will not be adversely affected; the only adverse consequence of refusing or withdrawing your consent is that the Company would not be able to grant you options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9" w:lineRule="exact"/>
        <w:rPr>
          <w:sz w:val="20"/>
          <w:szCs w:val="20"/>
          <w:color w:val="auto"/>
        </w:rPr>
      </w:pPr>
    </w:p>
    <w:p>
      <w:pPr>
        <w:ind w:right="20" w:firstLine="656"/>
        <w:spacing w:after="0" w:line="267" w:lineRule="auto"/>
        <w:tabs>
          <w:tab w:leader="none" w:pos="1094"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option grant and the provisions of this Option Agreement are governed by, and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laws of the State of Delaware, without regard to its conflict of law provisions.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For purposes of any action, lawsuit or other proceedings brought to enforce this Option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6" w:name="page167"/>
    <w:bookmarkEnd w:id="166"/>
    <w:p>
      <w:pPr>
        <w:jc w:val="both"/>
        <w:ind w:firstLine="656"/>
        <w:spacing w:after="0" w:line="253" w:lineRule="auto"/>
        <w:tabs>
          <w:tab w:leader="none" w:pos="1094"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If you have received this Option Agreement, or any other document related to the option and/or the Plan translated</w:t>
      </w:r>
      <w:r>
        <w:rPr>
          <w:rFonts w:ascii="Arial" w:cs="Arial" w:eastAsia="Arial" w:hAnsi="Arial"/>
          <w:sz w:val="20"/>
          <w:szCs w:val="20"/>
          <w:b w:val="1"/>
          <w:bCs w:val="1"/>
          <w:color w:val="auto"/>
        </w:rPr>
        <w:t xml:space="preserve"> </w:t>
      </w:r>
      <w:r>
        <w:rPr>
          <w:rFonts w:ascii="Arial" w:cs="Arial" w:eastAsia="Arial" w:hAnsi="Arial"/>
          <w:sz w:val="20"/>
          <w:szCs w:val="20"/>
          <w:color w:val="auto"/>
        </w:rPr>
        <w:t>into a language other than English and if the meaning of the translated version is different than the English version, the English version will control.</w:t>
      </w:r>
    </w:p>
    <w:p>
      <w:pPr>
        <w:spacing w:after="0" w:line="177" w:lineRule="exact"/>
        <w:rPr>
          <w:rFonts w:ascii="Arial" w:cs="Arial" w:eastAsia="Arial" w:hAnsi="Arial"/>
          <w:sz w:val="20"/>
          <w:szCs w:val="20"/>
          <w:b w:val="1"/>
          <w:bCs w:val="1"/>
          <w:color w:val="auto"/>
        </w:rPr>
      </w:pPr>
    </w:p>
    <w:p>
      <w:pPr>
        <w:ind w:firstLine="656"/>
        <w:spacing w:after="0" w:line="293" w:lineRule="auto"/>
        <w:tabs>
          <w:tab w:leader="none" w:pos="1094"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The provisions of this Option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141" w:lineRule="exact"/>
        <w:rPr>
          <w:rFonts w:ascii="Arial" w:cs="Arial" w:eastAsia="Arial" w:hAnsi="Arial"/>
          <w:sz w:val="19"/>
          <w:szCs w:val="19"/>
          <w:b w:val="1"/>
          <w:bCs w:val="1"/>
          <w:color w:val="auto"/>
        </w:rPr>
      </w:pPr>
    </w:p>
    <w:p>
      <w:pPr>
        <w:jc w:val="both"/>
        <w:ind w:firstLine="656"/>
        <w:spacing w:after="0" w:line="246" w:lineRule="auto"/>
        <w:tabs>
          <w:tab w:leader="none" w:pos="1094"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APPENDIX. </w:t>
      </w:r>
      <w:r>
        <w:rPr>
          <w:rFonts w:ascii="Arial" w:cs="Arial" w:eastAsia="Arial" w:hAnsi="Arial"/>
          <w:sz w:val="20"/>
          <w:szCs w:val="20"/>
          <w:color w:val="auto"/>
        </w:rPr>
        <w:t>Notwithstanding any provisions in this Option Agreement, the option grant shall be subject to any special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set forth in any Appendix to this Option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Option Agreement.</w:t>
      </w:r>
    </w:p>
    <w:p>
      <w:pPr>
        <w:spacing w:after="0" w:line="185" w:lineRule="exact"/>
        <w:rPr>
          <w:rFonts w:ascii="Arial" w:cs="Arial" w:eastAsia="Arial" w:hAnsi="Arial"/>
          <w:sz w:val="20"/>
          <w:szCs w:val="20"/>
          <w:b w:val="1"/>
          <w:bCs w:val="1"/>
          <w:color w:val="auto"/>
        </w:rPr>
      </w:pPr>
    </w:p>
    <w:p>
      <w:pPr>
        <w:jc w:val="both"/>
        <w:ind w:firstLine="656"/>
        <w:spacing w:after="0" w:line="259" w:lineRule="auto"/>
        <w:tabs>
          <w:tab w:leader="none" w:pos="1242"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NOTICES; ELECTRONIC DELIVERY. </w:t>
      </w:r>
      <w:r>
        <w:rPr>
          <w:rFonts w:ascii="Arial" w:cs="Arial" w:eastAsia="Arial" w:hAnsi="Arial"/>
          <w:sz w:val="19"/>
          <w:szCs w:val="19"/>
          <w:color w:val="auto"/>
        </w:rPr>
        <w:t>Any notices provided for in your option or the Plan will be given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electronically) and will be deemed effectively given upon receipt or, in the case of notices delivered by mail by the Company to you, fourteen (14)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2" w:lineRule="exact"/>
        <w:rPr>
          <w:rFonts w:ascii="Arial" w:cs="Arial" w:eastAsia="Arial" w:hAnsi="Arial"/>
          <w:sz w:val="19"/>
          <w:szCs w:val="19"/>
          <w:b w:val="1"/>
          <w:bCs w:val="1"/>
          <w:color w:val="auto"/>
        </w:rPr>
      </w:pPr>
    </w:p>
    <w:p>
      <w:pPr>
        <w:jc w:val="both"/>
        <w:ind w:firstLine="656"/>
        <w:spacing w:after="0" w:line="248" w:lineRule="auto"/>
        <w:tabs>
          <w:tab w:leader="none" w:pos="1107"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PLAN DOCUMENT. </w:t>
      </w:r>
      <w:r>
        <w:rPr>
          <w:rFonts w:ascii="Arial" w:cs="Arial" w:eastAsia="Arial" w:hAnsi="Arial"/>
          <w:sz w:val="20"/>
          <w:szCs w:val="20"/>
          <w:color w:val="auto"/>
        </w:rPr>
        <w:t>Your option is subject to all the provisions of the Plan, the provisions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made a part of your option, and is further subject to all interpretations, amendments, rules and regulations, which may from time to time be promulgated and adopted pursuant to the Plan. Except as otherwise explicitly provided herein, in the event of any conflict between the provisions of your option and those of the Plan, the provisions of the Plan shall control.</w:t>
      </w:r>
    </w:p>
    <w:p>
      <w:pPr>
        <w:spacing w:after="0" w:line="183" w:lineRule="exact"/>
        <w:rPr>
          <w:rFonts w:ascii="Arial" w:cs="Arial" w:eastAsia="Arial" w:hAnsi="Arial"/>
          <w:sz w:val="20"/>
          <w:szCs w:val="20"/>
          <w:b w:val="1"/>
          <w:bCs w:val="1"/>
          <w:color w:val="auto"/>
        </w:rPr>
      </w:pPr>
    </w:p>
    <w:p>
      <w:pPr>
        <w:jc w:val="both"/>
        <w:ind w:firstLine="656"/>
        <w:spacing w:after="0" w:line="273" w:lineRule="auto"/>
        <w:tabs>
          <w:tab w:leader="none" w:pos="1094"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you, the provisions of this Agreement in any way it may deem necessary or advisable for legal or administrative reasons, and to require you to sign any additional agreements or undertakings that may be necessary to accomplish the foregoing.</w:t>
      </w:r>
    </w:p>
    <w:p>
      <w:pPr>
        <w:spacing w:after="0" w:line="159" w:lineRule="exact"/>
        <w:rPr>
          <w:rFonts w:ascii="Arial" w:cs="Arial" w:eastAsia="Arial" w:hAnsi="Arial"/>
          <w:sz w:val="19"/>
          <w:szCs w:val="19"/>
          <w:b w:val="1"/>
          <w:bCs w:val="1"/>
          <w:color w:val="auto"/>
        </w:rPr>
      </w:pPr>
    </w:p>
    <w:p>
      <w:pPr>
        <w:jc w:val="both"/>
        <w:ind w:firstLine="656"/>
        <w:spacing w:after="0" w:line="248" w:lineRule="auto"/>
        <w:tabs>
          <w:tab w:leader="none" w:pos="1229"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IMPOSITION OF OTHER REQUIREMENTS. </w:t>
      </w:r>
      <w:r>
        <w:rPr>
          <w:rFonts w:ascii="Arial" w:cs="Arial" w:eastAsia="Arial" w:hAnsi="Arial"/>
          <w:sz w:val="20"/>
          <w:szCs w:val="20"/>
          <w:color w:val="auto"/>
        </w:rPr>
        <w:t>The Company reserves the right to impose other requirements on your</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option and on any Ordinary Shares purchased upon exercise of the option, to the extent the Company determines it is necessary or advisable for legal or administrative reasons, and to require you to sign any additional agreements or undertakings that may be necessary to accomplish the foregoing.</w:t>
      </w:r>
    </w:p>
    <w:p>
      <w:pPr>
        <w:spacing w:after="0" w:line="183" w:lineRule="exact"/>
        <w:rPr>
          <w:rFonts w:ascii="Arial" w:cs="Arial" w:eastAsia="Arial" w:hAnsi="Arial"/>
          <w:sz w:val="20"/>
          <w:szCs w:val="20"/>
          <w:b w:val="1"/>
          <w:bCs w:val="1"/>
          <w:color w:val="auto"/>
        </w:rPr>
      </w:pPr>
    </w:p>
    <w:p>
      <w:pPr>
        <w:jc w:val="both"/>
        <w:ind w:firstLine="656"/>
        <w:spacing w:after="0" w:line="253" w:lineRule="auto"/>
        <w:tabs>
          <w:tab w:leader="none" w:pos="1188"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You acknowledge that a waiver by the Company of breach of any provision of this Option Agreement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operate or be construed as a waiver of any other provision of this Option Agreement, or of any subsequent breach by you or any other Participant.</w:t>
      </w:r>
    </w:p>
    <w:p>
      <w:pPr>
        <w:spacing w:after="0" w:line="183" w:lineRule="exact"/>
        <w:rPr>
          <w:rFonts w:ascii="Arial" w:cs="Arial" w:eastAsia="Arial" w:hAnsi="Arial"/>
          <w:sz w:val="20"/>
          <w:szCs w:val="20"/>
          <w:b w:val="1"/>
          <w:bCs w:val="1"/>
          <w:color w:val="auto"/>
        </w:rPr>
      </w:pPr>
    </w:p>
    <w:p>
      <w:pPr>
        <w:ind w:left="5700"/>
        <w:spacing w:after="0"/>
        <w:rPr>
          <w:rFonts w:ascii="Arial" w:cs="Arial" w:eastAsia="Arial" w:hAnsi="Arial"/>
          <w:sz w:val="20"/>
          <w:szCs w:val="20"/>
          <w:b w:val="1"/>
          <w:bCs w:val="1"/>
          <w:color w:val="auto"/>
        </w:rPr>
      </w:pPr>
      <w:r>
        <w:rPr>
          <w:rFonts w:ascii="Arial" w:cs="Arial" w:eastAsia="Arial" w:hAnsi="Arial"/>
          <w:sz w:val="20"/>
          <w:szCs w:val="20"/>
          <w:color w:val="auto"/>
        </w:rPr>
        <w:t>* * * * *</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By signing the Non-U.S. Grant Notice to which this Non-U.S. Option Agreement is attached, you shall be deemed to have signed and agreed to the terms and conditions of this Non-U.S. Option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57"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APPENDIX</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NON-U.S. OPTION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Appendix contains additional terms and conditions that govern the option granted under the Plan to you if you reside and/or work in one of the countries listed below. Certain capitalized terms used but not defined in this Appendix have the meanings set forth in the Plan, the Grant Notice and/or the Option Agreement.</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you are a citizen or resident of a country other than the one in which you are currently working, transfer employment after the option is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January 2013.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exercise the option or sell Ordinary Shares acquired pursuant thereto.</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Consumer Protection Information. </w:t>
      </w:r>
      <w:r>
        <w:rPr>
          <w:rFonts w:ascii="Arial" w:cs="Arial" w:eastAsia="Arial" w:hAnsi="Arial"/>
          <w:sz w:val="20"/>
          <w:szCs w:val="20"/>
          <w:color w:val="auto"/>
        </w:rPr>
        <w:t>You may be entitled to revoke acceptance of the option granted under the Plan on the basis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Austrian Consumer Protection Act (the “Act”) under the conditions listed below, if the Act is considered to be applicable to the Option Agreement and the Plan:</w:t>
      </w:r>
    </w:p>
    <w:p>
      <w:pPr>
        <w:spacing w:after="0" w:line="184" w:lineRule="exact"/>
        <w:rPr>
          <w:sz w:val="20"/>
          <w:szCs w:val="20"/>
          <w:color w:val="auto"/>
        </w:rPr>
      </w:pPr>
    </w:p>
    <w:p>
      <w:pPr>
        <w:ind w:left="1680" w:hanging="375"/>
        <w:spacing w:after="0"/>
        <w:tabs>
          <w:tab w:leader="none" w:pos="168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revocation must be made within one (1) week after acceptance of the option.</w:t>
      </w:r>
    </w:p>
    <w:p>
      <w:pPr>
        <w:spacing w:after="0" w:line="215"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revocation must be in written form to be valid. It is sufficient if you return the Option Agreement to the Company or the Company’s representative with language which can be understood as a refusal to conclude or honor the Option Agreement, provided the revocation is sent within the period discussed above.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If you hold Ordinary Shares acquired under the Plan outside of Austria, you must submit a report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Austrian National Bank. An exemption applies if the value of the Ordinary Shares as of any given quarter does not exceed €30,000,000 or if the value of the Ordinary Shares in any given year as of December 31 does not exceed €5,000,000. If the former threshold is exceeded, quarterly obligations are imposed, whereas if the latter threshold is exceeded, annual reports must be given.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711" w:right="23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annual reporting date is December 31 and the deadline for filing the annual report is March 31 of the following year.</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separate reporting requirement applies when you sell Ordinary Shares acquired under the Plan or receive a dividend payment.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BELGIUM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Taxation of Option. </w:t>
      </w:r>
      <w:r>
        <w:rPr>
          <w:rFonts w:ascii="Arial" w:cs="Arial" w:eastAsia="Arial" w:hAnsi="Arial"/>
          <w:sz w:val="19"/>
          <w:szCs w:val="19"/>
          <w:color w:val="auto"/>
        </w:rPr>
        <w:t>The option must be accepted in writing either (i) within 60 days of the offer (for tax at offer), or (ii) after 60 days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 (for tax at exercise). You have received a separate offer letter and undertaking form in addition to the Option Agreement and should refer to the offer letter for a more detailed description of the tax consequences corresponding with when you accept the option. You should consult with your personal tax advisor regarding taxation of the option and completion of the additional forms.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Reporting. </w:t>
      </w:r>
      <w:r>
        <w:rPr>
          <w:rFonts w:ascii="Arial" w:cs="Arial" w:eastAsia="Arial" w:hAnsi="Arial"/>
          <w:sz w:val="19"/>
          <w:szCs w:val="19"/>
          <w:color w:val="auto"/>
        </w:rPr>
        <w:t>You are required to report any bank accounts opened and maintained outside of Belgium on your annual tax return.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Notwithstanding anything in Sections 3(b) and 13 to the contrary, you are prohibited from surrendering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own or attesting to the ownership of Ordinary Shares to pay the exercise price or any Tax-Related Items in connection with the option.</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Involuntary Termination Terms. </w:t>
      </w:r>
      <w:r>
        <w:rPr>
          <w:rFonts w:ascii="Arial" w:cs="Arial" w:eastAsia="Arial" w:hAnsi="Arial"/>
          <w:sz w:val="20"/>
          <w:szCs w:val="20"/>
          <w:color w:val="auto"/>
        </w:rPr>
        <w:t>In the event of involuntary termination of your Continuous Service (regardless of the reason for such</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and whether or not later found to be invalid or in breach of employment laws in the jurisdiction where you are providing Continuous Service or the terms of your employment agreement, if any), vesting will terminate and the period remaining to exercise the option will be measured effective as of the date that is the earlier of: (1) the date you receive notice of termination of employment from the Employer, or (2) the date you are no longer actively rendering services, regardless of any notice period or period of pay in lieu of such notice required under local law (including, but not limited to, statutory law, regulatory law, and/or common law); the Board or the chief executive officer of the Company or an Affiliate, as applicable, shall have the exclusive discretion to determine when you are no longer actively employed or rendering services for purposes of the option.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applies if you reside in Quebec:</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Consent to Receive Information in English. </w:t>
      </w:r>
      <w:r>
        <w:rPr>
          <w:rFonts w:ascii="Arial" w:cs="Arial" w:eastAsia="Arial" w:hAnsi="Arial"/>
          <w:sz w:val="20"/>
          <w:szCs w:val="20"/>
          <w:color w:val="auto"/>
        </w:rPr>
        <w:t>The parties acknowledge that it is their express wish that the Option Agreement,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proceeds entered into, given or instituted pursuant hereto or relating directly or indirectly hereto, be drawn up in English.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69" w:name="page170"/>
    <w:bookmarkEnd w:id="169"/>
    <w:p>
      <w:pPr>
        <w:jc w:val="both"/>
        <w:spacing w:after="0" w:line="260" w:lineRule="auto"/>
        <w:rPr>
          <w:sz w:val="20"/>
          <w:szCs w:val="20"/>
          <w:color w:val="auto"/>
        </w:rPr>
      </w:pPr>
      <w:r>
        <w:rPr>
          <w:rFonts w:ascii="Arial" w:cs="Arial" w:eastAsia="Arial" w:hAnsi="Arial"/>
          <w:sz w:val="20"/>
          <w:szCs w:val="20"/>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Notice and Consent. </w:t>
      </w:r>
      <w:r>
        <w:rPr>
          <w:rFonts w:ascii="Arial" w:cs="Arial" w:eastAsia="Arial" w:hAnsi="Arial"/>
          <w:sz w:val="20"/>
          <w:szCs w:val="20"/>
          <w:color w:val="auto"/>
        </w:rPr>
        <w:t>This section supplements Section 16 of the Option Agreement: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hereby authorize the Company and the Company’s representatives to discuss and obtain all relevant information from all personnel, professional or non-professional, involved in the administration of the Plan. You further authorize the Company, the Employer and any Affiliate to disclose and discuss such information with their advisors. You also authorize the Company, the Employer and any Affiliate to record such information and to keep such information in your file.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By accepting the option, you confirm that you have read and understood the documents relating to the option (the Option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this Appendix, and the Plan) which were provided in the English language, and you accept the terms of these documents accordingly.</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 xml:space="preserve">Consentement Relatif à la Langue Utilisée. </w:t>
      </w:r>
      <w:r>
        <w:rPr>
          <w:rFonts w:ascii="Arial" w:cs="Arial" w:eastAsia="Arial" w:hAnsi="Arial"/>
          <w:sz w:val="20"/>
          <w:szCs w:val="20"/>
          <w:i w:val="1"/>
          <w:iCs w:val="1"/>
          <w:color w:val="auto"/>
        </w:rPr>
        <w:t>En acceptant l’option, le Titulaire confirme avoir lu et compris les documents relatifs à l’option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(Convention de Droits Preferentiels de Souscription, y compris cette Annexe et le Plan) qui ont été fournis en langue anglaise, et le Titulaire accepte les conditions afférentes à ces documents en connaissance de cause.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hold Ordinary Shares outside of France or maintain a foreign bank account, you are required to report</w:t>
      </w:r>
      <w:r>
        <w:rPr>
          <w:rFonts w:ascii="Arial" w:cs="Arial" w:eastAsia="Arial" w:hAnsi="Arial"/>
          <w:sz w:val="20"/>
          <w:szCs w:val="20"/>
          <w:b w:val="1"/>
          <w:bCs w:val="1"/>
          <w:color w:val="auto"/>
        </w:rPr>
        <w:t xml:space="preserve"> </w:t>
      </w:r>
      <w:r>
        <w:rPr>
          <w:rFonts w:ascii="Arial" w:cs="Arial" w:eastAsia="Arial" w:hAnsi="Arial"/>
          <w:sz w:val="20"/>
          <w:szCs w:val="20"/>
          <w:color w:val="auto"/>
        </w:rPr>
        <w:t>such to the French tax authorities when filing your annual tax return.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Cross-border payments in excess of €12,500 must be reported monthly to the German Federal Bank. If you</w:t>
      </w:r>
      <w:r>
        <w:rPr>
          <w:rFonts w:ascii="Arial" w:cs="Arial" w:eastAsia="Arial" w:hAnsi="Arial"/>
          <w:sz w:val="20"/>
          <w:szCs w:val="20"/>
          <w:b w:val="1"/>
          <w:bCs w:val="1"/>
          <w:color w:val="auto"/>
        </w:rPr>
        <w:t xml:space="preserve"> </w:t>
      </w:r>
      <w:r>
        <w:rPr>
          <w:rFonts w:ascii="Arial" w:cs="Arial" w:eastAsia="Arial" w:hAnsi="Arial"/>
          <w:sz w:val="20"/>
          <w:szCs w:val="20"/>
          <w:color w:val="auto"/>
        </w:rPr>
        <w:t>make or receive a payment in excess of this amount, you are responsible for obtaining the appropriate form from a German bank and complying with applicable reporting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replaces Section 16 of the Option Agreement:</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auto"/>
        </w:rPr>
        <w:t>You acknowledge, understand and agree that, in signing or electronically accepting the Grant Notice and/or this Option Agreement, you consent to the Company and any Affiliate sharing and exchanging your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you further consent to the Company and any Affiliate providing the Company’s or Affiliates’ agents and/or third parties with the Information for the administration and operation of the Plan. You accept that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70" w:name="page171"/>
    <w:bookmarkEnd w:id="170"/>
    <w:p>
      <w:pPr>
        <w:jc w:val="both"/>
        <w:spacing w:after="0" w:line="260" w:lineRule="auto"/>
        <w:rPr>
          <w:sz w:val="20"/>
          <w:szCs w:val="20"/>
          <w:color w:val="auto"/>
        </w:rPr>
      </w:pPr>
      <w:r>
        <w:rPr>
          <w:rFonts w:ascii="Arial" w:cs="Arial" w:eastAsia="Arial" w:hAnsi="Arial"/>
          <w:sz w:val="19"/>
          <w:szCs w:val="19"/>
          <w:b w:val="1"/>
          <w:bCs w:val="1"/>
          <w:i w:val="1"/>
          <w:iCs w:val="1"/>
          <w:color w:val="auto"/>
        </w:rPr>
        <w:t>this may involve the Information being sent to a country outside the European Economic Area which may not have the same level of data protection laws as Ireland. You acknowledge that you have the right to request a list of the names and addresses of any potential recipients of the Information and to review and correct the Information by contacting the local human resources representative. You further acknowledge that the collection, processing and transfer of the Information is important to Plan administration and that failure to consent to same may prohibit participation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If you are a director, shadow director or secretary of the Company or an Irish Affiliate, you must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Irish Affiliate in writing within five (5) business days of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xml:space="preserve"> options, Ordinary Shares), or within five (5) business days of becoming aware of the event giving rise to the notification requirement, or within five (5) business days of becoming a director or secretary if such an interest exists at the time. This notification requirement also applies with respect to the interests of a spouse or minor children (whose interests will be attributed to the director, shadow director or secretary, as applicable).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ITALY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Method of Payment. </w:t>
      </w:r>
      <w:r>
        <w:rPr>
          <w:rFonts w:ascii="Arial" w:cs="Arial" w:eastAsia="Arial" w:hAnsi="Arial"/>
          <w:sz w:val="18"/>
          <w:szCs w:val="18"/>
          <w:color w:val="auto"/>
        </w:rPr>
        <w:t>Notwithstanding anything to the contrary in Section 3 of the Option Agreement, due to securities restrictions in Italy,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required to use a “cashless sell-all” method of exercise pursuant to which you deliver irrevocable instructions to the broker to sell all Ordinary Shares to which you are entitled at exercise and remit the proceeds from sale, less any Tax-Related Items and brokerage fees or commissions, to you in cash. You will not be permitted to hold any Ordinary Shares in connection following the exercise of the option. The Company reserves the right to provide you with additional methods of exercising the option depending upon development of local laws.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Notification. </w:t>
      </w:r>
      <w:r>
        <w:rPr>
          <w:rFonts w:ascii="Arial" w:cs="Arial" w:eastAsia="Arial" w:hAnsi="Arial"/>
          <w:sz w:val="20"/>
          <w:szCs w:val="20"/>
          <w:color w:val="auto"/>
        </w:rPr>
        <w:t>The following provision replaces the “Data Privacy” section of the Option Agreement:</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You understand that the Company, the Employer and any Affiliate may hold certain personal information about you, including, but not limited to, your name, home address and telephone number, date of birth, social insurance (to the extent permitted under Italian law) or other identification number, salary, nationality, job title, Ordinary Shares or directorships held in the Company or any Affiliate, details of all options granted, or any other entitlement to Ordinary Shares awarded, canceled, exercised, vested, unvested or outstanding in your favor (“Data”), for the exclusive purpose of implementing, managing and administering the Plan.</w:t>
      </w:r>
    </w:p>
    <w:p>
      <w:pPr>
        <w:spacing w:after="0" w:line="165" w:lineRule="exact"/>
        <w:rPr>
          <w:sz w:val="20"/>
          <w:szCs w:val="20"/>
          <w:color w:val="auto"/>
        </w:rPr>
      </w:pPr>
    </w:p>
    <w:p>
      <w:pPr>
        <w:jc w:val="both"/>
        <w:spacing w:after="0" w:line="233" w:lineRule="exact"/>
        <w:rPr>
          <w:sz w:val="20"/>
          <w:szCs w:val="20"/>
          <w:color w:val="auto"/>
        </w:rPr>
      </w:pPr>
      <w:r>
        <w:rPr>
          <w:rFonts w:ascii="Arial" w:cs="Arial" w:eastAsia="Arial" w:hAnsi="Arial"/>
          <w:sz w:val="16"/>
          <w:szCs w:val="16"/>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Participant’s ability to participate in the Plan. The Controller of personal data processing is Jazz Pharmaceuticals plc, with registered offices at Fourth Floor, Connaught House, 1 Burlington Road, Dublin 4, Ireland, and, pursuant to Legislative Decree no. 196/2003, its Representative in France for privacy purposes is EUSA Pharma SAS, Les Jardins d'Eole, 3 allér de Séquoias, 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69760, Limonest, France. You understand that Data will not be publicized, but it may be transferred to banks, other financial institutions, or brokers involved in the management and administration of the Plan. You understand that Data may also be transferred to the independent registered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71" w:name="page172"/>
    <w:bookmarkEnd w:id="171"/>
    <w:p>
      <w:pPr>
        <w:jc w:val="both"/>
        <w:spacing w:after="0" w:line="310" w:lineRule="auto"/>
        <w:rPr>
          <w:sz w:val="20"/>
          <w:szCs w:val="20"/>
          <w:color w:val="auto"/>
        </w:rPr>
      </w:pPr>
      <w:r>
        <w:rPr>
          <w:rFonts w:ascii="Arial" w:cs="Arial" w:eastAsia="Arial" w:hAnsi="Arial"/>
          <w:sz w:val="16"/>
          <w:szCs w:val="16"/>
          <w:b w:val="1"/>
          <w:bCs w:val="1"/>
          <w:i w:val="1"/>
          <w:iCs w:val="1"/>
          <w:color w:val="auto"/>
        </w:rPr>
        <w:t>public accounting firm engaged by the Company. You further understand that the Employer, the Company and/or any Affiliate will transfer Data among themselves as necessary for the purpose of implementing, administering and managing your participation in the Plan, and that the Company and/or any Affiliate may each further transfer Data to third parties assisting the Company in the implementation, administration, and management of the Plan, including any requisite transfer of Data to a broker or other third party with whom you may elect to deposit any Ordinary Shares acquired under the Plan. Such recipients may receive, possess, use, retain, and transfer Data in electronic or other form, for the purposes of implementing, administering, and managing your participation in the Plan. You understand that these recipients may be located in the European Economic Area or elsewhere, such as the United States.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Acknowledgement. </w:t>
      </w:r>
      <w:r>
        <w:rPr>
          <w:rFonts w:ascii="Arial" w:cs="Arial" w:eastAsia="Arial" w:hAnsi="Arial"/>
          <w:sz w:val="19"/>
          <w:szCs w:val="19"/>
          <w:color w:val="auto"/>
        </w:rPr>
        <w:t>You acknowledge that you have read and specifically and expressly approve the following sections of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Section 13 - Tax Withholding Obligations; Section 14 - Nature of Grant; Section 17 - Governing Law and Venue; Section 18 - Language; Section 19 - Severability; Section 21 - Notices; Electronic Delivery; and Section 24 - Imposition of Other Requirements. In addition, you acknowledge that you have read and specifically and expressly approve the Data Privacy Notification above.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You are required to report the following on your annual tax return (Form UNICO, Schedule RW) or on a</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form if no tax return is required: (1) any transfers of cash or Ordinary Shares to or from Italy exceeding €10,000, (2) any foreign investments or investments held outside of Italy at the end of the calendar year exceeding €10,000 if such investments (options, cash or Ordinary Shares) may result in income taxable in Italy, and (3) the amount of the transfers to and from abroad which have had an impact during the calendar year on your foreign investments or investments held outside of Italy, to the extent that the overall amount of the transfers exceed €10,000. Under certain circumstances, you may be exempt from the requirement under (1) above if the transfer or investment is made through an authorized broker resident in Italy.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NETHERLANDS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72" w:name="page173"/>
    <w:bookmarkEnd w:id="172"/>
    <w:p>
      <w:pPr>
        <w:jc w:val="both"/>
        <w:spacing w:after="0" w:line="323" w:lineRule="auto"/>
        <w:rPr>
          <w:sz w:val="20"/>
          <w:szCs w:val="20"/>
          <w:color w:val="auto"/>
        </w:rPr>
      </w:pPr>
      <w:r>
        <w:rPr>
          <w:rFonts w:ascii="Arial" w:cs="Arial" w:eastAsia="Arial" w:hAnsi="Arial"/>
          <w:sz w:val="18"/>
          <w:szCs w:val="18"/>
          <w:b w:val="1"/>
          <w:bCs w:val="1"/>
          <w:color w:val="auto"/>
        </w:rPr>
        <w:t xml:space="preserve">Insider Trading Notification. </w:t>
      </w:r>
      <w:r>
        <w:rPr>
          <w:rFonts w:ascii="Arial" w:cs="Arial" w:eastAsia="Arial" w:hAnsi="Arial"/>
          <w:sz w:val="18"/>
          <w:szCs w:val="18"/>
          <w:color w:val="auto"/>
        </w:rPr>
        <w:t>You should be aware of Dutch insider trading rules, which may impact the sale of Ordinary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In particular, you may be prohibited from effecting certain transactions if you have insider information regarding the Company.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grant of the option and participating in the Plan, you acknowledge having read and understood this Insider Trading Notification and further acknowledge that it is your responsibility to comply with the following Dutch insider trading rules.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Article 5:56 of the Dutch Financial Supervision Act, anyone who has “insider information” related to an issuing company is prohibited from effectuating a transaction in securities in or from the Netherlands. “Insider information” is defined as knowledge of details concerning the issuing company to which the securities relate that is not public and which, if published, would reasonably be expected to affect the stock price, regardless of the development of the price. The insider could be any person in Continuous Service in the Netherlands who has insider information as described herein.</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Given the broad scope of the definition of insider information, certain persons in Continuous Services in the Netherlands may have insider information and, thus, would be prohibited from effectuating a transaction in securities in the Netherlands at a time when in possession of such inside information. If you are uncertain whether the insider trading rules apply to you, you should consult with your personal legal advisor.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You are required to file quarterly reports to the National Bank of Poland with information on transactions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balances regarding your rights to Ordinary Shares (such as options) and Ordinary Shares if the total value (calculated individually or together with other assets and liabilities possessed abroad) exceeds PLN 7 million. You also are required to transfer funds through a bank account in Poland if the transferred amount in any single transaction exceeds a specified threshold (currently €15,000). You are required to retain documents connected with foreign exchange transactions for a period of five years from the date the exchange transaction was made.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PORTUGAL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acquire Ordinary Shares under the Plan and hold the Ordinary Shares with a U.S. broker that is not a</w:t>
      </w:r>
      <w:r>
        <w:rPr>
          <w:rFonts w:ascii="Arial" w:cs="Arial" w:eastAsia="Arial" w:hAnsi="Arial"/>
          <w:sz w:val="20"/>
          <w:szCs w:val="20"/>
          <w:b w:val="1"/>
          <w:bCs w:val="1"/>
          <w:color w:val="auto"/>
        </w:rPr>
        <w:t xml:space="preserve"> </w:t>
      </w:r>
      <w:r>
        <w:rPr>
          <w:rFonts w:ascii="Arial" w:cs="Arial" w:eastAsia="Arial" w:hAnsi="Arial"/>
          <w:sz w:val="20"/>
          <w:szCs w:val="20"/>
          <w:color w:val="auto"/>
        </w:rPr>
        <w:t>Portuguese financial intermediary, you may need to file a report with the Portuguese Central Bank. If the Ordinary Shares are held by a Portuguese financial intermediary, it will file the report for you.</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This provision supplements Section 13 of the Option Agreement:</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payment or withholding of the income tax due is not made within 90 days of the event giving rise to the liability or such other period specified in Section 222(1)(c) of the U.K. Income Tax (Earnings and Pensions) Act 2003 (the “Due Date”), the amount of any uncollected tax will constitute a loan owed by you to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57" w:right="239" w:bottom="1440" w:gutter="0" w:footer="0" w:header="0"/>
        </w:sectPr>
      </w:pPr>
    </w:p>
    <w:bookmarkStart w:id="173" w:name="page174"/>
    <w:bookmarkEnd w:id="173"/>
    <w:p>
      <w:pPr>
        <w:jc w:val="both"/>
        <w:spacing w:after="0" w:line="273" w:lineRule="auto"/>
        <w:rPr>
          <w:sz w:val="20"/>
          <w:szCs w:val="20"/>
          <w:color w:val="auto"/>
        </w:rPr>
      </w:pPr>
      <w:r>
        <w:rPr>
          <w:rFonts w:ascii="Arial" w:cs="Arial" w:eastAsia="Arial" w:hAnsi="Arial"/>
          <w:sz w:val="18"/>
          <w:szCs w:val="18"/>
          <w:color w:val="auto"/>
        </w:rPr>
        <w:t>Employer, effective on the Due Date. You agree that the loan will bear interest at the then-current Her Majesty's Revenue and Customs (“HMRC”) Official Rate, it will be immediately due and repayable, and the Company or the Employer may recover it at any time thereafter by any of the means referred to in Section 13 of the Option Agreement. Notwithstanding the foregoing, if you are a director or executive officer of the Company (within the meaning of Section 13(k) of the Exchange Act), you will not be eligible for such a loan to cover the tax liability. In the event that you are a director or executive officer and the income tax due is not collected from or paid by you by the Due Date, the amount of any uncollected income tax will constitute a benefit to you on which additional income tax and national insurance contributions (“NICs”) will be payable. You will be responsible for reporting and paying any income tax due on this additional benefit directly to HMRC under the self-assessment regime and for reimbursing the Employer for the value of any NICs due on this additional benefit.</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Joint Election for Transfer of Liability for Employer National Insurance Contributions. </w:t>
      </w:r>
      <w:r>
        <w:rPr>
          <w:rFonts w:ascii="Arial" w:cs="Arial" w:eastAsia="Arial" w:hAnsi="Arial"/>
          <w:sz w:val="18"/>
          <w:szCs w:val="18"/>
          <w:color w:val="auto"/>
        </w:rPr>
        <w:t>As a condition of participation in the Plan,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accept any liability for secondary Class 1 NICs that may be payable by the Company, the Employer or any Affiliate in connection with the option and any event giving rise to Tax-Related Items (the “Employer NICs”). Without prejudice to the foregoing, you agree to execute a joint election with the Company, the form of such joint election (the “Joint Election”) having been approved formally by HMRC, and any other required consent or election prior to exercise of the option. You further agree to execute such other joint elections as may be required between you and any successor to the Company, the Employer or any Affiliate. You further agree that the Company, the Employer and any Affiliate may collect the Employer NICs from you by any of the means set forth in Section 13 of the Option Agreement.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do not enter into a Joint Election prior to the exercise of the option, you will not be entitled to exercise the option unless and until you enter into a Joint Election, and no Ordinary Shares will be issued to you under the Plan, without any liability to the Company, the Employer or any Affiliate.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74" w:name="page175"/>
    <w:bookmarkEnd w:id="174"/>
    <w:p>
      <w:pPr>
        <w:ind w:left="4520"/>
        <w:spacing w:after="0"/>
        <w:rPr>
          <w:sz w:val="20"/>
          <w:szCs w:val="20"/>
          <w:color w:val="auto"/>
        </w:rPr>
      </w:pPr>
      <w:r>
        <w:rPr>
          <w:rFonts w:ascii="Arial" w:cs="Arial" w:eastAsia="Arial" w:hAnsi="Arial"/>
          <w:sz w:val="20"/>
          <w:szCs w:val="20"/>
          <w:b w:val="1"/>
          <w:bCs w:val="1"/>
          <w:color w:val="auto"/>
        </w:rPr>
        <w:t>JAZZ PHARMACEUTICALS PLC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2011 EQUITY INCENTIVE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ELECTION TO TRANSFER THE EMPLOYER’S SECONDARY CLASS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NATIONAL INSURANCE LIABILITY TO THE EMPLOYEE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223" w:lineRule="exact"/>
        <w:rPr>
          <w:sz w:val="20"/>
          <w:szCs w:val="20"/>
          <w:color w:val="auto"/>
        </w:rPr>
      </w:pPr>
    </w:p>
    <w:p>
      <w:pPr>
        <w:jc w:val="both"/>
        <w:ind w:left="660" w:hanging="652"/>
        <w:spacing w:after="0" w:line="253" w:lineRule="auto"/>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individual who has received this Election (the “</w:t>
      </w:r>
      <w:r>
        <w:rPr>
          <w:rFonts w:ascii="Arial" w:cs="Arial" w:eastAsia="Arial" w:hAnsi="Arial"/>
          <w:sz w:val="20"/>
          <w:szCs w:val="20"/>
          <w:b w:val="1"/>
          <w:bCs w:val="1"/>
          <w:color w:val="auto"/>
        </w:rPr>
        <w:t>Employee</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color w:val="auto"/>
        </w:rPr>
        <w:t>Employer</w:t>
      </w:r>
      <w:r>
        <w:rPr>
          <w:rFonts w:ascii="Arial" w:cs="Arial" w:eastAsia="Arial" w:hAnsi="Arial"/>
          <w:sz w:val="20"/>
          <w:szCs w:val="20"/>
          <w:color w:val="auto"/>
        </w:rPr>
        <w:t>”) and who is eligible to receive stock options and/or restricted stock units (together, the “</w:t>
      </w:r>
      <w:r>
        <w:rPr>
          <w:rFonts w:ascii="Arial" w:cs="Arial" w:eastAsia="Arial" w:hAnsi="Arial"/>
          <w:sz w:val="20"/>
          <w:szCs w:val="20"/>
          <w:b w:val="1"/>
          <w:bCs w:val="1"/>
          <w:color w:val="auto"/>
        </w:rPr>
        <w:t>Awards</w:t>
      </w:r>
      <w:r>
        <w:rPr>
          <w:rFonts w:ascii="Arial" w:cs="Arial" w:eastAsia="Arial" w:hAnsi="Arial"/>
          <w:sz w:val="20"/>
          <w:szCs w:val="20"/>
          <w:color w:val="auto"/>
        </w:rPr>
        <w:t>”) pursuant to the Jazz Pharmaceuticals plc 2011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w:t>
      </w:r>
    </w:p>
    <w:p>
      <w:pPr>
        <w:spacing w:after="0" w:line="191" w:lineRule="exact"/>
        <w:rPr>
          <w:rFonts w:ascii="Arial" w:cs="Arial" w:eastAsia="Arial" w:hAnsi="Arial"/>
          <w:sz w:val="20"/>
          <w:szCs w:val="20"/>
          <w:color w:val="auto"/>
        </w:rPr>
      </w:pPr>
    </w:p>
    <w:p>
      <w:pPr>
        <w:ind w:left="660" w:hanging="652"/>
        <w:spacing w:after="0" w:line="267" w:lineRule="auto"/>
        <w:tabs>
          <w:tab w:leader="none" w:pos="6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Jazz Pharmaceuticals plc, Fourth Floor, Connaught House, 1 Burlington Road, Dublin 4, Ireland (the “</w:t>
      </w:r>
      <w:r>
        <w:rPr>
          <w:rFonts w:ascii="Arial" w:cs="Arial" w:eastAsia="Arial" w:hAnsi="Arial"/>
          <w:sz w:val="20"/>
          <w:szCs w:val="20"/>
          <w:b w:val="1"/>
          <w:bCs w:val="1"/>
          <w:color w:val="auto"/>
        </w:rPr>
        <w:t>Company</w:t>
      </w:r>
      <w:r>
        <w:rPr>
          <w:rFonts w:ascii="Arial" w:cs="Arial" w:eastAsia="Arial" w:hAnsi="Arial"/>
          <w:sz w:val="20"/>
          <w:szCs w:val="20"/>
          <w:color w:val="auto"/>
        </w:rPr>
        <w:t>”), which may grant Awards under the Plan and is entering into this Election on behalf of the Employer.</w:t>
      </w:r>
    </w:p>
    <w:p>
      <w:pPr>
        <w:spacing w:after="0" w:line="393"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This Election relates to all Awards granted to the Employee under the Plan on or after January 18, 2012 up to the termination date of the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In this Election the following words and phrases have the following meanings:</w:t>
      </w:r>
    </w:p>
    <w:p>
      <w:pPr>
        <w:spacing w:after="0" w:line="200" w:lineRule="exact"/>
        <w:rPr>
          <w:sz w:val="20"/>
          <w:szCs w:val="20"/>
          <w:color w:val="auto"/>
        </w:rPr>
      </w:pPr>
    </w:p>
    <w:p>
      <w:pPr>
        <w:spacing w:after="0" w:line="239"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Chargeable Event</w:t>
      </w:r>
      <w:r>
        <w:rPr>
          <w:rFonts w:ascii="Arial" w:cs="Arial" w:eastAsia="Arial" w:hAnsi="Arial"/>
          <w:sz w:val="20"/>
          <w:szCs w:val="20"/>
          <w:color w:val="auto"/>
        </w:rPr>
        <w:t>” means, in relation to the Awards:</w:t>
      </w:r>
    </w:p>
    <w:p>
      <w:pPr>
        <w:spacing w:after="0" w:line="200" w:lineRule="exact"/>
        <w:rPr>
          <w:rFonts w:ascii="Arial" w:cs="Arial" w:eastAsia="Arial" w:hAnsi="Arial"/>
          <w:sz w:val="20"/>
          <w:szCs w:val="20"/>
          <w:color w:val="auto"/>
        </w:rPr>
      </w:pPr>
    </w:p>
    <w:p>
      <w:pPr>
        <w:spacing w:after="0" w:line="251" w:lineRule="exact"/>
        <w:rPr>
          <w:rFonts w:ascii="Arial" w:cs="Arial" w:eastAsia="Arial" w:hAnsi="Arial"/>
          <w:sz w:val="20"/>
          <w:szCs w:val="20"/>
          <w:color w:val="auto"/>
        </w:rPr>
      </w:pPr>
    </w:p>
    <w:p>
      <w:pPr>
        <w:ind w:left="1960" w:hanging="655"/>
        <w:spacing w:after="0"/>
        <w:tabs>
          <w:tab w:leader="none" w:pos="19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acquisition of securities pursuant to the Awards (within section 477(3)(a) of ITEPA);</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960" w:hanging="655"/>
        <w:spacing w:after="0"/>
        <w:tabs>
          <w:tab w:leader="none" w:pos="19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assignment (if applicable) or release of the Awards in return for consideration (within section 477(3)(b) of ITEPA);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60" w:hanging="655"/>
        <w:spacing w:after="0" w:line="260" w:lineRule="auto"/>
        <w:tabs>
          <w:tab w:leader="none" w:pos="19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receipt of a benefit in connection with the Awards, other than a benefit within (i) or (ii) above (within section 477(3)(c) of ITEPA);</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post-acquisition charges relating to the ordinary shares of the Company acquired pursuant to the Awards (within section 427 of ITEPA); and/or</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94"/>
        </w:numPr>
        <w:rPr>
          <w:rFonts w:ascii="Arial" w:cs="Arial" w:eastAsia="Arial" w:hAnsi="Arial"/>
          <w:sz w:val="20"/>
          <w:szCs w:val="20"/>
          <w:color w:val="auto"/>
        </w:rPr>
      </w:pPr>
      <w:r>
        <w:rPr>
          <w:rFonts w:ascii="Arial" w:cs="Arial" w:eastAsia="Arial" w:hAnsi="Arial"/>
          <w:sz w:val="20"/>
          <w:szCs w:val="20"/>
          <w:color w:val="auto"/>
        </w:rPr>
        <w:t>post-acquisition charges relating to the ordinary shares of the Company acquired pursuant to the Awards (within section 439 of ITEPA).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57" w:right="239" w:bottom="1440" w:gutter="0" w:footer="0" w:header="0"/>
        </w:sectPr>
      </w:pPr>
    </w:p>
    <w:bookmarkStart w:id="175" w:name="page176"/>
    <w:bookmarkEnd w:id="175"/>
    <w:p>
      <w:pPr>
        <w:ind w:left="1300" w:hanging="644"/>
        <w:spacing w:after="0"/>
        <w:tabs>
          <w:tab w:leader="none" w:pos="13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ITEPA</w:t>
      </w:r>
      <w:r>
        <w:rPr>
          <w:rFonts w:ascii="Arial" w:cs="Arial" w:eastAsia="Arial" w:hAnsi="Arial"/>
          <w:sz w:val="20"/>
          <w:szCs w:val="20"/>
          <w:color w:val="auto"/>
        </w:rPr>
        <w:t>” means the Income Tax (Earnings and Pensions) Act 2003.</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300" w:hanging="644"/>
        <w:spacing w:after="0"/>
        <w:tabs>
          <w:tab w:leader="none" w:pos="13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SSCBA</w:t>
      </w:r>
      <w:r>
        <w:rPr>
          <w:rFonts w:ascii="Arial" w:cs="Arial" w:eastAsia="Arial" w:hAnsi="Arial"/>
          <w:sz w:val="20"/>
          <w:szCs w:val="20"/>
          <w:color w:val="auto"/>
        </w:rPr>
        <w:t>” means the Social Security Contributions and Benefits Act 1992.</w:t>
      </w:r>
    </w:p>
    <w:p>
      <w:pPr>
        <w:spacing w:after="0" w:line="200" w:lineRule="exact"/>
        <w:rPr>
          <w:sz w:val="20"/>
          <w:szCs w:val="20"/>
          <w:color w:val="auto"/>
        </w:rPr>
      </w:pPr>
    </w:p>
    <w:p>
      <w:pPr>
        <w:spacing w:after="0" w:line="24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This Election relates to the Employer’s secondary Class 1 National Insurance Contributions (the “</w:t>
      </w:r>
      <w:r>
        <w:rPr>
          <w:rFonts w:ascii="Arial" w:cs="Arial" w:eastAsia="Arial" w:hAnsi="Arial"/>
          <w:sz w:val="20"/>
          <w:szCs w:val="20"/>
          <w:b w:val="1"/>
          <w:bCs w:val="1"/>
          <w:color w:val="auto"/>
        </w:rPr>
        <w:t>Employer’s Liability</w:t>
      </w:r>
      <w:r>
        <w:rPr>
          <w:rFonts w:ascii="Arial" w:cs="Arial" w:eastAsia="Arial" w:hAnsi="Arial"/>
          <w:sz w:val="20"/>
          <w:szCs w:val="20"/>
          <w:color w:val="auto"/>
        </w:rPr>
        <w:t>”) which may arise on the occurrence of a Chargeable Event in respect of the Awards pursuant to section 4(4)(a) and/or paragraph 3B(1A) of Schedule 1 of the SSCBA.</w:t>
      </w:r>
    </w:p>
    <w:p>
      <w:pPr>
        <w:spacing w:after="0" w:line="200" w:lineRule="exact"/>
        <w:rPr>
          <w:sz w:val="20"/>
          <w:szCs w:val="20"/>
          <w:color w:val="auto"/>
        </w:rPr>
      </w:pPr>
    </w:p>
    <w:p>
      <w:pPr>
        <w:spacing w:after="0" w:line="21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1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376"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The Election</w:t>
      </w:r>
    </w:p>
    <w:p>
      <w:pPr>
        <w:spacing w:after="0" w:line="235"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Employee and the Company jointly elect that the entire liability of the Employer to pay the Employer’s Liability on the Chargeable Event is hereby transferred to the Employee. The Employee understands that, by signing the award grant notice, he or she will become personally liable for the Employer’s Liability covered by this Election. This Election is made in accordance with paragraph 3B(1) of Schedule 1 of the SSCBA.</w:t>
      </w:r>
    </w:p>
    <w:p>
      <w:pPr>
        <w:spacing w:after="0" w:line="200" w:lineRule="exact"/>
        <w:rPr>
          <w:rFonts w:ascii="Arial" w:cs="Arial" w:eastAsia="Arial" w:hAnsi="Arial"/>
          <w:sz w:val="20"/>
          <w:szCs w:val="20"/>
          <w:b w:val="1"/>
          <w:bCs w:val="1"/>
          <w:color w:val="auto"/>
        </w:rPr>
      </w:pPr>
    </w:p>
    <w:p>
      <w:pPr>
        <w:spacing w:after="0" w:line="215" w:lineRule="exact"/>
        <w:rPr>
          <w:rFonts w:ascii="Arial" w:cs="Arial" w:eastAsia="Arial" w:hAnsi="Arial"/>
          <w:sz w:val="20"/>
          <w:szCs w:val="20"/>
          <w:b w:val="1"/>
          <w:bCs w:val="1"/>
          <w:color w:val="auto"/>
        </w:rPr>
      </w:pPr>
    </w:p>
    <w:p>
      <w:pPr>
        <w:ind w:left="660" w:hanging="652"/>
        <w:spacing w:after="0"/>
        <w:tabs>
          <w:tab w:leader="none" w:pos="66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the Employer’s Liability</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Employee hereby authorises the Company and/or the Employer to collect the Employer’s Liability from the Employee at any time after the Chargeable Event:</w:t>
      </w:r>
    </w:p>
    <w:p>
      <w:pPr>
        <w:spacing w:after="0" w:line="190" w:lineRule="exact"/>
        <w:rPr>
          <w:sz w:val="20"/>
          <w:szCs w:val="20"/>
          <w:color w:val="auto"/>
        </w:rPr>
      </w:pPr>
    </w:p>
    <w:p>
      <w:pPr>
        <w:ind w:left="1300" w:right="20" w:hanging="644"/>
        <w:spacing w:after="0" w:line="260" w:lineRule="auto"/>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by deduction from salary or any other payment payable to the Employee at any time on or after the date of the Chargeable Event; and/or</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directly from the Employee by payment in cash or cleared funds; and/or</w:t>
      </w:r>
    </w:p>
    <w:p>
      <w:pPr>
        <w:spacing w:after="0" w:line="229"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Arial" w:cs="Arial" w:eastAsia="Arial" w:hAnsi="Arial"/>
          <w:sz w:val="20"/>
          <w:szCs w:val="20"/>
          <w:b w:val="1"/>
          <w:bCs w:val="1"/>
          <w:color w:val="auto"/>
        </w:rPr>
        <w:t>HMRC</w:t>
      </w:r>
      <w:r>
        <w:rPr>
          <w:rFonts w:ascii="Arial" w:cs="Arial" w:eastAsia="Arial" w:hAnsi="Arial"/>
          <w:sz w:val="20"/>
          <w:szCs w:val="20"/>
          <w:color w:val="auto"/>
        </w:rPr>
        <w:t>”) by the due date; and/or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1103" w:right="239" w:bottom="1440" w:gutter="0" w:footer="0" w:header="0"/>
        </w:sectPr>
      </w:pPr>
    </w:p>
    <w:bookmarkStart w:id="176" w:name="page177"/>
    <w:bookmarkEnd w:id="176"/>
    <w:p>
      <w:pPr>
        <w:jc w:val="both"/>
        <w:ind w:left="1300" w:hanging="644"/>
        <w:spacing w:after="0" w:line="246" w:lineRule="auto"/>
        <w:tabs>
          <w:tab w:leader="none" w:pos="130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where the proceeds of the gain are to be made through a third party, the Employee will authorize that party to withhold an amount from the payment or to sell some of the securities which the Employee is entitled to receive in respect of the Award, such amount to be paid in sufficient time to enable the Company and/or the Employer to make payment to HMRC by the due date; and/or</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98"/>
        </w:numPr>
        <w:rPr>
          <w:rFonts w:ascii="Arial" w:cs="Arial" w:eastAsia="Arial" w:hAnsi="Arial"/>
          <w:sz w:val="19"/>
          <w:szCs w:val="19"/>
          <w:color w:val="auto"/>
        </w:rPr>
      </w:pPr>
      <w:r>
        <w:rPr>
          <w:rFonts w:ascii="Arial" w:cs="Arial" w:eastAsia="Arial" w:hAnsi="Arial"/>
          <w:sz w:val="19"/>
          <w:szCs w:val="19"/>
          <w:color w:val="auto"/>
        </w:rPr>
        <w:t>by any other means specified in the applicable Award agreement entered into between the Employee and the Company.</w:t>
      </w:r>
    </w:p>
    <w:p>
      <w:pPr>
        <w:spacing w:after="0" w:line="200" w:lineRule="exact"/>
        <w:rPr>
          <w:sz w:val="20"/>
          <w:szCs w:val="20"/>
          <w:color w:val="auto"/>
        </w:rPr>
      </w:pPr>
    </w:p>
    <w:p>
      <w:pPr>
        <w:spacing w:after="0" w:line="25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Company hereby reserves for itself and the Employer the right to withhold the transfer of any securities to the Employee in respect of the Awards until full payment of the Employer’s Liability is received.</w:t>
      </w:r>
    </w:p>
    <w:p>
      <w:pPr>
        <w:spacing w:after="0" w:line="200" w:lineRule="exact"/>
        <w:rPr>
          <w:sz w:val="20"/>
          <w:szCs w:val="20"/>
          <w:color w:val="auto"/>
        </w:rPr>
      </w:pPr>
    </w:p>
    <w:p>
      <w:pPr>
        <w:spacing w:after="0" w:line="207"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The Company or the Employer agrees to remit the Employer’s Liability to HMRC on behalf of the Employee within 14 days after the end of the UK tax month during which the Chargeable Event occurs (or within 17 days if payments are made electronically).</w:t>
      </w:r>
    </w:p>
    <w:p>
      <w:pPr>
        <w:spacing w:after="0" w:line="376"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Election</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200" w:lineRule="exact"/>
        <w:rPr>
          <w:sz w:val="20"/>
          <w:szCs w:val="20"/>
          <w:color w:val="auto"/>
        </w:rPr>
      </w:pP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This Election will continue in effect until the earliest of the following:</w:t>
      </w:r>
    </w:p>
    <w:p>
      <w:pPr>
        <w:spacing w:after="0" w:line="229"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date on which the Employee and the Company agree in writing that it should cease to have effect;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date on which the Company serves written notice on the Employee terminating its effect;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date on which HMRC withdraws approval of this Election; or</w:t>
      </w:r>
    </w:p>
    <w:p>
      <w:pPr>
        <w:spacing w:after="0" w:line="229"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1420"/>
          </w:cols>
          <w:pgMar w:left="240" w:top="663" w:right="23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b w:val="1"/>
          <w:bCs w:val="1"/>
          <w:color w:val="auto"/>
        </w:rPr>
        <w:t>SCHEDULE OF EMPLOYER COMPANIES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employer companies to which this Election may apply: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each company, provide the following details: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EUSA Pharma (Europe) Limited</w:t>
      </w:r>
    </w:p>
    <w:p>
      <w:pPr>
        <w:spacing w:after="0" w:line="348" w:lineRule="exact"/>
        <w:rPr>
          <w:sz w:val="20"/>
          <w:szCs w:val="20"/>
          <w:color w:val="auto"/>
        </w:rPr>
      </w:pPr>
    </w:p>
    <w:tbl>
      <w:tblPr>
        <w:tblLayout w:type="fixed"/>
        <w:tblInd w:w="90" w:type="dxa"/>
        <w:tblCellMar>
          <w:top w:w="0" w:type="dxa"/>
          <w:left w:w="0" w:type="dxa"/>
          <w:bottom w:w="0" w:type="dxa"/>
          <w:right w:w="0" w:type="dxa"/>
        </w:tblCellMar>
      </w:tblPr>
      <w:tr>
        <w:trPr>
          <w:trHeight w:val="253"/>
        </w:trPr>
        <w:tc>
          <w:tcPr>
            <w:tcW w:w="5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EUSA Pharma</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Magdalen Centre</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Oxford Science Park</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Oxford, OX4 4GA</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4555273</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452/76424 00934</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3"/>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Address:</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HM Revenue &amp; Customs</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CT Operations (Large &amp; Complex Specialist)</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16 North</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Government Buildings</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 Glas, Llanishen</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Cardiff, CF14 5 FP</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120/WZ72892</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0740"/>
          </w:cols>
          <w:pgMar w:left="240" w:top="657" w:right="919" w:bottom="1440" w:gutter="0" w:footer="0" w:header="0"/>
        </w:sectPr>
      </w:pPr>
    </w:p>
    <w:bookmarkStart w:id="178" w:name="page179"/>
    <w:bookmarkEnd w:id="178"/>
    <w:p>
      <w:pPr>
        <w:jc w:val="center"/>
        <w:ind w:right="-1220"/>
        <w:spacing w:after="0"/>
        <w:rPr>
          <w:sz w:val="20"/>
          <w:szCs w:val="20"/>
          <w:color w:val="auto"/>
        </w:rPr>
      </w:pPr>
      <w:r>
        <w:rPr>
          <w:rFonts w:ascii="Arial" w:cs="Arial" w:eastAsia="Arial" w:hAnsi="Arial"/>
          <w:sz w:val="20"/>
          <w:szCs w:val="20"/>
          <w:b w:val="1"/>
          <w:bCs w:val="1"/>
          <w:color w:val="auto"/>
        </w:rPr>
        <w:t>ATTACHMENT II</w:t>
      </w:r>
    </w:p>
    <w:p>
      <w:pPr>
        <w:spacing w:after="0" w:line="216"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2011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804520 v2/SD</w:t>
      </w:r>
    </w:p>
    <w:p>
      <w:pPr>
        <w:sectPr>
          <w:pgSz w:w="11900" w:h="16838" w:orient="portrait"/>
          <w:cols w:equalWidth="0" w:num="1">
            <w:col w:w="10219"/>
          </w:cols>
          <w:pgMar w:left="240" w:top="657"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U.S.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10.27C</w:t>
      </w:r>
    </w:p>
    <w:p>
      <w:pPr>
        <w:spacing w:after="0" w:line="23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JAZZ PHARMACEUTICALS PLC</w:t>
      </w:r>
    </w:p>
    <w:p>
      <w:pPr>
        <w:spacing w:after="0" w:line="32" w:lineRule="exact"/>
        <w:rPr>
          <w:sz w:val="20"/>
          <w:szCs w:val="20"/>
          <w:color w:val="auto"/>
        </w:rPr>
      </w:pPr>
    </w:p>
    <w:p>
      <w:pPr>
        <w:spacing w:after="0"/>
        <w:tabs>
          <w:tab w:leader="none" w:pos="3580" w:val="left"/>
        </w:tabs>
        <w:rPr>
          <w:sz w:val="20"/>
          <w:szCs w:val="20"/>
          <w:color w:val="auto"/>
        </w:rPr>
      </w:pPr>
      <w:r>
        <w:rPr>
          <w:rFonts w:ascii="Arial" w:cs="Arial" w:eastAsia="Arial" w:hAnsi="Arial"/>
          <w:sz w:val="22"/>
          <w:szCs w:val="22"/>
          <w:b w:val="1"/>
          <w:bCs w:val="1"/>
          <w:color w:val="auto"/>
        </w:rPr>
        <w:t>Notice of Grant of Stock Options</w:t>
      </w:r>
      <w:r>
        <w:rPr>
          <w:sz w:val="20"/>
          <w:szCs w:val="20"/>
          <w:color w:val="auto"/>
        </w:rPr>
        <w:tab/>
      </w:r>
      <w:r>
        <w:rPr>
          <w:rFonts w:ascii="Arial" w:cs="Arial" w:eastAsia="Arial" w:hAnsi="Arial"/>
          <w:sz w:val="21"/>
          <w:szCs w:val="21"/>
          <w:b w:val="1"/>
          <w:bCs w:val="1"/>
          <w:color w:val="auto"/>
        </w:rPr>
        <w:t>ID: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and Option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b w:val="1"/>
          <w:bCs w:val="1"/>
          <w:color w:val="auto"/>
        </w:rPr>
        <w:t>Option Number:</w:t>
      </w:r>
    </w:p>
    <w:p>
      <w:pPr>
        <w:ind w:left="20"/>
        <w:spacing w:after="0"/>
        <w:tabs>
          <w:tab w:leader="none" w:pos="1040" w:val="left"/>
          <w:tab w:leader="none" w:pos="1680" w:val="left"/>
        </w:tabs>
        <w:rPr>
          <w:sz w:val="20"/>
          <w:szCs w:val="20"/>
          <w:color w:val="auto"/>
        </w:rPr>
      </w:pPr>
      <w:r>
        <w:rPr>
          <w:rFonts w:ascii="Arial" w:cs="Arial" w:eastAsia="Arial" w:hAnsi="Arial"/>
          <w:sz w:val="18"/>
          <w:szCs w:val="18"/>
          <w:b w:val="1"/>
          <w:bCs w:val="1"/>
          <w:color w:val="auto"/>
        </w:rPr>
        <w:t>[Address]</w:t>
        <w:tab/>
        <w:t>Plan:</w:t>
      </w:r>
      <w:r>
        <w:rPr>
          <w:sz w:val="20"/>
          <w:szCs w:val="20"/>
          <w:color w:val="auto"/>
        </w:rPr>
        <w:tab/>
      </w:r>
      <w:r>
        <w:rPr>
          <w:rFonts w:ascii="Arial" w:cs="Arial" w:eastAsia="Arial" w:hAnsi="Arial"/>
          <w:sz w:val="17"/>
          <w:szCs w:val="17"/>
          <w:b w:val="1"/>
          <w:bCs w:val="1"/>
          <w:color w:val="auto"/>
        </w:rPr>
        <w:t>2007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1480"/>
        <w:spacing w:after="0" w:line="227" w:lineRule="auto"/>
        <w:rPr>
          <w:sz w:val="20"/>
          <w:szCs w:val="20"/>
          <w:color w:val="auto"/>
        </w:rPr>
      </w:pPr>
      <w:r>
        <w:rPr>
          <w:rFonts w:ascii="Arial" w:cs="Arial" w:eastAsia="Arial" w:hAnsi="Arial"/>
          <w:sz w:val="18"/>
          <w:szCs w:val="18"/>
          <w:color w:val="auto"/>
        </w:rPr>
        <w:t>Effective [date], you have been granted a(n) [Incentive][Nonstatutory] Stock Option to buy [number] Ordinary Shares of JAZZ PHARMACEUTICALS PLC (the Company) at $[price] per Ordinary Share.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total option exercise price of the Ordinary Shares granted is $[price].</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Ordinary Shares in each period will become fully vested on the date shown.</w:t>
      </w:r>
    </w:p>
    <w:p>
      <w:pPr>
        <w:sectPr>
          <w:pgSz w:w="11900" w:h="16838" w:orient="portrait"/>
          <w:cols w:equalWidth="0" w:num="1">
            <w:col w:w="11420"/>
          </w:cols>
          <w:pgMar w:left="240" w:top="801" w:right="239" w:bottom="1440" w:gutter="0" w:footer="0" w:header="0"/>
        </w:sectPr>
      </w:pP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Ordinary Shares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Vest Type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Full Vest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Expiration</w:t>
      </w:r>
    </w:p>
    <w:p>
      <w:pPr>
        <w:spacing w:after="0" w:line="155" w:lineRule="exact"/>
        <w:rPr>
          <w:sz w:val="20"/>
          <w:szCs w:val="20"/>
          <w:color w:val="auto"/>
        </w:rPr>
      </w:pPr>
    </w:p>
    <w:p>
      <w:pPr>
        <w:sectPr>
          <w:pgSz w:w="11900" w:h="16838" w:orient="portrait"/>
          <w:cols w:equalWidth="0" w:num="4">
            <w:col w:w="2480" w:space="200"/>
            <w:col w:w="800" w:space="200"/>
            <w:col w:w="680" w:space="200"/>
            <w:col w:w="6860"/>
          </w:cols>
          <w:pgMar w:left="240" w:top="801" w:right="2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[schedule of vesting]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[fully-vested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[expiration date]</w:t>
      </w:r>
    </w:p>
    <w:p>
      <w:pPr>
        <w:spacing w:after="0" w:line="211" w:lineRule="exact"/>
        <w:rPr>
          <w:sz w:val="20"/>
          <w:szCs w:val="20"/>
          <w:color w:val="auto"/>
        </w:rPr>
      </w:pPr>
    </w:p>
    <w:p>
      <w:pPr>
        <w:sectPr>
          <w:pgSz w:w="11900" w:h="16838" w:orient="portrait"/>
          <w:cols w:equalWidth="0" w:num="4">
            <w:col w:w="2680" w:space="200"/>
            <w:col w:w="1640" w:space="200"/>
            <w:col w:w="1400" w:space="200"/>
            <w:col w:w="5100"/>
          </w:cols>
          <w:pgMar w:left="240" w:top="80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20"/>
        <w:spacing w:after="0" w:line="219" w:lineRule="auto"/>
        <w:rPr>
          <w:sz w:val="20"/>
          <w:szCs w:val="20"/>
          <w:color w:val="auto"/>
        </w:rPr>
      </w:pPr>
      <w:r>
        <w:rPr>
          <w:rFonts w:ascii="Arial" w:cs="Arial" w:eastAsia="Arial" w:hAnsi="Arial"/>
          <w:sz w:val="18"/>
          <w:szCs w:val="18"/>
          <w:color w:val="auto"/>
        </w:rPr>
        <w:t>By your signature and the Company's signature below, you and the Company agree that these options are granted under and governed by the terms and conditions of the Company's 2007 Equity Incentive Plan as amended (the “Plan”) and the Option Agreement, all of which are attached and made a part of this document.</w:t>
      </w:r>
    </w:p>
    <w:p>
      <w:pPr>
        <w:spacing w:after="0" w:line="68" w:lineRule="exact"/>
        <w:rPr>
          <w:sz w:val="20"/>
          <w:szCs w:val="20"/>
          <w:color w:val="auto"/>
        </w:rPr>
      </w:pPr>
    </w:p>
    <w:p>
      <w:pPr>
        <w:jc w:val="both"/>
        <w:ind w:left="20"/>
        <w:spacing w:after="0" w:line="209" w:lineRule="auto"/>
        <w:rPr>
          <w:sz w:val="20"/>
          <w:szCs w:val="20"/>
          <w:color w:val="auto"/>
        </w:rPr>
      </w:pPr>
      <w:r>
        <w:rPr>
          <w:rFonts w:ascii="Arial" w:cs="Arial" w:eastAsia="Arial" w:hAnsi="Arial"/>
          <w:sz w:val="18"/>
          <w:szCs w:val="18"/>
          <w:color w:val="auto"/>
        </w:rPr>
        <w:t>By your signature, you also acknowledge receipt of, and understand and agree to, this Option Grant Notice, the Option Agreement and the Plan. You acknowledge and agree that this Option Grant Notice and the Option Agreement may not be modified, amended or revised except in a writing signed by you and a duly authorized officer of the Company or except as otherwise provided in the Option Agreement. You further acknowledge that as of the Date of Grant, this Option Grant Notice, the Option Agreement, and the Plan set forth the entire understanding between you and the Company regarding the acquisition of Ordinary Shares of the Company and supersede all prior oral and written agreements, promises and/or representations on that subject with the exception of (i) options previously granted and delivered to you under the Plan, (ii) any other specific written agreement between you and the Company and (iii) any compensation recovery policy that is adopted by the Company or is otherwise required by applicable law. By accepting this option, you consent to receive Plan documents by electronic</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732619 v6/SD</w:t>
      </w:r>
    </w:p>
    <w:p>
      <w:pPr>
        <w:sectPr>
          <w:pgSz w:w="11900" w:h="16838" w:orient="portrait"/>
          <w:cols w:equalWidth="0" w:num="1">
            <w:col w:w="11420"/>
          </w:cols>
          <w:pgMar w:left="240" w:top="801" w:right="239" w:bottom="1440" w:gutter="0" w:footer="0" w:header="0"/>
          <w:type w:val="continuous"/>
        </w:sectPr>
      </w:pPr>
    </w:p>
    <w:bookmarkStart w:id="180" w:name="page181"/>
    <w:bookmarkEnd w:id="180"/>
    <w:p>
      <w:pPr>
        <w:ind w:left="20"/>
        <w:spacing w:after="0" w:line="227" w:lineRule="auto"/>
        <w:rPr>
          <w:sz w:val="20"/>
          <w:szCs w:val="20"/>
          <w:color w:val="auto"/>
        </w:rPr>
      </w:pPr>
      <w:r>
        <w:rPr>
          <w:rFonts w:ascii="Arial" w:cs="Arial" w:eastAsia="Arial" w:hAnsi="Arial"/>
          <w:sz w:val="18"/>
          <w:szCs w:val="18"/>
          <w:color w:val="auto"/>
        </w:rPr>
        <w:t>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20"/>
                <w:szCs w:val="20"/>
                <w:color w:val="auto"/>
              </w:rPr>
              <w:t>_______________________________________</w:t>
            </w:r>
          </w:p>
        </w:tc>
        <w:tc>
          <w:tcPr>
            <w:tcW w:w="3920" w:type="dxa"/>
            <w:vAlign w:val="bottom"/>
            <w:gridSpan w:val="3"/>
          </w:tcPr>
          <w:p>
            <w:pPr>
              <w:spacing w:after="0"/>
              <w:rPr>
                <w:sz w:val="20"/>
                <w:szCs w:val="20"/>
                <w:color w:val="auto"/>
              </w:rPr>
            </w:pPr>
            <w:r>
              <w:rPr>
                <w:rFonts w:ascii="Arial" w:cs="Arial" w:eastAsia="Arial" w:hAnsi="Arial"/>
                <w:sz w:val="20"/>
                <w:szCs w:val="20"/>
                <w:color w:val="auto"/>
                <w:w w:val="89"/>
              </w:rPr>
              <w:t>_______________________________________</w:t>
            </w:r>
          </w:p>
        </w:tc>
        <w:tc>
          <w:tcPr>
            <w:tcW w:w="0" w:type="dxa"/>
            <w:vAlign w:val="bottom"/>
          </w:tcPr>
          <w:p>
            <w:pPr>
              <w:spacing w:after="0"/>
              <w:rPr>
                <w:sz w:val="1"/>
                <w:szCs w:val="1"/>
                <w:color w:val="auto"/>
              </w:rPr>
            </w:pPr>
          </w:p>
        </w:tc>
      </w:tr>
      <w:tr>
        <w:trPr>
          <w:trHeight w:val="291"/>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JAZZ PHARMACEUTICALS PLC</w:t>
            </w:r>
          </w:p>
        </w:tc>
        <w:tc>
          <w:tcPr>
            <w:tcW w:w="1840" w:type="dxa"/>
            <w:vAlign w:val="bottom"/>
          </w:tcPr>
          <w:p>
            <w:pPr>
              <w:spacing w:after="0"/>
              <w:rPr>
                <w:sz w:val="24"/>
                <w:szCs w:val="24"/>
                <w:color w:val="auto"/>
              </w:rPr>
            </w:pPr>
          </w:p>
        </w:tc>
        <w:tc>
          <w:tcPr>
            <w:tcW w:w="38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Date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60" w:type="dxa"/>
            <w:vAlign w:val="bottom"/>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4"/>
        </w:trPr>
        <w:tc>
          <w:tcPr>
            <w:tcW w:w="5700" w:type="dxa"/>
            <w:vAlign w:val="bottom"/>
            <w:gridSpan w:val="2"/>
          </w:tcPr>
          <w:p>
            <w:pPr>
              <w:spacing w:after="0"/>
              <w:rPr>
                <w:sz w:val="20"/>
                <w:szCs w:val="20"/>
                <w:color w:val="auto"/>
              </w:rPr>
            </w:pPr>
            <w:r>
              <w:rPr>
                <w:rFonts w:ascii="Arial" w:cs="Arial" w:eastAsia="Arial" w:hAnsi="Arial"/>
                <w:sz w:val="20"/>
                <w:szCs w:val="20"/>
                <w:color w:val="auto"/>
              </w:rPr>
              <w:t>_______________________________________</w:t>
            </w:r>
          </w:p>
        </w:tc>
        <w:tc>
          <w:tcPr>
            <w:tcW w:w="3920" w:type="dxa"/>
            <w:vAlign w:val="bottom"/>
            <w:gridSpan w:val="3"/>
          </w:tcPr>
          <w:p>
            <w:pPr>
              <w:jc w:val="right"/>
              <w:spacing w:after="0"/>
              <w:rPr>
                <w:sz w:val="20"/>
                <w:szCs w:val="20"/>
                <w:color w:val="auto"/>
              </w:rPr>
            </w:pPr>
            <w:r>
              <w:rPr>
                <w:rFonts w:ascii="Arial" w:cs="Arial" w:eastAsia="Arial" w:hAnsi="Arial"/>
                <w:sz w:val="20"/>
                <w:szCs w:val="20"/>
                <w:color w:val="auto"/>
                <w:w w:val="89"/>
              </w:rPr>
              <w:t>_______________________________________</w:t>
            </w:r>
          </w:p>
        </w:tc>
        <w:tc>
          <w:tcPr>
            <w:tcW w:w="0" w:type="dxa"/>
            <w:vAlign w:val="bottom"/>
          </w:tcPr>
          <w:p>
            <w:pPr>
              <w:spacing w:after="0"/>
              <w:rPr>
                <w:sz w:val="1"/>
                <w:szCs w:val="1"/>
                <w:color w:val="auto"/>
              </w:rPr>
            </w:pPr>
          </w:p>
        </w:tc>
      </w:tr>
      <w:tr>
        <w:trPr>
          <w:trHeight w:val="20"/>
        </w:trPr>
        <w:tc>
          <w:tcPr>
            <w:tcW w:w="38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tcPr>
          <w:p>
            <w:pPr>
              <w:ind w:left="20"/>
              <w:spacing w:after="0"/>
              <w:rPr>
                <w:sz w:val="20"/>
                <w:szCs w:val="20"/>
                <w:color w:val="auto"/>
              </w:rPr>
            </w:pPr>
            <w:r>
              <w:rPr>
                <w:rFonts w:ascii="Arial" w:cs="Arial" w:eastAsia="Arial" w:hAnsi="Arial"/>
                <w:sz w:val="18"/>
                <w:szCs w:val="18"/>
                <w:color w:val="auto"/>
              </w:rPr>
              <w:t>[Name]</w:t>
            </w:r>
          </w:p>
        </w:tc>
        <w:tc>
          <w:tcPr>
            <w:tcW w:w="1840" w:type="dxa"/>
            <w:vAlign w:val="bottom"/>
          </w:tcPr>
          <w:p>
            <w:pPr>
              <w:spacing w:after="0"/>
              <w:rPr>
                <w:sz w:val="24"/>
                <w:szCs w:val="24"/>
                <w:color w:val="auto"/>
              </w:rPr>
            </w:pPr>
          </w:p>
        </w:tc>
        <w:tc>
          <w:tcPr>
            <w:tcW w:w="3920" w:type="dxa"/>
            <w:vAlign w:val="bottom"/>
            <w:gridSpan w:val="3"/>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Date:</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Time: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732619 v6/SD</w:t>
      </w:r>
    </w:p>
    <w:p>
      <w:pPr>
        <w:sectPr>
          <w:pgSz w:w="11900" w:h="16838" w:orient="portrait"/>
          <w:cols w:equalWidth="0" w:num="1">
            <w:col w:w="11420"/>
          </w:cols>
          <w:pgMar w:left="240" w:top="922" w:right="239" w:bottom="1440" w:gutter="0" w:footer="0" w:header="0"/>
        </w:sectPr>
      </w:pPr>
    </w:p>
    <w:bookmarkStart w:id="181" w:name="page182"/>
    <w:bookmarkEnd w:id="181"/>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2007 EQUITY INCENTIVE PLAN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OPTION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(INCENTIVE STOCK OPTION OR NONSTATUTORY STOCK OPTION)</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Option Agreement,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2007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Ordinary Shares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Except as otherwise explicitly provided herein, if there is any conflict between the terms in this Option Agreement and the Plan, the terms of the Plan will control. Capitalized terms not explicitly defined in this Option Agreement or in the Grant Notice but defined in the Plan shall have the same definitions as in the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23" w:lineRule="exact"/>
        <w:rPr>
          <w:sz w:val="20"/>
          <w:szCs w:val="20"/>
          <w:color w:val="auto"/>
        </w:rPr>
      </w:pPr>
    </w:p>
    <w:p>
      <w:pPr>
        <w:ind w:right="20" w:firstLine="656"/>
        <w:spacing w:after="0" w:line="295" w:lineRule="auto"/>
        <w:tabs>
          <w:tab w:leader="none" w:pos="1445"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Section 10 and the limitations contained herein, your option will vest as provided in your Grant</w:t>
      </w:r>
      <w:r>
        <w:rPr>
          <w:rFonts w:ascii="Arial" w:cs="Arial" w:eastAsia="Arial" w:hAnsi="Arial"/>
          <w:sz w:val="20"/>
          <w:szCs w:val="20"/>
          <w:b w:val="1"/>
          <w:bCs w:val="1"/>
          <w:color w:val="auto"/>
        </w:rPr>
        <w:t xml:space="preserve"> </w:t>
      </w:r>
      <w:r>
        <w:rPr>
          <w:rFonts w:ascii="Arial" w:cs="Arial" w:eastAsia="Arial" w:hAnsi="Arial"/>
          <w:sz w:val="20"/>
          <w:szCs w:val="20"/>
          <w:color w:val="auto"/>
        </w:rPr>
        <w:t>Notice, provided that vesting will cease upon the termination of your Continuous Service.</w:t>
      </w:r>
    </w:p>
    <w:p>
      <w:pPr>
        <w:spacing w:after="0" w:line="150" w:lineRule="exact"/>
        <w:rPr>
          <w:rFonts w:ascii="Arial" w:cs="Arial" w:eastAsia="Arial" w:hAnsi="Arial"/>
          <w:sz w:val="20"/>
          <w:szCs w:val="20"/>
          <w:b w:val="1"/>
          <w:bCs w:val="1"/>
          <w:color w:val="auto"/>
        </w:rPr>
      </w:pPr>
    </w:p>
    <w:p>
      <w:pPr>
        <w:ind w:right="20" w:firstLine="656"/>
        <w:spacing w:after="0" w:line="293" w:lineRule="auto"/>
        <w:tabs>
          <w:tab w:leader="none" w:pos="1049"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NUMBER OF SHARES AND EXERCISE PRICE. </w:t>
      </w:r>
      <w:r>
        <w:rPr>
          <w:rFonts w:ascii="Arial" w:cs="Arial" w:eastAsia="Arial" w:hAnsi="Arial"/>
          <w:sz w:val="19"/>
          <w:szCs w:val="19"/>
          <w:color w:val="auto"/>
        </w:rPr>
        <w:t>The number of Ordinary Shares subject to your option and your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per Ordinary Share referenced in your Grant Notice may be adjusted from time to time for Capitalization Adjustments.</w:t>
      </w:r>
    </w:p>
    <w:p>
      <w:pPr>
        <w:spacing w:after="0" w:line="141" w:lineRule="exact"/>
        <w:rPr>
          <w:rFonts w:ascii="Arial" w:cs="Arial" w:eastAsia="Arial" w:hAnsi="Arial"/>
          <w:sz w:val="19"/>
          <w:szCs w:val="19"/>
          <w:b w:val="1"/>
          <w:bCs w:val="1"/>
          <w:color w:val="auto"/>
        </w:rPr>
      </w:pPr>
    </w:p>
    <w:p>
      <w:pPr>
        <w:jc w:val="both"/>
        <w:ind w:firstLine="656"/>
        <w:spacing w:after="0" w:line="259" w:lineRule="auto"/>
        <w:tabs>
          <w:tab w:leader="none" w:pos="995"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RESTRICTION FOR NON-EXEMPT EMPLOYEES. </w:t>
      </w:r>
      <w:r>
        <w:rPr>
          <w:rFonts w:ascii="Arial" w:cs="Arial" w:eastAsia="Arial" w:hAnsi="Arial"/>
          <w:sz w:val="19"/>
          <w:szCs w:val="19"/>
          <w:color w:val="auto"/>
        </w:rPr>
        <w:t>If you are an Employee eligible for overtime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Fair Labor Standards Act of 1938, as amended (that is, a “</w:t>
      </w:r>
      <w:r>
        <w:rPr>
          <w:rFonts w:ascii="Arial" w:cs="Arial" w:eastAsia="Arial" w:hAnsi="Arial"/>
          <w:sz w:val="19"/>
          <w:szCs w:val="19"/>
          <w:b w:val="1"/>
          <w:bCs w:val="1"/>
          <w:i w:val="1"/>
          <w:iCs w:val="1"/>
          <w:color w:val="auto"/>
        </w:rPr>
        <w:t>Non-Exempt Employee</w:t>
      </w:r>
      <w:r>
        <w:rPr>
          <w:rFonts w:ascii="Arial" w:cs="Arial" w:eastAsia="Arial" w:hAnsi="Arial"/>
          <w:sz w:val="19"/>
          <w:szCs w:val="19"/>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2" w:lineRule="exact"/>
        <w:rPr>
          <w:rFonts w:ascii="Arial" w:cs="Arial" w:eastAsia="Arial" w:hAnsi="Arial"/>
          <w:sz w:val="19"/>
          <w:szCs w:val="19"/>
          <w:b w:val="1"/>
          <w:bCs w:val="1"/>
          <w:color w:val="auto"/>
        </w:rPr>
      </w:pPr>
    </w:p>
    <w:p>
      <w:pPr>
        <w:jc w:val="both"/>
        <w:ind w:firstLine="656"/>
        <w:spacing w:after="0" w:line="253" w:lineRule="auto"/>
        <w:tabs>
          <w:tab w:leader="none" w:pos="1008"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 OF PAYMENT. </w:t>
      </w:r>
      <w:r>
        <w:rPr>
          <w:rFonts w:ascii="Arial" w:cs="Arial" w:eastAsia="Arial" w:hAnsi="Arial"/>
          <w:sz w:val="20"/>
          <w:szCs w:val="20"/>
          <w:color w:val="auto"/>
        </w:rPr>
        <w:t>You must pay the full amount of the exercise price for the Ordinary Shares you wish to exercise. You</w:t>
      </w:r>
      <w:r>
        <w:rPr>
          <w:rFonts w:ascii="Arial" w:cs="Arial" w:eastAsia="Arial" w:hAnsi="Arial"/>
          <w:sz w:val="20"/>
          <w:szCs w:val="20"/>
          <w:b w:val="1"/>
          <w:bCs w:val="1"/>
          <w:color w:val="auto"/>
        </w:rPr>
        <w:t xml:space="preserve"> </w:t>
      </w:r>
      <w:r>
        <w:rPr>
          <w:rFonts w:ascii="Arial" w:cs="Arial" w:eastAsia="Arial" w:hAnsi="Arial"/>
          <w:sz w:val="20"/>
          <w:szCs w:val="20"/>
          <w:color w:val="auto"/>
        </w:rPr>
        <w:t>may pay the exercise price in cash or by check, bank draft or money order payable to the Company (subject to Section 5) or in one or more of the following manners:</w:t>
      </w:r>
    </w:p>
    <w:p>
      <w:pPr>
        <w:spacing w:after="0" w:line="183" w:lineRule="exact"/>
        <w:rPr>
          <w:rFonts w:ascii="Arial" w:cs="Arial" w:eastAsia="Arial" w:hAnsi="Arial"/>
          <w:sz w:val="20"/>
          <w:szCs w:val="20"/>
          <w:b w:val="1"/>
          <w:bCs w:val="1"/>
          <w:color w:val="auto"/>
        </w:rPr>
      </w:pPr>
    </w:p>
    <w:p>
      <w:pPr>
        <w:ind w:right="20" w:firstLine="1305"/>
        <w:spacing w:after="0" w:line="260" w:lineRule="auto"/>
        <w:tabs>
          <w:tab w:leader="none" w:pos="1806" w:val="left"/>
        </w:tabs>
        <w:numPr>
          <w:ilvl w:val="1"/>
          <w:numId w:val="101"/>
        </w:numPr>
        <w:rPr>
          <w:rFonts w:ascii="Arial" w:cs="Arial" w:eastAsia="Arial" w:hAnsi="Arial"/>
          <w:sz w:val="20"/>
          <w:szCs w:val="20"/>
          <w:b w:val="1"/>
          <w:bCs w:val="1"/>
          <w:color w:val="auto"/>
        </w:rPr>
      </w:pPr>
      <w:r>
        <w:rPr>
          <w:rFonts w:ascii="Arial" w:cs="Arial" w:eastAsia="Arial" w:hAnsi="Arial"/>
          <w:sz w:val="20"/>
          <w:szCs w:val="20"/>
          <w:color w:val="auto"/>
        </w:rPr>
        <w:t>Provided that at the time of exercise the Ordinary Shares are publicly traded, pursuant to a program developed under Regulation T as promulgated by the Federal Reserve Board</w:t>
      </w:r>
    </w:p>
    <w:p>
      <w:pPr>
        <w:sectPr>
          <w:pgSz w:w="11900" w:h="16838" w:orient="portrait"/>
          <w:cols w:equalWidth="0" w:num="1">
            <w:col w:w="11420"/>
          </w:cols>
          <w:pgMar w:left="240" w:top="779" w:right="239" w:bottom="1440" w:gutter="0" w:footer="0" w:header="0"/>
        </w:sectPr>
      </w:pPr>
    </w:p>
    <w:bookmarkStart w:id="182" w:name="page183"/>
    <w:bookmarkEnd w:id="182"/>
    <w:p>
      <w:pPr>
        <w:jc w:val="both"/>
        <w:spacing w:after="0" w:line="250" w:lineRule="auto"/>
        <w:rPr>
          <w:sz w:val="20"/>
          <w:szCs w:val="20"/>
          <w:color w:val="auto"/>
        </w:rPr>
      </w:pPr>
      <w:r>
        <w:rPr>
          <w:rFonts w:ascii="Arial" w:cs="Arial" w:eastAsia="Arial" w:hAnsi="Arial"/>
          <w:sz w:val="20"/>
          <w:szCs w:val="20"/>
          <w:color w:val="auto"/>
        </w:rPr>
        <w:t>that, prior to the issuance of Ordinary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46" w:lineRule="exact"/>
        <w:rPr>
          <w:sz w:val="20"/>
          <w:szCs w:val="20"/>
          <w:color w:val="auto"/>
        </w:rPr>
      </w:pPr>
    </w:p>
    <w:p>
      <w:pPr>
        <w:jc w:val="both"/>
        <w:ind w:firstLine="1305"/>
        <w:spacing w:after="0" w:line="259" w:lineRule="auto"/>
        <w:tabs>
          <w:tab w:leader="none" w:pos="1736" w:val="left"/>
        </w:tabs>
        <w:numPr>
          <w:ilvl w:val="1"/>
          <w:numId w:val="102"/>
        </w:numPr>
        <w:rPr>
          <w:rFonts w:ascii="Arial" w:cs="Arial" w:eastAsia="Arial" w:hAnsi="Arial"/>
          <w:sz w:val="19"/>
          <w:szCs w:val="19"/>
          <w:b w:val="1"/>
          <w:bCs w:val="1"/>
          <w:color w:val="auto"/>
        </w:rPr>
      </w:pPr>
      <w:r>
        <w:rPr>
          <w:rFonts w:ascii="Arial" w:cs="Arial" w:eastAsia="Arial" w:hAnsi="Arial"/>
          <w:sz w:val="19"/>
          <w:szCs w:val="19"/>
          <w:color w:val="auto"/>
        </w:rPr>
        <w:t>Provided that at the time of exercise the Ordinary Shares are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restricting the redemption of the Ordinary Shares.</w:t>
      </w:r>
    </w:p>
    <w:p>
      <w:pPr>
        <w:spacing w:after="0" w:line="132" w:lineRule="exact"/>
        <w:rPr>
          <w:rFonts w:ascii="Arial" w:cs="Arial" w:eastAsia="Arial" w:hAnsi="Arial"/>
          <w:sz w:val="19"/>
          <w:szCs w:val="19"/>
          <w:b w:val="1"/>
          <w:bCs w:val="1"/>
          <w:color w:val="auto"/>
        </w:rPr>
      </w:pPr>
    </w:p>
    <w:p>
      <w:pPr>
        <w:jc w:val="both"/>
        <w:ind w:firstLine="656"/>
        <w:spacing w:after="0" w:line="253" w:lineRule="auto"/>
        <w:tabs>
          <w:tab w:leader="none" w:pos="1076"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OF PAR (NOMINAL) VALUE. </w:t>
      </w:r>
      <w:r>
        <w:rPr>
          <w:rFonts w:ascii="Arial" w:cs="Arial" w:eastAsia="Arial" w:hAnsi="Arial"/>
          <w:sz w:val="20"/>
          <w:szCs w:val="20"/>
          <w:color w:val="auto"/>
        </w:rPr>
        <w:t>To the extent that any Ordinary Shares issued upon exercise of your option are</w:t>
      </w:r>
      <w:r>
        <w:rPr>
          <w:rFonts w:ascii="Arial" w:cs="Arial" w:eastAsia="Arial" w:hAnsi="Arial"/>
          <w:sz w:val="20"/>
          <w:szCs w:val="20"/>
          <w:b w:val="1"/>
          <w:bCs w:val="1"/>
          <w:color w:val="auto"/>
        </w:rPr>
        <w:t xml:space="preserve"> </w:t>
      </w:r>
      <w:r>
        <w:rPr>
          <w:rFonts w:ascii="Arial" w:cs="Arial" w:eastAsia="Arial" w:hAnsi="Arial"/>
          <w:sz w:val="20"/>
          <w:szCs w:val="20"/>
          <w:color w:val="auto"/>
        </w:rPr>
        <w:t>newly issued Ordinary Shares, you must pay in cash or by check, bank draft or money order payable to the Company an amount equal to the par value of such number of newly issued Ordinary Shares (rounded up to the nearest whole cent).</w:t>
      </w:r>
    </w:p>
    <w:p>
      <w:pPr>
        <w:spacing w:after="0" w:line="177" w:lineRule="exact"/>
        <w:rPr>
          <w:rFonts w:ascii="Arial" w:cs="Arial" w:eastAsia="Arial" w:hAnsi="Arial"/>
          <w:sz w:val="20"/>
          <w:szCs w:val="20"/>
          <w:b w:val="1"/>
          <w:bCs w:val="1"/>
          <w:color w:val="auto"/>
        </w:rPr>
      </w:pPr>
    </w:p>
    <w:p>
      <w:pPr>
        <w:ind w:left="1000" w:hanging="344"/>
        <w:spacing w:after="0"/>
        <w:tabs>
          <w:tab w:leader="none" w:pos="100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WHOLE SHARES. </w:t>
      </w:r>
      <w:r>
        <w:rPr>
          <w:rFonts w:ascii="Arial" w:cs="Arial" w:eastAsia="Arial" w:hAnsi="Arial"/>
          <w:sz w:val="20"/>
          <w:szCs w:val="20"/>
          <w:color w:val="auto"/>
        </w:rPr>
        <w:t>You may exercise your option only for whole Ordinary Shares.</w:t>
      </w:r>
    </w:p>
    <w:p>
      <w:pPr>
        <w:spacing w:after="0" w:line="215" w:lineRule="exact"/>
        <w:rPr>
          <w:rFonts w:ascii="Arial" w:cs="Arial" w:eastAsia="Arial" w:hAnsi="Arial"/>
          <w:sz w:val="20"/>
          <w:szCs w:val="20"/>
          <w:b w:val="1"/>
          <w:bCs w:val="1"/>
          <w:color w:val="auto"/>
        </w:rPr>
      </w:pPr>
    </w:p>
    <w:p>
      <w:pPr>
        <w:jc w:val="both"/>
        <w:ind w:firstLine="656"/>
        <w:spacing w:after="0" w:line="280" w:lineRule="auto"/>
        <w:tabs>
          <w:tab w:leader="none" w:pos="1076"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Notwithstanding anything to the contrary contained herein, you may not exercise your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the Ordinary Shares issuable upon such exercise are then registered under the Securities Act or, if such Ordinary Shares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56" w:lineRule="exact"/>
        <w:rPr>
          <w:rFonts w:ascii="Arial" w:cs="Arial" w:eastAsia="Arial" w:hAnsi="Arial"/>
          <w:sz w:val="18"/>
          <w:szCs w:val="18"/>
          <w:b w:val="1"/>
          <w:bCs w:val="1"/>
          <w:color w:val="auto"/>
        </w:rPr>
      </w:pPr>
    </w:p>
    <w:p>
      <w:pPr>
        <w:ind w:firstLine="656"/>
        <w:spacing w:after="0" w:line="323" w:lineRule="auto"/>
        <w:tabs>
          <w:tab w:leader="none" w:pos="103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You may not exercise your option before the commencement or after the expiration of its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subject to the provisions of Section 5(g) of the Plan, upon the earliest of the following:</w:t>
      </w:r>
    </w:p>
    <w:p>
      <w:pPr>
        <w:spacing w:after="0" w:line="124" w:lineRule="exact"/>
        <w:rPr>
          <w:rFonts w:ascii="Arial" w:cs="Arial" w:eastAsia="Arial" w:hAnsi="Arial"/>
          <w:sz w:val="18"/>
          <w:szCs w:val="18"/>
          <w:b w:val="1"/>
          <w:bCs w:val="1"/>
          <w:color w:val="auto"/>
        </w:rPr>
      </w:pPr>
    </w:p>
    <w:p>
      <w:pPr>
        <w:jc w:val="both"/>
        <w:ind w:firstLine="1305"/>
        <w:spacing w:after="0" w:line="243" w:lineRule="auto"/>
        <w:tabs>
          <w:tab w:leader="none" w:pos="1818" w:val="left"/>
        </w:tabs>
        <w:numPr>
          <w:ilvl w:val="1"/>
          <w:numId w:val="103"/>
        </w:numPr>
        <w:rPr>
          <w:rFonts w:ascii="Arial" w:cs="Arial" w:eastAsia="Arial" w:hAnsi="Arial"/>
          <w:sz w:val="20"/>
          <w:szCs w:val="20"/>
          <w:b w:val="1"/>
          <w:bCs w:val="1"/>
          <w:color w:val="auto"/>
        </w:rPr>
      </w:pPr>
      <w:r>
        <w:rPr>
          <w:rFonts w:ascii="Arial" w:cs="Arial" w:eastAsia="Arial" w:hAnsi="Arial"/>
          <w:sz w:val="20"/>
          <w:szCs w:val="20"/>
          <w:color w:val="auto"/>
        </w:rPr>
        <w:t xml:space="preserve">three (3) months after the termination of your Continuous Service for any reason other than your Disability or death (except as otherwise provided in Section 8(c) below);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if (i) you are a Non-Exempt Employee, (ii) your Continuous Service terminates within six (6) months after the Date of Grant, and (iii) you have vested in a portion of your option at the time of your termination of Continuous Service, your option will not expire until the earlier of (x)</w:t>
      </w:r>
    </w:p>
    <w:p>
      <w:pPr>
        <w:sectPr>
          <w:pgSz w:w="11900" w:h="16838" w:orient="portrait"/>
          <w:cols w:equalWidth="0" w:num="1">
            <w:col w:w="11420"/>
          </w:cols>
          <w:pgMar w:left="240" w:top="785" w:right="239" w:bottom="1440" w:gutter="0" w:footer="0" w:header="0"/>
        </w:sectPr>
      </w:pPr>
    </w:p>
    <w:bookmarkStart w:id="183" w:name="page184"/>
    <w:bookmarkEnd w:id="183"/>
    <w:p>
      <w:pPr>
        <w:spacing w:after="0" w:line="260" w:lineRule="auto"/>
        <w:rPr>
          <w:sz w:val="20"/>
          <w:szCs w:val="20"/>
          <w:color w:val="auto"/>
        </w:rPr>
      </w:pPr>
      <w:r>
        <w:rPr>
          <w:rFonts w:ascii="Arial" w:cs="Arial" w:eastAsia="Arial" w:hAnsi="Arial"/>
          <w:sz w:val="20"/>
          <w:szCs w:val="20"/>
          <w:color w:val="auto"/>
        </w:rPr>
        <w:t>the later of (A) the date that is seven (7) months after the Date of Grant, and (B) the date that is three (3) months after the termination of your Continuous Service, and (y) the Expiration Date;</w:t>
      </w:r>
    </w:p>
    <w:p>
      <w:pPr>
        <w:spacing w:after="0" w:line="136" w:lineRule="exact"/>
        <w:rPr>
          <w:sz w:val="20"/>
          <w:szCs w:val="20"/>
          <w:color w:val="auto"/>
        </w:rPr>
      </w:pPr>
    </w:p>
    <w:p>
      <w:pPr>
        <w:ind w:right="20" w:firstLine="1305"/>
        <w:spacing w:after="0" w:line="260" w:lineRule="auto"/>
        <w:tabs>
          <w:tab w:leader="none" w:pos="1741" w:val="left"/>
        </w:tabs>
        <w:numPr>
          <w:ilvl w:val="0"/>
          <w:numId w:val="104"/>
        </w:numPr>
        <w:rPr>
          <w:rFonts w:ascii="Arial" w:cs="Arial" w:eastAsia="Arial" w:hAnsi="Arial"/>
          <w:sz w:val="20"/>
          <w:szCs w:val="20"/>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8(c) below);</w:t>
      </w:r>
    </w:p>
    <w:p>
      <w:pPr>
        <w:spacing w:after="0" w:line="136" w:lineRule="exact"/>
        <w:rPr>
          <w:rFonts w:ascii="Arial" w:cs="Arial" w:eastAsia="Arial" w:hAnsi="Arial"/>
          <w:sz w:val="20"/>
          <w:szCs w:val="20"/>
          <w:b w:val="1"/>
          <w:bCs w:val="1"/>
          <w:color w:val="auto"/>
        </w:rPr>
      </w:pPr>
    </w:p>
    <w:p>
      <w:pPr>
        <w:ind w:right="20" w:firstLine="1305"/>
        <w:spacing w:after="0" w:line="260" w:lineRule="auto"/>
        <w:tabs>
          <w:tab w:leader="none" w:pos="1761" w:val="left"/>
        </w:tabs>
        <w:numPr>
          <w:ilvl w:val="0"/>
          <w:numId w:val="104"/>
        </w:numPr>
        <w:rPr>
          <w:rFonts w:ascii="Arial" w:cs="Arial" w:eastAsia="Arial" w:hAnsi="Arial"/>
          <w:sz w:val="20"/>
          <w:szCs w:val="20"/>
          <w:b w:val="1"/>
          <w:bCs w:val="1"/>
          <w:color w:val="auto"/>
        </w:rPr>
      </w:pPr>
      <w:r>
        <w:rPr>
          <w:rFonts w:ascii="Arial" w:cs="Arial" w:eastAsia="Arial" w:hAnsi="Arial"/>
          <w:sz w:val="20"/>
          <w:szCs w:val="20"/>
          <w:color w:val="auto"/>
        </w:rPr>
        <w:t>eighteen (18) months after your death if you die either during your Continuous Service or within three (3) months after your Continuous Service terminates;</w:t>
      </w:r>
    </w:p>
    <w:p>
      <w:pPr>
        <w:spacing w:after="0" w:line="136" w:lineRule="exact"/>
        <w:rPr>
          <w:rFonts w:ascii="Arial" w:cs="Arial" w:eastAsia="Arial" w:hAnsi="Arial"/>
          <w:sz w:val="20"/>
          <w:szCs w:val="20"/>
          <w:b w:val="1"/>
          <w:bCs w:val="1"/>
          <w:color w:val="auto"/>
        </w:rPr>
      </w:pPr>
    </w:p>
    <w:p>
      <w:pPr>
        <w:ind w:left="1740" w:hanging="435"/>
        <w:spacing w:after="0"/>
        <w:tabs>
          <w:tab w:leader="none" w:pos="1740" w:val="left"/>
        </w:tabs>
        <w:numPr>
          <w:ilvl w:val="0"/>
          <w:numId w:val="104"/>
        </w:numPr>
        <w:rPr>
          <w:rFonts w:ascii="Arial" w:cs="Arial" w:eastAsia="Arial" w:hAnsi="Arial"/>
          <w:sz w:val="20"/>
          <w:szCs w:val="20"/>
          <w:b w:val="1"/>
          <w:bCs w:val="1"/>
          <w:color w:val="auto"/>
        </w:rPr>
      </w:pPr>
      <w:r>
        <w:rPr>
          <w:rFonts w:ascii="Arial" w:cs="Arial" w:eastAsia="Arial" w:hAnsi="Arial"/>
          <w:sz w:val="20"/>
          <w:szCs w:val="20"/>
          <w:color w:val="auto"/>
        </w:rPr>
        <w:t>the Expiration Date indicated in your Grant Notice; or</w:t>
      </w:r>
    </w:p>
    <w:p>
      <w:pPr>
        <w:spacing w:after="0" w:line="175" w:lineRule="exact"/>
        <w:rPr>
          <w:rFonts w:ascii="Arial" w:cs="Arial" w:eastAsia="Arial" w:hAnsi="Arial"/>
          <w:sz w:val="20"/>
          <w:szCs w:val="20"/>
          <w:b w:val="1"/>
          <w:bCs w:val="1"/>
          <w:color w:val="auto"/>
        </w:rPr>
      </w:pPr>
    </w:p>
    <w:p>
      <w:pPr>
        <w:ind w:left="1720" w:hanging="415"/>
        <w:spacing w:after="0"/>
        <w:tabs>
          <w:tab w:leader="none" w:pos="1720" w:val="left"/>
        </w:tabs>
        <w:numPr>
          <w:ilvl w:val="0"/>
          <w:numId w:val="104"/>
        </w:numPr>
        <w:rPr>
          <w:rFonts w:ascii="Arial" w:cs="Arial" w:eastAsia="Arial" w:hAnsi="Arial"/>
          <w:sz w:val="20"/>
          <w:szCs w:val="20"/>
          <w:b w:val="1"/>
          <w:bCs w:val="1"/>
          <w:color w:val="auto"/>
        </w:rPr>
      </w:pPr>
      <w:r>
        <w:rPr>
          <w:rFonts w:ascii="Arial" w:cs="Arial" w:eastAsia="Arial" w:hAnsi="Arial"/>
          <w:sz w:val="20"/>
          <w:szCs w:val="20"/>
          <w:color w:val="auto"/>
        </w:rPr>
        <w:t>the day before the tenth (10th) anniversary of the Date of Grant.</w:t>
      </w:r>
    </w:p>
    <w:p>
      <w:pPr>
        <w:spacing w:after="0" w:line="1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73" w:lineRule="exact"/>
        <w:rPr>
          <w:sz w:val="20"/>
          <w:szCs w:val="20"/>
          <w:color w:val="auto"/>
        </w:rPr>
      </w:pPr>
    </w:p>
    <w:p>
      <w:pPr>
        <w:ind w:left="1000" w:hanging="344"/>
        <w:spacing w:after="0"/>
        <w:tabs>
          <w:tab w:leader="none" w:pos="100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EXERCISE.</w:t>
      </w:r>
    </w:p>
    <w:p>
      <w:pPr>
        <w:spacing w:after="0" w:line="221" w:lineRule="exact"/>
        <w:rPr>
          <w:rFonts w:ascii="Arial" w:cs="Arial" w:eastAsia="Arial" w:hAnsi="Arial"/>
          <w:sz w:val="20"/>
          <w:szCs w:val="20"/>
          <w:b w:val="1"/>
          <w:bCs w:val="1"/>
          <w:color w:val="auto"/>
        </w:rPr>
      </w:pPr>
    </w:p>
    <w:p>
      <w:pPr>
        <w:jc w:val="both"/>
        <w:ind w:firstLine="1305"/>
        <w:spacing w:after="0" w:line="263" w:lineRule="auto"/>
        <w:tabs>
          <w:tab w:leader="none" w:pos="1811"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36" w:lineRule="exact"/>
        <w:rPr>
          <w:rFonts w:ascii="Arial" w:cs="Arial" w:eastAsia="Arial" w:hAnsi="Arial"/>
          <w:sz w:val="19"/>
          <w:szCs w:val="19"/>
          <w:b w:val="1"/>
          <w:bCs w:val="1"/>
          <w:color w:val="auto"/>
        </w:rPr>
      </w:pPr>
    </w:p>
    <w:p>
      <w:pPr>
        <w:jc w:val="both"/>
        <w:ind w:firstLine="1305"/>
        <w:spacing w:after="0" w:line="269" w:lineRule="auto"/>
        <w:tabs>
          <w:tab w:leader="none" w:pos="1754" w:val="left"/>
        </w:tabs>
        <w:numPr>
          <w:ilvl w:val="1"/>
          <w:numId w:val="105"/>
        </w:numPr>
        <w:rPr>
          <w:rFonts w:ascii="Arial" w:cs="Arial" w:eastAsia="Arial" w:hAnsi="Arial"/>
          <w:sz w:val="19"/>
          <w:szCs w:val="19"/>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or (ii) the disposition of Ordinary Shares acquired upon such exercise.</w:t>
      </w:r>
    </w:p>
    <w:p>
      <w:pPr>
        <w:spacing w:after="0" w:line="129" w:lineRule="exact"/>
        <w:rPr>
          <w:rFonts w:ascii="Arial" w:cs="Arial" w:eastAsia="Arial" w:hAnsi="Arial"/>
          <w:sz w:val="19"/>
          <w:szCs w:val="19"/>
          <w:b w:val="1"/>
          <w:bCs w:val="1"/>
          <w:color w:val="auto"/>
        </w:rPr>
      </w:pPr>
    </w:p>
    <w:p>
      <w:pPr>
        <w:jc w:val="both"/>
        <w:ind w:firstLine="1305"/>
        <w:spacing w:after="0" w:line="246" w:lineRule="auto"/>
        <w:tabs>
          <w:tab w:leader="none" w:pos="1788" w:val="left"/>
        </w:tabs>
        <w:numPr>
          <w:ilvl w:val="1"/>
          <w:numId w:val="105"/>
        </w:numPr>
        <w:rPr>
          <w:rFonts w:ascii="Arial" w:cs="Arial" w:eastAsia="Arial" w:hAnsi="Arial"/>
          <w:sz w:val="20"/>
          <w:szCs w:val="20"/>
          <w:b w:val="1"/>
          <w:bCs w:val="1"/>
          <w:color w:val="auto"/>
        </w:rPr>
      </w:pPr>
      <w:r>
        <w:rPr>
          <w:rFonts w:ascii="Arial" w:cs="Arial" w:eastAsia="Arial" w:hAnsi="Arial"/>
          <w:sz w:val="20"/>
          <w:szCs w:val="20"/>
          <w:color w:val="auto"/>
        </w:rPr>
        <w:t>If your option is an Incentive Stock Option, by exercising your option you agree that you will notify the Company in writing within fifteen (15) days after the date of any disposition of any of the Ordinary Shares issued upon exercise of your option that occurs within two (2) years after the date of your option grant or within one (1) year after such Ordinary Shares are transferred upon exercise of your option.</w:t>
      </w:r>
    </w:p>
    <w:p>
      <w:pPr>
        <w:spacing w:after="0" w:line="145" w:lineRule="exact"/>
        <w:rPr>
          <w:rFonts w:ascii="Arial" w:cs="Arial" w:eastAsia="Arial" w:hAnsi="Arial"/>
          <w:sz w:val="20"/>
          <w:szCs w:val="20"/>
          <w:b w:val="1"/>
          <w:bCs w:val="1"/>
          <w:color w:val="auto"/>
        </w:rPr>
      </w:pPr>
    </w:p>
    <w:p>
      <w:pPr>
        <w:ind w:left="1100" w:hanging="444"/>
        <w:spacing w:after="0"/>
        <w:tabs>
          <w:tab w:leader="none" w:pos="1100" w:val="left"/>
        </w:tabs>
        <w:numPr>
          <w:ilvl w:val="0"/>
          <w:numId w:val="10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p>
    <w:p>
      <w:pPr>
        <w:sectPr>
          <w:pgSz w:w="11900" w:h="16838" w:orient="portrait"/>
          <w:cols w:equalWidth="0" w:num="1">
            <w:col w:w="11420"/>
          </w:cols>
          <w:pgMar w:left="240" w:top="785" w:right="239" w:bottom="1440" w:gutter="0" w:footer="0" w:header="0"/>
        </w:sectPr>
      </w:pPr>
    </w:p>
    <w:bookmarkStart w:id="184" w:name="page185"/>
    <w:bookmarkEnd w:id="184"/>
    <w:p>
      <w:pPr>
        <w:jc w:val="both"/>
        <w:ind w:left="-656" w:right="20" w:firstLine="1305"/>
        <w:spacing w:after="0" w:line="250" w:lineRule="auto"/>
        <w:tabs>
          <w:tab w:leader="none" w:pos="1093" w:val="left"/>
        </w:tabs>
        <w:numPr>
          <w:ilvl w:val="1"/>
          <w:numId w:val="106"/>
        </w:numPr>
        <w:rPr>
          <w:rFonts w:ascii="Arial" w:cs="Arial" w:eastAsia="Arial" w:hAnsi="Arial"/>
          <w:sz w:val="20"/>
          <w:szCs w:val="20"/>
          <w:b w:val="1"/>
          <w:bCs w:val="1"/>
          <w:color w:val="auto"/>
        </w:rPr>
      </w:pPr>
      <w:r>
        <w:rPr>
          <w:rFonts w:ascii="Arial" w:cs="Arial" w:eastAsia="Arial" w:hAnsi="Arial"/>
          <w:sz w:val="20"/>
          <w:szCs w:val="20"/>
          <w:color w:val="auto"/>
        </w:rPr>
        <w:t>If your Continuous Service terminates either within twelve (12) months following or one (1) month prior to the effective date of a Change in Control due to an Involuntary Termination Without Cause, the vesting and exercisability of your option shall be accelerated in full.</w:t>
      </w:r>
    </w:p>
    <w:p>
      <w:pPr>
        <w:spacing w:after="0" w:line="145" w:lineRule="exact"/>
        <w:rPr>
          <w:rFonts w:ascii="Arial" w:cs="Arial" w:eastAsia="Arial" w:hAnsi="Arial"/>
          <w:sz w:val="20"/>
          <w:szCs w:val="20"/>
          <w:b w:val="1"/>
          <w:bCs w:val="1"/>
          <w:color w:val="auto"/>
        </w:rPr>
      </w:pPr>
    </w:p>
    <w:p>
      <w:pPr>
        <w:jc w:val="both"/>
        <w:ind w:left="-656" w:firstLine="1305"/>
        <w:spacing w:after="0" w:line="263" w:lineRule="auto"/>
        <w:tabs>
          <w:tab w:leader="none" w:pos="1086" w:val="left"/>
        </w:tabs>
        <w:numPr>
          <w:ilvl w:val="1"/>
          <w:numId w:val="106"/>
        </w:numPr>
        <w:rPr>
          <w:rFonts w:ascii="Arial" w:cs="Arial" w:eastAsia="Arial" w:hAnsi="Arial"/>
          <w:sz w:val="19"/>
          <w:szCs w:val="19"/>
          <w:b w:val="1"/>
          <w:bCs w:val="1"/>
          <w:color w:val="auto"/>
        </w:rPr>
      </w:pPr>
      <w:r>
        <w:rPr>
          <w:rFonts w:ascii="Arial" w:cs="Arial" w:eastAsia="Arial" w:hAnsi="Arial"/>
          <w:sz w:val="19"/>
          <w:szCs w:val="19"/>
          <w:color w:val="auto"/>
        </w:rPr>
        <w:t>For purposes of this Option Agreement,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means the involuntary termination of your Continuous Service for reasons other than death, Disability, or Cause. Any determination by the Company (or an Affiliate, if applicable) that your Continuous Service was terminated by reason of dismissal without Cause for the purposes of this Option Agreement shall have no effect upon any determination of the rights or obligations of you or the Company for any other purpose.</w:t>
      </w:r>
    </w:p>
    <w:p>
      <w:pPr>
        <w:spacing w:after="0" w:line="130" w:lineRule="exact"/>
        <w:rPr>
          <w:rFonts w:ascii="Arial" w:cs="Arial" w:eastAsia="Arial" w:hAnsi="Arial"/>
          <w:sz w:val="19"/>
          <w:szCs w:val="19"/>
          <w:b w:val="1"/>
          <w:bCs w:val="1"/>
          <w:color w:val="auto"/>
        </w:rPr>
      </w:pPr>
    </w:p>
    <w:p>
      <w:pPr>
        <w:ind w:left="444" w:hanging="444"/>
        <w:spacing w:after="0"/>
        <w:tabs>
          <w:tab w:leader="none" w:pos="444"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PARACHUTE PAYMENTS.</w:t>
      </w:r>
    </w:p>
    <w:p>
      <w:pPr>
        <w:spacing w:after="0" w:line="221" w:lineRule="exact"/>
        <w:rPr>
          <w:rFonts w:ascii="Arial" w:cs="Arial" w:eastAsia="Arial" w:hAnsi="Arial"/>
          <w:sz w:val="20"/>
          <w:szCs w:val="20"/>
          <w:b w:val="1"/>
          <w:bCs w:val="1"/>
          <w:color w:val="auto"/>
        </w:rPr>
      </w:pPr>
    </w:p>
    <w:p>
      <w:pPr>
        <w:jc w:val="both"/>
        <w:ind w:left="-656" w:firstLine="1305"/>
        <w:spacing w:after="0" w:line="310" w:lineRule="auto"/>
        <w:tabs>
          <w:tab w:leader="none" w:pos="1100" w:val="left"/>
        </w:tabs>
        <w:numPr>
          <w:ilvl w:val="1"/>
          <w:numId w:val="107"/>
        </w:numPr>
        <w:rPr>
          <w:rFonts w:ascii="Arial" w:cs="Arial" w:eastAsia="Arial" w:hAnsi="Arial"/>
          <w:sz w:val="16"/>
          <w:szCs w:val="16"/>
          <w:b w:val="1"/>
          <w:bCs w:val="1"/>
          <w:color w:val="auto"/>
        </w:rPr>
      </w:pPr>
      <w:r>
        <w:rPr>
          <w:rFonts w:ascii="Arial" w:cs="Arial" w:eastAsia="Arial" w:hAnsi="Arial"/>
          <w:sz w:val="16"/>
          <w:szCs w:val="16"/>
          <w:color w:val="auto"/>
        </w:rPr>
        <w:t>If any payment or benefit you would receive from the Company or otherwise in connection with a Change in Control or other similar transaction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((x) or (y)), after taking into account all applicable federal, state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03" w:lineRule="exact"/>
        <w:rPr>
          <w:rFonts w:ascii="Arial" w:cs="Arial" w:eastAsia="Arial" w:hAnsi="Arial"/>
          <w:sz w:val="16"/>
          <w:szCs w:val="16"/>
          <w:b w:val="1"/>
          <w:bCs w:val="1"/>
          <w:color w:val="auto"/>
        </w:rPr>
      </w:pPr>
    </w:p>
    <w:p>
      <w:pPr>
        <w:jc w:val="both"/>
        <w:ind w:left="-656" w:firstLine="1305"/>
        <w:spacing w:after="0" w:line="259" w:lineRule="auto"/>
        <w:tabs>
          <w:tab w:leader="none" w:pos="1077" w:val="left"/>
        </w:tabs>
        <w:numPr>
          <w:ilvl w:val="1"/>
          <w:numId w:val="107"/>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38" w:lineRule="exact"/>
        <w:rPr>
          <w:rFonts w:ascii="Arial" w:cs="Arial" w:eastAsia="Arial" w:hAnsi="Arial"/>
          <w:sz w:val="19"/>
          <w:szCs w:val="19"/>
          <w:b w:val="1"/>
          <w:bCs w:val="1"/>
          <w:color w:val="auto"/>
        </w:rPr>
      </w:pPr>
    </w:p>
    <w:p>
      <w:pPr>
        <w:jc w:val="both"/>
        <w:ind w:left="-656" w:firstLine="1305"/>
        <w:spacing w:after="0" w:line="244" w:lineRule="auto"/>
        <w:tabs>
          <w:tab w:leader="none" w:pos="1192" w:val="left"/>
        </w:tabs>
        <w:numPr>
          <w:ilvl w:val="1"/>
          <w:numId w:val="107"/>
        </w:numPr>
        <w:rPr>
          <w:rFonts w:ascii="Arial" w:cs="Arial" w:eastAsia="Arial" w:hAnsi="Arial"/>
          <w:sz w:val="20"/>
          <w:szCs w:val="20"/>
          <w:b w:val="1"/>
          <w:bCs w:val="1"/>
          <w:color w:val="auto"/>
        </w:rPr>
      </w:pPr>
      <w:r>
        <w:rPr>
          <w:rFonts w:ascii="Arial" w:cs="Arial" w:eastAsia="Arial" w:hAnsi="Arial"/>
          <w:sz w:val="20"/>
          <w:szCs w:val="20"/>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ectPr>
          <w:pgSz w:w="11900" w:h="16838" w:orient="portrait"/>
          <w:cols w:equalWidth="0" w:num="1">
            <w:col w:w="10764"/>
          </w:cols>
          <w:pgMar w:left="896" w:top="785" w:right="239" w:bottom="1440" w:gutter="0" w:footer="0" w:header="0"/>
        </w:sectPr>
      </w:pPr>
    </w:p>
    <w:bookmarkStart w:id="185" w:name="page186"/>
    <w:bookmarkEnd w:id="185"/>
    <w:p>
      <w:pPr>
        <w:jc w:val="both"/>
        <w:ind w:left="-656" w:firstLine="656"/>
        <w:spacing w:after="0" w:line="245" w:lineRule="auto"/>
        <w:tabs>
          <w:tab w:leader="none" w:pos="586"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Your option is not transferable, except by will or by the laws of descent and distribution, and is</w:t>
      </w:r>
      <w:r>
        <w:rPr>
          <w:rFonts w:ascii="Arial" w:cs="Arial" w:eastAsia="Arial" w:hAnsi="Arial"/>
          <w:sz w:val="20"/>
          <w:szCs w:val="20"/>
          <w:b w:val="1"/>
          <w:bCs w:val="1"/>
          <w:color w:val="auto"/>
        </w:rPr>
        <w:t xml:space="preserve"> </w:t>
      </w:r>
      <w:r>
        <w:rPr>
          <w:rFonts w:ascii="Arial" w:cs="Arial" w:eastAsia="Arial" w:hAnsi="Arial"/>
          <w:sz w:val="20"/>
          <w:szCs w:val="20"/>
          <w:color w:val="auto"/>
        </w:rPr>
        <w:t>exercisable during your 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85" w:lineRule="exact"/>
        <w:rPr>
          <w:rFonts w:ascii="Arial" w:cs="Arial" w:eastAsia="Arial" w:hAnsi="Arial"/>
          <w:sz w:val="20"/>
          <w:szCs w:val="20"/>
          <w:b w:val="1"/>
          <w:bCs w:val="1"/>
          <w:color w:val="auto"/>
        </w:rPr>
      </w:pPr>
    </w:p>
    <w:p>
      <w:pPr>
        <w:jc w:val="both"/>
        <w:ind w:left="-656" w:firstLine="656"/>
        <w:spacing w:after="0" w:line="246" w:lineRule="auto"/>
        <w:tabs>
          <w:tab w:leader="none" w:pos="478"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OPTION NOT A SERVICE CONTRACT. </w:t>
      </w:r>
      <w:r>
        <w:rPr>
          <w:rFonts w:ascii="Arial" w:cs="Arial" w:eastAsia="Arial" w:hAnsi="Arial"/>
          <w:sz w:val="20"/>
          <w:szCs w:val="20"/>
          <w:color w:val="auto"/>
        </w:rPr>
        <w:t>Your option is not an employment or service contract, and nothing in your option</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85" w:lineRule="exact"/>
        <w:rPr>
          <w:rFonts w:ascii="Arial" w:cs="Arial" w:eastAsia="Arial" w:hAnsi="Arial"/>
          <w:sz w:val="20"/>
          <w:szCs w:val="20"/>
          <w:b w:val="1"/>
          <w:bCs w:val="1"/>
          <w:color w:val="auto"/>
        </w:rPr>
      </w:pPr>
    </w:p>
    <w:p>
      <w:pPr>
        <w:ind w:left="444" w:hanging="444"/>
        <w:spacing w:after="0"/>
        <w:tabs>
          <w:tab w:leader="none" w:pos="444"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OBLIGATIONS.</w:t>
      </w:r>
    </w:p>
    <w:p>
      <w:pPr>
        <w:spacing w:after="0" w:line="221" w:lineRule="exact"/>
        <w:rPr>
          <w:rFonts w:ascii="Arial" w:cs="Arial" w:eastAsia="Arial" w:hAnsi="Arial"/>
          <w:sz w:val="20"/>
          <w:szCs w:val="20"/>
          <w:b w:val="1"/>
          <w:bCs w:val="1"/>
          <w:color w:val="auto"/>
        </w:rPr>
      </w:pPr>
    </w:p>
    <w:p>
      <w:pPr>
        <w:jc w:val="both"/>
        <w:ind w:left="-656" w:firstLine="1305"/>
        <w:spacing w:after="0" w:line="260" w:lineRule="auto"/>
        <w:tabs>
          <w:tab w:leader="none" w:pos="1110"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40" w:lineRule="exact"/>
        <w:rPr>
          <w:rFonts w:ascii="Arial" w:cs="Arial" w:eastAsia="Arial" w:hAnsi="Arial"/>
          <w:sz w:val="19"/>
          <w:szCs w:val="19"/>
          <w:b w:val="1"/>
          <w:bCs w:val="1"/>
          <w:color w:val="auto"/>
        </w:rPr>
      </w:pPr>
    </w:p>
    <w:p>
      <w:pPr>
        <w:jc w:val="both"/>
        <w:ind w:left="-656" w:firstLine="1305"/>
        <w:spacing w:after="0" w:line="259" w:lineRule="auto"/>
        <w:tabs>
          <w:tab w:leader="none" w:pos="1186" w:val="left"/>
        </w:tabs>
        <w:numPr>
          <w:ilvl w:val="1"/>
          <w:numId w:val="108"/>
        </w:numPr>
        <w:rPr>
          <w:rFonts w:ascii="Arial" w:cs="Arial" w:eastAsia="Arial" w:hAnsi="Arial"/>
          <w:sz w:val="19"/>
          <w:szCs w:val="19"/>
          <w:b w:val="1"/>
          <w:bCs w:val="1"/>
          <w:color w:val="auto"/>
        </w:rPr>
      </w:pPr>
      <w:r>
        <w:rPr>
          <w:rFonts w:ascii="Arial" w:cs="Arial" w:eastAsia="Arial" w:hAnsi="Arial"/>
          <w:sz w:val="19"/>
          <w:szCs w:val="19"/>
          <w:color w:val="auto"/>
        </w:rPr>
        <w:t>If this option is a Nonstatutory Stock Option, then upon your request and subject to approval by the Company, and compliance with any applicable legal conditions or restrictions, the Company may withhold from fully vested Ordinary Shares otherwise issuable to you upon the exercise of your option a number of whole Ordinary Shares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Any adverse consequences to you arising in connection with such share withholding procedure shall be your sole responsibility.</w:t>
      </w:r>
    </w:p>
    <w:p>
      <w:pPr>
        <w:spacing w:after="0" w:line="138" w:lineRule="exact"/>
        <w:rPr>
          <w:rFonts w:ascii="Arial" w:cs="Arial" w:eastAsia="Arial" w:hAnsi="Arial"/>
          <w:sz w:val="19"/>
          <w:szCs w:val="19"/>
          <w:b w:val="1"/>
          <w:bCs w:val="1"/>
          <w:color w:val="auto"/>
        </w:rPr>
      </w:pPr>
    </w:p>
    <w:p>
      <w:pPr>
        <w:jc w:val="both"/>
        <w:ind w:left="-656" w:firstLine="1305"/>
        <w:spacing w:after="0" w:line="246" w:lineRule="auto"/>
        <w:tabs>
          <w:tab w:leader="none" w:pos="1190" w:val="left"/>
        </w:tabs>
        <w:numPr>
          <w:ilvl w:val="1"/>
          <w:numId w:val="108"/>
        </w:numPr>
        <w:rPr>
          <w:rFonts w:ascii="Arial" w:cs="Arial" w:eastAsia="Arial" w:hAnsi="Arial"/>
          <w:sz w:val="20"/>
          <w:szCs w:val="20"/>
          <w:b w:val="1"/>
          <w:bCs w:val="1"/>
          <w:color w:val="auto"/>
        </w:rPr>
      </w:pPr>
      <w:r>
        <w:rPr>
          <w:rFonts w:ascii="Arial" w:cs="Arial" w:eastAsia="Arial" w:hAnsi="Arial"/>
          <w:sz w:val="20"/>
          <w:szCs w:val="20"/>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Ordinary Shares or release such Ordinary Shares from any escrow provided for herein unless such obligations are satisfied.</w:t>
      </w:r>
    </w:p>
    <w:p>
      <w:pPr>
        <w:spacing w:after="0" w:line="145" w:lineRule="exact"/>
        <w:rPr>
          <w:rFonts w:ascii="Arial" w:cs="Arial" w:eastAsia="Arial" w:hAnsi="Arial"/>
          <w:sz w:val="20"/>
          <w:szCs w:val="20"/>
          <w:b w:val="1"/>
          <w:bCs w:val="1"/>
          <w:color w:val="auto"/>
        </w:rPr>
      </w:pPr>
    </w:p>
    <w:p>
      <w:pPr>
        <w:jc w:val="both"/>
        <w:ind w:left="-656" w:firstLine="656"/>
        <w:spacing w:after="0" w:line="253" w:lineRule="auto"/>
        <w:tabs>
          <w:tab w:leader="none" w:pos="451"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TAX CONSEQUENCES</w:t>
      </w:r>
      <w:r>
        <w:rPr>
          <w:rFonts w:ascii="Arial" w:cs="Arial" w:eastAsia="Arial" w:hAnsi="Arial"/>
          <w:sz w:val="20"/>
          <w:szCs w:val="20"/>
          <w:color w:val="auto"/>
        </w:rPr>
        <w:t>. You hereby agree that the Company does not have a duty to design or administer the Plan or its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programs in a manner that minimizes your tax liabilities. You will not make any claim against the Company, or any of its Officers, Directors,</w:t>
      </w:r>
    </w:p>
    <w:p>
      <w:pPr>
        <w:sectPr>
          <w:pgSz w:w="11900" w:h="16838" w:orient="portrait"/>
          <w:cols w:equalWidth="0" w:num="1">
            <w:col w:w="10764"/>
          </w:cols>
          <w:pgMar w:left="896" w:top="778" w:right="239" w:bottom="1440" w:gutter="0" w:footer="0" w:header="0"/>
        </w:sectPr>
      </w:pPr>
    </w:p>
    <w:bookmarkStart w:id="186" w:name="page187"/>
    <w:bookmarkEnd w:id="186"/>
    <w:p>
      <w:pPr>
        <w:jc w:val="both"/>
        <w:spacing w:after="0" w:line="246" w:lineRule="auto"/>
        <w:rPr>
          <w:sz w:val="20"/>
          <w:szCs w:val="20"/>
          <w:color w:val="auto"/>
        </w:rPr>
      </w:pPr>
      <w:r>
        <w:rPr>
          <w:rFonts w:ascii="Arial" w:cs="Arial" w:eastAsia="Arial" w:hAnsi="Arial"/>
          <w:sz w:val="20"/>
          <w:szCs w:val="20"/>
          <w:color w:val="auto"/>
        </w:rPr>
        <w:t>Employees or Affiliates related to tax liabilities arising from your option or your other compensation. In particular, you acknowledge that this option is exempt from Section 409A of the Code only if the exercise price per Ordinary Share specified in the Grant Notice is at least equal to the “fair market value” per Ordinary Share on the Date of Grant and there is no other impermissible deferral of compensation associated with the option.</w:t>
      </w:r>
    </w:p>
    <w:p>
      <w:pPr>
        <w:spacing w:after="0" w:line="186" w:lineRule="exact"/>
        <w:rPr>
          <w:sz w:val="20"/>
          <w:szCs w:val="20"/>
          <w:color w:val="auto"/>
        </w:rPr>
      </w:pPr>
    </w:p>
    <w:p>
      <w:pPr>
        <w:jc w:val="both"/>
        <w:ind w:firstLine="656"/>
        <w:spacing w:after="0" w:line="244" w:lineRule="auto"/>
        <w:tabs>
          <w:tab w:leader="none" w:pos="1148"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Any notices provided for in your option or the Plan will be given in writing (including electronically) and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6" w:lineRule="exact"/>
        <w:rPr>
          <w:rFonts w:ascii="Arial" w:cs="Arial" w:eastAsia="Arial" w:hAnsi="Arial"/>
          <w:sz w:val="20"/>
          <w:szCs w:val="20"/>
          <w:b w:val="1"/>
          <w:bCs w:val="1"/>
          <w:color w:val="auto"/>
        </w:rPr>
      </w:pPr>
    </w:p>
    <w:p>
      <w:pPr>
        <w:jc w:val="both"/>
        <w:ind w:firstLine="656"/>
        <w:spacing w:after="0" w:line="259" w:lineRule="auto"/>
        <w:tabs>
          <w:tab w:leader="none" w:pos="1202"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AND AMENDMENTS. </w:t>
      </w:r>
      <w:r>
        <w:rPr>
          <w:rFonts w:ascii="Arial" w:cs="Arial" w:eastAsia="Arial" w:hAnsi="Arial"/>
          <w:sz w:val="19"/>
          <w:szCs w:val="19"/>
          <w:color w:val="auto"/>
        </w:rPr>
        <w:t>Your option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your option, and is further subject to all interpretations, amendments, rules and regulations, which may from time to time be promulgated and adopted pursuant to the Plan. Notwithstanding anything in the Plan to the contrary and to the extent permitted by applicable law, you hereby acknowledge and agree that this Option Agreement may be amended without your consent if the Board determines, in its discretion, that such amendment is necessary for legal, regulatory or tax reasons due to a change in the entity for which you render service. Except as otherwise explicitly provided herein, in the event of any conflict between the provisions of your option and those of the Plan, the provisions of the Plan shall control.</w:t>
      </w:r>
    </w:p>
    <w:p>
      <w:pPr>
        <w:sectPr>
          <w:pgSz w:w="11900" w:h="16838" w:orient="portrait"/>
          <w:cols w:equalWidth="0" w:num="1">
            <w:col w:w="11420"/>
          </w:cols>
          <w:pgMar w:left="240" w:top="78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0"/>
          <w:szCs w:val="20"/>
          <w:b w:val="1"/>
          <w:bCs w:val="1"/>
          <w:color w:val="auto"/>
        </w:rPr>
        <w:t>IRELAND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10.27D</w:t>
      </w:r>
    </w:p>
    <w:p>
      <w:pPr>
        <w:spacing w:after="0" w:line="252"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JAZZ PHARMACEUTICALS PLC</w:t>
      </w:r>
    </w:p>
    <w:p>
      <w:pPr>
        <w:spacing w:after="0" w:line="32"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22"/>
          <w:szCs w:val="22"/>
          <w:b w:val="1"/>
          <w:bCs w:val="1"/>
          <w:color w:val="auto"/>
        </w:rPr>
        <w:t>Notice of Grant of Stock Options</w:t>
      </w:r>
      <w:r>
        <w:rPr>
          <w:sz w:val="20"/>
          <w:szCs w:val="20"/>
          <w:color w:val="auto"/>
        </w:rPr>
        <w:tab/>
      </w:r>
      <w:r>
        <w:rPr>
          <w:rFonts w:ascii="Arial" w:cs="Arial" w:eastAsia="Arial" w:hAnsi="Arial"/>
          <w:sz w:val="21"/>
          <w:szCs w:val="21"/>
          <w:b w:val="1"/>
          <w:bCs w:val="1"/>
          <w:color w:val="auto"/>
        </w:rPr>
        <w:t>ID: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and Option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b w:val="1"/>
          <w:bCs w:val="1"/>
          <w:color w:val="auto"/>
        </w:rPr>
        <w:t>Option Number:</w:t>
      </w:r>
    </w:p>
    <w:p>
      <w:pPr>
        <w:ind w:left="20"/>
        <w:spacing w:after="0"/>
        <w:tabs>
          <w:tab w:leader="none" w:pos="1040" w:val="left"/>
          <w:tab w:leader="none" w:pos="1680" w:val="left"/>
        </w:tabs>
        <w:rPr>
          <w:sz w:val="20"/>
          <w:szCs w:val="20"/>
          <w:color w:val="auto"/>
        </w:rPr>
      </w:pPr>
      <w:r>
        <w:rPr>
          <w:rFonts w:ascii="Arial" w:cs="Arial" w:eastAsia="Arial" w:hAnsi="Arial"/>
          <w:sz w:val="18"/>
          <w:szCs w:val="18"/>
          <w:b w:val="1"/>
          <w:bCs w:val="1"/>
          <w:color w:val="auto"/>
        </w:rPr>
        <w:t>[Address]</w:t>
        <w:tab/>
        <w:t>Plan:</w:t>
      </w:r>
      <w:r>
        <w:rPr>
          <w:sz w:val="20"/>
          <w:szCs w:val="20"/>
          <w:color w:val="auto"/>
        </w:rPr>
        <w:tab/>
      </w:r>
      <w:r>
        <w:rPr>
          <w:rFonts w:ascii="Arial" w:cs="Arial" w:eastAsia="Arial" w:hAnsi="Arial"/>
          <w:sz w:val="17"/>
          <w:szCs w:val="17"/>
          <w:b w:val="1"/>
          <w:bCs w:val="1"/>
          <w:color w:val="auto"/>
        </w:rPr>
        <w:t>2007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20"/>
        <w:spacing w:after="0" w:line="227" w:lineRule="auto"/>
        <w:rPr>
          <w:sz w:val="20"/>
          <w:szCs w:val="20"/>
          <w:color w:val="auto"/>
        </w:rPr>
      </w:pPr>
      <w:r>
        <w:rPr>
          <w:rFonts w:ascii="Arial" w:cs="Arial" w:eastAsia="Arial" w:hAnsi="Arial"/>
          <w:sz w:val="18"/>
          <w:szCs w:val="18"/>
          <w:color w:val="auto"/>
        </w:rPr>
        <w:t>Effective [date], you have been granted a Stock Option to buy [number] Ordinary Shares of JAZZ PHARMACEUTICALS PLC (the Company) at $[price] per Ordinary Share.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total option exercise price of the Ordinary Shares granted is $[price].</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Ordinary Shares in each period will become fully vested on the date shown.</w:t>
      </w:r>
    </w:p>
    <w:p>
      <w:pPr>
        <w:sectPr>
          <w:pgSz w:w="11900" w:h="16838" w:orient="portrait"/>
          <w:cols w:equalWidth="0" w:num="1">
            <w:col w:w="11420"/>
          </w:cols>
          <w:pgMar w:left="240" w:top="801" w:right="239" w:bottom="1440" w:gutter="0" w:footer="0" w:header="0"/>
        </w:sectPr>
      </w:pP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Ordinary Shares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Vest Type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Full Vest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Expiration</w:t>
      </w:r>
    </w:p>
    <w:p>
      <w:pPr>
        <w:spacing w:after="0" w:line="155" w:lineRule="exact"/>
        <w:rPr>
          <w:sz w:val="20"/>
          <w:szCs w:val="20"/>
          <w:color w:val="auto"/>
        </w:rPr>
      </w:pPr>
    </w:p>
    <w:p>
      <w:pPr>
        <w:sectPr>
          <w:pgSz w:w="11900" w:h="16838" w:orient="portrait"/>
          <w:cols w:equalWidth="0" w:num="4">
            <w:col w:w="2480" w:space="200"/>
            <w:col w:w="800" w:space="200"/>
            <w:col w:w="680" w:space="200"/>
            <w:col w:w="6860"/>
          </w:cols>
          <w:pgMar w:left="240" w:top="801" w:right="2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[schedule of vesting]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[fully-vested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[expiration date]</w:t>
      </w:r>
    </w:p>
    <w:p>
      <w:pPr>
        <w:spacing w:after="0" w:line="211" w:lineRule="exact"/>
        <w:rPr>
          <w:sz w:val="20"/>
          <w:szCs w:val="20"/>
          <w:color w:val="auto"/>
        </w:rPr>
      </w:pPr>
    </w:p>
    <w:p>
      <w:pPr>
        <w:sectPr>
          <w:pgSz w:w="11900" w:h="16838" w:orient="portrait"/>
          <w:cols w:equalWidth="0" w:num="4">
            <w:col w:w="2680" w:space="200"/>
            <w:col w:w="1640" w:space="200"/>
            <w:col w:w="1400" w:space="200"/>
            <w:col w:w="5100"/>
          </w:cols>
          <w:pgMar w:left="240" w:top="80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right="80"/>
        <w:spacing w:after="0" w:line="219" w:lineRule="auto"/>
        <w:rPr>
          <w:sz w:val="20"/>
          <w:szCs w:val="20"/>
          <w:color w:val="auto"/>
        </w:rPr>
      </w:pPr>
      <w:r>
        <w:rPr>
          <w:rFonts w:ascii="Arial" w:cs="Arial" w:eastAsia="Arial" w:hAnsi="Arial"/>
          <w:sz w:val="18"/>
          <w:szCs w:val="18"/>
          <w:color w:val="auto"/>
        </w:rPr>
        <w:t>By your signature and the Company's signature below, you and the Company agree that these options are granted under and governed by the terms and conditions of the Company's 2007 Equity Incentive Plan as amended (the “Plan”) and the Option Agreement, all of which are attached and made a part of this document.</w:t>
      </w:r>
    </w:p>
    <w:p>
      <w:pPr>
        <w:spacing w:after="0" w:line="46" w:lineRule="exact"/>
        <w:rPr>
          <w:sz w:val="20"/>
          <w:szCs w:val="20"/>
          <w:color w:val="auto"/>
        </w:rPr>
      </w:pPr>
    </w:p>
    <w:p>
      <w:pPr>
        <w:jc w:val="both"/>
        <w:ind w:left="20"/>
        <w:spacing w:after="0" w:line="210" w:lineRule="auto"/>
        <w:rPr>
          <w:sz w:val="20"/>
          <w:szCs w:val="20"/>
          <w:color w:val="auto"/>
        </w:rPr>
      </w:pPr>
      <w:r>
        <w:rPr>
          <w:rFonts w:ascii="Arial" w:cs="Arial" w:eastAsia="Arial" w:hAnsi="Arial"/>
          <w:sz w:val="18"/>
          <w:szCs w:val="18"/>
          <w:b w:val="1"/>
          <w:bCs w:val="1"/>
          <w:color w:val="auto"/>
        </w:rPr>
        <w:t>Data Protection</w:t>
      </w:r>
      <w:r>
        <w:rPr>
          <w:rFonts w:ascii="Arial" w:cs="Arial" w:eastAsia="Arial" w:hAnsi="Arial"/>
          <w:sz w:val="18"/>
          <w:szCs w:val="18"/>
          <w:color w:val="auto"/>
        </w:rPr>
        <w:t>: By your signature, you acknowledge, understand and agree that in signing this Option Grant Notice you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Affiliate sharing and exchanging your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you further consent to the Company and any Affiliate providing the Company’s or Affiliates’ agents and/or third parties with the Information for the administration and operation of the Plan. You accept that this may involve the Information being sent to a country outside the European Economic Area which may not have the same level of data protection laws as Ireland. You acknowledge that you have the right to request a list of the names and addresses of any potential recipients of the Information and to review and correct the Information by contacting your local human resources representative. You further acknowledge that the collection, processing and transfer of the Information is important to Plan administration and that failure to consent to same may prohibit participation in the Plan.</w:t>
      </w:r>
    </w:p>
    <w:p>
      <w:pPr>
        <w:spacing w:after="0" w:line="75" w:lineRule="exact"/>
        <w:rPr>
          <w:sz w:val="20"/>
          <w:szCs w:val="20"/>
          <w:color w:val="auto"/>
        </w:rPr>
      </w:pPr>
    </w:p>
    <w:p>
      <w:pPr>
        <w:jc w:val="both"/>
        <w:ind w:left="20"/>
        <w:spacing w:after="0" w:line="209" w:lineRule="auto"/>
        <w:rPr>
          <w:sz w:val="20"/>
          <w:szCs w:val="20"/>
          <w:color w:val="auto"/>
        </w:rPr>
      </w:pPr>
      <w:r>
        <w:rPr>
          <w:rFonts w:ascii="Arial" w:cs="Arial" w:eastAsia="Arial" w:hAnsi="Arial"/>
          <w:sz w:val="18"/>
          <w:szCs w:val="18"/>
          <w:color w:val="auto"/>
        </w:rPr>
        <w:t>By your signature, you also acknowledge receipt of, and understand and agree to, this Option Grant Notice, the Option Agreement and the Plan. You acknowledge and agree that this Option Grant Notice and the Option Agreement may not be modified, amended or revised except in a writing signed by you and a duly authorized officer of the Company or except as otherwise provided in the Option Agreement. You further acknowledge that as of the Date of Grant, this Option Grant Notice, the Option Agreement, and the Plan set forth the entire understanding between you and the Company regarding the acquisition of Ordinary Shares of the Company and supersede all prior oral and written agreements, promises and/or representations on that subject with the exception of (i) options previously granted and delivered to you under the Plan, (ii) any other specific written agreement between you and the Company and (iii) any compensation recovery policy that is adopted by the Company or is otherwise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732770 v7/SD</w:t>
      </w:r>
    </w:p>
    <w:p>
      <w:pPr>
        <w:sectPr>
          <w:pgSz w:w="11900" w:h="16838" w:orient="portrait"/>
          <w:cols w:equalWidth="0" w:num="1">
            <w:col w:w="11420"/>
          </w:cols>
          <w:pgMar w:left="240" w:top="801" w:right="239" w:bottom="1440" w:gutter="0" w:footer="0" w:header="0"/>
          <w:type w:val="continuous"/>
        </w:sectPr>
      </w:pPr>
    </w:p>
    <w:bookmarkStart w:id="188" w:name="page189"/>
    <w:bookmarkEnd w:id="188"/>
    <w:p>
      <w:pPr>
        <w:ind w:left="20"/>
        <w:spacing w:after="0" w:line="227" w:lineRule="auto"/>
        <w:rPr>
          <w:sz w:val="20"/>
          <w:szCs w:val="20"/>
          <w:color w:val="auto"/>
        </w:rPr>
      </w:pPr>
      <w:r>
        <w:rPr>
          <w:rFonts w:ascii="Arial" w:cs="Arial" w:eastAsia="Arial" w:hAnsi="Arial"/>
          <w:sz w:val="18"/>
          <w:szCs w:val="18"/>
          <w:color w:val="auto"/>
        </w:rPr>
        <w:t>required by applicable law. By accepting this option, you consent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20"/>
                <w:szCs w:val="20"/>
                <w:color w:val="auto"/>
                <w:w w:val="88"/>
              </w:rPr>
              <w:t>_______________________________________</w:t>
            </w:r>
          </w:p>
        </w:tc>
        <w:tc>
          <w:tcPr>
            <w:tcW w:w="15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20"/>
                <w:szCs w:val="20"/>
                <w:color w:val="auto"/>
                <w:w w:val="89"/>
              </w:rPr>
              <w:t>_______________________________________</w:t>
            </w:r>
          </w:p>
        </w:tc>
        <w:tc>
          <w:tcPr>
            <w:tcW w:w="0" w:type="dxa"/>
            <w:vAlign w:val="bottom"/>
          </w:tcPr>
          <w:p>
            <w:pPr>
              <w:spacing w:after="0"/>
              <w:rPr>
                <w:sz w:val="1"/>
                <w:szCs w:val="1"/>
                <w:color w:val="auto"/>
              </w:rPr>
            </w:pPr>
          </w:p>
        </w:tc>
      </w:tr>
      <w:tr>
        <w:trPr>
          <w:trHeight w:val="291"/>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JAZZ PHARMACEUTICALS PLC</w:t>
            </w:r>
          </w:p>
        </w:tc>
        <w:tc>
          <w:tcPr>
            <w:tcW w:w="1520" w:type="dxa"/>
            <w:vAlign w:val="bottom"/>
          </w:tcPr>
          <w:p>
            <w:pPr>
              <w:spacing w:after="0"/>
              <w:rPr>
                <w:sz w:val="24"/>
                <w:szCs w:val="24"/>
                <w:color w:val="auto"/>
              </w:rPr>
            </w:pPr>
          </w:p>
        </w:tc>
        <w:tc>
          <w:tcPr>
            <w:tcW w:w="38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Date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60" w:type="dxa"/>
            <w:vAlign w:val="bottom"/>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20"/>
                <w:szCs w:val="20"/>
                <w:color w:val="auto"/>
                <w:w w:val="88"/>
              </w:rPr>
              <w:t>_______________________________________</w:t>
            </w:r>
          </w:p>
        </w:tc>
        <w:tc>
          <w:tcPr>
            <w:tcW w:w="1520" w:type="dxa"/>
            <w:vAlign w:val="bottom"/>
          </w:tcPr>
          <w:p>
            <w:pPr>
              <w:spacing w:after="0"/>
              <w:rPr>
                <w:sz w:val="24"/>
                <w:szCs w:val="24"/>
                <w:color w:val="auto"/>
              </w:rPr>
            </w:pPr>
          </w:p>
        </w:tc>
        <w:tc>
          <w:tcPr>
            <w:tcW w:w="3920" w:type="dxa"/>
            <w:vAlign w:val="bottom"/>
            <w:gridSpan w:val="3"/>
          </w:tcPr>
          <w:p>
            <w:pPr>
              <w:jc w:val="right"/>
              <w:spacing w:after="0"/>
              <w:rPr>
                <w:sz w:val="20"/>
                <w:szCs w:val="20"/>
                <w:color w:val="auto"/>
              </w:rPr>
            </w:pPr>
            <w:r>
              <w:rPr>
                <w:rFonts w:ascii="Arial" w:cs="Arial" w:eastAsia="Arial" w:hAnsi="Arial"/>
                <w:sz w:val="20"/>
                <w:szCs w:val="20"/>
                <w:color w:val="auto"/>
                <w:w w:val="89"/>
              </w:rPr>
              <w:t>_______________________________________</w:t>
            </w:r>
          </w:p>
        </w:tc>
        <w:tc>
          <w:tcPr>
            <w:tcW w:w="0" w:type="dxa"/>
            <w:vAlign w:val="bottom"/>
          </w:tcPr>
          <w:p>
            <w:pPr>
              <w:spacing w:after="0"/>
              <w:rPr>
                <w:sz w:val="1"/>
                <w:szCs w:val="1"/>
                <w:color w:val="auto"/>
              </w:rPr>
            </w:pPr>
          </w:p>
        </w:tc>
      </w:tr>
      <w:tr>
        <w:trPr>
          <w:trHeight w:val="20"/>
        </w:trPr>
        <w:tc>
          <w:tcPr>
            <w:tcW w:w="3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tcPr>
          <w:p>
            <w:pPr>
              <w:ind w:left="20"/>
              <w:spacing w:after="0"/>
              <w:rPr>
                <w:sz w:val="20"/>
                <w:szCs w:val="20"/>
                <w:color w:val="auto"/>
              </w:rPr>
            </w:pPr>
            <w:r>
              <w:rPr>
                <w:rFonts w:ascii="Arial" w:cs="Arial" w:eastAsia="Arial" w:hAnsi="Arial"/>
                <w:sz w:val="18"/>
                <w:szCs w:val="18"/>
                <w:color w:val="auto"/>
              </w:rPr>
              <w:t>[Name]</w:t>
            </w:r>
          </w:p>
        </w:tc>
        <w:tc>
          <w:tcPr>
            <w:tcW w:w="1520" w:type="dxa"/>
            <w:vAlign w:val="bottom"/>
          </w:tcPr>
          <w:p>
            <w:pPr>
              <w:spacing w:after="0"/>
              <w:rPr>
                <w:sz w:val="24"/>
                <w:szCs w:val="24"/>
                <w:color w:val="auto"/>
              </w:rPr>
            </w:pPr>
          </w:p>
        </w:tc>
        <w:tc>
          <w:tcPr>
            <w:tcW w:w="3920" w:type="dxa"/>
            <w:vAlign w:val="bottom"/>
            <w:gridSpan w:val="3"/>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Date:</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Time: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732770 v7/SD</w:t>
      </w:r>
    </w:p>
    <w:p>
      <w:pPr>
        <w:sectPr>
          <w:pgSz w:w="11900" w:h="16838" w:orient="portrait"/>
          <w:cols w:equalWidth="0" w:num="1">
            <w:col w:w="11420"/>
          </w:cols>
          <w:pgMar w:left="240" w:top="922" w:right="239" w:bottom="1440" w:gutter="0" w:footer="0" w:header="0"/>
        </w:sectPr>
      </w:pPr>
    </w:p>
    <w:bookmarkStart w:id="189" w:name="page190"/>
    <w:bookmarkEnd w:id="189"/>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2007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AGREEMENT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Pursuant to your Stock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Option Agreement,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2007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Ordinary Shares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Except as otherwise explicitly provided herein, if there is any conflict between the terms in this Option Agreement and the Plan, the terms of the Plan will control. Capitalized terms not explicitly defined in this Option Agreement or in the Grant Notice but defined in the Plan shall have the same definitions as in the Plan.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23" w:lineRule="exact"/>
        <w:rPr>
          <w:sz w:val="20"/>
          <w:szCs w:val="20"/>
          <w:color w:val="auto"/>
        </w:rPr>
      </w:pPr>
    </w:p>
    <w:p>
      <w:pPr>
        <w:ind w:right="20" w:firstLine="656"/>
        <w:spacing w:after="0" w:line="295" w:lineRule="auto"/>
        <w:tabs>
          <w:tab w:leader="none" w:pos="1445" w:val="left"/>
        </w:tabs>
        <w:numPr>
          <w:ilvl w:val="1"/>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Section 10 and the limitations contained herein, your option will vest as provided in your Grant</w:t>
      </w:r>
      <w:r>
        <w:rPr>
          <w:rFonts w:ascii="Arial" w:cs="Arial" w:eastAsia="Arial" w:hAnsi="Arial"/>
          <w:sz w:val="20"/>
          <w:szCs w:val="20"/>
          <w:b w:val="1"/>
          <w:bCs w:val="1"/>
          <w:color w:val="auto"/>
        </w:rPr>
        <w:t xml:space="preserve"> </w:t>
      </w:r>
      <w:r>
        <w:rPr>
          <w:rFonts w:ascii="Arial" w:cs="Arial" w:eastAsia="Arial" w:hAnsi="Arial"/>
          <w:sz w:val="20"/>
          <w:szCs w:val="20"/>
          <w:color w:val="auto"/>
        </w:rPr>
        <w:t>Notice, provided that vesting will cease upon the termination of your Continuous Service.</w:t>
      </w:r>
    </w:p>
    <w:p>
      <w:pPr>
        <w:spacing w:after="0" w:line="150" w:lineRule="exact"/>
        <w:rPr>
          <w:rFonts w:ascii="Arial" w:cs="Arial" w:eastAsia="Arial" w:hAnsi="Arial"/>
          <w:sz w:val="20"/>
          <w:szCs w:val="20"/>
          <w:b w:val="1"/>
          <w:bCs w:val="1"/>
          <w:color w:val="auto"/>
        </w:rPr>
      </w:pPr>
    </w:p>
    <w:p>
      <w:pPr>
        <w:ind w:right="20" w:firstLine="656"/>
        <w:spacing w:after="0" w:line="293" w:lineRule="auto"/>
        <w:tabs>
          <w:tab w:leader="none" w:pos="1049" w:val="left"/>
        </w:tabs>
        <w:numPr>
          <w:ilvl w:val="1"/>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NUMBER OF SHARES AND EXERCISE PRICE. </w:t>
      </w:r>
      <w:r>
        <w:rPr>
          <w:rFonts w:ascii="Arial" w:cs="Arial" w:eastAsia="Arial" w:hAnsi="Arial"/>
          <w:sz w:val="19"/>
          <w:szCs w:val="19"/>
          <w:color w:val="auto"/>
        </w:rPr>
        <w:t>The number of Ordinary Shares subject to your option and your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per Ordinary Share referenced in your Grant Notice may be adjusted from time to time for Capitalization Adjustments.</w:t>
      </w:r>
    </w:p>
    <w:p>
      <w:pPr>
        <w:spacing w:after="0" w:line="141" w:lineRule="exact"/>
        <w:rPr>
          <w:rFonts w:ascii="Arial" w:cs="Arial" w:eastAsia="Arial" w:hAnsi="Arial"/>
          <w:sz w:val="19"/>
          <w:szCs w:val="19"/>
          <w:b w:val="1"/>
          <w:bCs w:val="1"/>
          <w:color w:val="auto"/>
        </w:rPr>
      </w:pPr>
    </w:p>
    <w:p>
      <w:pPr>
        <w:jc w:val="both"/>
        <w:ind w:firstLine="656"/>
        <w:spacing w:after="0" w:line="270" w:lineRule="auto"/>
        <w:tabs>
          <w:tab w:leader="none" w:pos="1022"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RESTRICTION FOR NON-EXEMPT EMPLOYEES. </w:t>
      </w:r>
      <w:r>
        <w:rPr>
          <w:rFonts w:ascii="Arial" w:cs="Arial" w:eastAsia="Arial" w:hAnsi="Arial"/>
          <w:sz w:val="18"/>
          <w:szCs w:val="18"/>
          <w:color w:val="auto"/>
        </w:rPr>
        <w:t>If you are or become an Employee in the U.S. eligible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overtime compensation under the Fair Labor Standards Act of 1938, as amended (that is, a “</w:t>
      </w:r>
      <w:r>
        <w:rPr>
          <w:rFonts w:ascii="Arial" w:cs="Arial" w:eastAsia="Arial" w:hAnsi="Arial"/>
          <w:sz w:val="18"/>
          <w:szCs w:val="18"/>
          <w:b w:val="1"/>
          <w:bCs w:val="1"/>
          <w:i w:val="1"/>
          <w:iCs w:val="1"/>
          <w:color w:val="auto"/>
        </w:rPr>
        <w:t>Non-Exempt Employee</w:t>
      </w:r>
      <w:r>
        <w:rPr>
          <w:rFonts w:ascii="Arial" w:cs="Arial" w:eastAsia="Arial" w:hAnsi="Arial"/>
          <w:sz w:val="18"/>
          <w:szCs w:val="18"/>
          <w:color w:val="auto"/>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w:t>
      </w:r>
    </w:p>
    <w:p>
      <w:pPr>
        <w:spacing w:after="0" w:line="2" w:lineRule="exact"/>
        <w:rPr>
          <w:rFonts w:ascii="Arial" w:cs="Arial" w:eastAsia="Arial" w:hAnsi="Arial"/>
          <w:sz w:val="18"/>
          <w:szCs w:val="18"/>
          <w:b w:val="1"/>
          <w:bCs w:val="1"/>
          <w:color w:val="auto"/>
        </w:rPr>
      </w:pPr>
    </w:p>
    <w:p>
      <w:pPr>
        <w:ind w:left="340" w:hanging="332"/>
        <w:spacing w:after="0"/>
        <w:tabs>
          <w:tab w:leader="none" w:pos="3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your termination of Continuous Service on your “retirement” (as defined in the Company’s benefit plans).</w:t>
      </w:r>
    </w:p>
    <w:p>
      <w:pPr>
        <w:spacing w:after="0" w:line="193" w:lineRule="exact"/>
        <w:rPr>
          <w:rFonts w:ascii="Arial" w:cs="Arial" w:eastAsia="Arial" w:hAnsi="Arial"/>
          <w:sz w:val="20"/>
          <w:szCs w:val="20"/>
          <w:color w:val="auto"/>
        </w:rPr>
      </w:pPr>
    </w:p>
    <w:p>
      <w:pPr>
        <w:jc w:val="both"/>
        <w:ind w:firstLine="656"/>
        <w:spacing w:after="0" w:line="253" w:lineRule="auto"/>
        <w:tabs>
          <w:tab w:leader="none" w:pos="1008" w:val="left"/>
        </w:tabs>
        <w:numPr>
          <w:ilvl w:val="1"/>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 OF PAYMENT. </w:t>
      </w:r>
      <w:r>
        <w:rPr>
          <w:rFonts w:ascii="Arial" w:cs="Arial" w:eastAsia="Arial" w:hAnsi="Arial"/>
          <w:sz w:val="20"/>
          <w:szCs w:val="20"/>
          <w:color w:val="auto"/>
        </w:rPr>
        <w:t>You must pay the full amount of the exercise price for the Ordinary Shares you wish to exercise. You</w:t>
      </w:r>
      <w:r>
        <w:rPr>
          <w:rFonts w:ascii="Arial" w:cs="Arial" w:eastAsia="Arial" w:hAnsi="Arial"/>
          <w:sz w:val="20"/>
          <w:szCs w:val="20"/>
          <w:b w:val="1"/>
          <w:bCs w:val="1"/>
          <w:color w:val="auto"/>
        </w:rPr>
        <w:t xml:space="preserve"> </w:t>
      </w:r>
      <w:r>
        <w:rPr>
          <w:rFonts w:ascii="Arial" w:cs="Arial" w:eastAsia="Arial" w:hAnsi="Arial"/>
          <w:sz w:val="20"/>
          <w:szCs w:val="20"/>
          <w:color w:val="auto"/>
        </w:rPr>
        <w:t>may pay the exercise price in cash or by check, bank draft or money order payable to the Company (subject to Section 5) or in one or more of the following manners:</w:t>
      </w:r>
    </w:p>
    <w:p>
      <w:pPr>
        <w:spacing w:after="0" w:line="183" w:lineRule="exact"/>
        <w:rPr>
          <w:rFonts w:ascii="Arial" w:cs="Arial" w:eastAsia="Arial" w:hAnsi="Arial"/>
          <w:sz w:val="20"/>
          <w:szCs w:val="20"/>
          <w:b w:val="1"/>
          <w:bCs w:val="1"/>
          <w:color w:val="auto"/>
        </w:rPr>
      </w:pPr>
    </w:p>
    <w:p>
      <w:pPr>
        <w:jc w:val="both"/>
        <w:ind w:right="20" w:firstLine="1305"/>
        <w:spacing w:after="0" w:line="250" w:lineRule="auto"/>
        <w:tabs>
          <w:tab w:leader="none" w:pos="1806" w:val="left"/>
        </w:tabs>
        <w:numPr>
          <w:ilvl w:val="2"/>
          <w:numId w:val="111"/>
        </w:numPr>
        <w:rPr>
          <w:rFonts w:ascii="Arial" w:cs="Arial" w:eastAsia="Arial" w:hAnsi="Arial"/>
          <w:sz w:val="20"/>
          <w:szCs w:val="20"/>
          <w:b w:val="1"/>
          <w:bCs w:val="1"/>
          <w:color w:val="auto"/>
        </w:rPr>
      </w:pPr>
      <w:r>
        <w:rPr>
          <w:rFonts w:ascii="Arial" w:cs="Arial" w:eastAsia="Arial" w:hAnsi="Arial"/>
          <w:sz w:val="20"/>
          <w:szCs w:val="20"/>
          <w:color w:val="auto"/>
        </w:rPr>
        <w:t>Provided that at the time of exercise the Ordinary Shares are publicly traded, pursuant to a program developed under Regulation T as promulgated by the Federal Reserve Board that, prior to the issuance of Ordinary Shares, results in either the receipt of cash (or check) by the</w:t>
      </w:r>
    </w:p>
    <w:p>
      <w:pPr>
        <w:sectPr>
          <w:pgSz w:w="11900" w:h="16838" w:orient="portrait"/>
          <w:cols w:equalWidth="0" w:num="1">
            <w:col w:w="11420"/>
          </w:cols>
          <w:pgMar w:left="240" w:top="779" w:right="239" w:bottom="1440" w:gutter="0" w:footer="0" w:header="0"/>
        </w:sectPr>
      </w:pPr>
    </w:p>
    <w:bookmarkStart w:id="190" w:name="page191"/>
    <w:bookmarkEnd w:id="190"/>
    <w:p>
      <w:pPr>
        <w:spacing w:after="0" w:line="260" w:lineRule="auto"/>
        <w:rPr>
          <w:sz w:val="20"/>
          <w:szCs w:val="20"/>
          <w:color w:val="auto"/>
        </w:rPr>
      </w:pPr>
      <w:r>
        <w:rPr>
          <w:rFonts w:ascii="Arial" w:cs="Arial" w:eastAsia="Arial" w:hAnsi="Arial"/>
          <w:sz w:val="20"/>
          <w:szCs w:val="20"/>
          <w:color w:val="auto"/>
        </w:rPr>
        <w:t>Company or the receipt of irrevocable instructions to pay the aggregate exercise price to the Company from the sales proceeds. This manner of payment is also known as a “broker-assisted exercise”, “same day sale”, or “sell to cover”.</w:t>
      </w:r>
    </w:p>
    <w:p>
      <w:pPr>
        <w:spacing w:after="0" w:line="136" w:lineRule="exact"/>
        <w:rPr>
          <w:sz w:val="20"/>
          <w:szCs w:val="20"/>
          <w:color w:val="auto"/>
        </w:rPr>
      </w:pPr>
    </w:p>
    <w:p>
      <w:pPr>
        <w:jc w:val="both"/>
        <w:ind w:firstLine="1305"/>
        <w:spacing w:after="0" w:line="259" w:lineRule="auto"/>
        <w:tabs>
          <w:tab w:leader="none" w:pos="1736" w:val="left"/>
        </w:tabs>
        <w:numPr>
          <w:ilvl w:val="1"/>
          <w:numId w:val="112"/>
        </w:numPr>
        <w:rPr>
          <w:rFonts w:ascii="Arial" w:cs="Arial" w:eastAsia="Arial" w:hAnsi="Arial"/>
          <w:sz w:val="19"/>
          <w:szCs w:val="19"/>
          <w:b w:val="1"/>
          <w:bCs w:val="1"/>
          <w:color w:val="auto"/>
        </w:rPr>
      </w:pPr>
      <w:r>
        <w:rPr>
          <w:rFonts w:ascii="Arial" w:cs="Arial" w:eastAsia="Arial" w:hAnsi="Arial"/>
          <w:sz w:val="19"/>
          <w:szCs w:val="19"/>
          <w:color w:val="auto"/>
        </w:rPr>
        <w:t>Provided that at the time of exercise the Ordinary Shares are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restricting the redemption of the Ordinary Shares.</w:t>
      </w:r>
    </w:p>
    <w:p>
      <w:pPr>
        <w:spacing w:after="0" w:line="132" w:lineRule="exact"/>
        <w:rPr>
          <w:rFonts w:ascii="Arial" w:cs="Arial" w:eastAsia="Arial" w:hAnsi="Arial"/>
          <w:sz w:val="19"/>
          <w:szCs w:val="19"/>
          <w:b w:val="1"/>
          <w:bCs w:val="1"/>
          <w:color w:val="auto"/>
        </w:rPr>
      </w:pPr>
    </w:p>
    <w:p>
      <w:pPr>
        <w:jc w:val="both"/>
        <w:ind w:firstLine="656"/>
        <w:spacing w:after="0" w:line="253" w:lineRule="auto"/>
        <w:tabs>
          <w:tab w:leader="none" w:pos="1076"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OF PAR (NOMINAL) VALUE. </w:t>
      </w:r>
      <w:r>
        <w:rPr>
          <w:rFonts w:ascii="Arial" w:cs="Arial" w:eastAsia="Arial" w:hAnsi="Arial"/>
          <w:sz w:val="20"/>
          <w:szCs w:val="20"/>
          <w:color w:val="auto"/>
        </w:rPr>
        <w:t>To the extent that any Ordinary Shares issued upon exercise of your option are</w:t>
      </w:r>
      <w:r>
        <w:rPr>
          <w:rFonts w:ascii="Arial" w:cs="Arial" w:eastAsia="Arial" w:hAnsi="Arial"/>
          <w:sz w:val="20"/>
          <w:szCs w:val="20"/>
          <w:b w:val="1"/>
          <w:bCs w:val="1"/>
          <w:color w:val="auto"/>
        </w:rPr>
        <w:t xml:space="preserve"> </w:t>
      </w:r>
      <w:r>
        <w:rPr>
          <w:rFonts w:ascii="Arial" w:cs="Arial" w:eastAsia="Arial" w:hAnsi="Arial"/>
          <w:sz w:val="20"/>
          <w:szCs w:val="20"/>
          <w:color w:val="auto"/>
        </w:rPr>
        <w:t>newly issued Ordinary Shares, you must pay in cash or by check, bank draft or money order payable to the Company an amount equal to the par value of such number of newly issued Ordinary Shares (rounded up to the nearest whole cent).</w:t>
      </w:r>
    </w:p>
    <w:p>
      <w:pPr>
        <w:spacing w:after="0" w:line="177" w:lineRule="exact"/>
        <w:rPr>
          <w:rFonts w:ascii="Arial" w:cs="Arial" w:eastAsia="Arial" w:hAnsi="Arial"/>
          <w:sz w:val="20"/>
          <w:szCs w:val="20"/>
          <w:b w:val="1"/>
          <w:bCs w:val="1"/>
          <w:color w:val="auto"/>
        </w:rPr>
      </w:pPr>
    </w:p>
    <w:p>
      <w:pPr>
        <w:ind w:left="1000" w:hanging="344"/>
        <w:spacing w:after="0"/>
        <w:tabs>
          <w:tab w:leader="none" w:pos="100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WHOLE SHARES. </w:t>
      </w:r>
      <w:r>
        <w:rPr>
          <w:rFonts w:ascii="Arial" w:cs="Arial" w:eastAsia="Arial" w:hAnsi="Arial"/>
          <w:sz w:val="20"/>
          <w:szCs w:val="20"/>
          <w:color w:val="auto"/>
        </w:rPr>
        <w:t>You may exercise your option only for whole Ordinary Shares.</w:t>
      </w:r>
    </w:p>
    <w:p>
      <w:pPr>
        <w:spacing w:after="0" w:line="215" w:lineRule="exact"/>
        <w:rPr>
          <w:rFonts w:ascii="Arial" w:cs="Arial" w:eastAsia="Arial" w:hAnsi="Arial"/>
          <w:sz w:val="20"/>
          <w:szCs w:val="20"/>
          <w:b w:val="1"/>
          <w:bCs w:val="1"/>
          <w:color w:val="auto"/>
        </w:rPr>
      </w:pPr>
    </w:p>
    <w:p>
      <w:pPr>
        <w:jc w:val="both"/>
        <w:ind w:firstLine="656"/>
        <w:spacing w:after="0" w:line="280" w:lineRule="auto"/>
        <w:tabs>
          <w:tab w:leader="none" w:pos="107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Notwithstanding anything to the contrary contained herein, you may not exercise your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the Ordinary Shares issuable upon such exercise are then registered under the Securities Act or, if such Ordinary Shares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56" w:lineRule="exact"/>
        <w:rPr>
          <w:rFonts w:ascii="Arial" w:cs="Arial" w:eastAsia="Arial" w:hAnsi="Arial"/>
          <w:sz w:val="18"/>
          <w:szCs w:val="18"/>
          <w:b w:val="1"/>
          <w:bCs w:val="1"/>
          <w:color w:val="auto"/>
        </w:rPr>
      </w:pPr>
    </w:p>
    <w:p>
      <w:pPr>
        <w:ind w:firstLine="656"/>
        <w:spacing w:after="0" w:line="323" w:lineRule="auto"/>
        <w:tabs>
          <w:tab w:leader="none" w:pos="1035"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You may not exercise your option before the commencement or after the expiration of its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subject to the provisions of Section 5(g) of the Plan, upon the earliest of the following:</w:t>
      </w:r>
    </w:p>
    <w:p>
      <w:pPr>
        <w:spacing w:after="0" w:line="124" w:lineRule="exact"/>
        <w:rPr>
          <w:rFonts w:ascii="Arial" w:cs="Arial" w:eastAsia="Arial" w:hAnsi="Arial"/>
          <w:sz w:val="18"/>
          <w:szCs w:val="18"/>
          <w:b w:val="1"/>
          <w:bCs w:val="1"/>
          <w:color w:val="auto"/>
        </w:rPr>
      </w:pPr>
    </w:p>
    <w:p>
      <w:pPr>
        <w:jc w:val="both"/>
        <w:ind w:firstLine="1305"/>
        <w:spacing w:after="0" w:line="273" w:lineRule="auto"/>
        <w:tabs>
          <w:tab w:leader="none" w:pos="1818"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 xml:space="preserve">three (3) months after the termination of your Continuous Service for any reason other than your Disability or death (except as otherwise provided in Section 8(c)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sectPr>
          <w:pgSz w:w="11900" w:h="16838" w:orient="portrait"/>
          <w:cols w:equalWidth="0" w:num="1">
            <w:col w:w="11420"/>
          </w:cols>
          <w:pgMar w:left="240" w:top="784" w:right="239" w:bottom="1440" w:gutter="0" w:footer="0" w:header="0"/>
        </w:sectPr>
      </w:pPr>
    </w:p>
    <w:bookmarkStart w:id="191" w:name="page192"/>
    <w:bookmarkEnd w:id="191"/>
    <w:p>
      <w:pPr>
        <w:ind w:left="-656" w:right="20" w:firstLine="1305"/>
        <w:spacing w:after="0" w:line="260" w:lineRule="auto"/>
        <w:tabs>
          <w:tab w:leader="none" w:pos="1085" w:val="left"/>
        </w:tabs>
        <w:numPr>
          <w:ilvl w:val="1"/>
          <w:numId w:val="114"/>
        </w:numPr>
        <w:rPr>
          <w:rFonts w:ascii="Arial" w:cs="Arial" w:eastAsia="Arial" w:hAnsi="Arial"/>
          <w:sz w:val="20"/>
          <w:szCs w:val="20"/>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8(c) below);</w:t>
      </w:r>
    </w:p>
    <w:p>
      <w:pPr>
        <w:spacing w:after="0" w:line="136" w:lineRule="exact"/>
        <w:rPr>
          <w:rFonts w:ascii="Arial" w:cs="Arial" w:eastAsia="Arial" w:hAnsi="Arial"/>
          <w:sz w:val="20"/>
          <w:szCs w:val="20"/>
          <w:b w:val="1"/>
          <w:bCs w:val="1"/>
          <w:color w:val="auto"/>
        </w:rPr>
      </w:pPr>
    </w:p>
    <w:p>
      <w:pPr>
        <w:ind w:left="-656" w:right="20" w:firstLine="1305"/>
        <w:spacing w:after="0" w:line="260" w:lineRule="auto"/>
        <w:tabs>
          <w:tab w:leader="none" w:pos="1105" w:val="left"/>
        </w:tabs>
        <w:numPr>
          <w:ilvl w:val="1"/>
          <w:numId w:val="114"/>
        </w:numPr>
        <w:rPr>
          <w:rFonts w:ascii="Arial" w:cs="Arial" w:eastAsia="Arial" w:hAnsi="Arial"/>
          <w:sz w:val="20"/>
          <w:szCs w:val="20"/>
          <w:b w:val="1"/>
          <w:bCs w:val="1"/>
          <w:color w:val="auto"/>
        </w:rPr>
      </w:pPr>
      <w:r>
        <w:rPr>
          <w:rFonts w:ascii="Arial" w:cs="Arial" w:eastAsia="Arial" w:hAnsi="Arial"/>
          <w:sz w:val="20"/>
          <w:szCs w:val="20"/>
          <w:color w:val="auto"/>
        </w:rPr>
        <w:t>eighteen (18) months after your death if you die either during your Continuous Service or within three (3) months after your Continuous Service terminates;</w:t>
      </w:r>
    </w:p>
    <w:p>
      <w:pPr>
        <w:spacing w:after="0" w:line="136" w:lineRule="exact"/>
        <w:rPr>
          <w:rFonts w:ascii="Arial" w:cs="Arial" w:eastAsia="Arial" w:hAnsi="Arial"/>
          <w:sz w:val="20"/>
          <w:szCs w:val="20"/>
          <w:b w:val="1"/>
          <w:bCs w:val="1"/>
          <w:color w:val="auto"/>
        </w:rPr>
      </w:pPr>
    </w:p>
    <w:p>
      <w:pPr>
        <w:ind w:left="1084" w:hanging="435"/>
        <w:spacing w:after="0"/>
        <w:tabs>
          <w:tab w:leader="none" w:pos="1084" w:val="left"/>
        </w:tabs>
        <w:numPr>
          <w:ilvl w:val="1"/>
          <w:numId w:val="114"/>
        </w:numPr>
        <w:rPr>
          <w:rFonts w:ascii="Arial" w:cs="Arial" w:eastAsia="Arial" w:hAnsi="Arial"/>
          <w:sz w:val="20"/>
          <w:szCs w:val="20"/>
          <w:b w:val="1"/>
          <w:bCs w:val="1"/>
          <w:color w:val="auto"/>
        </w:rPr>
      </w:pPr>
      <w:r>
        <w:rPr>
          <w:rFonts w:ascii="Arial" w:cs="Arial" w:eastAsia="Arial" w:hAnsi="Arial"/>
          <w:sz w:val="20"/>
          <w:szCs w:val="20"/>
          <w:color w:val="auto"/>
        </w:rPr>
        <w:t>the Expiration Date indicated in your Grant Notice; or</w:t>
      </w:r>
    </w:p>
    <w:p>
      <w:pPr>
        <w:spacing w:after="0" w:line="175" w:lineRule="exact"/>
        <w:rPr>
          <w:rFonts w:ascii="Arial" w:cs="Arial" w:eastAsia="Arial" w:hAnsi="Arial"/>
          <w:sz w:val="20"/>
          <w:szCs w:val="20"/>
          <w:b w:val="1"/>
          <w:bCs w:val="1"/>
          <w:color w:val="auto"/>
        </w:rPr>
      </w:pPr>
    </w:p>
    <w:p>
      <w:pPr>
        <w:ind w:left="1064" w:hanging="415"/>
        <w:spacing w:after="0"/>
        <w:tabs>
          <w:tab w:leader="none" w:pos="1064" w:val="left"/>
        </w:tabs>
        <w:numPr>
          <w:ilvl w:val="1"/>
          <w:numId w:val="114"/>
        </w:numPr>
        <w:rPr>
          <w:rFonts w:ascii="Arial" w:cs="Arial" w:eastAsia="Arial" w:hAnsi="Arial"/>
          <w:sz w:val="20"/>
          <w:szCs w:val="20"/>
          <w:b w:val="1"/>
          <w:bCs w:val="1"/>
          <w:color w:val="auto"/>
        </w:rPr>
      </w:pPr>
      <w:r>
        <w:rPr>
          <w:rFonts w:ascii="Arial" w:cs="Arial" w:eastAsia="Arial" w:hAnsi="Arial"/>
          <w:sz w:val="20"/>
          <w:szCs w:val="20"/>
          <w:color w:val="auto"/>
        </w:rPr>
        <w:t>the day before the tenth (10th) anniversary of the Date of Grant.</w:t>
      </w:r>
    </w:p>
    <w:p>
      <w:pPr>
        <w:spacing w:after="0" w:line="169" w:lineRule="exact"/>
        <w:rPr>
          <w:rFonts w:ascii="Arial" w:cs="Arial" w:eastAsia="Arial" w:hAnsi="Arial"/>
          <w:sz w:val="20"/>
          <w:szCs w:val="20"/>
          <w:b w:val="1"/>
          <w:bCs w:val="1"/>
          <w:color w:val="auto"/>
        </w:rPr>
      </w:pPr>
    </w:p>
    <w:p>
      <w:pPr>
        <w:ind w:left="344" w:hanging="344"/>
        <w:spacing w:after="0"/>
        <w:tabs>
          <w:tab w:leader="none" w:pos="344"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EXERCISE.</w:t>
      </w:r>
    </w:p>
    <w:p>
      <w:pPr>
        <w:spacing w:after="0" w:line="221" w:lineRule="exact"/>
        <w:rPr>
          <w:rFonts w:ascii="Arial" w:cs="Arial" w:eastAsia="Arial" w:hAnsi="Arial"/>
          <w:sz w:val="20"/>
          <w:szCs w:val="20"/>
          <w:b w:val="1"/>
          <w:bCs w:val="1"/>
          <w:color w:val="auto"/>
        </w:rPr>
      </w:pPr>
    </w:p>
    <w:p>
      <w:pPr>
        <w:jc w:val="both"/>
        <w:ind w:left="-656" w:firstLine="1305"/>
        <w:spacing w:after="0" w:line="263" w:lineRule="auto"/>
        <w:tabs>
          <w:tab w:leader="none" w:pos="1154" w:val="left"/>
        </w:tabs>
        <w:numPr>
          <w:ilvl w:val="1"/>
          <w:numId w:val="115"/>
        </w:numPr>
        <w:rPr>
          <w:rFonts w:ascii="Arial" w:cs="Arial" w:eastAsia="Arial" w:hAnsi="Arial"/>
          <w:sz w:val="19"/>
          <w:szCs w:val="19"/>
          <w:b w:val="1"/>
          <w:bCs w:val="1"/>
          <w:color w:val="auto"/>
        </w:rPr>
      </w:pPr>
      <w:r>
        <w:rPr>
          <w:rFonts w:ascii="Arial" w:cs="Arial" w:eastAsia="Arial" w:hAnsi="Arial"/>
          <w:sz w:val="19"/>
          <w:szCs w:val="19"/>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36" w:lineRule="exact"/>
        <w:rPr>
          <w:rFonts w:ascii="Arial" w:cs="Arial" w:eastAsia="Arial" w:hAnsi="Arial"/>
          <w:sz w:val="19"/>
          <w:szCs w:val="19"/>
          <w:b w:val="1"/>
          <w:bCs w:val="1"/>
          <w:color w:val="auto"/>
        </w:rPr>
      </w:pPr>
    </w:p>
    <w:p>
      <w:pPr>
        <w:jc w:val="both"/>
        <w:ind w:left="-656" w:firstLine="1305"/>
        <w:spacing w:after="0" w:line="269" w:lineRule="auto"/>
        <w:tabs>
          <w:tab w:leader="none" w:pos="1097" w:val="left"/>
        </w:tabs>
        <w:numPr>
          <w:ilvl w:val="1"/>
          <w:numId w:val="115"/>
        </w:numPr>
        <w:rPr>
          <w:rFonts w:ascii="Arial" w:cs="Arial" w:eastAsia="Arial" w:hAnsi="Arial"/>
          <w:sz w:val="19"/>
          <w:szCs w:val="19"/>
          <w:b w:val="1"/>
          <w:bCs w:val="1"/>
          <w:color w:val="auto"/>
        </w:rPr>
      </w:pPr>
      <w:r>
        <w:rPr>
          <w:rFonts w:ascii="Arial" w:cs="Arial" w:eastAsia="Arial" w:hAnsi="Arial"/>
          <w:sz w:val="19"/>
          <w:szCs w:val="19"/>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or (ii) the disposition of Ordinary Shares acquired upon such exercise.</w:t>
      </w:r>
    </w:p>
    <w:p>
      <w:pPr>
        <w:spacing w:after="0" w:line="123" w:lineRule="exact"/>
        <w:rPr>
          <w:rFonts w:ascii="Arial" w:cs="Arial" w:eastAsia="Arial" w:hAnsi="Arial"/>
          <w:sz w:val="19"/>
          <w:szCs w:val="19"/>
          <w:b w:val="1"/>
          <w:bCs w:val="1"/>
          <w:color w:val="auto"/>
        </w:rPr>
      </w:pPr>
    </w:p>
    <w:p>
      <w:pPr>
        <w:ind w:left="444" w:hanging="444"/>
        <w:spacing w:after="0"/>
        <w:tabs>
          <w:tab w:leader="none" w:pos="444"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p>
    <w:p>
      <w:pPr>
        <w:spacing w:after="0" w:line="221" w:lineRule="exact"/>
        <w:rPr>
          <w:rFonts w:ascii="Arial" w:cs="Arial" w:eastAsia="Arial" w:hAnsi="Arial"/>
          <w:sz w:val="20"/>
          <w:szCs w:val="20"/>
          <w:b w:val="1"/>
          <w:bCs w:val="1"/>
          <w:color w:val="auto"/>
        </w:rPr>
      </w:pPr>
    </w:p>
    <w:p>
      <w:pPr>
        <w:jc w:val="both"/>
        <w:ind w:left="-656" w:right="20" w:firstLine="1305"/>
        <w:spacing w:after="0" w:line="250" w:lineRule="auto"/>
        <w:tabs>
          <w:tab w:leader="none" w:pos="1093" w:val="left"/>
        </w:tabs>
        <w:numPr>
          <w:ilvl w:val="1"/>
          <w:numId w:val="115"/>
        </w:numPr>
        <w:rPr>
          <w:rFonts w:ascii="Arial" w:cs="Arial" w:eastAsia="Arial" w:hAnsi="Arial"/>
          <w:sz w:val="20"/>
          <w:szCs w:val="20"/>
          <w:b w:val="1"/>
          <w:bCs w:val="1"/>
          <w:color w:val="auto"/>
        </w:rPr>
      </w:pPr>
      <w:r>
        <w:rPr>
          <w:rFonts w:ascii="Arial" w:cs="Arial" w:eastAsia="Arial" w:hAnsi="Arial"/>
          <w:sz w:val="20"/>
          <w:szCs w:val="20"/>
          <w:color w:val="auto"/>
        </w:rPr>
        <w:t>If your Continuous Service terminates either within twelve (12) months following or one (1) month prior to the effective date of a Change in Control due to an Involuntary Termination Without Cause, the vesting and exercisability of your option shall be accelerated in full.</w:t>
      </w:r>
    </w:p>
    <w:p>
      <w:pPr>
        <w:spacing w:after="0" w:line="145" w:lineRule="exact"/>
        <w:rPr>
          <w:rFonts w:ascii="Arial" w:cs="Arial" w:eastAsia="Arial" w:hAnsi="Arial"/>
          <w:sz w:val="20"/>
          <w:szCs w:val="20"/>
          <w:b w:val="1"/>
          <w:bCs w:val="1"/>
          <w:color w:val="auto"/>
        </w:rPr>
      </w:pPr>
    </w:p>
    <w:p>
      <w:pPr>
        <w:jc w:val="both"/>
        <w:ind w:left="-656" w:firstLine="1305"/>
        <w:spacing w:after="0" w:line="271" w:lineRule="auto"/>
        <w:tabs>
          <w:tab w:leader="none" w:pos="1086" w:val="left"/>
        </w:tabs>
        <w:numPr>
          <w:ilvl w:val="1"/>
          <w:numId w:val="115"/>
        </w:numPr>
        <w:rPr>
          <w:rFonts w:ascii="Arial" w:cs="Arial" w:eastAsia="Arial" w:hAnsi="Arial"/>
          <w:sz w:val="18"/>
          <w:szCs w:val="18"/>
          <w:b w:val="1"/>
          <w:bCs w:val="1"/>
          <w:color w:val="auto"/>
        </w:rPr>
      </w:pPr>
      <w:r>
        <w:rPr>
          <w:rFonts w:ascii="Arial" w:cs="Arial" w:eastAsia="Arial" w:hAnsi="Arial"/>
          <w:sz w:val="18"/>
          <w:szCs w:val="18"/>
          <w:color w:val="auto"/>
        </w:rPr>
        <w:t>For purposes of this Option Agreement, “</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means the involuntary termination of your Continuous Service for reasons other than death, Disability, or Cause. For this purpose, “Cause” means that, in the reasonable determination of the Company, you have (i) committed an intentional act or acted with gross negligence that has materially injured the business of the Company; (ii) intentionally refused or failed to follow lawful and reasonable directions of the Board or the appropriate individual to whom you report; (iii) willfully and habitually neglected your duties for the Company; or (iv) been convicted of any criminal offence (other than an offence under any road traffic legislation in Ireland, the United Kingdom or elsewhere for which a fine or non-custodial penalty is imposed) or any offence under any regulation or legislation relating to insider dealing, fraud or dishonesty that is likely to inflict or has inflicted material injury on the business of the Company. Notwithstanding the foregoing, Cause shall not exist based on conduct described in clause (ii) or (iii) unless the conduct described in such clause has not been cured within fifteen (15) days following your receipt of written notice from the Company specifying the particulars of the conduct constituting Cause. Any determination by the Company (or an Affiliate, if applicable) that your Continuous Service was terminated by reason of dismissal without Cause</w:t>
      </w:r>
    </w:p>
    <w:p>
      <w:pPr>
        <w:sectPr>
          <w:pgSz w:w="11900" w:h="16838" w:orient="portrait"/>
          <w:cols w:equalWidth="0" w:num="1">
            <w:col w:w="10764"/>
          </w:cols>
          <w:pgMar w:left="896" w:top="784" w:right="239" w:bottom="1440" w:gutter="0" w:footer="0" w:header="0"/>
        </w:sectPr>
      </w:pPr>
    </w:p>
    <w:bookmarkStart w:id="192" w:name="page193"/>
    <w:bookmarkEnd w:id="192"/>
    <w:p>
      <w:pPr>
        <w:spacing w:after="0" w:line="260" w:lineRule="auto"/>
        <w:rPr>
          <w:sz w:val="20"/>
          <w:szCs w:val="20"/>
          <w:color w:val="auto"/>
        </w:rPr>
      </w:pPr>
      <w:r>
        <w:rPr>
          <w:rFonts w:ascii="Arial" w:cs="Arial" w:eastAsia="Arial" w:hAnsi="Arial"/>
          <w:sz w:val="20"/>
          <w:szCs w:val="20"/>
          <w:color w:val="auto"/>
        </w:rPr>
        <w:t>for the purposes of this Option Agreement shall have no effect upon any determination of the rights or obligations of you or the Company for any other purpose.</w:t>
      </w:r>
    </w:p>
    <w:p>
      <w:pPr>
        <w:spacing w:after="0" w:line="130" w:lineRule="exact"/>
        <w:rPr>
          <w:sz w:val="20"/>
          <w:szCs w:val="20"/>
          <w:color w:val="auto"/>
        </w:rPr>
      </w:pPr>
    </w:p>
    <w:p>
      <w:pPr>
        <w:ind w:right="20" w:firstLine="656"/>
        <w:spacing w:after="0" w:line="267" w:lineRule="auto"/>
        <w:tabs>
          <w:tab w:leader="none" w:pos="111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Your option is not transferable, except to your legal personal representatives in the event of your death,</w:t>
      </w:r>
      <w:r>
        <w:rPr>
          <w:rFonts w:ascii="Arial" w:cs="Arial" w:eastAsia="Arial" w:hAnsi="Arial"/>
          <w:sz w:val="20"/>
          <w:szCs w:val="20"/>
          <w:b w:val="1"/>
          <w:bCs w:val="1"/>
          <w:color w:val="auto"/>
        </w:rPr>
        <w:t xml:space="preserve"> </w:t>
      </w:r>
      <w:r>
        <w:rPr>
          <w:rFonts w:ascii="Arial" w:cs="Arial" w:eastAsia="Arial" w:hAnsi="Arial"/>
          <w:sz w:val="20"/>
          <w:szCs w:val="20"/>
          <w:color w:val="auto"/>
        </w:rPr>
        <w:t>and is exercisable during your life only by you.</w:t>
      </w:r>
    </w:p>
    <w:p>
      <w:pPr>
        <w:spacing w:after="0" w:line="163" w:lineRule="exact"/>
        <w:rPr>
          <w:rFonts w:ascii="Arial" w:cs="Arial" w:eastAsia="Arial" w:hAnsi="Arial"/>
          <w:sz w:val="20"/>
          <w:szCs w:val="20"/>
          <w:b w:val="1"/>
          <w:bCs w:val="1"/>
          <w:color w:val="auto"/>
        </w:rPr>
      </w:pPr>
    </w:p>
    <w:p>
      <w:pPr>
        <w:jc w:val="both"/>
        <w:ind w:firstLine="656"/>
        <w:spacing w:after="0" w:line="262" w:lineRule="auto"/>
        <w:tabs>
          <w:tab w:leader="none" w:pos="1134"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OPTION NOT A SERVICE CONTRACT. </w:t>
      </w:r>
      <w:r>
        <w:rPr>
          <w:rFonts w:ascii="Arial" w:cs="Arial" w:eastAsia="Arial" w:hAnsi="Arial"/>
          <w:sz w:val="19"/>
          <w:szCs w:val="19"/>
          <w:color w:val="auto"/>
        </w:rPr>
        <w:t>Your option is not an employment or service contract, and nothing in your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create in any way whatsoever any obligation on your part to continue in the employ of the Company or an Affiliate, or of the Company or an Affiliate to continue your employment, subject to applicable law. In addition, nothing in your option shall obligate the Company or an Affiliate, their respective shareholders, Boards of Directors, Officers or Employees to continue any relationship that you might have as a Director or Consultant for the Company or an Affiliate, subject to applicable law.</w:t>
      </w:r>
    </w:p>
    <w:p>
      <w:pPr>
        <w:spacing w:after="0" w:line="171" w:lineRule="exact"/>
        <w:rPr>
          <w:rFonts w:ascii="Arial" w:cs="Arial" w:eastAsia="Arial" w:hAnsi="Arial"/>
          <w:sz w:val="19"/>
          <w:szCs w:val="19"/>
          <w:b w:val="1"/>
          <w:bCs w:val="1"/>
          <w:color w:val="auto"/>
        </w:rPr>
      </w:pPr>
    </w:p>
    <w:p>
      <w:pPr>
        <w:ind w:left="1100" w:hanging="444"/>
        <w:spacing w:after="0"/>
        <w:tabs>
          <w:tab w:leader="none" w:pos="110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AND TAX PAYMENT OBLIGATIONS.</w:t>
      </w:r>
    </w:p>
    <w:p>
      <w:pPr>
        <w:spacing w:after="0" w:line="221" w:lineRule="exact"/>
        <w:rPr>
          <w:rFonts w:ascii="Arial" w:cs="Arial" w:eastAsia="Arial" w:hAnsi="Arial"/>
          <w:sz w:val="20"/>
          <w:szCs w:val="20"/>
          <w:b w:val="1"/>
          <w:bCs w:val="1"/>
          <w:color w:val="auto"/>
        </w:rPr>
      </w:pPr>
    </w:p>
    <w:p>
      <w:pPr>
        <w:jc w:val="both"/>
        <w:ind w:firstLine="1305"/>
        <w:spacing w:after="0" w:line="260" w:lineRule="auto"/>
        <w:tabs>
          <w:tab w:leader="none" w:pos="1766" w:val="left"/>
        </w:tabs>
        <w:numPr>
          <w:ilvl w:val="1"/>
          <w:numId w:val="116"/>
        </w:numPr>
        <w:rPr>
          <w:rFonts w:ascii="Arial" w:cs="Arial" w:eastAsia="Arial" w:hAnsi="Arial"/>
          <w:sz w:val="19"/>
          <w:szCs w:val="19"/>
          <w:b w:val="1"/>
          <w:bCs w:val="1"/>
          <w:color w:val="auto"/>
        </w:rPr>
      </w:pPr>
      <w:r>
        <w:rPr>
          <w:rFonts w:ascii="Arial" w:cs="Arial" w:eastAsia="Arial" w:hAnsi="Arial"/>
          <w:sz w:val="19"/>
          <w:szCs w:val="19"/>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tax or social security withholding obligations of the Company or an Affiliate, if any, which arise in connection with the exercise of your option.</w:t>
      </w:r>
    </w:p>
    <w:p>
      <w:pPr>
        <w:spacing w:after="0" w:line="140" w:lineRule="exact"/>
        <w:rPr>
          <w:rFonts w:ascii="Arial" w:cs="Arial" w:eastAsia="Arial" w:hAnsi="Arial"/>
          <w:sz w:val="19"/>
          <w:szCs w:val="19"/>
          <w:b w:val="1"/>
          <w:bCs w:val="1"/>
          <w:color w:val="auto"/>
        </w:rPr>
      </w:pPr>
    </w:p>
    <w:p>
      <w:pPr>
        <w:jc w:val="both"/>
        <w:ind w:firstLine="1305"/>
        <w:spacing w:after="0" w:line="246" w:lineRule="auto"/>
        <w:tabs>
          <w:tab w:leader="none" w:pos="1766" w:val="left"/>
        </w:tabs>
        <w:numPr>
          <w:ilvl w:val="1"/>
          <w:numId w:val="116"/>
        </w:numPr>
        <w:rPr>
          <w:rFonts w:ascii="Arial" w:cs="Arial" w:eastAsia="Arial" w:hAnsi="Arial"/>
          <w:sz w:val="20"/>
          <w:szCs w:val="20"/>
          <w:b w:val="1"/>
          <w:bCs w:val="1"/>
          <w:color w:val="auto"/>
        </w:rPr>
      </w:pPr>
      <w:r>
        <w:rPr>
          <w:rFonts w:ascii="Arial" w:cs="Arial" w:eastAsia="Arial" w:hAnsi="Arial"/>
          <w:sz w:val="20"/>
          <w:szCs w:val="20"/>
          <w:color w:val="auto"/>
        </w:rPr>
        <w:t>You may not exercise your option unless the tax and social security withholding obligations of the Company and/or any Affiliate are satisfied. Accordingly, you may not be able to exercise your option when desired even though your option is vested, and the Company shall have no obligation to issue a certificate for such Ordinary Shares or release such Ordinary Shares from any escrow provided for herein unless such obligations are satisfied.</w:t>
      </w:r>
    </w:p>
    <w:p>
      <w:pPr>
        <w:spacing w:after="0" w:line="151" w:lineRule="exact"/>
        <w:rPr>
          <w:rFonts w:ascii="Arial" w:cs="Arial" w:eastAsia="Arial" w:hAnsi="Arial"/>
          <w:sz w:val="20"/>
          <w:szCs w:val="20"/>
          <w:b w:val="1"/>
          <w:bCs w:val="1"/>
          <w:color w:val="auto"/>
        </w:rPr>
      </w:pPr>
    </w:p>
    <w:p>
      <w:pPr>
        <w:ind w:left="1720" w:hanging="415"/>
        <w:spacing w:after="0"/>
        <w:tabs>
          <w:tab w:leader="none" w:pos="1720" w:val="left"/>
        </w:tabs>
        <w:numPr>
          <w:ilvl w:val="1"/>
          <w:numId w:val="116"/>
        </w:numPr>
        <w:rPr>
          <w:rFonts w:ascii="Arial" w:cs="Arial" w:eastAsia="Arial" w:hAnsi="Arial"/>
          <w:sz w:val="20"/>
          <w:szCs w:val="20"/>
          <w:b w:val="1"/>
          <w:bCs w:val="1"/>
          <w:color w:val="auto"/>
        </w:rPr>
      </w:pPr>
      <w:r>
        <w:rPr>
          <w:rFonts w:ascii="Arial" w:cs="Arial" w:eastAsia="Arial" w:hAnsi="Arial"/>
          <w:sz w:val="20"/>
          <w:szCs w:val="20"/>
          <w:color w:val="auto"/>
        </w:rPr>
        <w:t>Any tax liabilities that the Company or an Affiliate is not obliged to withhold shall be your sole responsibility.</w:t>
      </w:r>
    </w:p>
    <w:p>
      <w:pPr>
        <w:spacing w:after="0" w:line="169" w:lineRule="exact"/>
        <w:rPr>
          <w:rFonts w:ascii="Arial" w:cs="Arial" w:eastAsia="Arial" w:hAnsi="Arial"/>
          <w:sz w:val="20"/>
          <w:szCs w:val="20"/>
          <w:b w:val="1"/>
          <w:bCs w:val="1"/>
          <w:color w:val="auto"/>
        </w:rPr>
      </w:pPr>
    </w:p>
    <w:p>
      <w:pPr>
        <w:jc w:val="both"/>
        <w:ind w:firstLine="656"/>
        <w:spacing w:after="0" w:line="273" w:lineRule="auto"/>
        <w:tabs>
          <w:tab w:leader="none" w:pos="1107"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TAX CONSEQUENCES</w:t>
      </w:r>
      <w:r>
        <w:rPr>
          <w:rFonts w:ascii="Arial" w:cs="Arial" w:eastAsia="Arial" w:hAnsi="Arial"/>
          <w:sz w:val="19"/>
          <w:szCs w:val="19"/>
          <w:color w:val="auto"/>
        </w:rPr>
        <w:t>. You hereby agree that the Company does not have a duty to design or administer the Plan or its other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programs in a manner that minimizes your tax liabilities. You will not make any claim against the Company, or any of its Officers, Directors, Employees or Affiliates related to tax liabilities arising from your option or your other compensation.</w:t>
      </w:r>
    </w:p>
    <w:p>
      <w:pPr>
        <w:spacing w:after="0" w:line="159" w:lineRule="exact"/>
        <w:rPr>
          <w:rFonts w:ascii="Arial" w:cs="Arial" w:eastAsia="Arial" w:hAnsi="Arial"/>
          <w:sz w:val="19"/>
          <w:szCs w:val="19"/>
          <w:b w:val="1"/>
          <w:bCs w:val="1"/>
          <w:color w:val="auto"/>
        </w:rPr>
      </w:pPr>
    </w:p>
    <w:p>
      <w:pPr>
        <w:jc w:val="both"/>
        <w:ind w:firstLine="656"/>
        <w:spacing w:after="0" w:line="280" w:lineRule="auto"/>
        <w:tabs>
          <w:tab w:leader="none" w:pos="1148"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provided for in your option or the Plan will be given in writing (including electronically)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effectively given upon receipt or, in the case of notices delivered by mail by the Company to you, fourteen (14)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w:t>
      </w:r>
    </w:p>
    <w:p>
      <w:pPr>
        <w:sectPr>
          <w:pgSz w:w="11900" w:h="16838" w:orient="portrait"/>
          <w:cols w:equalWidth="0" w:num="1">
            <w:col w:w="11420"/>
          </w:cols>
          <w:pgMar w:left="240" w:top="785" w:right="239" w:bottom="1440" w:gutter="0" w:footer="0" w:header="0"/>
        </w:sectPr>
      </w:pPr>
    </w:p>
    <w:bookmarkStart w:id="193" w:name="page194"/>
    <w:bookmarkEnd w:id="193"/>
    <w:p>
      <w:pPr>
        <w:spacing w:after="0" w:line="260" w:lineRule="auto"/>
        <w:rPr>
          <w:sz w:val="20"/>
          <w:szCs w:val="20"/>
          <w:color w:val="auto"/>
        </w:rPr>
      </w:pPr>
      <w:r>
        <w:rPr>
          <w:rFonts w:ascii="Arial" w:cs="Arial" w:eastAsia="Arial" w:hAnsi="Arial"/>
          <w:sz w:val="20"/>
          <w:szCs w:val="20"/>
          <w:color w:val="auto"/>
        </w:rPr>
        <w:t>delivery and to participate in the Plan through an on-line or electronic system established and maintained by the Company or another third party designated by the Company.</w:t>
      </w:r>
    </w:p>
    <w:p>
      <w:pPr>
        <w:spacing w:after="0" w:line="171" w:lineRule="exact"/>
        <w:rPr>
          <w:sz w:val="20"/>
          <w:szCs w:val="20"/>
          <w:color w:val="auto"/>
        </w:rPr>
      </w:pPr>
    </w:p>
    <w:p>
      <w:pPr>
        <w:jc w:val="both"/>
        <w:ind w:firstLine="656"/>
        <w:spacing w:after="0" w:line="259" w:lineRule="auto"/>
        <w:tabs>
          <w:tab w:leader="none" w:pos="1202"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AND AMENDMENTS. </w:t>
      </w:r>
      <w:r>
        <w:rPr>
          <w:rFonts w:ascii="Arial" w:cs="Arial" w:eastAsia="Arial" w:hAnsi="Arial"/>
          <w:sz w:val="19"/>
          <w:szCs w:val="19"/>
          <w:color w:val="auto"/>
        </w:rPr>
        <w:t>Your option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your option, and is further subject to all interpretations, amendments, rules and regulations, which may from time to time be promulgated and adopted pursuant to the Plan. Notwithstanding anything in the Plan to the contrary and to the extent permitted by applicable law, you hereby acknowledge and agree that this Option Agreement may be amended without your consent if the Board determines, in its discretion, that such amendment is necessary for legal, regulatory or tax reasons due to a change in the entity for which you render service. Except as otherwise explicitly provided herein, in the event of any conflict between the provisions of your option and those of the Plan, the provisions of the Plan shall control.</w:t>
      </w:r>
    </w:p>
    <w:p>
      <w:pPr>
        <w:sectPr>
          <w:pgSz w:w="11900" w:h="16838" w:orient="portrait"/>
          <w:cols w:equalWidth="0" w:num="1">
            <w:col w:w="11420"/>
          </w:cols>
          <w:pgMar w:left="240" w:top="78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IRELAND</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10.27F</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JAZZ PHARMACEUTICALS PLC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RESTRICTED STOCK UNIT GRANT NOTICE</w:t>
      </w:r>
    </w:p>
    <w:p>
      <w:pPr>
        <w:jc w:val="center"/>
        <w:spacing w:after="0"/>
        <w:rPr>
          <w:sz w:val="20"/>
          <w:szCs w:val="20"/>
          <w:color w:val="auto"/>
        </w:rPr>
      </w:pPr>
      <w:r>
        <w:rPr>
          <w:rFonts w:ascii="Arial" w:cs="Arial" w:eastAsia="Arial" w:hAnsi="Arial"/>
          <w:sz w:val="20"/>
          <w:szCs w:val="20"/>
          <w:b w:val="1"/>
          <w:bCs w:val="1"/>
          <w:color w:val="auto"/>
        </w:rPr>
        <w:t>(2007 EQUITY INCENTIVE PLAN)</w:t>
      </w:r>
    </w:p>
    <w:p>
      <w:pPr>
        <w:spacing w:after="0" w:line="200" w:lineRule="exact"/>
        <w:rPr>
          <w:sz w:val="20"/>
          <w:szCs w:val="20"/>
          <w:color w:val="auto"/>
        </w:rPr>
      </w:pP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Section 6(b) of the Company’s 2007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awards to Participant a Restricted Stock Unit Award covering the number of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set forth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This Award shall be evidenced by a Restricted Stock Unit Award Agreement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This Award is subject to all of the terms and conditions as set forth herein and in the applicable Award Agreement and the Plan, each of which are attached hereto and incorporated herein in their entirety.</w:t>
      </w:r>
    </w:p>
    <w:p>
      <w:pPr>
        <w:spacing w:after="0" w:line="195"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16"/>
          <w:szCs w:val="16"/>
          <w:u w:val="single" w:color="auto"/>
          <w:color w:val="auto"/>
        </w:rPr>
        <w:t>________________________________</w:t>
      </w:r>
    </w:p>
    <w:p>
      <w:pPr>
        <w:spacing w:after="0" w:line="1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0"/>
          <w:szCs w:val="20"/>
          <w:color w:val="auto"/>
        </w:rPr>
        <w:t>RSU#:</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19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3300" w:val="left"/>
        </w:tabs>
        <w:rPr>
          <w:sz w:val="20"/>
          <w:szCs w:val="20"/>
          <w:color w:val="auto"/>
        </w:rPr>
      </w:pPr>
      <w:r>
        <w:rPr>
          <w:rFonts w:ascii="Arial" w:cs="Arial" w:eastAsia="Arial" w:hAnsi="Arial"/>
          <w:sz w:val="20"/>
          <w:szCs w:val="20"/>
          <w:color w:val="auto"/>
        </w:rPr>
        <w:t>Vesting Commencement Date:</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2260" w:val="left"/>
        </w:tabs>
        <w:rPr>
          <w:sz w:val="20"/>
          <w:szCs w:val="20"/>
          <w:color w:val="auto"/>
        </w:rPr>
      </w:pPr>
      <w:r>
        <w:rPr>
          <w:rFonts w:ascii="Arial" w:cs="Arial" w:eastAsia="Arial" w:hAnsi="Arial"/>
          <w:sz w:val="20"/>
          <w:szCs w:val="20"/>
          <w:color w:val="auto"/>
        </w:rPr>
        <w:t>Number of RSUs:</w:t>
      </w:r>
      <w:r>
        <w:rPr>
          <w:sz w:val="20"/>
          <w:szCs w:val="20"/>
          <w:color w:val="auto"/>
        </w:rPr>
        <w:tab/>
      </w:r>
      <w:r>
        <w:rPr>
          <w:rFonts w:ascii="Arial" w:cs="Arial" w:eastAsia="Arial" w:hAnsi="Arial"/>
          <w:sz w:val="16"/>
          <w:szCs w:val="16"/>
          <w:u w:val="single" w:color="auto"/>
          <w:color w:val="auto"/>
        </w:rPr>
        <w:t>________________________________</w:t>
      </w:r>
    </w:p>
    <w:p>
      <w:pPr>
        <w:ind w:left="660"/>
        <w:spacing w:after="0"/>
        <w:tabs>
          <w:tab w:leader="none" w:pos="2000" w:val="left"/>
        </w:tabs>
        <w:rPr>
          <w:sz w:val="20"/>
          <w:szCs w:val="20"/>
          <w:color w:val="auto"/>
        </w:rPr>
      </w:pPr>
      <w:r>
        <w:rPr>
          <w:rFonts w:ascii="Arial" w:cs="Arial" w:eastAsia="Arial" w:hAnsi="Arial"/>
          <w:sz w:val="20"/>
          <w:szCs w:val="20"/>
          <w:color w:val="auto"/>
        </w:rPr>
        <w:t>Consideration:</w:t>
      </w:r>
      <w:r>
        <w:rPr>
          <w:sz w:val="20"/>
          <w:szCs w:val="20"/>
          <w:color w:val="auto"/>
        </w:rPr>
        <w:tab/>
      </w:r>
      <w:r>
        <w:rPr>
          <w:rFonts w:ascii="Arial" w:cs="Arial" w:eastAsia="Arial" w:hAnsi="Arial"/>
          <w:sz w:val="16"/>
          <w:szCs w:val="16"/>
          <w:color w:val="auto"/>
        </w:rPr>
        <w:t>Participant’s Services</w:t>
      </w:r>
    </w:p>
    <w:p>
      <w:pPr>
        <w:spacing w:after="0" w:line="200" w:lineRule="exact"/>
        <w:rPr>
          <w:sz w:val="20"/>
          <w:szCs w:val="20"/>
          <w:color w:val="auto"/>
        </w:rPr>
      </w:pPr>
    </w:p>
    <w:p>
      <w:pPr>
        <w:spacing w:after="0" w:line="237"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16"/>
          <w:szCs w:val="16"/>
          <w:color w:val="auto"/>
        </w:rPr>
        <w:t>One Ordinary Share will be issued for each RSU which vests at the time set forth in Section 4 of the Award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Data Protection: </w:t>
      </w:r>
      <w:r>
        <w:rPr>
          <w:rFonts w:ascii="Arial" w:cs="Arial" w:eastAsia="Arial" w:hAnsi="Arial"/>
          <w:sz w:val="18"/>
          <w:szCs w:val="18"/>
          <w:color w:val="auto"/>
        </w:rPr>
        <w:t>The undersigned Participant acknowledges, and understands and agrees that, in signing this Restricted Stock Unit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he/she consents to the Company and any Affiliate sharing and exchanging his/her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and Participant further consents to the Company and any Affiliate providing the Company’s or Affiliates’ agents and/or third parties with the Information for the administration and operation of the Plan. Participant accepts that this may involve the Information being sent to a country outside the European Economic Area which may not have the same level of data protection laws as Ireland. Participant acknowledges that he/she has the right to request a list of the names and addresses of any potential recipients of the Information and to review and correct the Information by contacting the local human resources representative. Participant further acknowledges that the collection, processing and transfer of the Information is important to Plan administration and that failure to consent to same may prohibit participation in the Plan.</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The undersigned Participant acknowledges receipt of, and understands and agrees to, this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Grant Notice, the Award Agreement and the Plan. Participant further acknowledges that as of the Date of Grant, this Restricted Stock Unit Grant Notice, the Award Agreement and the Plan set forth the entire understanding between Participant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763959 v12/SD</w:t>
      </w:r>
    </w:p>
    <w:p>
      <w:pPr>
        <w:sectPr>
          <w:pgSz w:w="11900" w:h="16838" w:orient="portrait"/>
          <w:cols w:equalWidth="0" w:num="1">
            <w:col w:w="11420"/>
          </w:cols>
          <w:pgMar w:left="240" w:top="873" w:right="239" w:bottom="1440" w:gutter="0" w:footer="0" w:header="0"/>
        </w:sectPr>
      </w:pPr>
    </w:p>
    <w:bookmarkStart w:id="195" w:name="page196"/>
    <w:bookmarkEnd w:id="195"/>
    <w:p>
      <w:pPr>
        <w:jc w:val="both"/>
        <w:spacing w:after="0" w:line="260" w:lineRule="auto"/>
        <w:rPr>
          <w:sz w:val="20"/>
          <w:szCs w:val="20"/>
          <w:color w:val="auto"/>
        </w:rPr>
      </w:pPr>
      <w:r>
        <w:rPr>
          <w:rFonts w:ascii="Arial" w:cs="Arial" w:eastAsia="Arial" w:hAnsi="Arial"/>
          <w:sz w:val="19"/>
          <w:szCs w:val="19"/>
          <w:color w:val="auto"/>
        </w:rPr>
        <w:t>regarding the Award and supersedes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4800" w:type="dxa"/>
            <w:vAlign w:val="bottom"/>
            <w:gridSpan w:val="5"/>
          </w:tcPr>
          <w:p>
            <w:pPr>
              <w:spacing w:after="0"/>
              <w:rPr>
                <w:sz w:val="20"/>
                <w:szCs w:val="20"/>
                <w:color w:val="auto"/>
              </w:rPr>
            </w:pPr>
            <w:r>
              <w:rPr>
                <w:rFonts w:ascii="Arial" w:cs="Arial" w:eastAsia="Arial" w:hAnsi="Arial"/>
                <w:sz w:val="20"/>
                <w:szCs w:val="20"/>
                <w:b w:val="1"/>
                <w:bCs w:val="1"/>
                <w:color w:val="auto"/>
              </w:rPr>
              <w:t>JAZZ PHARMACEUTICALS PLC</w:t>
            </w:r>
          </w:p>
        </w:tc>
        <w:tc>
          <w:tcPr>
            <w:tcW w:w="4740" w:type="dxa"/>
            <w:vAlign w:val="bottom"/>
            <w:gridSpan w:val="4"/>
          </w:tcPr>
          <w:p>
            <w:pPr>
              <w:ind w:left="780"/>
              <w:spacing w:after="0"/>
              <w:rPr>
                <w:sz w:val="20"/>
                <w:szCs w:val="20"/>
                <w:color w:val="auto"/>
              </w:rPr>
            </w:pPr>
            <w:r>
              <w:rPr>
                <w:rFonts w:ascii="Arial" w:cs="Arial" w:eastAsia="Arial" w:hAnsi="Arial"/>
                <w:sz w:val="20"/>
                <w:szCs w:val="20"/>
                <w:b w:val="1"/>
                <w:bCs w:val="1"/>
                <w:color w:val="auto"/>
              </w:rPr>
              <w:t>PARTICIPANT:</w:t>
            </w:r>
          </w:p>
        </w:tc>
      </w:tr>
      <w:tr>
        <w:trPr>
          <w:trHeight w:val="570"/>
        </w:trPr>
        <w:tc>
          <w:tcPr>
            <w:tcW w:w="4800" w:type="dxa"/>
            <w:vAlign w:val="bottom"/>
            <w:gridSpan w:val="5"/>
          </w:tcPr>
          <w:p>
            <w:pPr>
              <w:spacing w:after="0"/>
              <w:rPr>
                <w:sz w:val="20"/>
                <w:szCs w:val="20"/>
                <w:color w:val="auto"/>
              </w:rPr>
            </w:pPr>
            <w:r>
              <w:rPr>
                <w:rFonts w:ascii="Arial" w:cs="Arial" w:eastAsia="Arial" w:hAnsi="Arial"/>
                <w:sz w:val="20"/>
                <w:szCs w:val="20"/>
                <w:color w:val="auto"/>
              </w:rPr>
              <w:t>By: ____________________________________</w:t>
            </w:r>
          </w:p>
        </w:tc>
        <w:tc>
          <w:tcPr>
            <w:tcW w:w="4740" w:type="dxa"/>
            <w:vAlign w:val="bottom"/>
            <w:gridSpan w:val="4"/>
          </w:tcPr>
          <w:p>
            <w:pPr>
              <w:ind w:left="780"/>
              <w:spacing w:after="0"/>
              <w:rPr>
                <w:sz w:val="20"/>
                <w:szCs w:val="20"/>
                <w:color w:val="auto"/>
              </w:rPr>
            </w:pPr>
            <w:r>
              <w:rPr>
                <w:rFonts w:ascii="Arial" w:cs="Arial" w:eastAsia="Arial" w:hAnsi="Arial"/>
                <w:sz w:val="20"/>
                <w:szCs w:val="20"/>
                <w:color w:val="auto"/>
                <w:w w:val="98"/>
              </w:rPr>
              <w:t>____________________________________</w:t>
            </w:r>
          </w:p>
        </w:tc>
      </w:tr>
      <w:tr>
        <w:trPr>
          <w:trHeight w:val="301"/>
        </w:trPr>
        <w:tc>
          <w:tcPr>
            <w:tcW w:w="280" w:type="dxa"/>
            <w:vAlign w:val="bottom"/>
          </w:tcPr>
          <w:p>
            <w:pPr>
              <w:spacing w:after="0"/>
              <w:rPr>
                <w:sz w:val="24"/>
                <w:szCs w:val="24"/>
                <w:color w:val="auto"/>
              </w:rPr>
            </w:pPr>
          </w:p>
        </w:tc>
        <w:tc>
          <w:tcPr>
            <w:tcW w:w="3660" w:type="dxa"/>
            <w:vAlign w:val="bottom"/>
            <w:tcBorders>
              <w:top w:val="single" w:sz="8" w:color="auto"/>
            </w:tcBorders>
            <w:gridSpan w:val="2"/>
          </w:tcPr>
          <w:p>
            <w:pPr>
              <w:ind w:left="60"/>
              <w:spacing w:after="0"/>
              <w:rPr>
                <w:sz w:val="20"/>
                <w:szCs w:val="20"/>
                <w:color w:val="auto"/>
              </w:rPr>
            </w:pPr>
            <w:r>
              <w:rPr>
                <w:rFonts w:ascii="Arial" w:cs="Arial" w:eastAsia="Arial" w:hAnsi="Arial"/>
                <w:sz w:val="20"/>
                <w:szCs w:val="20"/>
                <w:color w:val="auto"/>
              </w:rPr>
              <w:t>Signature</w:t>
            </w:r>
          </w:p>
        </w:tc>
        <w:tc>
          <w:tcPr>
            <w:tcW w:w="8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3960" w:type="dxa"/>
            <w:vAlign w:val="bottom"/>
            <w:tcBorders>
              <w:top w:val="single" w:sz="8" w:color="auto"/>
            </w:tcBorders>
            <w:gridSpan w:val="3"/>
          </w:tcPr>
          <w:p>
            <w:pPr>
              <w:ind w:left="400"/>
              <w:spacing w:after="0"/>
              <w:rPr>
                <w:sz w:val="20"/>
                <w:szCs w:val="20"/>
                <w:color w:val="auto"/>
              </w:rPr>
            </w:pPr>
            <w:r>
              <w:rPr>
                <w:rFonts w:ascii="Arial" w:cs="Arial" w:eastAsia="Arial" w:hAnsi="Arial"/>
                <w:sz w:val="20"/>
                <w:szCs w:val="20"/>
                <w:color w:val="auto"/>
              </w:rPr>
              <w:t>Signature</w:t>
            </w:r>
          </w:p>
        </w:tc>
      </w:tr>
      <w:tr>
        <w:trPr>
          <w:trHeight w:val="779"/>
        </w:trPr>
        <w:tc>
          <w:tcPr>
            <w:tcW w:w="4800" w:type="dxa"/>
            <w:vAlign w:val="bottom"/>
            <w:gridSpan w:val="5"/>
          </w:tcPr>
          <w:p>
            <w:pPr>
              <w:spacing w:after="0"/>
              <w:rPr>
                <w:sz w:val="20"/>
                <w:szCs w:val="20"/>
                <w:color w:val="auto"/>
              </w:rPr>
            </w:pPr>
            <w:r>
              <w:rPr>
                <w:rFonts w:ascii="Arial" w:cs="Arial" w:eastAsia="Arial" w:hAnsi="Arial"/>
                <w:sz w:val="20"/>
                <w:szCs w:val="20"/>
                <w:color w:val="auto"/>
              </w:rPr>
              <w:t>Title: ____________________________________</w:t>
            </w:r>
          </w:p>
        </w:tc>
        <w:tc>
          <w:tcPr>
            <w:tcW w:w="4740" w:type="dxa"/>
            <w:vAlign w:val="bottom"/>
            <w:gridSpan w:val="4"/>
          </w:tcPr>
          <w:p>
            <w:pPr>
              <w:ind w:left="780"/>
              <w:spacing w:after="0"/>
              <w:rPr>
                <w:sz w:val="20"/>
                <w:szCs w:val="20"/>
                <w:color w:val="auto"/>
              </w:rPr>
            </w:pPr>
            <w:r>
              <w:rPr>
                <w:rFonts w:ascii="Arial" w:cs="Arial" w:eastAsia="Arial" w:hAnsi="Arial"/>
                <w:sz w:val="20"/>
                <w:szCs w:val="20"/>
                <w:color w:val="auto"/>
                <w:w w:val="89"/>
              </w:rPr>
              <w:t>Date: ___________________________________</w:t>
            </w: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3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4800" w:type="dxa"/>
            <w:vAlign w:val="bottom"/>
            <w:gridSpan w:val="5"/>
          </w:tcPr>
          <w:p>
            <w:pPr>
              <w:spacing w:after="0"/>
              <w:rPr>
                <w:sz w:val="20"/>
                <w:szCs w:val="20"/>
                <w:color w:val="auto"/>
              </w:rPr>
            </w:pPr>
            <w:r>
              <w:rPr>
                <w:rFonts w:ascii="Arial" w:cs="Arial" w:eastAsia="Arial" w:hAnsi="Arial"/>
                <w:sz w:val="20"/>
                <w:szCs w:val="20"/>
                <w:color w:val="auto"/>
              </w:rPr>
              <w:t>Date: ___________________________________</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 Award Agreement, 2007 Equity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763959 v12/SD</w:t>
      </w:r>
    </w:p>
    <w:p>
      <w:pPr>
        <w:sectPr>
          <w:pgSz w:w="11900" w:h="16838" w:orient="portrait"/>
          <w:cols w:equalWidth="0" w:num="1">
            <w:col w:w="11420"/>
          </w:cols>
          <w:pgMar w:left="240" w:top="879" w:right="239" w:bottom="1440" w:gutter="0" w:footer="0" w:header="0"/>
        </w:sectPr>
      </w:pPr>
    </w:p>
    <w:bookmarkStart w:id="196" w:name="page197"/>
    <w:bookmarkEnd w:id="196"/>
    <w:p>
      <w:pPr>
        <w:jc w:val="center"/>
        <w:ind w:right="-1200"/>
        <w:spacing w:after="0"/>
        <w:rPr>
          <w:sz w:val="20"/>
          <w:szCs w:val="20"/>
          <w:color w:val="auto"/>
        </w:rPr>
      </w:pPr>
      <w:r>
        <w:rPr>
          <w:rFonts w:ascii="Arial" w:cs="Arial" w:eastAsia="Arial" w:hAnsi="Arial"/>
          <w:sz w:val="20"/>
          <w:szCs w:val="20"/>
          <w:b w:val="1"/>
          <w:bCs w:val="1"/>
          <w:color w:val="auto"/>
        </w:rPr>
        <w:t>ATTACHMENT I</w:t>
      </w:r>
    </w:p>
    <w:p>
      <w:pPr>
        <w:spacing w:after="0" w:line="243" w:lineRule="exact"/>
        <w:rPr>
          <w:sz w:val="20"/>
          <w:szCs w:val="20"/>
          <w:color w:val="auto"/>
        </w:rPr>
      </w:pPr>
    </w:p>
    <w:p>
      <w:pPr>
        <w:jc w:val="right"/>
        <w:ind w:right="2159"/>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763959 v12/SD</w:t>
      </w:r>
    </w:p>
    <w:p>
      <w:pPr>
        <w:sectPr>
          <w:pgSz w:w="11900" w:h="16838" w:orient="portrait"/>
          <w:cols w:equalWidth="0" w:num="1">
            <w:col w:w="10219"/>
          </w:cols>
          <w:pgMar w:left="240" w:top="1346" w:right="1440" w:bottom="1440" w:gutter="0" w:footer="0" w:header="0"/>
        </w:sectPr>
      </w:pPr>
    </w:p>
    <w:bookmarkStart w:id="197" w:name="page198"/>
    <w:bookmarkEnd w:id="197"/>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2007 EQUITY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and this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and in consideration of your services, 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awarded you a Restricted Stock Unit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under its 2007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the number of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set forth in the Grant Notice. Capitalized terms not explicitly defined in this Agreement shall have the same meanings given to them in the Plan or the Grant Notice, as applicable. Except as otherwise explicitly provided herein, in the event of any conflict between the terms in this Agreement and the Plan, the terms of the Plan shall control.</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Award, in addition to those set forth in the Grant Notice and the Plan, are as follows.</w:t>
      </w:r>
    </w:p>
    <w:p>
      <w:pPr>
        <w:spacing w:after="0" w:line="223" w:lineRule="exact"/>
        <w:rPr>
          <w:sz w:val="20"/>
          <w:szCs w:val="20"/>
          <w:color w:val="auto"/>
        </w:rPr>
      </w:pPr>
    </w:p>
    <w:p>
      <w:pPr>
        <w:jc w:val="both"/>
        <w:ind w:firstLine="656"/>
        <w:spacing w:after="0" w:line="305" w:lineRule="auto"/>
        <w:tabs>
          <w:tab w:leader="none" w:pos="142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THE AWARD. </w:t>
      </w:r>
      <w:r>
        <w:rPr>
          <w:rFonts w:ascii="Arial" w:cs="Arial" w:eastAsia="Arial" w:hAnsi="Arial"/>
          <w:sz w:val="18"/>
          <w:szCs w:val="18"/>
          <w:color w:val="auto"/>
        </w:rPr>
        <w:t>This Award represents your right to be issued on a future date the number of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equal to the number of RSUs indicated in the Grant Notice. As of the Date of Grant, the Company will credit to a bookkeeping account maintained by the Company for your benefit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xml:space="preserve">”) the number of RSUs subject to the Award. This Award was granted in consideration of your services to the Company. Except as otherwise provided herein, you will not be required to make any payment to the Company (other than past and future services to the Company) with respect to your receipt of the Award, the vesting of the RSUs or the delivery of the Ordinary Shares to be issued in respect of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that any Ordinary Shares issued upon settlement of your Award are newly issued Ordinary Shares, you must pay in cash or by check, bank draft or money order payable to the Company an amount equal to the par value of such number of newly issued Ordinary Shares (rounded up to the nearest whole cent).</w:t>
      </w:r>
    </w:p>
    <w:p>
      <w:pPr>
        <w:spacing w:after="0" w:line="124" w:lineRule="exact"/>
        <w:rPr>
          <w:sz w:val="20"/>
          <w:szCs w:val="20"/>
          <w:color w:val="auto"/>
        </w:rPr>
      </w:pPr>
    </w:p>
    <w:p>
      <w:pPr>
        <w:ind w:left="1500" w:hanging="844"/>
        <w:spacing w:after="0"/>
        <w:tabs>
          <w:tab w:leader="none" w:pos="150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RSUS AND ORDINARY SHARES.</w:t>
      </w:r>
    </w:p>
    <w:p>
      <w:pPr>
        <w:spacing w:after="0" w:line="200" w:lineRule="exact"/>
        <w:rPr>
          <w:rFonts w:ascii="Arial" w:cs="Arial" w:eastAsia="Arial" w:hAnsi="Arial"/>
          <w:sz w:val="20"/>
          <w:szCs w:val="20"/>
          <w:b w:val="1"/>
          <w:bCs w:val="1"/>
          <w:color w:val="auto"/>
        </w:rPr>
      </w:pPr>
    </w:p>
    <w:p>
      <w:pPr>
        <w:spacing w:after="0" w:line="224" w:lineRule="exact"/>
        <w:rPr>
          <w:rFonts w:ascii="Arial" w:cs="Arial" w:eastAsia="Arial" w:hAnsi="Arial"/>
          <w:sz w:val="20"/>
          <w:szCs w:val="20"/>
          <w:b w:val="1"/>
          <w:bCs w:val="1"/>
          <w:color w:val="auto"/>
        </w:rPr>
      </w:pPr>
    </w:p>
    <w:p>
      <w:pPr>
        <w:ind w:left="2200" w:hanging="895"/>
        <w:spacing w:after="0"/>
        <w:tabs>
          <w:tab w:leader="none" w:pos="2200"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The number of RSUs subject to your Award may be adjusted from time to time for Capitalization Adjustments, as</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provided in the Plan.</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firstLine="1305"/>
        <w:spacing w:after="0" w:line="278" w:lineRule="auto"/>
        <w:tabs>
          <w:tab w:leader="none" w:pos="2126" w:val="left"/>
        </w:tabs>
        <w:numPr>
          <w:ilvl w:val="1"/>
          <w:numId w:val="119"/>
        </w:numPr>
        <w:rPr>
          <w:rFonts w:ascii="Arial" w:cs="Arial" w:eastAsia="Arial" w:hAnsi="Arial"/>
          <w:sz w:val="20"/>
          <w:szCs w:val="20"/>
          <w:b w:val="1"/>
          <w:bCs w:val="1"/>
          <w:color w:val="auto"/>
        </w:rPr>
      </w:pPr>
      <w:r>
        <w:rPr>
          <w:rFonts w:ascii="Arial" w:cs="Arial" w:eastAsia="Arial" w:hAnsi="Arial"/>
          <w:sz w:val="20"/>
          <w:szCs w:val="20"/>
          <w:color w:val="auto"/>
        </w:rPr>
        <w:t>Any additional RSUs that become subject to the Award pursuant to this Section 2 shall be subject, in a manner determined by the Board, to the same forfeiture restrictions, restrictions on transferability, and time and manner of delivery as applicable to the other RSUs covered by your Award.</w:t>
      </w:r>
    </w:p>
    <w:p>
      <w:pPr>
        <w:spacing w:after="0" w:line="362" w:lineRule="exact"/>
        <w:rPr>
          <w:rFonts w:ascii="Arial" w:cs="Arial" w:eastAsia="Arial" w:hAnsi="Arial"/>
          <w:sz w:val="20"/>
          <w:szCs w:val="20"/>
          <w:b w:val="1"/>
          <w:bCs w:val="1"/>
          <w:color w:val="auto"/>
        </w:rPr>
      </w:pPr>
    </w:p>
    <w:p>
      <w:pPr>
        <w:jc w:val="both"/>
        <w:ind w:firstLine="1305"/>
        <w:spacing w:after="0" w:line="299" w:lineRule="auto"/>
        <w:tabs>
          <w:tab w:leader="none" w:pos="2137" w:val="left"/>
        </w:tabs>
        <w:numPr>
          <w:ilvl w:val="1"/>
          <w:numId w:val="119"/>
        </w:numPr>
        <w:rPr>
          <w:rFonts w:ascii="Arial" w:cs="Arial" w:eastAsia="Arial" w:hAnsi="Arial"/>
          <w:sz w:val="19"/>
          <w:szCs w:val="19"/>
          <w:b w:val="1"/>
          <w:bCs w:val="1"/>
          <w:color w:val="auto"/>
        </w:rPr>
      </w:pPr>
      <w:r>
        <w:rPr>
          <w:rFonts w:ascii="Arial" w:cs="Arial" w:eastAsia="Arial" w:hAnsi="Arial"/>
          <w:sz w:val="19"/>
          <w:szCs w:val="19"/>
          <w:color w:val="auto"/>
        </w:rPr>
        <w:t>Notwithstanding the provisions of this Section 2, no fractional Ordinary Shares or rights for fractional Ordinary Shares shall be created pursuant to this Section 2. The Board shall, in its discretion, determine an equivalent benefit for any fractional Ordinary Shares or fractional Ordinary Shares that might be created by the adjustments referred to in this Section 2.</w:t>
      </w:r>
    </w:p>
    <w:p>
      <w:pPr>
        <w:spacing w:after="0" w:line="123" w:lineRule="exact"/>
        <w:rPr>
          <w:sz w:val="20"/>
          <w:szCs w:val="20"/>
          <w:color w:val="auto"/>
        </w:rPr>
      </w:pPr>
    </w:p>
    <w:p>
      <w:pPr>
        <w:jc w:val="both"/>
        <w:ind w:firstLine="656"/>
        <w:spacing w:after="0" w:line="281" w:lineRule="auto"/>
        <w:tabs>
          <w:tab w:leader="none" w:pos="1577"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Section 12 and the limitations contained herein, your Award will vest, if at all,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vesting schedule provided in the Grant Notice, provided that vesting will cease upon the termination of your Continuous Service. Upon such termination of</w:t>
      </w:r>
    </w:p>
    <w:p>
      <w:pPr>
        <w:sectPr>
          <w:pgSz w:w="11900" w:h="16838" w:orient="portrait"/>
          <w:cols w:equalWidth="0" w:num="1">
            <w:col w:w="11420"/>
          </w:cols>
          <w:pgMar w:left="240" w:top="616" w:right="239" w:bottom="1440" w:gutter="0" w:footer="0" w:header="0"/>
        </w:sectPr>
      </w:pPr>
    </w:p>
    <w:bookmarkStart w:id="198" w:name="page199"/>
    <w:bookmarkEnd w:id="198"/>
    <w:p>
      <w:pPr>
        <w:jc w:val="both"/>
        <w:spacing w:after="0" w:line="278" w:lineRule="auto"/>
        <w:rPr>
          <w:sz w:val="20"/>
          <w:szCs w:val="20"/>
          <w:color w:val="auto"/>
        </w:rPr>
      </w:pPr>
      <w:r>
        <w:rPr>
          <w:rFonts w:ascii="Arial" w:cs="Arial" w:eastAsia="Arial" w:hAnsi="Arial"/>
          <w:sz w:val="20"/>
          <w:szCs w:val="20"/>
          <w:color w:val="auto"/>
        </w:rPr>
        <w:t>your Continuous Service, the RSUs credited to the Account that were not vested on the date of such termination will be forfeited at no cost to the Company and you will have no further right, title or interest in such RSUs or the Ordinary Shares to be issued in respect of such portion of the Award.</w:t>
      </w:r>
    </w:p>
    <w:p>
      <w:pPr>
        <w:spacing w:after="0" w:line="14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DATE OF ISSUANCE.</w:t>
      </w:r>
    </w:p>
    <w:p>
      <w:pPr>
        <w:spacing w:after="0" w:line="200" w:lineRule="exact"/>
        <w:rPr>
          <w:sz w:val="20"/>
          <w:szCs w:val="20"/>
          <w:color w:val="auto"/>
        </w:rPr>
      </w:pPr>
    </w:p>
    <w:p>
      <w:pPr>
        <w:spacing w:after="0" w:line="211" w:lineRule="exact"/>
        <w:rPr>
          <w:sz w:val="20"/>
          <w:szCs w:val="20"/>
          <w:color w:val="auto"/>
        </w:rPr>
      </w:pPr>
    </w:p>
    <w:p>
      <w:pPr>
        <w:jc w:val="both"/>
        <w:ind w:firstLine="1305"/>
        <w:spacing w:after="0" w:line="269" w:lineRule="auto"/>
        <w:tabs>
          <w:tab w:leader="none" w:pos="1784"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The Company will deliver to you a number of Ordinary Shares equal to the number of vested RSUs subject to your Award, including any additional RSUs received pursuant to Section 2 above that relate to those vested RSUs on the applicable vesting date(s). However, if a scheduled delivery date falls on a date that is not a business day, such delivery date shall instead fall on the next following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8"/>
          <w:szCs w:val="18"/>
          <w:b w:val="1"/>
          <w:bCs w:val="1"/>
          <w:i w:val="1"/>
          <w:iCs w:val="1"/>
          <w:color w:val="auto"/>
        </w:rPr>
        <w:t>Original Distribution Date</w:t>
      </w:r>
      <w:r>
        <w:rPr>
          <w:rFonts w:ascii="Arial" w:cs="Arial" w:eastAsia="Arial" w:hAnsi="Arial"/>
          <w:sz w:val="18"/>
          <w:szCs w:val="18"/>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its tax withholding obligations by withholding Ordinary Shares from your distribution, then such Ordinary Shares shall not be delivered on such Original Distribution Date and shall instead be delivered on the first business day of the next occurring open “window period” applicable to you pursuant to the Policy (regardless of whether you are still providing Continuous Service at such time) or the next business day when you are not prohibited from selling Ordinary Shares in the open market. The form of such delivery of the Ordinary Shares (</w:t>
      </w:r>
      <w:r>
        <w:rPr>
          <w:rFonts w:ascii="Arial" w:cs="Arial" w:eastAsia="Arial" w:hAnsi="Arial"/>
          <w:sz w:val="18"/>
          <w:szCs w:val="18"/>
          <w:i w:val="1"/>
          <w:iCs w:val="1"/>
          <w:color w:val="auto"/>
        </w:rPr>
        <w:t>e.g</w:t>
      </w:r>
      <w:r>
        <w:rPr>
          <w:rFonts w:ascii="Arial" w:cs="Arial" w:eastAsia="Arial" w:hAnsi="Arial"/>
          <w:sz w:val="18"/>
          <w:szCs w:val="18"/>
          <w:color w:val="auto"/>
        </w:rPr>
        <w:t>., a share certificate or electronic entry evidencing such Ordinary Shares) shall be determined by the Company.</w:t>
      </w:r>
    </w:p>
    <w:p>
      <w:pPr>
        <w:spacing w:after="0" w:line="355" w:lineRule="exact"/>
        <w:rPr>
          <w:rFonts w:ascii="Arial" w:cs="Arial" w:eastAsia="Arial" w:hAnsi="Arial"/>
          <w:sz w:val="18"/>
          <w:szCs w:val="18"/>
          <w:b w:val="1"/>
          <w:bCs w:val="1"/>
          <w:color w:val="auto"/>
        </w:rPr>
      </w:pPr>
    </w:p>
    <w:p>
      <w:pPr>
        <w:ind w:firstLine="1305"/>
        <w:spacing w:after="0" w:line="260" w:lineRule="auto"/>
        <w:tabs>
          <w:tab w:leader="none" w:pos="1689" w:val="left"/>
        </w:tabs>
        <w:numPr>
          <w:ilvl w:val="1"/>
          <w:numId w:val="121"/>
        </w:numPr>
        <w:rPr>
          <w:rFonts w:ascii="Arial" w:cs="Arial" w:eastAsia="Arial" w:hAnsi="Arial"/>
          <w:sz w:val="20"/>
          <w:szCs w:val="20"/>
          <w:b w:val="1"/>
          <w:bCs w:val="1"/>
          <w:color w:val="auto"/>
        </w:rPr>
      </w:pPr>
      <w:r>
        <w:rPr>
          <w:rFonts w:ascii="Arial" w:cs="Arial" w:eastAsia="Arial" w:hAnsi="Arial"/>
          <w:sz w:val="20"/>
          <w:szCs w:val="20"/>
          <w:color w:val="auto"/>
        </w:rPr>
        <w:t>Notwithstanding the foregoing, if you are or become a U.S. taxpayer subject to Section 409A of the Code or any state law of similar effect, the provisions of Appendix A to this Agreement will apply instead of Section 4(a) above.</w:t>
      </w:r>
    </w:p>
    <w:p>
      <w:pPr>
        <w:spacing w:after="0" w:line="143" w:lineRule="exact"/>
        <w:rPr>
          <w:rFonts w:ascii="Arial" w:cs="Arial" w:eastAsia="Arial" w:hAnsi="Arial"/>
          <w:sz w:val="20"/>
          <w:szCs w:val="20"/>
          <w:b w:val="1"/>
          <w:bCs w:val="1"/>
          <w:color w:val="auto"/>
        </w:rPr>
      </w:pPr>
    </w:p>
    <w:p>
      <w:pPr>
        <w:jc w:val="both"/>
        <w:ind w:firstLine="656"/>
        <w:spacing w:after="0" w:line="276" w:lineRule="auto"/>
        <w:tabs>
          <w:tab w:leader="none" w:pos="1463"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DIVIDENDS. </w:t>
      </w:r>
      <w:r>
        <w:rPr>
          <w:rFonts w:ascii="Arial" w:cs="Arial" w:eastAsia="Arial" w:hAnsi="Arial"/>
          <w:sz w:val="20"/>
          <w:szCs w:val="20"/>
          <w:color w:val="auto"/>
        </w:rPr>
        <w:t>You shall receive no benefit or adjustment to your Award with respect to any cash dividend, share dividend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distribution that does not result from a Capitalization Adjustment as provided in the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this sentence shall not apply with respect to any Ordinary Shares that are delivered to you in connection with your Award after such Ordinary Shares have been delivered to you.</w:t>
      </w:r>
    </w:p>
    <w:p>
      <w:pPr>
        <w:spacing w:after="0" w:line="14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You may not be issued any Ordinary Shares in respect of your Award unless either</w:t>
      </w:r>
    </w:p>
    <w:p>
      <w:pPr>
        <w:spacing w:after="0" w:line="56" w:lineRule="exact"/>
        <w:rPr>
          <w:sz w:val="20"/>
          <w:szCs w:val="20"/>
          <w:color w:val="auto"/>
        </w:rPr>
      </w:pPr>
    </w:p>
    <w:p>
      <w:pPr>
        <w:jc w:val="both"/>
        <w:ind w:firstLine="8"/>
        <w:spacing w:after="0" w:line="274" w:lineRule="auto"/>
        <w:tabs>
          <w:tab w:leader="none" w:pos="24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Ordinary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w:t>
      </w:r>
    </w:p>
    <w:p>
      <w:pPr>
        <w:spacing w:after="0" w:line="146" w:lineRule="exact"/>
        <w:rPr>
          <w:sz w:val="20"/>
          <w:szCs w:val="20"/>
          <w:color w:val="auto"/>
        </w:rPr>
      </w:pPr>
    </w:p>
    <w:p>
      <w:pPr>
        <w:ind w:firstLine="648"/>
        <w:spacing w:after="0" w:line="295" w:lineRule="auto"/>
        <w:rPr>
          <w:sz w:val="20"/>
          <w:szCs w:val="20"/>
          <w:color w:val="auto"/>
        </w:rPr>
      </w:pPr>
      <w:r>
        <w:rPr>
          <w:rFonts w:ascii="Arial" w:cs="Arial" w:eastAsia="Arial" w:hAnsi="Arial"/>
          <w:sz w:val="20"/>
          <w:szCs w:val="20"/>
          <w:b w:val="1"/>
          <w:bCs w:val="1"/>
          <w:color w:val="auto"/>
        </w:rPr>
        <w:t xml:space="preserve">VII. RESTRICTIVE LEGENDS. </w:t>
      </w:r>
      <w:r>
        <w:rPr>
          <w:rFonts w:ascii="Arial" w:cs="Arial" w:eastAsia="Arial" w:hAnsi="Arial"/>
          <w:sz w:val="20"/>
          <w:szCs w:val="20"/>
          <w:color w:val="auto"/>
        </w:rPr>
        <w:t>The Ordinary Shares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determined by the Company.</w:t>
      </w:r>
    </w:p>
    <w:p>
      <w:pPr>
        <w:sectPr>
          <w:pgSz w:w="11900" w:h="16838" w:orient="portrait"/>
          <w:cols w:equalWidth="0" w:num="1">
            <w:col w:w="11420"/>
          </w:cols>
          <w:pgMar w:left="240" w:top="636" w:right="239" w:bottom="1440" w:gutter="0" w:footer="0" w:header="0"/>
        </w:sectPr>
      </w:pPr>
    </w:p>
    <w:bookmarkStart w:id="199" w:name="page200"/>
    <w:bookmarkEnd w:id="199"/>
    <w:p>
      <w:pPr>
        <w:jc w:val="both"/>
        <w:ind w:firstLine="648"/>
        <w:spacing w:after="0" w:line="273" w:lineRule="auto"/>
        <w:rPr>
          <w:sz w:val="20"/>
          <w:szCs w:val="20"/>
          <w:color w:val="auto"/>
        </w:rPr>
      </w:pPr>
      <w:r>
        <w:rPr>
          <w:rFonts w:ascii="Arial" w:cs="Arial" w:eastAsia="Arial" w:hAnsi="Arial"/>
          <w:sz w:val="20"/>
          <w:szCs w:val="20"/>
          <w:b w:val="1"/>
          <w:bCs w:val="1"/>
          <w:color w:val="auto"/>
        </w:rPr>
        <w:t xml:space="preserve">VIII. TRANSFER RESTRICTIONS. </w:t>
      </w:r>
      <w:r>
        <w:rPr>
          <w:rFonts w:ascii="Arial" w:cs="Arial" w:eastAsia="Arial" w:hAnsi="Arial"/>
          <w:sz w:val="20"/>
          <w:szCs w:val="20"/>
          <w:color w:val="auto"/>
        </w:rPr>
        <w:t>Your Award is not transferable, except to your legal personal representatives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event of your death. In 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4 of this Agreement. After the Ordinary Shares have been issued to you, you are free to assign, hypothecate, donate, encumber or otherwise dispose of any interest in such Ordinary Shares provided that any such actions are in compliance with the provisions herein and applicable securities laws.</w:t>
      </w:r>
    </w:p>
    <w:p>
      <w:pPr>
        <w:spacing w:after="0" w:line="14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0"/>
          <w:szCs w:val="20"/>
          <w:b w:val="1"/>
          <w:bCs w:val="1"/>
          <w:color w:val="auto"/>
        </w:rPr>
        <w:t>IX.</w:t>
      </w:r>
      <w:r>
        <w:rPr>
          <w:sz w:val="20"/>
          <w:szCs w:val="20"/>
          <w:color w:val="auto"/>
        </w:rPr>
        <w:tab/>
      </w:r>
      <w:r>
        <w:rPr>
          <w:rFonts w:ascii="Arial" w:cs="Arial" w:eastAsia="Arial" w:hAnsi="Arial"/>
          <w:sz w:val="20"/>
          <w:szCs w:val="20"/>
          <w:b w:val="1"/>
          <w:bCs w:val="1"/>
          <w:color w:val="auto"/>
        </w:rPr>
        <w:t>AWARD NOT A SERVICE CONTRACT.</w:t>
      </w:r>
    </w:p>
    <w:p>
      <w:pPr>
        <w:spacing w:after="0" w:line="200" w:lineRule="exact"/>
        <w:rPr>
          <w:sz w:val="20"/>
          <w:szCs w:val="20"/>
          <w:color w:val="auto"/>
        </w:rPr>
      </w:pPr>
    </w:p>
    <w:p>
      <w:pPr>
        <w:spacing w:after="0" w:line="211" w:lineRule="exact"/>
        <w:rPr>
          <w:sz w:val="20"/>
          <w:szCs w:val="20"/>
          <w:color w:val="auto"/>
        </w:rPr>
      </w:pPr>
    </w:p>
    <w:p>
      <w:pPr>
        <w:jc w:val="both"/>
        <w:ind w:firstLine="1305"/>
        <w:spacing w:after="0" w:line="242" w:lineRule="auto"/>
        <w:tabs>
          <w:tab w:leader="none" w:pos="1727" w:val="left"/>
        </w:tabs>
        <w:numPr>
          <w:ilvl w:val="1"/>
          <w:numId w:val="124"/>
        </w:numPr>
        <w:rPr>
          <w:rFonts w:ascii="Arial" w:cs="Arial" w:eastAsia="Arial" w:hAnsi="Arial"/>
          <w:sz w:val="20"/>
          <w:szCs w:val="20"/>
          <w:b w:val="1"/>
          <w:bCs w:val="1"/>
          <w:color w:val="auto"/>
        </w:rPr>
      </w:pPr>
      <w:r>
        <w:rPr>
          <w:rFonts w:ascii="Arial" w:cs="Arial" w:eastAsia="Arial" w:hAnsi="Arial"/>
          <w:sz w:val="20"/>
          <w:szCs w:val="20"/>
          <w:color w:val="auto"/>
        </w:rPr>
        <w:t>Nothing in this Agreement (including, but not limited to, the vesting of your Award pursuant to the schedule set forth in Section 3 herein 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an Affiliate of any right that it may have to terminate you, subject to applicable law, and without regard to any future vesting opportunity that you may have.</w:t>
      </w:r>
    </w:p>
    <w:p>
      <w:pPr>
        <w:spacing w:after="0" w:line="373" w:lineRule="exact"/>
        <w:rPr>
          <w:rFonts w:ascii="Arial" w:cs="Arial" w:eastAsia="Arial" w:hAnsi="Arial"/>
          <w:sz w:val="20"/>
          <w:szCs w:val="20"/>
          <w:b w:val="1"/>
          <w:bCs w:val="1"/>
          <w:color w:val="auto"/>
        </w:rPr>
      </w:pPr>
    </w:p>
    <w:p>
      <w:pPr>
        <w:jc w:val="both"/>
        <w:ind w:firstLine="1305"/>
        <w:spacing w:after="0" w:line="255" w:lineRule="auto"/>
        <w:tabs>
          <w:tab w:leader="none" w:pos="1777" w:val="left"/>
        </w:tabs>
        <w:numPr>
          <w:ilvl w:val="1"/>
          <w:numId w:val="124"/>
        </w:numPr>
        <w:rPr>
          <w:rFonts w:ascii="Arial" w:cs="Arial" w:eastAsia="Arial" w:hAnsi="Arial"/>
          <w:sz w:val="19"/>
          <w:szCs w:val="19"/>
          <w:b w:val="1"/>
          <w:bCs w:val="1"/>
          <w:color w:val="auto"/>
        </w:rPr>
      </w:pPr>
      <w:r>
        <w:rPr>
          <w:rFonts w:ascii="Arial" w:cs="Arial" w:eastAsia="Arial" w:hAnsi="Arial"/>
          <w:sz w:val="19"/>
          <w:szCs w:val="19"/>
          <w:color w:val="auto"/>
        </w:rPr>
        <w:t>By accepting this Award, you acknowledge and agree that the right to continue vesting in the Award pursuant to the schedule set forth in Section 3 is earned only by providing Continuous Service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to terminate your Continuous Service at any time, or any right the Company may have to terminate you, subject to applicable law.</w:t>
      </w:r>
    </w:p>
    <w:p>
      <w:pPr>
        <w:spacing w:after="0" w:line="154" w:lineRule="exact"/>
        <w:rPr>
          <w:rFonts w:ascii="Arial" w:cs="Arial" w:eastAsia="Arial" w:hAnsi="Arial"/>
          <w:sz w:val="19"/>
          <w:szCs w:val="19"/>
          <w:b w:val="1"/>
          <w:bCs w:val="1"/>
          <w:color w:val="auto"/>
        </w:rPr>
      </w:pPr>
    </w:p>
    <w:p>
      <w:pPr>
        <w:jc w:val="both"/>
        <w:ind w:firstLine="656"/>
        <w:spacing w:after="0" w:line="308" w:lineRule="auto"/>
        <w:tabs>
          <w:tab w:leader="none" w:pos="148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4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ectPr>
          <w:pgSz w:w="11900" w:h="16838" w:orient="portrait"/>
          <w:cols w:equalWidth="0" w:num="1">
            <w:col w:w="11420"/>
          </w:cols>
          <w:pgMar w:left="240" w:top="630" w:right="239" w:bottom="1440" w:gutter="0" w:footer="0" w:header="0"/>
        </w:sectPr>
      </w:pPr>
    </w:p>
    <w:bookmarkStart w:id="200" w:name="page201"/>
    <w:bookmarkEnd w:id="200"/>
    <w:p>
      <w:pPr>
        <w:spacing w:after="0"/>
        <w:tabs>
          <w:tab w:leader="none" w:pos="900" w:val="left"/>
        </w:tabs>
        <w:rPr>
          <w:sz w:val="20"/>
          <w:szCs w:val="20"/>
          <w:color w:val="auto"/>
        </w:rPr>
      </w:pPr>
      <w:r>
        <w:rPr>
          <w:rFonts w:ascii="Arial" w:cs="Arial" w:eastAsia="Arial" w:hAnsi="Arial"/>
          <w:sz w:val="20"/>
          <w:szCs w:val="20"/>
          <w:b w:val="1"/>
          <w:bCs w:val="1"/>
          <w:color w:val="auto"/>
        </w:rPr>
        <w:t>XI.</w:t>
      </w:r>
      <w:r>
        <w:rPr>
          <w:sz w:val="20"/>
          <w:szCs w:val="20"/>
          <w:color w:val="auto"/>
        </w:rPr>
        <w:tab/>
      </w:r>
      <w:r>
        <w:rPr>
          <w:rFonts w:ascii="Arial" w:cs="Arial" w:eastAsia="Arial" w:hAnsi="Arial"/>
          <w:sz w:val="20"/>
          <w:szCs w:val="20"/>
          <w:b w:val="1"/>
          <w:bCs w:val="1"/>
          <w:color w:val="auto"/>
        </w:rPr>
        <w:t>WITHHOLDING OBLIGATIONS.</w:t>
      </w:r>
    </w:p>
    <w:p>
      <w:pPr>
        <w:spacing w:after="0" w:line="200" w:lineRule="exact"/>
        <w:rPr>
          <w:sz w:val="20"/>
          <w:szCs w:val="20"/>
          <w:color w:val="auto"/>
        </w:rPr>
      </w:pPr>
    </w:p>
    <w:p>
      <w:pPr>
        <w:spacing w:after="0" w:line="211" w:lineRule="exact"/>
        <w:rPr>
          <w:sz w:val="20"/>
          <w:szCs w:val="20"/>
          <w:color w:val="auto"/>
        </w:rPr>
      </w:pPr>
    </w:p>
    <w:p>
      <w:pPr>
        <w:jc w:val="both"/>
        <w:ind w:left="-660" w:firstLine="1305"/>
        <w:spacing w:after="0" w:line="256" w:lineRule="auto"/>
        <w:tabs>
          <w:tab w:leader="none" w:pos="1041" w:val="left"/>
        </w:tabs>
        <w:numPr>
          <w:ilvl w:val="0"/>
          <w:numId w:val="126"/>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any required withholding from the Ordinary Shares issuable to you and/or otherwise agree to make adequate provision in cash for any sums required to satisfy the tax and social security withholding obligations of the Company or any Affiliate which arise in connection with your Award (the “</w:t>
      </w:r>
      <w:r>
        <w:rPr>
          <w:rFonts w:ascii="Arial" w:cs="Arial" w:eastAsia="Arial" w:hAnsi="Arial"/>
          <w:sz w:val="19"/>
          <w:szCs w:val="19"/>
          <w:b w:val="1"/>
          <w:bCs w:val="1"/>
          <w:i w:val="1"/>
          <w:iCs w:val="1"/>
          <w:color w:val="auto"/>
        </w:rPr>
        <w:t>Withholding Taxes</w:t>
      </w:r>
      <w:r>
        <w:rPr>
          <w:rFonts w:ascii="Arial" w:cs="Arial" w:eastAsia="Arial" w:hAnsi="Arial"/>
          <w:sz w:val="19"/>
          <w:szCs w:val="19"/>
          <w:color w:val="auto"/>
        </w:rPr>
        <w:t>”). Additionally, the Company may, in its sole discretion, satisfy all or any portion of the Withholding Taxes obligation relating to your Award by any of the following means or by a combination of such means: (i) withholding from any compensation otherwise payable to you by the Company;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RSUs to satisfy the Withholding Taxes and whereby the FINRA Dealer irrevocably commits to forward the proceeds necessary to satisfy the Withholding Taxes directly to the Company and/or its Affiliates.</w:t>
      </w:r>
    </w:p>
    <w:p>
      <w:pPr>
        <w:spacing w:after="0" w:line="357" w:lineRule="exact"/>
        <w:rPr>
          <w:rFonts w:ascii="Arial" w:cs="Arial" w:eastAsia="Arial" w:hAnsi="Arial"/>
          <w:sz w:val="19"/>
          <w:szCs w:val="19"/>
          <w:b w:val="1"/>
          <w:bCs w:val="1"/>
          <w:color w:val="auto"/>
        </w:rPr>
      </w:pPr>
    </w:p>
    <w:p>
      <w:pPr>
        <w:ind w:left="-660" w:right="20" w:firstLine="1305"/>
        <w:spacing w:after="0" w:line="260" w:lineRule="auto"/>
        <w:tabs>
          <w:tab w:leader="none" w:pos="1026" w:val="left"/>
        </w:tabs>
        <w:numPr>
          <w:ilvl w:val="0"/>
          <w:numId w:val="126"/>
        </w:numPr>
        <w:rPr>
          <w:rFonts w:ascii="Arial" w:cs="Arial" w:eastAsia="Arial" w:hAnsi="Arial"/>
          <w:sz w:val="20"/>
          <w:szCs w:val="20"/>
          <w:b w:val="1"/>
          <w:bCs w:val="1"/>
          <w:color w:val="auto"/>
        </w:rPr>
      </w:pPr>
      <w:r>
        <w:rPr>
          <w:rFonts w:ascii="Arial" w:cs="Arial" w:eastAsia="Arial" w:hAnsi="Arial"/>
          <w:sz w:val="20"/>
          <w:szCs w:val="20"/>
          <w:color w:val="auto"/>
        </w:rPr>
        <w:t>Unless the tax and social security withholding obligations of the Company and/or any Affiliate are satisfied, the Company shall have no obligation to deliver to you any Ordinary Shares.</w:t>
      </w:r>
    </w:p>
    <w:p>
      <w:pPr>
        <w:spacing w:after="0" w:line="352" w:lineRule="exact"/>
        <w:rPr>
          <w:rFonts w:ascii="Arial" w:cs="Arial" w:eastAsia="Arial" w:hAnsi="Arial"/>
          <w:sz w:val="20"/>
          <w:szCs w:val="20"/>
          <w:b w:val="1"/>
          <w:bCs w:val="1"/>
          <w:color w:val="auto"/>
        </w:rPr>
      </w:pPr>
    </w:p>
    <w:p>
      <w:pPr>
        <w:jc w:val="both"/>
        <w:ind w:left="-660" w:firstLine="1305"/>
        <w:spacing w:after="0" w:line="291" w:lineRule="auto"/>
        <w:tabs>
          <w:tab w:leader="none" w:pos="1027"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In the event the Company’s obligation to withhold arises prior to the delivery to you of Ordinary Shares or it is determined after the delivery of Ordinary Shares to you that the amount of the Company’s withholding obligation was greater than the amount withheld by the Company, you agree to indemnify and hold the Company harmless from any failure by the Company to withhold the proper amount.</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XII.</w:t>
      </w:r>
      <w:r>
        <w:rPr>
          <w:sz w:val="20"/>
          <w:szCs w:val="20"/>
          <w:color w:val="auto"/>
        </w:rPr>
        <w:tab/>
      </w:r>
      <w:r>
        <w:rPr>
          <w:rFonts w:ascii="Arial" w:cs="Arial" w:eastAsia="Arial" w:hAnsi="Arial"/>
          <w:sz w:val="20"/>
          <w:szCs w:val="20"/>
          <w:b w:val="1"/>
          <w:bCs w:val="1"/>
          <w:color w:val="auto"/>
        </w:rPr>
        <w:t>CHANGE IN CONTROL</w:t>
      </w:r>
      <w:r>
        <w:rPr>
          <w:rFonts w:ascii="Arial" w:cs="Arial" w:eastAsia="Arial" w:hAnsi="Arial"/>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both"/>
        <w:ind w:left="-660" w:firstLine="1305"/>
        <w:spacing w:after="0" w:line="244" w:lineRule="auto"/>
        <w:tabs>
          <w:tab w:leader="none" w:pos="1059" w:val="left"/>
        </w:tabs>
        <w:numPr>
          <w:ilvl w:val="0"/>
          <w:numId w:val="127"/>
        </w:numPr>
        <w:rPr>
          <w:rFonts w:ascii="Arial" w:cs="Arial" w:eastAsia="Arial" w:hAnsi="Arial"/>
          <w:sz w:val="20"/>
          <w:szCs w:val="20"/>
          <w:b w:val="1"/>
          <w:bCs w:val="1"/>
          <w:color w:val="auto"/>
        </w:rPr>
      </w:pPr>
      <w:r>
        <w:rPr>
          <w:rFonts w:ascii="Arial" w:cs="Arial" w:eastAsia="Arial" w:hAnsi="Arial"/>
          <w:sz w:val="20"/>
          <w:szCs w:val="20"/>
          <w:color w:val="auto"/>
        </w:rPr>
        <w:t>If your Continuous Service terminates either within twelve (12) months following or one (1) month prior to the effective date of a Change in Control due to an Involuntary Termination Without Cause, the vesting of the RSUs subject to this Award shall be accelerated in full. In order to give effect to the intent of this provision, in the event of your Involuntary Termination Without Cause, notwithstanding anything to the contrary set forth in the Plan or Section 3 of this Agreement, in no event will any portion of this Award be forfeited or terminate any earlier than one (1) month following such termination date.</w:t>
      </w:r>
    </w:p>
    <w:p>
      <w:pPr>
        <w:spacing w:after="0" w:line="370" w:lineRule="exact"/>
        <w:rPr>
          <w:rFonts w:ascii="Arial" w:cs="Arial" w:eastAsia="Arial" w:hAnsi="Arial"/>
          <w:sz w:val="20"/>
          <w:szCs w:val="20"/>
          <w:b w:val="1"/>
          <w:bCs w:val="1"/>
          <w:color w:val="auto"/>
        </w:rPr>
      </w:pPr>
    </w:p>
    <w:p>
      <w:pPr>
        <w:jc w:val="both"/>
        <w:ind w:left="-660" w:firstLine="1305"/>
        <w:spacing w:after="0" w:line="274" w:lineRule="auto"/>
        <w:tabs>
          <w:tab w:leader="none" w:pos="1076"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means the involuntary termination of your Continuous Service for reasons other than death, Disability, or Cause. For this purpose, “Cause” means the occurrence of any of the following events that has a material negative impact on the business or reputation of the Company or an Affiliate: (i) your conviction for any criminal offence (other than an offence under any road traffic legislation in Ireland, the United Kingdom or elsewhere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w:t>
      </w:r>
    </w:p>
    <w:p>
      <w:pPr>
        <w:sectPr>
          <w:pgSz w:w="11900" w:h="16838" w:orient="portrait"/>
          <w:cols w:equalWidth="0" w:num="1">
            <w:col w:w="10760"/>
          </w:cols>
          <w:pgMar w:left="900" w:top="630" w:right="239" w:bottom="1440" w:gutter="0" w:footer="0" w:header="0"/>
        </w:sectPr>
      </w:pPr>
    </w:p>
    <w:bookmarkStart w:id="201" w:name="page202"/>
    <w:bookmarkEnd w:id="201"/>
    <w:p>
      <w:pPr>
        <w:jc w:val="both"/>
        <w:spacing w:after="0" w:line="244" w:lineRule="auto"/>
        <w:rPr>
          <w:sz w:val="20"/>
          <w:szCs w:val="20"/>
          <w:color w:val="auto"/>
        </w:rPr>
      </w:pPr>
      <w:r>
        <w:rPr>
          <w:rFonts w:ascii="Arial" w:cs="Arial" w:eastAsia="Arial" w:hAnsi="Arial"/>
          <w:sz w:val="20"/>
          <w:szCs w:val="20"/>
          <w:color w:val="auto"/>
        </w:rPr>
        <w:t>your unauthorized use or disclosure of the Company’s or an Affiliate’s confidential information or trade secrets; or (v) your gross misconduct. The determination that a termination of your Continuous Service is either for Cause or without Cause shall be made by the Company (or an Affiliate, if applicable) in its sole discretion. Any determination by the Company (or an Affiliate, if applicable) that your Continuous Service was terminated by reason of dismissal without Cause for the purposes of this Agreement shall have no effect upon any determination of the rights or obligations of you or the Company for any other purpose.</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XIII. NOTICES. </w:t>
      </w:r>
      <w:r>
        <w:rPr>
          <w:rFonts w:ascii="Arial" w:cs="Arial" w:eastAsia="Arial" w:hAnsi="Arial"/>
          <w:sz w:val="19"/>
          <w:szCs w:val="19"/>
          <w:color w:val="auto"/>
        </w:rPr>
        <w:t>Any notices provided for in your Award or the Plan shall be given in writing (including electronically) and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effectively given upon receipt or, in the case of notices delivered by the Company to you, fourteen (14)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3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20"/>
          <w:szCs w:val="20"/>
          <w:b w:val="1"/>
          <w:bCs w:val="1"/>
          <w:color w:val="auto"/>
        </w:rPr>
        <w:t xml:space="preserve">XIV. HEADINGS. </w:t>
      </w:r>
      <w:r>
        <w:rPr>
          <w:rFonts w:ascii="Arial" w:cs="Arial" w:eastAsia="Arial" w:hAnsi="Arial"/>
          <w:sz w:val="20"/>
          <w:szCs w:val="20"/>
          <w:color w:val="auto"/>
        </w:rPr>
        <w:t>The headings of the Sections in this Agreement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of this Agreement or to affect the meaning of this Agreement.</w:t>
      </w:r>
    </w:p>
    <w:p>
      <w:pPr>
        <w:spacing w:after="0" w:line="1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XV. AMENDMENT. </w:t>
      </w:r>
      <w:r>
        <w:rPr>
          <w:rFonts w:ascii="Arial" w:cs="Arial" w:eastAsia="Arial" w:hAnsi="Arial"/>
          <w:sz w:val="19"/>
          <w:szCs w:val="19"/>
          <w:color w:val="auto"/>
        </w:rPr>
        <w:t>This Agreement may not be modified, amended or terminated except by an instrument in writing, signed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no such amendment adversely affecting your rights hereunder may be made without your written consent;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foregoing or anything in the Plan to the contrary and to the extent permitted by applicable law, you hereby acknowledge and agree that this Agreement may be amended without your consent if the Board determines, in its discretion, that such amendment is necessary for legal, regulatory or tax reasons due to a change in the entity for which you render service. Without limiting the foregoing, the Board reserves the right to change, by written notice to you, the provisions of this Agreement in any way it may deem necessary or advisable to carry out the purpose of the grant as a result of any change in applicable laws or regulations or any future law, regulation, ruling, or judicial decision, provided that any such change shall be applicable only to rights relating to that portion of the Award which is then subject to restrictions as provided herein.</w:t>
      </w:r>
    </w:p>
    <w:p>
      <w:pPr>
        <w:spacing w:after="0" w:line="13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b w:val="1"/>
          <w:bCs w:val="1"/>
          <w:color w:val="auto"/>
        </w:rPr>
        <w:t>XVI.</w:t>
      </w:r>
      <w:r>
        <w:rPr>
          <w:sz w:val="20"/>
          <w:szCs w:val="20"/>
          <w:color w:val="auto"/>
        </w:rPr>
        <w:tab/>
      </w:r>
      <w:r>
        <w:rPr>
          <w:rFonts w:ascii="Arial" w:cs="Arial" w:eastAsia="Arial" w:hAnsi="Arial"/>
          <w:sz w:val="20"/>
          <w:szCs w:val="20"/>
          <w:b w:val="1"/>
          <w:bCs w:val="1"/>
          <w:color w:val="auto"/>
        </w:rPr>
        <w:t>MISCELLANEOUS.</w:t>
      </w:r>
    </w:p>
    <w:p>
      <w:pPr>
        <w:spacing w:after="0" w:line="200" w:lineRule="exact"/>
        <w:rPr>
          <w:sz w:val="20"/>
          <w:szCs w:val="20"/>
          <w:color w:val="auto"/>
        </w:rPr>
      </w:pPr>
    </w:p>
    <w:p>
      <w:pPr>
        <w:spacing w:after="0" w:line="211" w:lineRule="exact"/>
        <w:rPr>
          <w:sz w:val="20"/>
          <w:szCs w:val="20"/>
          <w:color w:val="auto"/>
        </w:rPr>
      </w:pPr>
    </w:p>
    <w:p>
      <w:pPr>
        <w:jc w:val="both"/>
        <w:ind w:firstLine="1305"/>
        <w:spacing w:after="0" w:line="269" w:lineRule="auto"/>
        <w:tabs>
          <w:tab w:leader="none" w:pos="1703" w:val="left"/>
        </w:tabs>
        <w:numPr>
          <w:ilvl w:val="0"/>
          <w:numId w:val="128"/>
        </w:numPr>
        <w:rPr>
          <w:rFonts w:ascii="Arial" w:cs="Arial" w:eastAsia="Arial" w:hAnsi="Arial"/>
          <w:sz w:val="19"/>
          <w:szCs w:val="19"/>
          <w:b w:val="1"/>
          <w:bCs w:val="1"/>
          <w:color w:val="auto"/>
        </w:rPr>
      </w:pPr>
      <w:r>
        <w:rPr>
          <w:rFonts w:ascii="Arial" w:cs="Arial" w:eastAsia="Arial" w:hAnsi="Arial"/>
          <w:sz w:val="19"/>
          <w:szCs w:val="19"/>
          <w:color w:val="auto"/>
        </w:rPr>
        <w:t>The rights and obligations of the Company under your Award shall be transferable to any one or more persons or entities, and all covenants and agreements hereunder shall inure to the benefit of, and be enforceable by the Company’s successors and assigns. Your rights and obligations under your Award may only be assigned with the prior written consent of the Company.</w:t>
      </w:r>
    </w:p>
    <w:p>
      <w:pPr>
        <w:sectPr>
          <w:pgSz w:w="11900" w:h="16838" w:orient="portrait"/>
          <w:cols w:equalWidth="0" w:num="1">
            <w:col w:w="11420"/>
          </w:cols>
          <w:pgMar w:left="240" w:top="838" w:right="239" w:bottom="1440" w:gutter="0" w:footer="0" w:header="0"/>
        </w:sectPr>
      </w:pPr>
    </w:p>
    <w:bookmarkStart w:id="202" w:name="page203"/>
    <w:bookmarkEnd w:id="202"/>
    <w:p>
      <w:pPr>
        <w:ind w:firstLine="1305"/>
        <w:spacing w:after="0" w:line="260" w:lineRule="auto"/>
        <w:tabs>
          <w:tab w:leader="none" w:pos="1705" w:val="left"/>
        </w:tabs>
        <w:numPr>
          <w:ilvl w:val="0"/>
          <w:numId w:val="129"/>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352" w:lineRule="exact"/>
        <w:rPr>
          <w:rFonts w:ascii="Arial" w:cs="Arial" w:eastAsia="Arial" w:hAnsi="Arial"/>
          <w:sz w:val="20"/>
          <w:szCs w:val="20"/>
          <w:b w:val="1"/>
          <w:bCs w:val="1"/>
          <w:color w:val="auto"/>
        </w:rPr>
      </w:pPr>
    </w:p>
    <w:p>
      <w:pPr>
        <w:ind w:firstLine="1305"/>
        <w:spacing w:after="0" w:line="260" w:lineRule="auto"/>
        <w:tabs>
          <w:tab w:leader="none" w:pos="1764" w:val="left"/>
        </w:tabs>
        <w:numPr>
          <w:ilvl w:val="0"/>
          <w:numId w:val="129"/>
        </w:numPr>
        <w:rPr>
          <w:rFonts w:ascii="Arial" w:cs="Arial" w:eastAsia="Arial" w:hAnsi="Arial"/>
          <w:sz w:val="20"/>
          <w:szCs w:val="20"/>
          <w:b w:val="1"/>
          <w:bCs w:val="1"/>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352" w:lineRule="exact"/>
        <w:rPr>
          <w:rFonts w:ascii="Arial" w:cs="Arial" w:eastAsia="Arial" w:hAnsi="Arial"/>
          <w:sz w:val="20"/>
          <w:szCs w:val="20"/>
          <w:b w:val="1"/>
          <w:bCs w:val="1"/>
          <w:color w:val="auto"/>
        </w:rPr>
      </w:pPr>
    </w:p>
    <w:p>
      <w:pPr>
        <w:ind w:firstLine="1305"/>
        <w:spacing w:after="0" w:line="260" w:lineRule="auto"/>
        <w:tabs>
          <w:tab w:leader="none" w:pos="1703" w:val="left"/>
        </w:tabs>
        <w:numPr>
          <w:ilvl w:val="0"/>
          <w:numId w:val="129"/>
        </w:numPr>
        <w:rPr>
          <w:rFonts w:ascii="Arial" w:cs="Arial" w:eastAsia="Arial" w:hAnsi="Arial"/>
          <w:sz w:val="20"/>
          <w:szCs w:val="20"/>
          <w:b w:val="1"/>
          <w:bCs w:val="1"/>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352" w:lineRule="exact"/>
        <w:rPr>
          <w:rFonts w:ascii="Arial" w:cs="Arial" w:eastAsia="Arial" w:hAnsi="Arial"/>
          <w:sz w:val="20"/>
          <w:szCs w:val="20"/>
          <w:b w:val="1"/>
          <w:bCs w:val="1"/>
          <w:color w:val="auto"/>
        </w:rPr>
      </w:pPr>
    </w:p>
    <w:p>
      <w:pPr>
        <w:jc w:val="both"/>
        <w:ind w:firstLine="1305"/>
        <w:spacing w:after="0" w:line="250" w:lineRule="auto"/>
        <w:tabs>
          <w:tab w:leader="none" w:pos="1733" w:val="left"/>
        </w:tabs>
        <w:numPr>
          <w:ilvl w:val="0"/>
          <w:numId w:val="129"/>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b w:val="1"/>
          <w:bCs w:val="1"/>
          <w:color w:val="auto"/>
        </w:rPr>
        <w:t xml:space="preserve">XVII. GOVERNING PLAN DOCUMENT. </w:t>
      </w:r>
      <w:r>
        <w:rPr>
          <w:rFonts w:ascii="Arial" w:cs="Arial" w:eastAsia="Arial" w:hAnsi="Arial"/>
          <w:sz w:val="20"/>
          <w:szCs w:val="20"/>
          <w:color w:val="auto"/>
        </w:rPr>
        <w:t>Your Award is subject to all the provisions of the Plan, the provisions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are 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4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XVIII. EFFECT ON OTHER EMPLOYEE BENEFIT PLANS. </w:t>
      </w:r>
      <w:r>
        <w:rPr>
          <w:rFonts w:ascii="Arial" w:cs="Arial" w:eastAsia="Arial" w:hAnsi="Arial"/>
          <w:sz w:val="19"/>
          <w:szCs w:val="19"/>
          <w:color w:val="auto"/>
        </w:rPr>
        <w:t>The value of the Award subject to this Agreement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included 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2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color w:val="auto"/>
        </w:rPr>
        <w:t xml:space="preserve">XIX. SEVERABILITY. </w:t>
      </w:r>
      <w:r>
        <w:rPr>
          <w:rFonts w:ascii="Arial" w:cs="Arial" w:eastAsia="Arial" w:hAnsi="Arial"/>
          <w:sz w:val="20"/>
          <w:szCs w:val="20"/>
          <w:color w:val="auto"/>
        </w:rPr>
        <w:t>If all or any part of this Agreement or the Plan is declared by any court or governmental authority to</w:t>
      </w:r>
      <w:r>
        <w:rPr>
          <w:rFonts w:ascii="Arial" w:cs="Arial" w:eastAsia="Arial" w:hAnsi="Arial"/>
          <w:sz w:val="20"/>
          <w:szCs w:val="20"/>
          <w:b w:val="1"/>
          <w:bCs w:val="1"/>
          <w:color w:val="auto"/>
        </w:rPr>
        <w:t xml:space="preserve"> </w:t>
      </w:r>
      <w:r>
        <w:rPr>
          <w:rFonts w:ascii="Arial" w:cs="Arial" w:eastAsia="Arial" w:hAnsi="Arial"/>
          <w:sz w:val="20"/>
          <w:szCs w:val="20"/>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46" w:lineRule="exact"/>
        <w:rPr>
          <w:sz w:val="20"/>
          <w:szCs w:val="20"/>
          <w:color w:val="auto"/>
        </w:rPr>
      </w:pPr>
    </w:p>
    <w:p>
      <w:pPr>
        <w:jc w:val="both"/>
        <w:ind w:firstLine="656"/>
        <w:spacing w:after="0" w:line="276" w:lineRule="auto"/>
        <w:tabs>
          <w:tab w:leader="none" w:pos="1632"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or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4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XXI. NO OBLIGATION TO MINIMIZE TAXES. </w:t>
      </w:r>
      <w:r>
        <w:rPr>
          <w:rFonts w:ascii="Arial" w:cs="Arial" w:eastAsia="Arial" w:hAnsi="Arial"/>
          <w:sz w:val="20"/>
          <w:szCs w:val="20"/>
          <w:color w:val="auto"/>
        </w:rPr>
        <w:t>The Company has no duty or obligation to minimize the tax consequences</w:t>
      </w:r>
      <w:r>
        <w:rPr>
          <w:rFonts w:ascii="Arial" w:cs="Arial" w:eastAsia="Arial" w:hAnsi="Arial"/>
          <w:sz w:val="20"/>
          <w:szCs w:val="20"/>
          <w:b w:val="1"/>
          <w:bCs w:val="1"/>
          <w:color w:val="auto"/>
        </w:rPr>
        <w:t xml:space="preserve"> </w:t>
      </w:r>
      <w:r>
        <w:rPr>
          <w:rFonts w:ascii="Arial" w:cs="Arial" w:eastAsia="Arial" w:hAnsi="Arial"/>
          <w:sz w:val="20"/>
          <w:szCs w:val="20"/>
          <w:color w:val="auto"/>
        </w:rPr>
        <w:t>to you of this Award and will not be liable to you for any adverse tax consequences to you arising in connection with this Award. You are hereby advised</w:t>
      </w:r>
    </w:p>
    <w:p>
      <w:pPr>
        <w:sectPr>
          <w:pgSz w:w="11900" w:h="16838" w:orient="portrait"/>
          <w:cols w:equalWidth="0" w:num="1">
            <w:col w:w="11420"/>
          </w:cols>
          <w:pgMar w:left="240" w:top="839" w:right="239"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color w:val="auto"/>
        </w:rPr>
        <w:t>to consult with your own personal tax, financial and/or legal advisors regarding the tax consequences</w:t>
      </w:r>
    </w:p>
    <w:p>
      <w:pPr>
        <w:sectPr>
          <w:pgSz w:w="11900" w:h="16838" w:orient="portrait"/>
          <w:cols w:equalWidth="0" w:num="1">
            <w:col w:w="10219"/>
          </w:cols>
          <w:pgMar w:left="240" w:top="636" w:right="1440"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color w:val="auto"/>
        </w:rPr>
        <w:t>of this Award and by signing the Grant Notice, you have agreed that you have done so or knowingly and voluntarily declined to do so.</w:t>
      </w:r>
    </w:p>
    <w:p>
      <w:pPr>
        <w:spacing w:after="0" w:line="200" w:lineRule="exact"/>
        <w:rPr>
          <w:sz w:val="20"/>
          <w:szCs w:val="20"/>
          <w:color w:val="auto"/>
        </w:rPr>
      </w:pPr>
    </w:p>
    <w:p>
      <w:pPr>
        <w:spacing w:after="0" w:line="230" w:lineRule="exact"/>
        <w:rPr>
          <w:sz w:val="20"/>
          <w:szCs w:val="20"/>
          <w:color w:val="auto"/>
        </w:rPr>
      </w:pPr>
    </w:p>
    <w:p>
      <w:pPr>
        <w:jc w:val="center"/>
        <w:ind w:left="640"/>
        <w:spacing w:after="0"/>
        <w:rPr>
          <w:sz w:val="20"/>
          <w:szCs w:val="20"/>
          <w:color w:val="auto"/>
        </w:rPr>
      </w:pPr>
      <w:r>
        <w:rPr>
          <w:rFonts w:ascii="Arial" w:cs="Arial" w:eastAsia="Arial" w:hAnsi="Arial"/>
          <w:sz w:val="20"/>
          <w:szCs w:val="20"/>
          <w:color w:val="auto"/>
        </w:rPr>
        <w:t>* * * * *</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Restricted Stock Unit Award Agreement will be deemed to be signed by you upon the signing by you of the Restricted Stock Unit Grant Notice to which it is attached.</w:t>
      </w:r>
    </w:p>
    <w:p>
      <w:pPr>
        <w:sectPr>
          <w:pgSz w:w="11900" w:h="16838" w:orient="portrait"/>
          <w:cols w:equalWidth="0" w:num="1">
            <w:col w:w="11400"/>
          </w:cols>
          <w:pgMar w:left="240" w:top="636" w:right="259" w:bottom="1440" w:gutter="0" w:footer="0" w:header="0"/>
        </w:sectPr>
      </w:pPr>
    </w:p>
    <w:bookmarkStart w:id="205" w:name="page206"/>
    <w:bookmarkEnd w:id="205"/>
    <w:p>
      <w:pPr>
        <w:ind w:left="55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provisions set forth in this Appendix A shall apply and replace Section 4 in the Agreement to the extent you are or become a U.S. taxpayer subject to Section 409A of the Code or any state law of similar effect.</w:t>
      </w:r>
    </w:p>
    <w:p>
      <w:pPr>
        <w:spacing w:after="0" w:line="130" w:lineRule="exact"/>
        <w:rPr>
          <w:sz w:val="20"/>
          <w:szCs w:val="20"/>
          <w:color w:val="auto"/>
        </w:rPr>
      </w:pPr>
    </w:p>
    <w:p>
      <w:pPr>
        <w:ind w:left="1000" w:hanging="344"/>
        <w:spacing w:after="0"/>
        <w:tabs>
          <w:tab w:leader="none" w:pos="1000" w:val="left"/>
        </w:tabs>
        <w:numPr>
          <w:ilvl w:val="1"/>
          <w:numId w:val="131"/>
        </w:numPr>
        <w:rPr>
          <w:rFonts w:ascii="Arial" w:cs="Arial" w:eastAsia="Arial" w:hAnsi="Arial"/>
          <w:sz w:val="20"/>
          <w:szCs w:val="20"/>
          <w:b w:val="1"/>
          <w:bCs w:val="1"/>
          <w:color w:val="auto"/>
        </w:rPr>
      </w:pPr>
      <w:r>
        <w:rPr>
          <w:rFonts w:ascii="Arial" w:cs="Arial" w:eastAsia="Arial" w:hAnsi="Arial"/>
          <w:sz w:val="20"/>
          <w:szCs w:val="20"/>
          <w:b w:val="1"/>
          <w:bCs w:val="1"/>
          <w:color w:val="auto"/>
        </w:rPr>
        <w:t>DATE OF ISSUANCE.</w:t>
      </w:r>
    </w:p>
    <w:p>
      <w:pPr>
        <w:spacing w:after="0" w:line="200" w:lineRule="exact"/>
        <w:rPr>
          <w:rFonts w:ascii="Arial" w:cs="Arial" w:eastAsia="Arial" w:hAnsi="Arial"/>
          <w:sz w:val="20"/>
          <w:szCs w:val="20"/>
          <w:b w:val="1"/>
          <w:bCs w:val="1"/>
          <w:color w:val="auto"/>
        </w:rPr>
      </w:pPr>
    </w:p>
    <w:p>
      <w:pPr>
        <w:spacing w:after="0" w:line="237" w:lineRule="exact"/>
        <w:rPr>
          <w:rFonts w:ascii="Arial" w:cs="Arial" w:eastAsia="Arial" w:hAnsi="Arial"/>
          <w:sz w:val="20"/>
          <w:szCs w:val="20"/>
          <w:b w:val="1"/>
          <w:bCs w:val="1"/>
          <w:color w:val="auto"/>
        </w:rPr>
      </w:pPr>
    </w:p>
    <w:p>
      <w:pPr>
        <w:jc w:val="both"/>
        <w:ind w:firstLine="1305"/>
        <w:spacing w:after="0" w:line="269" w:lineRule="auto"/>
        <w:tabs>
          <w:tab w:leader="none" w:pos="1761" w:val="left"/>
        </w:tabs>
        <w:numPr>
          <w:ilvl w:val="2"/>
          <w:numId w:val="131"/>
        </w:numPr>
        <w:rPr>
          <w:rFonts w:ascii="Arial" w:cs="Arial" w:eastAsia="Arial" w:hAnsi="Arial"/>
          <w:sz w:val="18"/>
          <w:szCs w:val="18"/>
          <w:b w:val="1"/>
          <w:bCs w:val="1"/>
          <w:color w:val="auto"/>
        </w:rPr>
      </w:pPr>
      <w:r>
        <w:rPr>
          <w:rFonts w:ascii="Arial" w:cs="Arial" w:eastAsia="Arial" w:hAnsi="Arial"/>
          <w:sz w:val="18"/>
          <w:szCs w:val="18"/>
          <w:color w:val="auto"/>
        </w:rPr>
        <w:t>To the extent your Award is exempt from application of Section 409A of the Code and any state law of similar effect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the Company will deliver to you a number of Ordinary Shares equal to the number of vested RSUs subject to your Award, including any additional RSUs received pursuant to Section 2 above that relate to those vested RSUs on the applicable vesting date(s). However, if a scheduled delivery date falls on a date that is not a business day, such delivery date shall instead fall on the next following business day. Notwithstanding the foregoing, in the event that (i) you are subject to the Company’s Policy Regarding Stock Trading by Officers, Directors and Other Designated Employees (or any successor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or you are otherwise prohibited from selling Ordinary Shares in the open market and any Ordinary Shares covered by your Award are scheduled to be delivered on a day (the “</w:t>
      </w:r>
      <w:r>
        <w:rPr>
          <w:rFonts w:ascii="Arial" w:cs="Arial" w:eastAsia="Arial" w:hAnsi="Arial"/>
          <w:sz w:val="18"/>
          <w:szCs w:val="18"/>
          <w:b w:val="1"/>
          <w:bCs w:val="1"/>
          <w:i w:val="1"/>
          <w:i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Distribution Date</w:t>
      </w:r>
      <w:r>
        <w:rPr>
          <w:rFonts w:ascii="Arial" w:cs="Arial" w:eastAsia="Arial" w:hAnsi="Arial"/>
          <w:sz w:val="18"/>
          <w:szCs w:val="18"/>
          <w:color w:val="auto"/>
        </w:rPr>
        <w:t>”) that does not occur during an open “window period” applicable to you or a day on which you are permitted to sell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its tax withholding obligations by withholding Ordinary Shares from your distribution, then such Ordinary Shares shall not be delivered on such Original Distribution Date and shall instead be delivered on the first business day of the next occurring open “window period” applicable to you pursuant to the Policy (regardless of whether you are still providing Continuous Service at such time) or the next business day when you are not prohibited from selling Ordinary Shares in the open market, but in no event later than the fifteenth (15th) day of the third calendar month of the calendar year following the calendar year in which the Ordinary Shares covered by the Award vest. Delivery of the Ordinary Shares pursuant to the provisions of this Section 4(a)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8"/>
          <w:szCs w:val="18"/>
          <w:i w:val="1"/>
          <w:iCs w:val="1"/>
          <w:color w:val="auto"/>
        </w:rPr>
        <w:t>e.g.</w:t>
      </w:r>
      <w:r>
        <w:rPr>
          <w:rFonts w:ascii="Arial" w:cs="Arial" w:eastAsia="Arial" w:hAnsi="Arial"/>
          <w:sz w:val="18"/>
          <w:szCs w:val="18"/>
          <w:color w:val="auto"/>
        </w:rPr>
        <w:t>, a share certificate or electronic entry evidencing such Ordinary Shares) shall be determined by the Company.</w:t>
      </w:r>
    </w:p>
    <w:p>
      <w:pPr>
        <w:spacing w:after="0" w:line="345" w:lineRule="exact"/>
        <w:rPr>
          <w:rFonts w:ascii="Arial" w:cs="Arial" w:eastAsia="Arial" w:hAnsi="Arial"/>
          <w:sz w:val="18"/>
          <w:szCs w:val="18"/>
          <w:b w:val="1"/>
          <w:bCs w:val="1"/>
          <w:color w:val="auto"/>
        </w:rPr>
      </w:pPr>
    </w:p>
    <w:p>
      <w:pPr>
        <w:jc w:val="both"/>
        <w:ind w:firstLine="1305"/>
        <w:spacing w:after="0" w:line="269" w:lineRule="auto"/>
        <w:tabs>
          <w:tab w:leader="none" w:pos="1709" w:val="left"/>
        </w:tabs>
        <w:numPr>
          <w:ilvl w:val="2"/>
          <w:numId w:val="131"/>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4(b) are intended to apply to the extent your Award is subject to Section 409A because of the terms of a severance arrangement or other agreement between you and the Company, if any, that provide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and such severance benefit does not satisfy the requirements for an exemption from application of Section 409A provided under Treasury Regulations Section 1.409A-1(b)(4) or 1.409A-1(b)</w:t>
      </w:r>
    </w:p>
    <w:p>
      <w:pPr>
        <w:spacing w:after="0" w:line="3" w:lineRule="exact"/>
        <w:rPr>
          <w:rFonts w:ascii="Arial" w:cs="Arial" w:eastAsia="Arial" w:hAnsi="Arial"/>
          <w:sz w:val="18"/>
          <w:szCs w:val="18"/>
          <w:b w:val="1"/>
          <w:bCs w:val="1"/>
          <w:color w:val="auto"/>
        </w:rPr>
      </w:pPr>
    </w:p>
    <w:p>
      <w:pPr>
        <w:jc w:val="both"/>
        <w:ind w:firstLine="8"/>
        <w:spacing w:after="0" w:line="241" w:lineRule="auto"/>
        <w:tabs>
          <w:tab w:leader="none" w:pos="2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Non-Exempt Severance Arrangement</w:t>
      </w:r>
      <w:r>
        <w:rPr>
          <w:rFonts w:ascii="Arial" w:cs="Arial" w:eastAsia="Arial" w:hAnsi="Arial"/>
          <w:sz w:val="20"/>
          <w:szCs w:val="20"/>
          <w:color w:val="auto"/>
        </w:rPr>
        <w:t>”). To the extent your Award is subject to and not exempt from application of Section 409A due to application of a Non-Exempt Severance Arrangement, the following provisions in this Section 4(b) shall supersede anything to the contrary in Section 4(a).</w:t>
      </w:r>
    </w:p>
    <w:p>
      <w:pPr>
        <w:sectPr>
          <w:pgSz w:w="11900" w:h="16838" w:orient="portrait"/>
          <w:cols w:equalWidth="0" w:num="1">
            <w:col w:w="11420"/>
          </w:cols>
          <w:pgMar w:left="240" w:top="617" w:right="239" w:bottom="1440" w:gutter="0" w:footer="0" w:header="0"/>
        </w:sectPr>
      </w:pPr>
    </w:p>
    <w:bookmarkStart w:id="206" w:name="page207"/>
    <w:bookmarkEnd w:id="206"/>
    <w:p>
      <w:pPr>
        <w:jc w:val="both"/>
        <w:ind w:left="-1200" w:firstLine="1953"/>
        <w:spacing w:after="0" w:line="275" w:lineRule="auto"/>
        <w:tabs>
          <w:tab w:leader="none" w:pos="1541"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If your Award vests in the ordinary course during your Continuous Service in accordance with the vesting schedule set forth in the Grant Notice, without accelerating vesting under the terms of a Non-Exempt Severance Arrangement, in no event will the Ordinary Shares be issued in respect of your Award any later than the later of: (A)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calendar year that includes the applicable vesting date and (B)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that follows the applicable vesting date.</w:t>
      </w:r>
    </w:p>
    <w:p>
      <w:pPr>
        <w:spacing w:after="0" w:line="298" w:lineRule="exact"/>
        <w:rPr>
          <w:rFonts w:ascii="Arial" w:cs="Arial" w:eastAsia="Arial" w:hAnsi="Arial"/>
          <w:sz w:val="20"/>
          <w:szCs w:val="20"/>
          <w:color w:val="auto"/>
        </w:rPr>
      </w:pPr>
    </w:p>
    <w:p>
      <w:pPr>
        <w:jc w:val="both"/>
        <w:ind w:left="-1200" w:firstLine="1953"/>
        <w:spacing w:after="0" w:line="276" w:lineRule="auto"/>
        <w:tabs>
          <w:tab w:leader="none" w:pos="1541"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that follows the date of your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368" w:lineRule="exact"/>
        <w:rPr>
          <w:rFonts w:ascii="Arial" w:cs="Arial" w:eastAsia="Arial" w:hAnsi="Arial"/>
          <w:sz w:val="19"/>
          <w:szCs w:val="19"/>
          <w:color w:val="auto"/>
        </w:rPr>
      </w:pPr>
    </w:p>
    <w:p>
      <w:pPr>
        <w:jc w:val="both"/>
        <w:ind w:left="-1200" w:firstLine="1953"/>
        <w:spacing w:after="0" w:line="271" w:lineRule="auto"/>
        <w:tabs>
          <w:tab w:leader="none" w:pos="1541"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but the Ordinary Shares shall instead be issued on the same schedule as set forth in the Grant Notice as if they had vested in the ordinary course during your Continuous Service, notwithstanding the vesting acceleration of the Award. Such issuance schedule is intended to satisfy the requirements of payment on a specified date or pursuant to a fixed schedule, as provided under Treasury Regulations Section 1.409A-3(a)(4).</w:t>
      </w:r>
    </w:p>
    <w:p>
      <w:pPr>
        <w:spacing w:after="0" w:line="356" w:lineRule="exact"/>
        <w:rPr>
          <w:rFonts w:ascii="Arial" w:cs="Arial" w:eastAsia="Arial" w:hAnsi="Arial"/>
          <w:sz w:val="20"/>
          <w:szCs w:val="20"/>
          <w:color w:val="auto"/>
        </w:rPr>
      </w:pPr>
    </w:p>
    <w:p>
      <w:pPr>
        <w:jc w:val="both"/>
        <w:ind w:left="-1200" w:firstLine="1305"/>
        <w:spacing w:after="0" w:line="250" w:lineRule="auto"/>
        <w:tabs>
          <w:tab w:leader="none" w:pos="576" w:val="left"/>
        </w:tabs>
        <w:numPr>
          <w:ilvl w:val="0"/>
          <w:numId w:val="134"/>
        </w:numPr>
        <w:rPr>
          <w:rFonts w:ascii="Arial" w:cs="Arial" w:eastAsia="Arial" w:hAnsi="Arial"/>
          <w:sz w:val="20"/>
          <w:szCs w:val="20"/>
          <w:b w:val="1"/>
          <w:bCs w:val="1"/>
          <w:color w:val="auto"/>
        </w:rPr>
      </w:pPr>
      <w:r>
        <w:rPr>
          <w:rFonts w:ascii="Arial" w:cs="Arial" w:eastAsia="Arial" w:hAnsi="Arial"/>
          <w:sz w:val="20"/>
          <w:szCs w:val="20"/>
          <w:color w:val="auto"/>
        </w:rPr>
        <w:t>If your Award is subject to and not exempt from Section 409A (a “</w:t>
      </w:r>
      <w:r>
        <w:rPr>
          <w:rFonts w:ascii="Arial" w:cs="Arial" w:eastAsia="Arial" w:hAnsi="Arial"/>
          <w:sz w:val="20"/>
          <w:szCs w:val="20"/>
          <w:b w:val="1"/>
          <w:bCs w:val="1"/>
          <w:i w:val="1"/>
          <w:iCs w:val="1"/>
          <w:color w:val="auto"/>
        </w:rPr>
        <w:t>Non-Exempt Award</w:t>
      </w:r>
      <w:r>
        <w:rPr>
          <w:rFonts w:ascii="Arial" w:cs="Arial" w:eastAsia="Arial" w:hAnsi="Arial"/>
          <w:sz w:val="20"/>
          <w:szCs w:val="20"/>
          <w:color w:val="auto"/>
        </w:rPr>
        <w:t>”), then the provisions in this Section 4(c) shall apply and supersede anything to the contrary that may be set forth in the Plan, the Grant Notice or in any other section of this Agreement with respect to the permitted treatment of your Non-Exempt Award:</w:t>
      </w:r>
    </w:p>
    <w:p>
      <w:pPr>
        <w:spacing w:after="0" w:line="361" w:lineRule="exact"/>
        <w:rPr>
          <w:rFonts w:ascii="Arial" w:cs="Arial" w:eastAsia="Arial" w:hAnsi="Arial"/>
          <w:sz w:val="20"/>
          <w:szCs w:val="20"/>
          <w:b w:val="1"/>
          <w:bCs w:val="1"/>
          <w:color w:val="auto"/>
        </w:rPr>
      </w:pPr>
    </w:p>
    <w:p>
      <w:pPr>
        <w:jc w:val="both"/>
        <w:ind w:left="-1200" w:firstLine="1953"/>
        <w:spacing w:after="0" w:line="269" w:lineRule="auto"/>
        <w:tabs>
          <w:tab w:leader="none" w:pos="1139"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345" w:lineRule="exact"/>
        <w:rPr>
          <w:rFonts w:ascii="Arial" w:cs="Arial" w:eastAsia="Arial" w:hAnsi="Arial"/>
          <w:sz w:val="19"/>
          <w:szCs w:val="19"/>
          <w:color w:val="auto"/>
        </w:rPr>
      </w:pPr>
    </w:p>
    <w:p>
      <w:pPr>
        <w:jc w:val="both"/>
        <w:ind w:left="-1200" w:firstLine="1953"/>
        <w:spacing w:after="0" w:line="263" w:lineRule="auto"/>
        <w:tabs>
          <w:tab w:leader="none" w:pos="1088"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1.409A-3(j)(4)(ix) and (B) provide that you will receive a cash settlement equal to the Fair Market Value of the Ordinary Shares that would otherwise be issued to you, if applicable and in compliance with the requirements of Section 409A.</w:t>
      </w:r>
    </w:p>
    <w:p>
      <w:pPr>
        <w:sectPr>
          <w:pgSz w:w="11900" w:h="16838" w:orient="portrait"/>
          <w:cols w:equalWidth="0" w:num="1">
            <w:col w:w="10220"/>
          </w:cols>
          <w:pgMar w:left="1440" w:top="852" w:right="239" w:bottom="1440" w:gutter="0" w:footer="0" w:header="0"/>
        </w:sectPr>
      </w:pPr>
    </w:p>
    <w:bookmarkStart w:id="207" w:name="page208"/>
    <w:bookmarkEnd w:id="207"/>
    <w:p>
      <w:pPr>
        <w:jc w:val="both"/>
        <w:ind w:left="-1200" w:firstLine="1953"/>
        <w:spacing w:after="0" w:line="255" w:lineRule="auto"/>
        <w:tabs>
          <w:tab w:leader="none" w:pos="115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363" w:lineRule="exact"/>
        <w:rPr>
          <w:rFonts w:ascii="Arial" w:cs="Arial" w:eastAsia="Arial" w:hAnsi="Arial"/>
          <w:sz w:val="19"/>
          <w:szCs w:val="19"/>
          <w:color w:val="auto"/>
        </w:rPr>
      </w:pPr>
    </w:p>
    <w:p>
      <w:pPr>
        <w:jc w:val="both"/>
        <w:ind w:left="-1200" w:firstLine="1953"/>
        <w:spacing w:after="0" w:line="269" w:lineRule="auto"/>
        <w:tabs>
          <w:tab w:leader="none" w:pos="1162"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ectPr>
          <w:pgSz w:w="11900" w:h="16838" w:orient="portrait"/>
          <w:cols w:equalWidth="0" w:num="1">
            <w:col w:w="10220"/>
          </w:cols>
          <w:pgMar w:left="1440" w:top="839" w:right="239"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20"/>
          <w:szCs w:val="20"/>
          <w:b w:val="1"/>
          <w:bCs w:val="1"/>
          <w:color w:val="auto"/>
        </w:rPr>
        <w:t>ATTACHMENT II</w:t>
      </w:r>
    </w:p>
    <w:p>
      <w:pPr>
        <w:spacing w:after="0" w:line="216"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2007 EQUITY INCENTIVE PLAN</w:t>
      </w:r>
    </w:p>
    <w:p>
      <w:pPr>
        <w:sectPr>
          <w:pgSz w:w="11900" w:h="16838" w:orient="portrait"/>
          <w:cols w:equalWidth="0" w:num="1">
            <w:col w:w="9019"/>
          </w:cols>
          <w:pgMar w:left="1440" w:top="617"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10.28H</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JAZZ PHARMACEUTICALS PLC</w:t>
      </w:r>
    </w:p>
    <w:p>
      <w:pPr>
        <w:spacing w:after="0" w:line="2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2011 EQUITY INCENTIVE PLAN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RESTRICTED STOCK UNIT GRANT NOTICE</w:t>
      </w:r>
    </w:p>
    <w:p>
      <w:pPr>
        <w:spacing w:after="0" w:line="32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hereby awards to Participant the number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specified and on the terms set forth below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The Award is subject to all of the terms and conditions as set forth herein and in the Company’s 2011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and the Non-U.S. Restricted Stock Unit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both of which are attached hereto and incorporated herein in their entirety. Capitalized terms not explicitly defined herein but defined in the Plan or the Agreement shall have the meanings set forth in the Plan or the Agreement. Except as explicitly provided herein or in the Agreement, in the event of any conflict between the terms in the Award and the Plan, the terms of the Plan shall control.</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16"/>
          <w:szCs w:val="16"/>
          <w:u w:val="single" w:color="auto"/>
          <w:color w:val="auto"/>
        </w:rPr>
        <w:t>________________________________</w:t>
      </w:r>
    </w:p>
    <w:p>
      <w:pPr>
        <w:spacing w:after="0" w:line="15"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RSU #:</w:t>
      </w:r>
      <w:r>
        <w:rPr>
          <w:sz w:val="20"/>
          <w:szCs w:val="20"/>
          <w:color w:val="auto"/>
        </w:rPr>
        <w:tab/>
      </w:r>
      <w:r>
        <w:rPr>
          <w:rFonts w:ascii="Arial" w:cs="Arial" w:eastAsia="Arial" w:hAnsi="Arial"/>
          <w:sz w:val="16"/>
          <w:szCs w:val="16"/>
          <w:u w:val="single" w:color="auto"/>
          <w:color w:val="auto"/>
        </w:rPr>
        <w:t>________________________________</w:t>
      </w:r>
    </w:p>
    <w:p>
      <w:pPr>
        <w:spacing w:after="0"/>
        <w:tabs>
          <w:tab w:leader="none" w:pos="132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16"/>
          <w:szCs w:val="16"/>
          <w:u w:val="single" w:color="auto"/>
          <w:color w:val="auto"/>
        </w:rPr>
        <w:t>________________________________</w:t>
      </w:r>
    </w:p>
    <w:p>
      <w:pPr>
        <w:spacing w:after="0"/>
        <w:tabs>
          <w:tab w:leader="none" w:pos="2600" w:val="left"/>
        </w:tabs>
        <w:rPr>
          <w:sz w:val="20"/>
          <w:szCs w:val="20"/>
          <w:color w:val="auto"/>
        </w:rPr>
      </w:pPr>
      <w:r>
        <w:rPr>
          <w:rFonts w:ascii="Arial" w:cs="Arial" w:eastAsia="Arial" w:hAnsi="Arial"/>
          <w:sz w:val="20"/>
          <w:szCs w:val="20"/>
          <w:color w:val="auto"/>
        </w:rPr>
        <w:t>Vesting Commencement Date:</w:t>
      </w:r>
      <w:r>
        <w:rPr>
          <w:sz w:val="20"/>
          <w:szCs w:val="20"/>
          <w:color w:val="auto"/>
        </w:rPr>
        <w:tab/>
      </w:r>
      <w:r>
        <w:rPr>
          <w:rFonts w:ascii="Arial" w:cs="Arial" w:eastAsia="Arial" w:hAnsi="Arial"/>
          <w:sz w:val="16"/>
          <w:szCs w:val="16"/>
          <w:u w:val="single" w:color="auto"/>
          <w:color w:val="auto"/>
        </w:rPr>
        <w:t>________________________________</w:t>
      </w:r>
    </w:p>
    <w:p>
      <w:pPr>
        <w:spacing w:after="0"/>
        <w:tabs>
          <w:tab w:leader="none" w:pos="1620" w:val="left"/>
        </w:tabs>
        <w:rPr>
          <w:sz w:val="20"/>
          <w:szCs w:val="20"/>
          <w:color w:val="auto"/>
        </w:rPr>
      </w:pPr>
      <w:r>
        <w:rPr>
          <w:rFonts w:ascii="Arial" w:cs="Arial" w:eastAsia="Arial" w:hAnsi="Arial"/>
          <w:sz w:val="20"/>
          <w:szCs w:val="20"/>
          <w:color w:val="auto"/>
        </w:rPr>
        <w:t>Number of RSUs:</w:t>
      </w:r>
      <w:r>
        <w:rPr>
          <w:sz w:val="20"/>
          <w:szCs w:val="20"/>
          <w:color w:val="auto"/>
        </w:rPr>
        <w:tab/>
      </w:r>
      <w:r>
        <w:rPr>
          <w:rFonts w:ascii="Arial" w:cs="Arial" w:eastAsia="Arial" w:hAnsi="Arial"/>
          <w:sz w:val="16"/>
          <w:szCs w:val="16"/>
          <w:u w:val="single" w:color="auto"/>
          <w:color w:val="auto"/>
        </w:rPr>
        <w:t>________________________________</w:t>
      </w:r>
    </w:p>
    <w:p>
      <w:pPr>
        <w:spacing w:after="0"/>
        <w:rPr>
          <w:sz w:val="20"/>
          <w:szCs w:val="20"/>
          <w:color w:val="auto"/>
        </w:rPr>
      </w:pPr>
      <w:r>
        <w:rPr>
          <w:rFonts w:ascii="Arial" w:cs="Arial" w:eastAsia="Arial" w:hAnsi="Arial"/>
          <w:sz w:val="20"/>
          <w:szCs w:val="20"/>
          <w:color w:val="auto"/>
        </w:rPr>
        <w:t>Consideration:Participant’s Services</w:t>
      </w:r>
    </w:p>
    <w:p>
      <w:pPr>
        <w:ind w:left="7780"/>
        <w:spacing w:after="0"/>
        <w:rPr>
          <w:sz w:val="20"/>
          <w:szCs w:val="20"/>
          <w:color w:val="auto"/>
        </w:rPr>
      </w:pPr>
      <w:r>
        <w:rPr>
          <w:rFonts w:ascii="Arial" w:cs="Arial" w:eastAsia="Arial" w:hAnsi="Arial"/>
          <w:sz w:val="19"/>
          <w:szCs w:val="19"/>
          <w:color w:val="auto"/>
        </w:rPr>
        <w:t>(payment  of  par  value  of  newly  issued</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shares)</w:t>
      </w:r>
    </w:p>
    <w:p>
      <w:pPr>
        <w:spacing w:after="0" w:line="207"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[____________________________________]</w:t>
      </w:r>
    </w:p>
    <w:p>
      <w:pPr>
        <w:spacing w:after="0" w:line="229"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b w:val="1"/>
          <w:bCs w:val="1"/>
          <w:color w:val="auto"/>
        </w:rPr>
        <w:t>Issuance Schedule:</w:t>
      </w:r>
      <w:r>
        <w:rPr>
          <w:sz w:val="20"/>
          <w:szCs w:val="20"/>
          <w:color w:val="auto"/>
        </w:rPr>
        <w:tab/>
      </w:r>
      <w:r>
        <w:rPr>
          <w:rFonts w:ascii="Arial" w:cs="Arial" w:eastAsia="Arial" w:hAnsi="Arial"/>
          <w:sz w:val="16"/>
          <w:szCs w:val="16"/>
          <w:color w:val="auto"/>
        </w:rPr>
        <w:t>One Ordinary Share will be issued for each RSU which vests at the time set forth in Section 6 of the Agreement.</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Additional Terms/Acknowledgements: </w:t>
      </w:r>
      <w:r>
        <w:rPr>
          <w:rFonts w:ascii="Arial" w:cs="Arial" w:eastAsia="Arial" w:hAnsi="Arial"/>
          <w:sz w:val="18"/>
          <w:szCs w:val="18"/>
          <w:color w:val="auto"/>
        </w:rPr>
        <w:t>The undersigned Participant acknowledges receipt of, and understands and agrees to, this Non-U.S.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Grant Notice, the Agreement and the Plan. Participant further acknowledges that as of the Date of Grant, this Non-U.S. Restricted Stock Unit Grant Notice, the Agreement and the Plan set forth the entire understanding between Participant and the Company regarding the Award and supersede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40" w:type="dxa"/>
            <w:vAlign w:val="bottom"/>
            <w:gridSpan w:val="6"/>
          </w:tcPr>
          <w:p>
            <w:pPr>
              <w:ind w:left="160"/>
              <w:spacing w:after="0"/>
              <w:rPr>
                <w:sz w:val="20"/>
                <w:szCs w:val="20"/>
                <w:color w:val="auto"/>
              </w:rPr>
            </w:pPr>
            <w:r>
              <w:rPr>
                <w:rFonts w:ascii="Arial" w:cs="Arial" w:eastAsia="Arial" w:hAnsi="Arial"/>
                <w:sz w:val="20"/>
                <w:szCs w:val="20"/>
                <w:b w:val="1"/>
                <w:bCs w:val="1"/>
                <w:color w:val="auto"/>
              </w:rPr>
              <w:t>JAZZ PHARMACEUTICALS PLC</w:t>
            </w:r>
          </w:p>
        </w:tc>
        <w:tc>
          <w:tcPr>
            <w:tcW w:w="4760" w:type="dxa"/>
            <w:vAlign w:val="bottom"/>
            <w:gridSpan w:val="4"/>
          </w:tcPr>
          <w:p>
            <w:pPr>
              <w:ind w:left="800"/>
              <w:spacing w:after="0"/>
              <w:rPr>
                <w:sz w:val="20"/>
                <w:szCs w:val="20"/>
                <w:color w:val="auto"/>
              </w:rPr>
            </w:pPr>
            <w:r>
              <w:rPr>
                <w:rFonts w:ascii="Arial" w:cs="Arial" w:eastAsia="Arial" w:hAnsi="Arial"/>
                <w:sz w:val="20"/>
                <w:szCs w:val="20"/>
                <w:b w:val="1"/>
                <w:bCs w:val="1"/>
                <w:color w:val="auto"/>
              </w:rPr>
              <w:t>PARTICIPANT:</w:t>
            </w:r>
          </w:p>
        </w:tc>
      </w:tr>
      <w:tr>
        <w:trPr>
          <w:trHeight w:val="381"/>
        </w:trPr>
        <w:tc>
          <w:tcPr>
            <w:tcW w:w="4940" w:type="dxa"/>
            <w:vAlign w:val="bottom"/>
            <w:gridSpan w:val="6"/>
          </w:tcPr>
          <w:p>
            <w:pPr>
              <w:ind w:left="160"/>
              <w:spacing w:after="0"/>
              <w:rPr>
                <w:sz w:val="20"/>
                <w:szCs w:val="20"/>
                <w:color w:val="auto"/>
              </w:rPr>
            </w:pPr>
            <w:r>
              <w:rPr>
                <w:rFonts w:ascii="Arial" w:cs="Arial" w:eastAsia="Arial" w:hAnsi="Arial"/>
                <w:sz w:val="20"/>
                <w:szCs w:val="20"/>
                <w:color w:val="auto"/>
              </w:rPr>
              <w:t>By: ____________________________________</w:t>
            </w:r>
          </w:p>
        </w:tc>
        <w:tc>
          <w:tcPr>
            <w:tcW w:w="4760" w:type="dxa"/>
            <w:vAlign w:val="bottom"/>
            <w:gridSpan w:val="4"/>
          </w:tcPr>
          <w:p>
            <w:pPr>
              <w:ind w:left="800"/>
              <w:spacing w:after="0"/>
              <w:rPr>
                <w:sz w:val="20"/>
                <w:szCs w:val="20"/>
                <w:color w:val="auto"/>
              </w:rPr>
            </w:pPr>
            <w:r>
              <w:rPr>
                <w:rFonts w:ascii="Arial" w:cs="Arial" w:eastAsia="Arial" w:hAnsi="Arial"/>
                <w:sz w:val="20"/>
                <w:szCs w:val="20"/>
                <w:color w:val="auto"/>
                <w:w w:val="98"/>
              </w:rPr>
              <w:t>____________________________________</w:t>
            </w:r>
          </w:p>
        </w:tc>
      </w:tr>
      <w:tr>
        <w:trPr>
          <w:trHeight w:val="301"/>
        </w:trPr>
        <w:tc>
          <w:tcPr>
            <w:tcW w:w="440" w:type="dxa"/>
            <w:vAlign w:val="bottom"/>
          </w:tcPr>
          <w:p>
            <w:pPr>
              <w:spacing w:after="0"/>
              <w:rPr>
                <w:sz w:val="24"/>
                <w:szCs w:val="24"/>
                <w:color w:val="auto"/>
              </w:rPr>
            </w:pPr>
          </w:p>
        </w:tc>
        <w:tc>
          <w:tcPr>
            <w:tcW w:w="3660" w:type="dxa"/>
            <w:vAlign w:val="bottom"/>
            <w:tcBorders>
              <w:top w:val="single" w:sz="8" w:color="auto"/>
            </w:tcBorders>
            <w:gridSpan w:val="3"/>
          </w:tcPr>
          <w:p>
            <w:pPr>
              <w:ind w:left="60"/>
              <w:spacing w:after="0"/>
              <w:rPr>
                <w:sz w:val="20"/>
                <w:szCs w:val="20"/>
                <w:color w:val="auto"/>
              </w:rPr>
            </w:pPr>
            <w:r>
              <w:rPr>
                <w:rFonts w:ascii="Arial" w:cs="Arial" w:eastAsia="Arial" w:hAnsi="Arial"/>
                <w:sz w:val="20"/>
                <w:szCs w:val="20"/>
                <w:color w:val="auto"/>
              </w:rPr>
              <w:t>Signature</w:t>
            </w:r>
          </w:p>
        </w:tc>
        <w:tc>
          <w:tcPr>
            <w:tcW w:w="8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3960" w:type="dxa"/>
            <w:vAlign w:val="bottom"/>
            <w:tcBorders>
              <w:top w:val="single" w:sz="8" w:color="auto"/>
            </w:tcBorders>
            <w:gridSpan w:val="3"/>
          </w:tcPr>
          <w:p>
            <w:pPr>
              <w:ind w:left="440"/>
              <w:spacing w:after="0"/>
              <w:rPr>
                <w:sz w:val="20"/>
                <w:szCs w:val="20"/>
                <w:color w:val="auto"/>
              </w:rPr>
            </w:pPr>
            <w:r>
              <w:rPr>
                <w:rFonts w:ascii="Arial" w:cs="Arial" w:eastAsia="Arial" w:hAnsi="Arial"/>
                <w:sz w:val="20"/>
                <w:szCs w:val="20"/>
                <w:color w:val="auto"/>
              </w:rPr>
              <w:t>Signature</w:t>
            </w:r>
          </w:p>
        </w:tc>
      </w:tr>
      <w:tr>
        <w:trPr>
          <w:trHeight w:val="779"/>
        </w:trPr>
        <w:tc>
          <w:tcPr>
            <w:tcW w:w="4940" w:type="dxa"/>
            <w:vAlign w:val="bottom"/>
            <w:gridSpan w:val="6"/>
          </w:tcPr>
          <w:p>
            <w:pPr>
              <w:ind w:left="160"/>
              <w:spacing w:after="0"/>
              <w:rPr>
                <w:sz w:val="20"/>
                <w:szCs w:val="20"/>
                <w:color w:val="auto"/>
              </w:rPr>
            </w:pPr>
            <w:r>
              <w:rPr>
                <w:rFonts w:ascii="Arial" w:cs="Arial" w:eastAsia="Arial" w:hAnsi="Arial"/>
                <w:sz w:val="20"/>
                <w:szCs w:val="20"/>
                <w:color w:val="auto"/>
              </w:rPr>
              <w:t>Title: ____________________________________</w:t>
            </w:r>
          </w:p>
        </w:tc>
        <w:tc>
          <w:tcPr>
            <w:tcW w:w="4760" w:type="dxa"/>
            <w:vAlign w:val="bottom"/>
            <w:gridSpan w:val="4"/>
          </w:tcPr>
          <w:p>
            <w:pPr>
              <w:ind w:left="800"/>
              <w:spacing w:after="0"/>
              <w:rPr>
                <w:sz w:val="20"/>
                <w:szCs w:val="20"/>
                <w:color w:val="auto"/>
              </w:rPr>
            </w:pPr>
            <w:r>
              <w:rPr>
                <w:rFonts w:ascii="Arial" w:cs="Arial" w:eastAsia="Arial" w:hAnsi="Arial"/>
                <w:sz w:val="20"/>
                <w:szCs w:val="20"/>
                <w:color w:val="auto"/>
                <w:w w:val="89"/>
              </w:rPr>
              <w:t>Date: ___________________________________</w:t>
            </w:r>
          </w:p>
        </w:tc>
      </w:tr>
      <w:tr>
        <w:trPr>
          <w:trHeight w:val="20"/>
        </w:trPr>
        <w:tc>
          <w:tcPr>
            <w:tcW w:w="600" w:type="dxa"/>
            <w:vAlign w:val="bottom"/>
            <w:tcBorders>
              <w:right w:val="single" w:sz="8" w:color="auto"/>
            </w:tcBorders>
            <w:gridSpan w:val="2"/>
          </w:tcPr>
          <w:p>
            <w:pPr>
              <w:spacing w:after="0" w:line="20" w:lineRule="exact"/>
              <w:rPr>
                <w:sz w:val="1"/>
                <w:szCs w:val="1"/>
                <w:color w:val="auto"/>
              </w:rPr>
            </w:pPr>
          </w:p>
        </w:tc>
        <w:tc>
          <w:tcPr>
            <w:tcW w:w="3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4940" w:type="dxa"/>
            <w:vAlign w:val="bottom"/>
            <w:gridSpan w:val="6"/>
          </w:tcPr>
          <w:p>
            <w:pPr>
              <w:ind w:left="160"/>
              <w:spacing w:after="0"/>
              <w:rPr>
                <w:sz w:val="20"/>
                <w:szCs w:val="20"/>
                <w:color w:val="auto"/>
              </w:rPr>
            </w:pPr>
            <w:r>
              <w:rPr>
                <w:rFonts w:ascii="Arial" w:cs="Arial" w:eastAsia="Arial" w:hAnsi="Arial"/>
                <w:sz w:val="20"/>
                <w:szCs w:val="20"/>
                <w:color w:val="auto"/>
              </w:rPr>
              <w:t>Date: ___________________________________</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3"/>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gridSpan w:val="2"/>
          </w:tcPr>
          <w:p>
            <w:pPr>
              <w:jc w:val="right"/>
              <w:ind w:right="361"/>
              <w:spacing w:after="0"/>
              <w:rPr>
                <w:sz w:val="20"/>
                <w:szCs w:val="20"/>
                <w:color w:val="auto"/>
              </w:rPr>
            </w:pPr>
            <w:r>
              <w:rPr>
                <w:rFonts w:ascii="Arial" w:cs="Arial" w:eastAsia="Arial" w:hAnsi="Arial"/>
                <w:sz w:val="18"/>
                <w:szCs w:val="18"/>
                <w:color w:val="auto"/>
              </w:rPr>
              <w:t>1</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4940" w:type="dxa"/>
            <w:vAlign w:val="bottom"/>
            <w:gridSpan w:val="6"/>
          </w:tcPr>
          <w:p>
            <w:pPr>
              <w:spacing w:after="0"/>
              <w:rPr>
                <w:sz w:val="20"/>
                <w:szCs w:val="20"/>
                <w:color w:val="auto"/>
              </w:rPr>
            </w:pPr>
            <w:r>
              <w:rPr>
                <w:rFonts w:ascii="Arial" w:cs="Arial" w:eastAsia="Arial" w:hAnsi="Arial"/>
                <w:sz w:val="14"/>
                <w:szCs w:val="14"/>
                <w:color w:val="auto"/>
              </w:rPr>
              <w:t>804536 v1/SD</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b w:val="1"/>
          <w:bCs w:val="1"/>
          <w:color w:val="auto"/>
        </w:rPr>
        <w:t>ATTACHMENTS</w:t>
      </w:r>
      <w:r>
        <w:rPr>
          <w:rFonts w:ascii="Arial" w:cs="Arial" w:eastAsia="Arial" w:hAnsi="Arial"/>
          <w:sz w:val="20"/>
          <w:szCs w:val="20"/>
          <w:color w:val="auto"/>
        </w:rPr>
        <w:t>: Agreement, 2011 Equity Incentive Plan</w:t>
      </w:r>
    </w:p>
    <w:p>
      <w:pPr>
        <w:spacing w:after="0" w:line="200" w:lineRule="exact"/>
        <w:rPr>
          <w:sz w:val="20"/>
          <w:szCs w:val="20"/>
          <w:color w:val="auto"/>
        </w:rPr>
      </w:pPr>
    </w:p>
    <w:p>
      <w:pPr>
        <w:spacing w:after="0" w:line="25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0219"/>
          </w:cols>
          <w:pgMar w:left="240" w:top="806" w:right="1440" w:bottom="1440" w:gutter="0" w:footer="0" w:header="0"/>
        </w:sectPr>
      </w:pPr>
    </w:p>
    <w:bookmarkStart w:id="211" w:name="page212"/>
    <w:bookmarkEnd w:id="211"/>
    <w:p>
      <w:pPr>
        <w:jc w:val="center"/>
        <w:ind w:right="-1200"/>
        <w:spacing w:after="0"/>
        <w:rPr>
          <w:sz w:val="20"/>
          <w:szCs w:val="20"/>
          <w:color w:val="auto"/>
        </w:rPr>
      </w:pPr>
      <w:r>
        <w:rPr>
          <w:rFonts w:ascii="Arial" w:cs="Arial" w:eastAsia="Arial" w:hAnsi="Arial"/>
          <w:sz w:val="20"/>
          <w:szCs w:val="20"/>
          <w:b w:val="1"/>
          <w:bCs w:val="1"/>
          <w:color w:val="auto"/>
        </w:rPr>
        <w:t>ATTACHMENT I</w:t>
      </w:r>
    </w:p>
    <w:p>
      <w:pPr>
        <w:spacing w:after="0" w:line="216" w:lineRule="exact"/>
        <w:rPr>
          <w:sz w:val="20"/>
          <w:szCs w:val="20"/>
          <w:color w:val="auto"/>
        </w:rPr>
      </w:pPr>
    </w:p>
    <w:p>
      <w:pPr>
        <w:jc w:val="right"/>
        <w:ind w:right="2099"/>
        <w:spacing w:after="0"/>
        <w:rPr>
          <w:sz w:val="20"/>
          <w:szCs w:val="20"/>
          <w:color w:val="auto"/>
        </w:rPr>
      </w:pPr>
      <w:r>
        <w:rPr>
          <w:rFonts w:ascii="Arial" w:cs="Arial" w:eastAsia="Arial" w:hAnsi="Arial"/>
          <w:sz w:val="20"/>
          <w:szCs w:val="20"/>
          <w:b w:val="1"/>
          <w:bCs w:val="1"/>
          <w:color w:val="auto"/>
        </w:rPr>
        <w:t>NON-U.S.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0219"/>
          </w:cols>
          <w:pgMar w:left="240" w:top="657" w:right="1440" w:bottom="1440" w:gutter="0" w:footer="0" w:header="0"/>
        </w:sectPr>
      </w:pPr>
    </w:p>
    <w:bookmarkStart w:id="212" w:name="page213"/>
    <w:bookmarkEnd w:id="212"/>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2011 EQUITY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NON-U.S. RESTRICTED STOCK UNIT AGREEMENT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Pursuant to the Non-U.S. Restricted Stock Unit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Non-U.S. Restricted Stock Unit Agreement, including any country-specific appendix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in consideration of your services,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under its 2011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set forth in the Grant Notice. Capitalized terms not explicitly defined in this Agreement shall have the same meanings given to them in the Plan or the Grant Notice, as applicable. Except as otherwise explicitly provided herein, in the event of any conflict between the terms in this Agreement and the Plan, the terms of the Plan shall control.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Award, in addition to those set forth in the Grant Notice and the Plan, are as follows.</w:t>
      </w:r>
    </w:p>
    <w:p>
      <w:pPr>
        <w:spacing w:after="0" w:line="223" w:lineRule="exact"/>
        <w:rPr>
          <w:sz w:val="20"/>
          <w:szCs w:val="20"/>
          <w:color w:val="auto"/>
        </w:rPr>
      </w:pPr>
    </w:p>
    <w:p>
      <w:pPr>
        <w:jc w:val="both"/>
        <w:ind w:firstLine="656"/>
        <w:spacing w:after="0" w:line="287" w:lineRule="auto"/>
        <w:tabs>
          <w:tab w:leader="none" w:pos="1445"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THE AWARD. </w:t>
      </w:r>
      <w:r>
        <w:rPr>
          <w:rFonts w:ascii="Arial" w:cs="Arial" w:eastAsia="Arial" w:hAnsi="Arial"/>
          <w:sz w:val="19"/>
          <w:szCs w:val="19"/>
          <w:color w:val="auto"/>
        </w:rPr>
        <w:t>This Award represents your right to be issued on a future date the number of Ordinary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equal to the number of RSUs indicated in the Grant Notice. As of the Date of Grant, the Company will credit to a bookkeeping account maintained by the Company for your benefit (the “</w:t>
      </w:r>
      <w:r>
        <w:rPr>
          <w:rFonts w:ascii="Arial" w:cs="Arial" w:eastAsia="Arial" w:hAnsi="Arial"/>
          <w:sz w:val="19"/>
          <w:szCs w:val="19"/>
          <w:b w:val="1"/>
          <w:bCs w:val="1"/>
          <w:i w:val="1"/>
          <w:iCs w:val="1"/>
          <w:color w:val="auto"/>
        </w:rPr>
        <w:t>Account</w:t>
      </w:r>
      <w:r>
        <w:rPr>
          <w:rFonts w:ascii="Arial" w:cs="Arial" w:eastAsia="Arial" w:hAnsi="Arial"/>
          <w:sz w:val="19"/>
          <w:szCs w:val="19"/>
          <w:color w:val="auto"/>
        </w:rPr>
        <w:t xml:space="preserve">”) the number of RSUs subject to the Award. This Award was granted in consideration of your services to the Company or one of its Affiliates. Except as otherwise provided herein, you will not be required to make any payment to the Company (other than past and future services to the Company or its Affiliates) with respect to your receipt of the Award, the vesting of the RSUs or the delivery of the Ordinary Shares to be issued in respect of the Award; </w:t>
      </w:r>
      <w:r>
        <w:rPr>
          <w:rFonts w:ascii="Arial" w:cs="Arial" w:eastAsia="Arial" w:hAnsi="Arial"/>
          <w:sz w:val="19"/>
          <w:szCs w:val="19"/>
          <w:i w:val="1"/>
          <w:iCs w:val="1"/>
          <w:color w:val="auto"/>
        </w:rPr>
        <w:t>provided, however</w:t>
      </w:r>
      <w:r>
        <w:rPr>
          <w:rFonts w:ascii="Arial" w:cs="Arial" w:eastAsia="Arial" w:hAnsi="Arial"/>
          <w:sz w:val="19"/>
          <w:szCs w:val="19"/>
          <w:color w:val="auto"/>
        </w:rPr>
        <w:t>, that to the extent that any Ordinary Shares issued upon settlement of your Award are newly issued Ordinary Shares, a payment must be received by the Company of an amount equal to the par value of such number of newly issued Ordinary Shares (rounded up to the nearest whole cent) in cash, by check, bank draft or money order payable to the Company</w:t>
      </w:r>
    </w:p>
    <w:p>
      <w:pPr>
        <w:spacing w:after="0" w:line="174" w:lineRule="exact"/>
        <w:rPr>
          <w:rFonts w:ascii="Arial" w:cs="Arial" w:eastAsia="Arial" w:hAnsi="Arial"/>
          <w:sz w:val="19"/>
          <w:szCs w:val="19"/>
          <w:b w:val="1"/>
          <w:bCs w:val="1"/>
          <w:color w:val="auto"/>
        </w:rPr>
      </w:pPr>
    </w:p>
    <w:p>
      <w:pPr>
        <w:jc w:val="both"/>
        <w:ind w:firstLine="656"/>
        <w:spacing w:after="0" w:line="274" w:lineRule="auto"/>
        <w:tabs>
          <w:tab w:leader="none" w:pos="1445"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Section 11 and the limitations contained herein, your Award will vest, if at all,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schedule provided in the Grant Notice, provided that vesting will cease upon the termination of your Continuous Service. Upon such termination of your Continuous Service, the RSUs credited to the Account that were not vested on the date of such termination will be forfeited at no cost to the Company and you will have no further right, title or interest in such RSUs or the Ordinary Shares to be issued in respect of such portion of the Award.</w:t>
      </w:r>
    </w:p>
    <w:p>
      <w:pPr>
        <w:spacing w:after="0" w:line="186" w:lineRule="exact"/>
        <w:rPr>
          <w:rFonts w:ascii="Arial" w:cs="Arial" w:eastAsia="Arial" w:hAnsi="Arial"/>
          <w:sz w:val="20"/>
          <w:szCs w:val="20"/>
          <w:b w:val="1"/>
          <w:bCs w:val="1"/>
          <w:color w:val="auto"/>
        </w:rPr>
      </w:pPr>
    </w:p>
    <w:p>
      <w:pPr>
        <w:ind w:left="1460" w:hanging="804"/>
        <w:spacing w:after="0"/>
        <w:tabs>
          <w:tab w:leader="none" w:pos="146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RSUS AND ORDINARY SHARES.</w:t>
      </w:r>
    </w:p>
    <w:p>
      <w:pPr>
        <w:spacing w:after="0" w:line="248" w:lineRule="exact"/>
        <w:rPr>
          <w:rFonts w:ascii="Arial" w:cs="Arial" w:eastAsia="Arial" w:hAnsi="Arial"/>
          <w:sz w:val="20"/>
          <w:szCs w:val="20"/>
          <w:b w:val="1"/>
          <w:bCs w:val="1"/>
          <w:color w:val="auto"/>
        </w:rPr>
      </w:pPr>
    </w:p>
    <w:p>
      <w:pPr>
        <w:ind w:left="2240" w:hanging="935"/>
        <w:spacing w:after="0"/>
        <w:tabs>
          <w:tab w:leader="none" w:pos="2240"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The number of RSUs subject to your Award may be adjusted from time to time for Capitalization Adjustments, as</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provided in the Plan.</w:t>
      </w:r>
    </w:p>
    <w:p>
      <w:pPr>
        <w:spacing w:after="0" w:line="242" w:lineRule="exact"/>
        <w:rPr>
          <w:rFonts w:ascii="Arial" w:cs="Arial" w:eastAsia="Arial" w:hAnsi="Arial"/>
          <w:sz w:val="18"/>
          <w:szCs w:val="18"/>
          <w:b w:val="1"/>
          <w:bCs w:val="1"/>
          <w:color w:val="auto"/>
        </w:rPr>
      </w:pPr>
    </w:p>
    <w:p>
      <w:pPr>
        <w:jc w:val="both"/>
        <w:ind w:firstLine="1305"/>
        <w:spacing w:after="0" w:line="278" w:lineRule="auto"/>
        <w:tabs>
          <w:tab w:leader="none" w:pos="2187" w:val="left"/>
        </w:tabs>
        <w:numPr>
          <w:ilvl w:val="1"/>
          <w:numId w:val="136"/>
        </w:numPr>
        <w:rPr>
          <w:rFonts w:ascii="Arial" w:cs="Arial" w:eastAsia="Arial" w:hAnsi="Arial"/>
          <w:sz w:val="20"/>
          <w:szCs w:val="20"/>
          <w:b w:val="1"/>
          <w:bCs w:val="1"/>
          <w:color w:val="auto"/>
        </w:rPr>
      </w:pPr>
      <w:r>
        <w:rPr>
          <w:rFonts w:ascii="Arial" w:cs="Arial" w:eastAsia="Arial" w:hAnsi="Arial"/>
          <w:sz w:val="20"/>
          <w:szCs w:val="20"/>
          <w:color w:val="auto"/>
        </w:rPr>
        <w:t>Any additional RSUs that become subject to the Award pursuant to this Section 3 shall be subject, in a manner determined by the Board, to the same forfeiture restrictions, restrictions on transferability, and time and manner of delivery as applicable to the other RSUs covered by your Award.</w:t>
      </w:r>
    </w:p>
    <w:p>
      <w:pPr>
        <w:spacing w:after="0" w:line="186" w:lineRule="exact"/>
        <w:rPr>
          <w:rFonts w:ascii="Arial" w:cs="Arial" w:eastAsia="Arial" w:hAnsi="Arial"/>
          <w:sz w:val="20"/>
          <w:szCs w:val="20"/>
          <w:b w:val="1"/>
          <w:bCs w:val="1"/>
          <w:color w:val="auto"/>
        </w:rPr>
      </w:pPr>
    </w:p>
    <w:p>
      <w:pPr>
        <w:jc w:val="both"/>
        <w:ind w:firstLine="1305"/>
        <w:spacing w:after="0" w:line="299" w:lineRule="auto"/>
        <w:tabs>
          <w:tab w:leader="none" w:pos="2164" w:val="left"/>
        </w:tabs>
        <w:numPr>
          <w:ilvl w:val="1"/>
          <w:numId w:val="136"/>
        </w:numPr>
        <w:rPr>
          <w:rFonts w:ascii="Arial" w:cs="Arial" w:eastAsia="Arial" w:hAnsi="Arial"/>
          <w:sz w:val="19"/>
          <w:szCs w:val="19"/>
          <w:b w:val="1"/>
          <w:bCs w:val="1"/>
          <w:color w:val="auto"/>
        </w:rPr>
      </w:pPr>
      <w:r>
        <w:rPr>
          <w:rFonts w:ascii="Arial" w:cs="Arial" w:eastAsia="Arial" w:hAnsi="Arial"/>
          <w:sz w:val="19"/>
          <w:szCs w:val="19"/>
          <w:color w:val="auto"/>
        </w:rPr>
        <w:t>Notwithstanding the provisions of this Section 3, no fractional Ordinary Shares or rights for fractional Ordinary Shares shall be created pursuant to this Section 3. The Board shall, in its discretion, determine an equivalent benefit for any fractional Ordinary Shares or fractional Ordinary Shares that might be created by the adjustments referred to in this Section 3.</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57" w:right="239" w:bottom="1440" w:gutter="0" w:footer="0" w:header="0"/>
        </w:sectPr>
      </w:pPr>
    </w:p>
    <w:bookmarkStart w:id="213" w:name="page214"/>
    <w:bookmarkEnd w:id="213"/>
    <w:p>
      <w:pPr>
        <w:ind w:left="1460" w:hanging="804"/>
        <w:spacing w:after="0"/>
        <w:tabs>
          <w:tab w:leader="none" w:pos="146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You may not be issued any Ordinary Shares in respect of your Award unless either</w:t>
      </w:r>
    </w:p>
    <w:p>
      <w:pPr>
        <w:spacing w:after="0" w:line="55" w:lineRule="exact"/>
        <w:rPr>
          <w:rFonts w:ascii="Arial" w:cs="Arial" w:eastAsia="Arial" w:hAnsi="Arial"/>
          <w:sz w:val="18"/>
          <w:szCs w:val="18"/>
          <w:b w:val="1"/>
          <w:bCs w:val="1"/>
          <w:color w:val="auto"/>
        </w:rPr>
      </w:pPr>
    </w:p>
    <w:p>
      <w:pPr>
        <w:jc w:val="both"/>
        <w:ind w:firstLine="8"/>
        <w:spacing w:after="0" w:line="310" w:lineRule="auto"/>
        <w:tabs>
          <w:tab w:leader="none" w:pos="2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Ordinary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56" w:lineRule="exact"/>
        <w:rPr>
          <w:rFonts w:ascii="Arial" w:cs="Arial" w:eastAsia="Arial" w:hAnsi="Arial"/>
          <w:sz w:val="18"/>
          <w:szCs w:val="18"/>
          <w:color w:val="auto"/>
        </w:rPr>
      </w:pPr>
    </w:p>
    <w:p>
      <w:pPr>
        <w:jc w:val="both"/>
        <w:ind w:firstLine="656"/>
        <w:spacing w:after="0" w:line="290" w:lineRule="auto"/>
        <w:tabs>
          <w:tab w:leader="none" w:pos="1445" w:val="left"/>
        </w:tabs>
        <w:numPr>
          <w:ilvl w:val="1"/>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Your Award is not transferable, except by will or by the laws of descent and distribution.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6 of this Agreement. After the Ordinary Shares have been issued to you, you are free to assign, hypothecate, donate, encumber or otherwise dispose of any interest in such Ordinary Shares provided that any such actions are in compliance with the provisions herein (including the country-specific appendix hereto) and applicable securities laws.</w:t>
      </w:r>
    </w:p>
    <w:p>
      <w:pPr>
        <w:spacing w:after="0" w:line="171" w:lineRule="exact"/>
        <w:rPr>
          <w:rFonts w:ascii="Arial" w:cs="Arial" w:eastAsia="Arial" w:hAnsi="Arial"/>
          <w:sz w:val="19"/>
          <w:szCs w:val="19"/>
          <w:b w:val="1"/>
          <w:bCs w:val="1"/>
          <w:color w:val="auto"/>
        </w:rPr>
      </w:pPr>
    </w:p>
    <w:p>
      <w:pPr>
        <w:ind w:left="1460" w:hanging="804"/>
        <w:spacing w:after="0"/>
        <w:tabs>
          <w:tab w:leader="none" w:pos="1460" w:val="left"/>
        </w:tabs>
        <w:numPr>
          <w:ilvl w:val="1"/>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DATE OF ISSUANCE.</w:t>
      </w:r>
    </w:p>
    <w:p>
      <w:pPr>
        <w:spacing w:after="0" w:line="235" w:lineRule="exact"/>
        <w:rPr>
          <w:rFonts w:ascii="Arial" w:cs="Arial" w:eastAsia="Arial" w:hAnsi="Arial"/>
          <w:sz w:val="20"/>
          <w:szCs w:val="20"/>
          <w:b w:val="1"/>
          <w:bCs w:val="1"/>
          <w:color w:val="auto"/>
        </w:rPr>
      </w:pPr>
    </w:p>
    <w:p>
      <w:pPr>
        <w:jc w:val="both"/>
        <w:ind w:firstLine="1305"/>
        <w:spacing w:after="0" w:line="268" w:lineRule="auto"/>
        <w:tabs>
          <w:tab w:leader="none" w:pos="1738" w:val="left"/>
        </w:tabs>
        <w:numPr>
          <w:ilvl w:val="2"/>
          <w:numId w:val="138"/>
        </w:numPr>
        <w:rPr>
          <w:rFonts w:ascii="Arial" w:cs="Arial" w:eastAsia="Arial" w:hAnsi="Arial"/>
          <w:sz w:val="18"/>
          <w:szCs w:val="18"/>
          <w:b w:val="1"/>
          <w:bCs w:val="1"/>
          <w:color w:val="auto"/>
        </w:rPr>
      </w:pPr>
      <w:r>
        <w:rPr>
          <w:rFonts w:ascii="Arial" w:cs="Arial" w:eastAsia="Arial" w:hAnsi="Arial"/>
          <w:sz w:val="18"/>
          <w:szCs w:val="18"/>
          <w:color w:val="auto"/>
        </w:rPr>
        <w:t>To the extent your Award is exempt from application of Section 409A of the Code and any state or foreign law of similar effect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the Company will deliver to you a number of Ordinary Shares equal to the number of vested RSUs subject to your Award, including any additional RSUs received pursuant to Section 3 above that relate to those vested RSUs on the applicable vesting date(s). However, if a scheduled delivery date falls on a date that is not a U.S. business day, such delivery date shall instead fall on the next following U.S. business day. Notwithstanding the foregoing, in the event that (i) you are subject to the Company’s Policy Regarding Stock Trading by Executive Officers, Directors and Other Designated Employees (or any successor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8"/>
          <w:szCs w:val="18"/>
          <w:b w:val="1"/>
          <w:bCs w:val="1"/>
          <w:i w:val="1"/>
          <w:iCs w:val="1"/>
          <w:color w:val="auto"/>
        </w:rPr>
        <w:t>Original Distribution Date</w:t>
      </w:r>
      <w:r>
        <w:rPr>
          <w:rFonts w:ascii="Arial" w:cs="Arial" w:eastAsia="Arial" w:hAnsi="Arial"/>
          <w:sz w:val="18"/>
          <w:szCs w:val="18"/>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any Tax-Related Items (defined below) by withholding Ordinary Shares from your distribution, then such Ordinary Shares shall not be delivered on such Original Distribution Date and shall instead be delivered on the first U.S. business day of the next occurring open “window period” applicable to you pursuant to the Policy (regardless of whether you are still providing Continuous Service at such time) or the next U.S. business day when you are not prohibited from selling Ordinary Shares in the open market, but in no event later than the fifteenth (15th) day of the third calendar month of the calendar year following the calendar year in which the Ordinary Shares covered by the Award vest. Delivery of the Ordinary Shares pursuant to the provisions of this Section 6(a)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8"/>
          <w:szCs w:val="18"/>
          <w:i w:val="1"/>
          <w:iCs w:val="1"/>
          <w:color w:val="auto"/>
        </w:rPr>
        <w:t>e.g.</w:t>
      </w:r>
      <w:r>
        <w:rPr>
          <w:rFonts w:ascii="Arial" w:cs="Arial" w:eastAsia="Arial" w:hAnsi="Arial"/>
          <w:sz w:val="18"/>
          <w:szCs w:val="18"/>
          <w:color w:val="auto"/>
        </w:rPr>
        <w:t>, a share certificate or electronic entry evidencing such Ordinary Shares) shall be determined by the Company.</w:t>
      </w: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ind w:firstLine="1305"/>
        <w:spacing w:after="0" w:line="260" w:lineRule="auto"/>
        <w:tabs>
          <w:tab w:leader="none" w:pos="1758" w:val="left"/>
        </w:tabs>
        <w:numPr>
          <w:ilvl w:val="2"/>
          <w:numId w:val="138"/>
        </w:numPr>
        <w:rPr>
          <w:rFonts w:ascii="Arial" w:cs="Arial" w:eastAsia="Arial" w:hAnsi="Arial"/>
          <w:sz w:val="20"/>
          <w:szCs w:val="20"/>
          <w:b w:val="1"/>
          <w:bCs w:val="1"/>
          <w:color w:val="auto"/>
        </w:rPr>
      </w:pPr>
      <w:r>
        <w:rPr>
          <w:rFonts w:ascii="Arial" w:cs="Arial" w:eastAsia="Arial" w:hAnsi="Arial"/>
          <w:sz w:val="20"/>
          <w:szCs w:val="20"/>
          <w:color w:val="auto"/>
        </w:rPr>
        <w:t>The provisions of this Section 6(b) are intended to apply to the extent you are a U.S. taxpayer and your Award is subject to Section 409A because of the terms of a severance arrangement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71" w:right="239" w:bottom="1440" w:gutter="0" w:footer="0" w:header="0"/>
        </w:sectPr>
      </w:pPr>
    </w:p>
    <w:bookmarkStart w:id="214" w:name="page215"/>
    <w:bookmarkEnd w:id="214"/>
    <w:p>
      <w:pPr>
        <w:jc w:val="both"/>
        <w:spacing w:after="0" w:line="258" w:lineRule="auto"/>
        <w:rPr>
          <w:sz w:val="20"/>
          <w:szCs w:val="20"/>
          <w:color w:val="auto"/>
        </w:rPr>
      </w:pPr>
      <w:r>
        <w:rPr>
          <w:rFonts w:ascii="Arial" w:cs="Arial" w:eastAsia="Arial" w:hAnsi="Arial"/>
          <w:sz w:val="19"/>
          <w:szCs w:val="19"/>
          <w:color w:val="auto"/>
        </w:rPr>
        <w:t>other agreement between you and the Company, if any, that provide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severance benefit does not satisfy the requirements for an exemption from application of Section 409A provided under Treasury Regulations Section 1.409A-1(b)(4) or 1.409A-1(b)(9) (“</w:t>
      </w:r>
      <w:r>
        <w:rPr>
          <w:rFonts w:ascii="Arial" w:cs="Arial" w:eastAsia="Arial" w:hAnsi="Arial"/>
          <w:sz w:val="19"/>
          <w:szCs w:val="19"/>
          <w:b w:val="1"/>
          <w:bCs w:val="1"/>
          <w:i w:val="1"/>
          <w:iCs w:val="1"/>
          <w:color w:val="auto"/>
        </w:rPr>
        <w:t>Non-Exempt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Arrangement</w:t>
      </w:r>
      <w:r>
        <w:rPr>
          <w:rFonts w:ascii="Arial" w:cs="Arial" w:eastAsia="Arial" w:hAnsi="Arial"/>
          <w:sz w:val="19"/>
          <w:szCs w:val="19"/>
          <w:color w:val="auto"/>
        </w:rPr>
        <w:t>”). If you are not a U.S. taxpayer, this section 6(b) shall not apply to you. To the extent your Award is subject to and not exempt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application of Section 409A due to application of a Non-Exempt Severance Arrangement, the following provisions in this Section 6(b) shall supersede anything to the contrary in Section 6(a).</w:t>
      </w:r>
    </w:p>
    <w:p>
      <w:pPr>
        <w:spacing w:after="0" w:line="193" w:lineRule="exact"/>
        <w:rPr>
          <w:sz w:val="20"/>
          <w:szCs w:val="20"/>
          <w:color w:val="auto"/>
        </w:rPr>
      </w:pPr>
    </w:p>
    <w:p>
      <w:pPr>
        <w:jc w:val="both"/>
        <w:ind w:firstLine="1953"/>
        <w:spacing w:after="0" w:line="275" w:lineRule="auto"/>
        <w:tabs>
          <w:tab w:leader="none" w:pos="2780" w:val="left"/>
        </w:tabs>
        <w:numPr>
          <w:ilvl w:val="1"/>
          <w:numId w:val="139"/>
        </w:numPr>
        <w:rPr>
          <w:rFonts w:ascii="Arial" w:cs="Arial" w:eastAsia="Arial" w:hAnsi="Arial"/>
          <w:sz w:val="20"/>
          <w:szCs w:val="20"/>
          <w:b w:val="1"/>
          <w:bCs w:val="1"/>
          <w:color w:val="auto"/>
        </w:rPr>
      </w:pPr>
      <w:r>
        <w:rPr>
          <w:rFonts w:ascii="Arial" w:cs="Arial" w:eastAsia="Arial" w:hAnsi="Arial"/>
          <w:sz w:val="20"/>
          <w:szCs w:val="20"/>
          <w:color w:val="auto"/>
        </w:rPr>
        <w:t>If your Award vests in the ordinary course during your Continuous Service in accordance with the vesting schedule set forth in the Grant Notice, without accelerating vesting under the terms of a Non-Exempt Severance Arrangement, in no event will the Ordinary Shares be issued in respect of your Award any later than the later of: (A)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the calendar year that includes the applicable vesting date and (B)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that follows the applicable vesting date.</w:t>
      </w:r>
    </w:p>
    <w:p>
      <w:pPr>
        <w:spacing w:after="0" w:line="122" w:lineRule="exact"/>
        <w:rPr>
          <w:rFonts w:ascii="Arial" w:cs="Arial" w:eastAsia="Arial" w:hAnsi="Arial"/>
          <w:sz w:val="20"/>
          <w:szCs w:val="20"/>
          <w:b w:val="1"/>
          <w:bCs w:val="1"/>
          <w:color w:val="auto"/>
        </w:rPr>
      </w:pPr>
    </w:p>
    <w:p>
      <w:pPr>
        <w:jc w:val="both"/>
        <w:ind w:firstLine="1953"/>
        <w:spacing w:after="0" w:line="276" w:lineRule="auto"/>
        <w:tabs>
          <w:tab w:leader="none" w:pos="2835" w:val="left"/>
        </w:tabs>
        <w:numPr>
          <w:ilvl w:val="1"/>
          <w:numId w:val="139"/>
        </w:numPr>
        <w:rPr>
          <w:rFonts w:ascii="Arial" w:cs="Arial" w:eastAsia="Arial" w:hAnsi="Arial"/>
          <w:sz w:val="19"/>
          <w:szCs w:val="19"/>
          <w:b w:val="1"/>
          <w:bCs w:val="1"/>
          <w:color w:val="auto"/>
        </w:rPr>
      </w:pPr>
      <w:r>
        <w:rPr>
          <w:rFonts w:ascii="Arial" w:cs="Arial" w:eastAsia="Arial" w:hAnsi="Arial"/>
          <w:sz w:val="19"/>
          <w:szCs w:val="19"/>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that follows the date of your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92" w:lineRule="exact"/>
        <w:rPr>
          <w:rFonts w:ascii="Arial" w:cs="Arial" w:eastAsia="Arial" w:hAnsi="Arial"/>
          <w:sz w:val="19"/>
          <w:szCs w:val="19"/>
          <w:b w:val="1"/>
          <w:bCs w:val="1"/>
          <w:color w:val="auto"/>
        </w:rPr>
      </w:pPr>
    </w:p>
    <w:p>
      <w:pPr>
        <w:jc w:val="both"/>
        <w:ind w:firstLine="1953"/>
        <w:spacing w:after="0" w:line="271" w:lineRule="auto"/>
        <w:tabs>
          <w:tab w:leader="none" w:pos="2890" w:val="left"/>
        </w:tabs>
        <w:numPr>
          <w:ilvl w:val="1"/>
          <w:numId w:val="139"/>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but the Ordinary Shares shall instead be issued on the same schedule as set forth in the Grant Notice as if they had vested in the ordinary course during your Continuous Service, notwithstanding the vesting acceleration of the Award. Such issuance schedule is intended to satisfy the requirements of payment on a specified date or pursuant to a fixed schedule, as provided under Treasury Regulations Section 1.409A-3(a)(4).</w:t>
      </w:r>
    </w:p>
    <w:p>
      <w:pPr>
        <w:spacing w:after="0" w:line="180" w:lineRule="exact"/>
        <w:rPr>
          <w:rFonts w:ascii="Arial" w:cs="Arial" w:eastAsia="Arial" w:hAnsi="Arial"/>
          <w:sz w:val="20"/>
          <w:szCs w:val="20"/>
          <w:b w:val="1"/>
          <w:bCs w:val="1"/>
          <w:color w:val="auto"/>
        </w:rPr>
      </w:pPr>
    </w:p>
    <w:p>
      <w:pPr>
        <w:jc w:val="both"/>
        <w:ind w:firstLine="1305"/>
        <w:spacing w:after="0" w:line="269" w:lineRule="auto"/>
        <w:tabs>
          <w:tab w:leader="none" w:pos="1771" w:val="left"/>
        </w:tabs>
        <w:numPr>
          <w:ilvl w:val="0"/>
          <w:numId w:val="140"/>
        </w:numPr>
        <w:rPr>
          <w:rFonts w:ascii="Arial" w:cs="Arial" w:eastAsia="Arial" w:hAnsi="Arial"/>
          <w:sz w:val="19"/>
          <w:szCs w:val="19"/>
          <w:b w:val="1"/>
          <w:bCs w:val="1"/>
          <w:color w:val="auto"/>
        </w:rPr>
      </w:pPr>
      <w:r>
        <w:rPr>
          <w:rFonts w:ascii="Arial" w:cs="Arial" w:eastAsia="Arial" w:hAnsi="Arial"/>
          <w:sz w:val="19"/>
          <w:szCs w:val="19"/>
          <w:color w:val="auto"/>
        </w:rPr>
        <w:t>If you are a U.S. taxpayer and your Award is subject to and not exempt from Section 409A (a “</w:t>
      </w:r>
      <w:r>
        <w:rPr>
          <w:rFonts w:ascii="Arial" w:cs="Arial" w:eastAsia="Arial" w:hAnsi="Arial"/>
          <w:sz w:val="19"/>
          <w:szCs w:val="19"/>
          <w:b w:val="1"/>
          <w:bCs w:val="1"/>
          <w:i w:val="1"/>
          <w:iCs w:val="1"/>
          <w:color w:val="auto"/>
        </w:rPr>
        <w:t>Non-Exempt Award</w:t>
      </w:r>
      <w:r>
        <w:rPr>
          <w:rFonts w:ascii="Arial" w:cs="Arial" w:eastAsia="Arial" w:hAnsi="Arial"/>
          <w:sz w:val="19"/>
          <w:szCs w:val="19"/>
          <w:color w:val="auto"/>
        </w:rPr>
        <w:t>”), then the provisions in this Section 6(c) shall apply and supersede anything to the contrary that may be set forth in the Plan, the Grant Notice or in any other section of this Agreement with respect to the permitted treatment of your Non-Exempt Award:</w:t>
      </w:r>
    </w:p>
    <w:p>
      <w:pPr>
        <w:spacing w:after="0" w:line="170" w:lineRule="exact"/>
        <w:rPr>
          <w:rFonts w:ascii="Arial" w:cs="Arial" w:eastAsia="Arial" w:hAnsi="Arial"/>
          <w:sz w:val="19"/>
          <w:szCs w:val="19"/>
          <w:b w:val="1"/>
          <w:bCs w:val="1"/>
          <w:color w:val="auto"/>
        </w:rPr>
      </w:pPr>
    </w:p>
    <w:p>
      <w:pPr>
        <w:jc w:val="both"/>
        <w:ind w:firstLine="1953"/>
        <w:spacing w:after="0" w:line="269" w:lineRule="auto"/>
        <w:tabs>
          <w:tab w:leader="none" w:pos="2370" w:val="left"/>
        </w:tabs>
        <w:numPr>
          <w:ilvl w:val="1"/>
          <w:numId w:val="140"/>
        </w:numPr>
        <w:rPr>
          <w:rFonts w:ascii="Arial" w:cs="Arial" w:eastAsia="Arial" w:hAnsi="Arial"/>
          <w:sz w:val="19"/>
          <w:szCs w:val="19"/>
          <w:b w:val="1"/>
          <w:bCs w:val="1"/>
          <w:color w:val="auto"/>
        </w:rPr>
      </w:pPr>
      <w:r>
        <w:rPr>
          <w:rFonts w:ascii="Arial" w:cs="Arial" w:eastAsia="Arial" w:hAnsi="Arial"/>
          <w:sz w:val="19"/>
          <w:szCs w:val="19"/>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170" w:lineRule="exact"/>
        <w:rPr>
          <w:rFonts w:ascii="Arial" w:cs="Arial" w:eastAsia="Arial" w:hAnsi="Arial"/>
          <w:sz w:val="19"/>
          <w:szCs w:val="19"/>
          <w:b w:val="1"/>
          <w:bCs w:val="1"/>
          <w:color w:val="auto"/>
        </w:rPr>
      </w:pPr>
    </w:p>
    <w:p>
      <w:pPr>
        <w:ind w:right="20" w:firstLine="1953"/>
        <w:spacing w:after="0" w:line="260" w:lineRule="auto"/>
        <w:tabs>
          <w:tab w:leader="none" w:pos="2429" w:val="left"/>
        </w:tabs>
        <w:numPr>
          <w:ilvl w:val="1"/>
          <w:numId w:val="140"/>
        </w:numPr>
        <w:rPr>
          <w:rFonts w:ascii="Arial" w:cs="Arial" w:eastAsia="Arial" w:hAnsi="Arial"/>
          <w:sz w:val="20"/>
          <w:szCs w:val="20"/>
          <w:b w:val="1"/>
          <w:bCs w:val="1"/>
          <w:color w:val="auto"/>
        </w:rPr>
      </w:pPr>
      <w:r>
        <w:rPr>
          <w:rFonts w:ascii="Arial" w:cs="Arial" w:eastAsia="Arial" w:hAnsi="Arial"/>
          <w:sz w:val="20"/>
          <w:szCs w:val="20"/>
          <w:color w:val="auto"/>
        </w:rPr>
        <w:t>The Company explicitly reserves the right to (A) earlier settle your Non-Exempt Award to the extent permitted and in compliance with the requirements of Section 409A, including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15" w:name="page216"/>
    <w:bookmarkEnd w:id="215"/>
    <w:p>
      <w:pPr>
        <w:jc w:val="both"/>
        <w:spacing w:after="0" w:line="250" w:lineRule="auto"/>
        <w:rPr>
          <w:sz w:val="20"/>
          <w:szCs w:val="20"/>
          <w:color w:val="auto"/>
        </w:rPr>
      </w:pPr>
      <w:r>
        <w:rPr>
          <w:rFonts w:ascii="Arial" w:cs="Arial" w:eastAsia="Arial" w:hAnsi="Arial"/>
          <w:sz w:val="20"/>
          <w:szCs w:val="20"/>
          <w:color w:val="auto"/>
        </w:rPr>
        <w:t>pursuant to any of the exemptions available in Treasury Regulations Section 1.409A-3(j)(4)(ix) and (B) provide that you will receive a cash settlement equal to the Fair Market Value of the Ordinary Shares that would otherwise be issued to you, if applicable and in compliance with the requirements of Section 409A.</w:t>
      </w:r>
    </w:p>
    <w:p>
      <w:pPr>
        <w:spacing w:after="0" w:line="186" w:lineRule="exact"/>
        <w:rPr>
          <w:sz w:val="20"/>
          <w:szCs w:val="20"/>
          <w:color w:val="auto"/>
        </w:rPr>
      </w:pPr>
    </w:p>
    <w:p>
      <w:pPr>
        <w:jc w:val="both"/>
        <w:ind w:firstLine="1953"/>
        <w:spacing w:after="0" w:line="255" w:lineRule="auto"/>
        <w:tabs>
          <w:tab w:leader="none" w:pos="2479" w:val="left"/>
        </w:tabs>
        <w:numPr>
          <w:ilvl w:val="3"/>
          <w:numId w:val="141"/>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87" w:lineRule="exact"/>
        <w:rPr>
          <w:rFonts w:ascii="Arial" w:cs="Arial" w:eastAsia="Arial" w:hAnsi="Arial"/>
          <w:sz w:val="19"/>
          <w:szCs w:val="19"/>
          <w:b w:val="1"/>
          <w:bCs w:val="1"/>
          <w:color w:val="auto"/>
        </w:rPr>
      </w:pPr>
    </w:p>
    <w:p>
      <w:pPr>
        <w:jc w:val="both"/>
        <w:ind w:firstLine="1953"/>
        <w:spacing w:after="0" w:line="269" w:lineRule="auto"/>
        <w:tabs>
          <w:tab w:leader="none" w:pos="2474" w:val="left"/>
        </w:tabs>
        <w:numPr>
          <w:ilvl w:val="3"/>
          <w:numId w:val="141"/>
        </w:numPr>
        <w:rPr>
          <w:rFonts w:ascii="Arial" w:cs="Arial" w:eastAsia="Arial" w:hAnsi="Arial"/>
          <w:sz w:val="19"/>
          <w:szCs w:val="19"/>
          <w:b w:val="1"/>
          <w:bCs w:val="1"/>
          <w:color w:val="auto"/>
        </w:rPr>
      </w:pPr>
      <w:r>
        <w:rPr>
          <w:rFonts w:ascii="Arial" w:cs="Arial" w:eastAsia="Arial" w:hAnsi="Arial"/>
          <w:sz w:val="19"/>
          <w:szCs w:val="19"/>
          <w:color w:val="auto"/>
        </w:rPr>
        <w:t>The provisions in this Agreement for delivery of the Ordinary Shares in respect of the Non-Exempt Award are intended to comply with the requirements of Section 409A so that the delivery of the Ordinary Shares to you in respect of your Non-Exempt Award will not trigger the additional tax imposed under Section 409A, and any ambiguities herein will be so interpreted.</w:t>
      </w:r>
    </w:p>
    <w:p>
      <w:pPr>
        <w:spacing w:after="0" w:line="177" w:lineRule="exact"/>
        <w:rPr>
          <w:rFonts w:ascii="Arial" w:cs="Arial" w:eastAsia="Arial" w:hAnsi="Arial"/>
          <w:sz w:val="19"/>
          <w:szCs w:val="19"/>
          <w:b w:val="1"/>
          <w:bCs w:val="1"/>
          <w:color w:val="auto"/>
        </w:rPr>
      </w:pPr>
    </w:p>
    <w:p>
      <w:pPr>
        <w:jc w:val="both"/>
        <w:ind w:firstLine="656"/>
        <w:spacing w:after="0" w:line="276" w:lineRule="auto"/>
        <w:tabs>
          <w:tab w:leader="none" w:pos="1445" w:val="left"/>
        </w:tabs>
        <w:numPr>
          <w:ilvl w:val="1"/>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DIVIDENDS. </w:t>
      </w:r>
      <w:r>
        <w:rPr>
          <w:rFonts w:ascii="Arial" w:cs="Arial" w:eastAsia="Arial" w:hAnsi="Arial"/>
          <w:sz w:val="20"/>
          <w:szCs w:val="20"/>
          <w:color w:val="auto"/>
        </w:rPr>
        <w:t>You shall receive no benefit or adjustment to your Award with respect to any cash dividend, share dividend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other distribution that does not result from a Capitalization Adjustment as provided in the Plan; </w:t>
      </w:r>
      <w:r>
        <w:rPr>
          <w:rFonts w:ascii="Arial" w:cs="Arial" w:eastAsia="Arial" w:hAnsi="Arial"/>
          <w:sz w:val="20"/>
          <w:szCs w:val="20"/>
          <w:i w:val="1"/>
          <w:iCs w:val="1"/>
          <w:color w:val="auto"/>
        </w:rPr>
        <w:t>provided, however</w:t>
      </w:r>
      <w:r>
        <w:rPr>
          <w:rFonts w:ascii="Arial" w:cs="Arial" w:eastAsia="Arial" w:hAnsi="Arial"/>
          <w:sz w:val="20"/>
          <w:szCs w:val="20"/>
          <w:color w:val="auto"/>
        </w:rPr>
        <w:t>, that this sentence shall not apply with respect to any Ordinary Shares that are delivered to you in connection with your Award after such Ordinary Shares have been delivered to you.</w:t>
      </w:r>
    </w:p>
    <w:p>
      <w:pPr>
        <w:spacing w:after="0" w:line="184" w:lineRule="exact"/>
        <w:rPr>
          <w:rFonts w:ascii="Arial" w:cs="Arial" w:eastAsia="Arial" w:hAnsi="Arial"/>
          <w:sz w:val="20"/>
          <w:szCs w:val="20"/>
          <w:b w:val="1"/>
          <w:bCs w:val="1"/>
          <w:color w:val="auto"/>
        </w:rPr>
      </w:pPr>
    </w:p>
    <w:p>
      <w:pPr>
        <w:ind w:firstLine="656"/>
        <w:spacing w:after="0" w:line="295" w:lineRule="auto"/>
        <w:tabs>
          <w:tab w:leader="none" w:pos="1445" w:val="left"/>
        </w:tabs>
        <w:numPr>
          <w:ilvl w:val="1"/>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RESTRICTIVE LEGENDS. </w:t>
      </w:r>
      <w:r>
        <w:rPr>
          <w:rFonts w:ascii="Arial" w:cs="Arial" w:eastAsia="Arial" w:hAnsi="Arial"/>
          <w:sz w:val="20"/>
          <w:szCs w:val="20"/>
          <w:color w:val="auto"/>
        </w:rPr>
        <w:t>The Ordinary Shares issued in respect of your Award shall be endorsed with appropriate</w:t>
      </w:r>
      <w:r>
        <w:rPr>
          <w:rFonts w:ascii="Arial" w:cs="Arial" w:eastAsia="Arial" w:hAnsi="Arial"/>
          <w:sz w:val="20"/>
          <w:szCs w:val="20"/>
          <w:b w:val="1"/>
          <w:bCs w:val="1"/>
          <w:color w:val="auto"/>
        </w:rPr>
        <w:t xml:space="preserve"> </w:t>
      </w:r>
      <w:r>
        <w:rPr>
          <w:rFonts w:ascii="Arial" w:cs="Arial" w:eastAsia="Arial" w:hAnsi="Arial"/>
          <w:sz w:val="20"/>
          <w:szCs w:val="20"/>
          <w:color w:val="auto"/>
        </w:rPr>
        <w:t>legends determined by the Company.</w:t>
      </w:r>
    </w:p>
    <w:p>
      <w:pPr>
        <w:spacing w:after="0" w:line="163" w:lineRule="exact"/>
        <w:rPr>
          <w:rFonts w:ascii="Arial" w:cs="Arial" w:eastAsia="Arial" w:hAnsi="Arial"/>
          <w:sz w:val="20"/>
          <w:szCs w:val="20"/>
          <w:b w:val="1"/>
          <w:bCs w:val="1"/>
          <w:color w:val="auto"/>
        </w:rPr>
      </w:pPr>
    </w:p>
    <w:p>
      <w:pPr>
        <w:ind w:left="1460" w:hanging="804"/>
        <w:spacing w:after="0"/>
        <w:tabs>
          <w:tab w:leader="none" w:pos="1460" w:val="left"/>
        </w:tabs>
        <w:numPr>
          <w:ilvl w:val="1"/>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AWARD NOT A SERVICE CONTRACT.</w:t>
      </w:r>
    </w:p>
    <w:p>
      <w:pPr>
        <w:spacing w:after="0" w:line="235" w:lineRule="exact"/>
        <w:rPr>
          <w:rFonts w:ascii="Arial" w:cs="Arial" w:eastAsia="Arial" w:hAnsi="Arial"/>
          <w:sz w:val="20"/>
          <w:szCs w:val="20"/>
          <w:b w:val="1"/>
          <w:bCs w:val="1"/>
          <w:color w:val="auto"/>
        </w:rPr>
      </w:pPr>
    </w:p>
    <w:p>
      <w:pPr>
        <w:jc w:val="both"/>
        <w:ind w:firstLine="1305"/>
        <w:spacing w:after="0" w:line="269" w:lineRule="auto"/>
        <w:tabs>
          <w:tab w:leader="none" w:pos="1759" w:val="left"/>
        </w:tabs>
        <w:numPr>
          <w:ilvl w:val="2"/>
          <w:numId w:val="142"/>
        </w:numPr>
        <w:rPr>
          <w:rFonts w:ascii="Arial" w:cs="Arial" w:eastAsia="Arial" w:hAnsi="Arial"/>
          <w:sz w:val="18"/>
          <w:szCs w:val="18"/>
          <w:b w:val="1"/>
          <w:bCs w:val="1"/>
          <w:color w:val="auto"/>
        </w:rPr>
      </w:pPr>
      <w:r>
        <w:rPr>
          <w:rFonts w:ascii="Arial" w:cs="Arial" w:eastAsia="Arial" w:hAnsi="Arial"/>
          <w:sz w:val="18"/>
          <w:szCs w:val="18"/>
          <w:color w:val="auto"/>
        </w:rPr>
        <w:t>Nothing in this Agreement (including, but not limited to, the vesting of your Award pursuant to the schedule set forth in Section 2 herein 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w:t>
      </w:r>
    </w:p>
    <w:p>
      <w:pPr>
        <w:spacing w:after="0" w:line="1" w:lineRule="exact"/>
        <w:rPr>
          <w:rFonts w:ascii="Arial" w:cs="Arial" w:eastAsia="Arial" w:hAnsi="Arial"/>
          <w:sz w:val="18"/>
          <w:szCs w:val="18"/>
          <w:b w:val="1"/>
          <w:bCs w:val="1"/>
          <w:color w:val="auto"/>
        </w:rPr>
      </w:pPr>
    </w:p>
    <w:p>
      <w:pPr>
        <w:ind w:right="20" w:firstLine="8"/>
        <w:spacing w:after="0" w:line="244" w:lineRule="auto"/>
        <w:tabs>
          <w:tab w:leader="none" w:pos="34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deprive the Company or its Affiliates, as applicable, of the right to terminate you without regard to any future vesting opportunity that you may have.</w:t>
      </w:r>
    </w:p>
    <w:p>
      <w:pPr>
        <w:spacing w:after="0" w:line="191" w:lineRule="exact"/>
        <w:rPr>
          <w:rFonts w:ascii="Arial" w:cs="Arial" w:eastAsia="Arial" w:hAnsi="Arial"/>
          <w:sz w:val="20"/>
          <w:szCs w:val="20"/>
          <w:color w:val="auto"/>
        </w:rPr>
      </w:pPr>
    </w:p>
    <w:p>
      <w:pPr>
        <w:jc w:val="both"/>
        <w:ind w:firstLine="1305"/>
        <w:spacing w:after="0" w:line="246" w:lineRule="auto"/>
        <w:tabs>
          <w:tab w:leader="none" w:pos="1826" w:val="left"/>
        </w:tabs>
        <w:numPr>
          <w:ilvl w:val="2"/>
          <w:numId w:val="143"/>
        </w:numPr>
        <w:rPr>
          <w:rFonts w:ascii="Arial" w:cs="Arial" w:eastAsia="Arial" w:hAnsi="Arial"/>
          <w:sz w:val="20"/>
          <w:szCs w:val="20"/>
          <w:b w:val="1"/>
          <w:bCs w:val="1"/>
          <w:color w:val="auto"/>
        </w:rPr>
      </w:pPr>
      <w:r>
        <w:rPr>
          <w:rFonts w:ascii="Arial" w:cs="Arial" w:eastAsia="Arial" w:hAnsi="Arial"/>
          <w:sz w:val="20"/>
          <w:szCs w:val="20"/>
          <w:color w:val="auto"/>
        </w:rPr>
        <w:t>By accepting this Award, you acknowledge and agree that the right to continue vesting in the Award pursuant to the schedule set forth in Section 2 is earned only by providing Continuous Service (not through the act of being hired, being granted this Award or any other award or benefit) and that the Company has the right to reorganize, sell, spin-out or otherwise restructure one or more of its businesses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16" w:name="page217"/>
    <w:bookmarkEnd w:id="216"/>
    <w:p>
      <w:pPr>
        <w:jc w:val="both"/>
        <w:spacing w:after="0" w:line="274" w:lineRule="auto"/>
        <w:rPr>
          <w:sz w:val="20"/>
          <w:szCs w:val="20"/>
          <w:color w:val="auto"/>
        </w:rPr>
      </w:pPr>
      <w:r>
        <w:rPr>
          <w:rFonts w:ascii="Arial" w:cs="Arial" w:eastAsia="Arial" w:hAnsi="Arial"/>
          <w:sz w:val="18"/>
          <w:szCs w:val="18"/>
          <w:color w:val="auto"/>
        </w:rPr>
        <w:t>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right of the Company or its Affiliate, as applicable, to terminate your Continuous Service at any time.</w:t>
      </w:r>
    </w:p>
    <w:p>
      <w:pPr>
        <w:spacing w:after="0" w:line="177" w:lineRule="exact"/>
        <w:rPr>
          <w:sz w:val="20"/>
          <w:szCs w:val="20"/>
          <w:color w:val="auto"/>
        </w:rPr>
      </w:pPr>
    </w:p>
    <w:p>
      <w:pPr>
        <w:ind w:left="1560" w:hanging="904"/>
        <w:spacing w:after="0"/>
        <w:tabs>
          <w:tab w:leader="none" w:pos="1560"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 OBLIGATIONS.</w:t>
      </w:r>
    </w:p>
    <w:p>
      <w:pPr>
        <w:spacing w:after="0" w:line="235" w:lineRule="exact"/>
        <w:rPr>
          <w:rFonts w:ascii="Arial" w:cs="Arial" w:eastAsia="Arial" w:hAnsi="Arial"/>
          <w:sz w:val="20"/>
          <w:szCs w:val="20"/>
          <w:b w:val="1"/>
          <w:bCs w:val="1"/>
          <w:color w:val="auto"/>
        </w:rPr>
      </w:pPr>
    </w:p>
    <w:p>
      <w:pPr>
        <w:jc w:val="both"/>
        <w:ind w:firstLine="1305"/>
        <w:spacing w:after="0" w:line="268" w:lineRule="auto"/>
        <w:tabs>
          <w:tab w:leader="none" w:pos="1733" w:val="left"/>
        </w:tabs>
        <w:numPr>
          <w:ilvl w:val="1"/>
          <w:numId w:val="144"/>
        </w:numPr>
        <w:rPr>
          <w:rFonts w:ascii="Arial" w:cs="Arial" w:eastAsia="Arial" w:hAnsi="Arial"/>
          <w:sz w:val="18"/>
          <w:szCs w:val="18"/>
          <w:b w:val="1"/>
          <w:bCs w:val="1"/>
          <w:color w:val="auto"/>
        </w:rPr>
      </w:pPr>
      <w:r>
        <w:rPr>
          <w:rFonts w:ascii="Arial" w:cs="Arial" w:eastAsia="Arial" w:hAnsi="Arial"/>
          <w:sz w:val="18"/>
          <w:szCs w:val="18"/>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where the Fair Market Value of the Ordinary Shares is measured as of the date the Ordinary Shares are issued pursuant to Section 6. 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If the obligation for Tax-Related Items is satisfied by withholding from Ordinary Shares otherwise issuable to you, the number of such Ordinary Shares so withheld shall not exceed the minimum statutory withholding rates in connection with the taxes composing the Tax Related-Items.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85" w:lineRule="exact"/>
        <w:rPr>
          <w:rFonts w:ascii="Arial" w:cs="Arial" w:eastAsia="Arial" w:hAnsi="Arial"/>
          <w:sz w:val="18"/>
          <w:szCs w:val="18"/>
          <w:b w:val="1"/>
          <w:bCs w:val="1"/>
          <w:color w:val="auto"/>
        </w:rPr>
      </w:pPr>
    </w:p>
    <w:p>
      <w:pPr>
        <w:ind w:firstLine="1305"/>
        <w:spacing w:after="0" w:line="260" w:lineRule="auto"/>
        <w:tabs>
          <w:tab w:leader="none" w:pos="1858" w:val="left"/>
        </w:tabs>
        <w:numPr>
          <w:ilvl w:val="1"/>
          <w:numId w:val="144"/>
        </w:numPr>
        <w:rPr>
          <w:rFonts w:ascii="Arial" w:cs="Arial" w:eastAsia="Arial" w:hAnsi="Arial"/>
          <w:sz w:val="20"/>
          <w:szCs w:val="20"/>
          <w:b w:val="1"/>
          <w:bCs w:val="1"/>
          <w:color w:val="auto"/>
        </w:rPr>
      </w:pPr>
      <w:r>
        <w:rPr>
          <w:rFonts w:ascii="Arial" w:cs="Arial" w:eastAsia="Arial" w:hAnsi="Arial"/>
          <w:sz w:val="20"/>
          <w:szCs w:val="20"/>
          <w:color w:val="auto"/>
        </w:rPr>
        <w:t>Unless the tax withholding obligations of the Company and/or the Employer are satisfied, the Company and/or the Employer shall have no obligation to deliver to you any Ordinary Shares.</w:t>
      </w:r>
    </w:p>
    <w:p>
      <w:pPr>
        <w:spacing w:after="0" w:line="176" w:lineRule="exact"/>
        <w:rPr>
          <w:rFonts w:ascii="Arial" w:cs="Arial" w:eastAsia="Arial" w:hAnsi="Arial"/>
          <w:sz w:val="20"/>
          <w:szCs w:val="20"/>
          <w:b w:val="1"/>
          <w:bCs w:val="1"/>
          <w:color w:val="auto"/>
        </w:rPr>
      </w:pPr>
    </w:p>
    <w:p>
      <w:pPr>
        <w:jc w:val="both"/>
        <w:ind w:firstLine="1305"/>
        <w:spacing w:after="0" w:line="246" w:lineRule="auto"/>
        <w:tabs>
          <w:tab w:leader="none" w:pos="1754" w:val="left"/>
        </w:tabs>
        <w:numPr>
          <w:ilvl w:val="1"/>
          <w:numId w:val="144"/>
        </w:numPr>
        <w:rPr>
          <w:rFonts w:ascii="Arial" w:cs="Arial" w:eastAsia="Arial" w:hAnsi="Arial"/>
          <w:sz w:val="20"/>
          <w:szCs w:val="20"/>
          <w:b w:val="1"/>
          <w:bCs w:val="1"/>
          <w:color w:val="auto"/>
        </w:rPr>
      </w:pPr>
      <w:r>
        <w:rPr>
          <w:rFonts w:ascii="Arial" w:cs="Arial" w:eastAsia="Arial" w:hAnsi="Arial"/>
          <w:sz w:val="20"/>
          <w:szCs w:val="20"/>
          <w:color w:val="auto"/>
        </w:rPr>
        <w:t>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17" w:name="page218"/>
    <w:bookmarkEnd w:id="217"/>
    <w:p>
      <w:pPr>
        <w:ind w:left="1540" w:hanging="884"/>
        <w:spacing w:after="0"/>
        <w:tabs>
          <w:tab w:leader="none" w:pos="154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CONTROL</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firstLine="1305"/>
        <w:spacing w:after="0" w:line="244" w:lineRule="auto"/>
        <w:tabs>
          <w:tab w:leader="none" w:pos="1750" w:val="left"/>
        </w:tabs>
        <w:numPr>
          <w:ilvl w:val="1"/>
          <w:numId w:val="145"/>
        </w:numPr>
        <w:rPr>
          <w:rFonts w:ascii="Arial" w:cs="Arial" w:eastAsia="Arial" w:hAnsi="Arial"/>
          <w:sz w:val="20"/>
          <w:szCs w:val="20"/>
          <w:b w:val="1"/>
          <w:bCs w:val="1"/>
          <w:color w:val="auto"/>
        </w:rPr>
      </w:pPr>
      <w:r>
        <w:rPr>
          <w:rFonts w:ascii="Arial" w:cs="Arial" w:eastAsia="Arial" w:hAnsi="Arial"/>
          <w:sz w:val="20"/>
          <w:szCs w:val="20"/>
          <w:color w:val="auto"/>
        </w:rPr>
        <w:t>If your Continuous Service terminates either within twelve (12) months following or one (1) month prior to the effective date of a Change in Control due to an Involuntary Termination Without Cause, the vesting of the RSUs subject to this Award shall be accelerated in full. In order to give effect to the intent of this provision, in the event of your Involuntary Termination Without Cause, notwithstanding anything to the contrary set forth in the Plan or Section 2 of this Agreement, in no event will any portion of this Award be forfeited or terminate any earlier than one (1) month following such termination date.</w:t>
      </w:r>
    </w:p>
    <w:p>
      <w:pPr>
        <w:spacing w:after="0" w:line="194" w:lineRule="exact"/>
        <w:rPr>
          <w:rFonts w:ascii="Arial" w:cs="Arial" w:eastAsia="Arial" w:hAnsi="Arial"/>
          <w:sz w:val="20"/>
          <w:szCs w:val="20"/>
          <w:b w:val="1"/>
          <w:bCs w:val="1"/>
          <w:color w:val="auto"/>
        </w:rPr>
      </w:pPr>
    </w:p>
    <w:p>
      <w:pPr>
        <w:jc w:val="both"/>
        <w:ind w:firstLine="1305"/>
        <w:spacing w:after="0" w:line="270" w:lineRule="auto"/>
        <w:tabs>
          <w:tab w:leader="none" w:pos="1784" w:val="left"/>
        </w:tabs>
        <w:numPr>
          <w:ilvl w:val="1"/>
          <w:numId w:val="145"/>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Involuntary Termination Without Cause</w:t>
      </w:r>
      <w:r>
        <w:rPr>
          <w:rFonts w:ascii="Arial" w:cs="Arial" w:eastAsia="Arial" w:hAnsi="Arial"/>
          <w:sz w:val="18"/>
          <w:szCs w:val="18"/>
          <w:color w:val="auto"/>
        </w:rPr>
        <w:t xml:space="preserve">” means the involuntary termination of your Continuous Service for reasons other than death, Disability, or Cause. For purposes of this Agreement, </w:t>
      </w:r>
      <w:r>
        <w:rPr>
          <w:rFonts w:ascii="Arial" w:cs="Arial" w:eastAsia="Arial" w:hAnsi="Arial"/>
          <w:sz w:val="18"/>
          <w:szCs w:val="18"/>
          <w:b w:val="1"/>
          <w:bCs w:val="1"/>
          <w:i w:val="1"/>
          <w:iCs w:val="1"/>
          <w:color w:val="auto"/>
        </w:rPr>
        <w:t>“Involuntary Termination Without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means the involuntary termination of your Continuous Service for reasons other than death, Disability, or Cause. For this purpose,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means the occurrence of any of the following events that has a material negative impact on the business or reputation of the Company or an Affiliate: (i) your conviction for any criminal offence (other than an offence under any road traffic legislation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 your unauthorized use or disclosure of the Company’s or an Affiliate’s confidential information or trade secrets; or (v) your gross misconduct. The determination that a termination of your Continuous Service is either for Cause or without Cause shall be made by the Company (or an Affiliate, if applicable) in its sole discretion. Any determination by the Company (or an Affiliate, if applicable) that your Continuous Service was terminated by reason of dismissal without Cause for the purposes of this Agreement shall have no effect upon any determination of the rights or obligations of you or the Company for any other purpose.</w:t>
      </w:r>
    </w:p>
    <w:p>
      <w:pPr>
        <w:spacing w:after="0" w:line="181" w:lineRule="exact"/>
        <w:rPr>
          <w:rFonts w:ascii="Arial" w:cs="Arial" w:eastAsia="Arial" w:hAnsi="Arial"/>
          <w:sz w:val="18"/>
          <w:szCs w:val="18"/>
          <w:b w:val="1"/>
          <w:bCs w:val="1"/>
          <w:color w:val="auto"/>
        </w:rPr>
      </w:pPr>
    </w:p>
    <w:p>
      <w:pPr>
        <w:ind w:left="1560" w:hanging="904"/>
        <w:spacing w:after="0"/>
        <w:tabs>
          <w:tab w:leader="none" w:pos="156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PARACHUTE PAYMENTS.</w:t>
      </w:r>
    </w:p>
    <w:p>
      <w:pPr>
        <w:spacing w:after="0" w:line="235" w:lineRule="exact"/>
        <w:rPr>
          <w:rFonts w:ascii="Arial" w:cs="Arial" w:eastAsia="Arial" w:hAnsi="Arial"/>
          <w:sz w:val="20"/>
          <w:szCs w:val="20"/>
          <w:b w:val="1"/>
          <w:bCs w:val="1"/>
          <w:color w:val="auto"/>
        </w:rPr>
      </w:pPr>
    </w:p>
    <w:p>
      <w:pPr>
        <w:jc w:val="both"/>
        <w:ind w:firstLine="1305"/>
        <w:spacing w:after="0" w:line="256" w:lineRule="auto"/>
        <w:tabs>
          <w:tab w:leader="none" w:pos="1761" w:val="left"/>
        </w:tabs>
        <w:numPr>
          <w:ilvl w:val="1"/>
          <w:numId w:val="145"/>
        </w:numPr>
        <w:rPr>
          <w:rFonts w:ascii="Arial" w:cs="Arial" w:eastAsia="Arial" w:hAnsi="Arial"/>
          <w:sz w:val="19"/>
          <w:szCs w:val="19"/>
          <w:b w:val="1"/>
          <w:bCs w:val="1"/>
          <w:color w:val="auto"/>
        </w:rPr>
      </w:pPr>
      <w:r>
        <w:rPr>
          <w:rFonts w:ascii="Arial" w:cs="Arial" w:eastAsia="Arial" w:hAnsi="Arial"/>
          <w:sz w:val="19"/>
          <w:szCs w:val="19"/>
          <w:color w:val="auto"/>
        </w:rPr>
        <w:t>If you are a U.S. taxpayer and any payment or benefit you would receive from the Company or otherwise in connection with a Change in Control or other similar transaction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81" w:lineRule="exact"/>
        <w:rPr>
          <w:rFonts w:ascii="Arial" w:cs="Arial" w:eastAsia="Arial" w:hAnsi="Arial"/>
          <w:sz w:val="19"/>
          <w:szCs w:val="19"/>
          <w:b w:val="1"/>
          <w:bCs w:val="1"/>
          <w:color w:val="auto"/>
        </w:rPr>
      </w:pPr>
    </w:p>
    <w:p>
      <w:pPr>
        <w:jc w:val="both"/>
        <w:ind w:firstLine="1305"/>
        <w:spacing w:after="0" w:line="244" w:lineRule="auto"/>
        <w:tabs>
          <w:tab w:leader="none" w:pos="1733" w:val="left"/>
        </w:tabs>
        <w:numPr>
          <w:ilvl w:val="1"/>
          <w:numId w:val="145"/>
        </w:numPr>
        <w:rPr>
          <w:rFonts w:ascii="Arial" w:cs="Arial" w:eastAsia="Arial" w:hAnsi="Arial"/>
          <w:sz w:val="20"/>
          <w:szCs w:val="20"/>
          <w:b w:val="1"/>
          <w:bCs w:val="1"/>
          <w:color w:val="auto"/>
        </w:rPr>
      </w:pPr>
      <w:r>
        <w:rPr>
          <w:rFonts w:ascii="Arial" w:cs="Arial" w:eastAsia="Arial" w:hAnsi="Arial"/>
          <w:sz w:val="20"/>
          <w:szCs w:val="20"/>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71" w:right="23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t>shall bear all expenses with respect to the determinations by such independent registered public accounting firm required to be made hereunder.</w:t>
      </w:r>
    </w:p>
    <w:p>
      <w:pPr>
        <w:spacing w:after="0" w:line="262" w:lineRule="exact"/>
        <w:rPr>
          <w:sz w:val="20"/>
          <w:szCs w:val="20"/>
          <w:color w:val="auto"/>
        </w:rPr>
      </w:pPr>
    </w:p>
    <w:p>
      <w:pPr>
        <w:jc w:val="both"/>
        <w:ind w:firstLine="1305"/>
        <w:spacing w:after="0" w:line="244" w:lineRule="auto"/>
        <w:tabs>
          <w:tab w:leader="none" w:pos="1849" w:val="left"/>
        </w:tabs>
        <w:numPr>
          <w:ilvl w:val="1"/>
          <w:numId w:val="146"/>
        </w:numPr>
        <w:rPr>
          <w:rFonts w:ascii="Arial" w:cs="Arial" w:eastAsia="Arial" w:hAnsi="Arial"/>
          <w:sz w:val="20"/>
          <w:szCs w:val="20"/>
          <w:b w:val="1"/>
          <w:bCs w:val="1"/>
          <w:color w:val="auto"/>
        </w:rPr>
      </w:pPr>
      <w:r>
        <w:rPr>
          <w:rFonts w:ascii="Arial" w:cs="Arial" w:eastAsia="Arial" w:hAnsi="Arial"/>
          <w:sz w:val="20"/>
          <w:szCs w:val="20"/>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202" w:lineRule="exact"/>
        <w:rPr>
          <w:rFonts w:ascii="Arial" w:cs="Arial" w:eastAsia="Arial" w:hAnsi="Arial"/>
          <w:sz w:val="20"/>
          <w:szCs w:val="20"/>
          <w:b w:val="1"/>
          <w:bCs w:val="1"/>
          <w:color w:val="auto"/>
        </w:rPr>
      </w:pPr>
    </w:p>
    <w:p>
      <w:pPr>
        <w:jc w:val="both"/>
        <w:ind w:firstLine="656"/>
        <w:spacing w:after="0" w:line="308" w:lineRule="auto"/>
        <w:tabs>
          <w:tab w:leader="none" w:pos="154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UNSECURED OBLIGATION. </w:t>
      </w:r>
      <w:r>
        <w:rPr>
          <w:rFonts w:ascii="Arial" w:cs="Arial" w:eastAsia="Arial" w:hAnsi="Arial"/>
          <w:sz w:val="18"/>
          <w:szCs w:val="18"/>
          <w:color w:val="auto"/>
        </w:rPr>
        <w:t>Your Award is unfunded, and as a holder of a vested Award, you shall be considered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6 of this Agreement. Upon such issuance, you will obtain full voting and 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61" w:lineRule="exact"/>
        <w:rPr>
          <w:rFonts w:ascii="Arial" w:cs="Arial" w:eastAsia="Arial" w:hAnsi="Arial"/>
          <w:sz w:val="18"/>
          <w:szCs w:val="18"/>
          <w:b w:val="1"/>
          <w:bCs w:val="1"/>
          <w:color w:val="auto"/>
        </w:rPr>
      </w:pPr>
    </w:p>
    <w:p>
      <w:pPr>
        <w:jc w:val="both"/>
        <w:ind w:firstLine="656"/>
        <w:spacing w:after="0" w:line="276" w:lineRule="auto"/>
        <w:tabs>
          <w:tab w:leader="none" w:pos="1544"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w:t>
      </w:r>
      <w:r>
        <w:rPr>
          <w:rFonts w:ascii="Arial" w:cs="Arial" w:eastAsia="Arial" w:hAnsi="Arial"/>
          <w:sz w:val="20"/>
          <w:szCs w:val="20"/>
          <w:color w:val="auto"/>
        </w:rPr>
        <w:t>. You hereby acknowledge receipt or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84" w:lineRule="exact"/>
        <w:rPr>
          <w:rFonts w:ascii="Arial" w:cs="Arial" w:eastAsia="Arial" w:hAnsi="Arial"/>
          <w:sz w:val="20"/>
          <w:szCs w:val="20"/>
          <w:b w:val="1"/>
          <w:bCs w:val="1"/>
          <w:color w:val="auto"/>
        </w:rPr>
      </w:pPr>
    </w:p>
    <w:p>
      <w:pPr>
        <w:ind w:left="1560" w:hanging="904"/>
        <w:spacing w:after="0"/>
        <w:tabs>
          <w:tab w:leader="none" w:pos="1560" w:val="left"/>
        </w:tabs>
        <w:numPr>
          <w:ilvl w:val="0"/>
          <w:numId w:val="14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In accepting the grant, you acknowledge, understand and agree that:</w:t>
      </w:r>
    </w:p>
    <w:p>
      <w:pPr>
        <w:spacing w:after="0" w:line="235" w:lineRule="exact"/>
        <w:rPr>
          <w:rFonts w:ascii="Arial" w:cs="Arial" w:eastAsia="Arial" w:hAnsi="Arial"/>
          <w:sz w:val="20"/>
          <w:szCs w:val="20"/>
          <w:b w:val="1"/>
          <w:bCs w:val="1"/>
          <w:color w:val="auto"/>
        </w:rPr>
      </w:pPr>
    </w:p>
    <w:p>
      <w:pPr>
        <w:ind w:right="20" w:firstLine="1305"/>
        <w:spacing w:after="0" w:line="260" w:lineRule="auto"/>
        <w:tabs>
          <w:tab w:leader="none" w:pos="1850" w:val="left"/>
        </w:tabs>
        <w:numPr>
          <w:ilvl w:val="1"/>
          <w:numId w:val="147"/>
        </w:numPr>
        <w:rPr>
          <w:rFonts w:ascii="Arial" w:cs="Arial" w:eastAsia="Arial" w:hAnsi="Arial"/>
          <w:sz w:val="20"/>
          <w:szCs w:val="20"/>
          <w:b w:val="1"/>
          <w:bCs w:val="1"/>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b w:val="1"/>
          <w:bCs w:val="1"/>
          <w:color w:val="auto"/>
        </w:rPr>
      </w:pPr>
    </w:p>
    <w:p>
      <w:pPr>
        <w:ind w:right="20" w:firstLine="1305"/>
        <w:spacing w:after="0" w:line="260" w:lineRule="auto"/>
        <w:tabs>
          <w:tab w:leader="none" w:pos="1763" w:val="left"/>
        </w:tabs>
        <w:numPr>
          <w:ilvl w:val="1"/>
          <w:numId w:val="147"/>
        </w:numPr>
        <w:rPr>
          <w:rFonts w:ascii="Arial" w:cs="Arial" w:eastAsia="Arial" w:hAnsi="Arial"/>
          <w:sz w:val="20"/>
          <w:szCs w:val="20"/>
          <w:b w:val="1"/>
          <w:bCs w:val="1"/>
          <w:color w:val="auto"/>
        </w:rPr>
      </w:pPr>
      <w:r>
        <w:rPr>
          <w:rFonts w:ascii="Arial" w:cs="Arial" w:eastAsia="Arial" w:hAnsi="Arial"/>
          <w:sz w:val="20"/>
          <w:szCs w:val="20"/>
          <w:color w:val="auto"/>
        </w:rPr>
        <w:t>the Award grant is voluntary and occasional and does not create any contractual or other right to receive future grants of RSUs, or benefits in lieu of RSUs, even if RSUs have been granted in the past;</w:t>
      </w:r>
    </w:p>
    <w:p>
      <w:pPr>
        <w:spacing w:after="0" w:line="176" w:lineRule="exact"/>
        <w:rPr>
          <w:rFonts w:ascii="Arial" w:cs="Arial" w:eastAsia="Arial" w:hAnsi="Arial"/>
          <w:sz w:val="20"/>
          <w:szCs w:val="20"/>
          <w:b w:val="1"/>
          <w:bCs w:val="1"/>
          <w:color w:val="auto"/>
        </w:rPr>
      </w:pPr>
    </w:p>
    <w:p>
      <w:pPr>
        <w:ind w:left="1720" w:hanging="415"/>
        <w:spacing w:after="0"/>
        <w:tabs>
          <w:tab w:leader="none" w:pos="1720"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all decisions with respect to future grants of RSUs or other grants, if any, will be at the sole discretion of the Company;</w:t>
      </w:r>
    </w:p>
    <w:p>
      <w:pPr>
        <w:spacing w:after="0" w:line="238" w:lineRule="exact"/>
        <w:rPr>
          <w:rFonts w:ascii="Arial" w:cs="Arial" w:eastAsia="Arial" w:hAnsi="Arial"/>
          <w:sz w:val="18"/>
          <w:szCs w:val="18"/>
          <w:b w:val="1"/>
          <w:bCs w:val="1"/>
          <w:color w:val="auto"/>
        </w:rPr>
      </w:pPr>
    </w:p>
    <w:p>
      <w:pPr>
        <w:ind w:left="1740" w:hanging="435"/>
        <w:spacing w:after="0"/>
        <w:tabs>
          <w:tab w:leader="none" w:pos="1740" w:val="left"/>
        </w:tabs>
        <w:numPr>
          <w:ilvl w:val="1"/>
          <w:numId w:val="147"/>
        </w:numPr>
        <w:rPr>
          <w:rFonts w:ascii="Arial" w:cs="Arial" w:eastAsia="Arial" w:hAnsi="Arial"/>
          <w:sz w:val="20"/>
          <w:szCs w:val="20"/>
          <w:b w:val="1"/>
          <w:bCs w:val="1"/>
          <w:color w:val="auto"/>
        </w:rPr>
      </w:pPr>
      <w:r>
        <w:rPr>
          <w:rFonts w:ascii="Arial" w:cs="Arial" w:eastAsia="Arial" w:hAnsi="Arial"/>
          <w:sz w:val="20"/>
          <w:szCs w:val="20"/>
          <w:color w:val="auto"/>
        </w:rPr>
        <w:t>you are voluntarily participating in the Plan;</w:t>
      </w:r>
    </w:p>
    <w:p>
      <w:pPr>
        <w:spacing w:after="0" w:line="215" w:lineRule="exact"/>
        <w:rPr>
          <w:rFonts w:ascii="Arial" w:cs="Arial" w:eastAsia="Arial" w:hAnsi="Arial"/>
          <w:sz w:val="20"/>
          <w:szCs w:val="20"/>
          <w:b w:val="1"/>
          <w:bCs w:val="1"/>
          <w:color w:val="auto"/>
        </w:rPr>
      </w:pPr>
    </w:p>
    <w:p>
      <w:pPr>
        <w:ind w:left="1720" w:hanging="415"/>
        <w:spacing w:after="0"/>
        <w:tabs>
          <w:tab w:leader="none" w:pos="1720"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the RSUs and the Ordinary Shares subject to the RSUs are not intended to replace any pension rights or compensation;</w:t>
      </w:r>
    </w:p>
    <w:p>
      <w:pPr>
        <w:spacing w:after="0" w:line="238" w:lineRule="exact"/>
        <w:rPr>
          <w:rFonts w:ascii="Arial" w:cs="Arial" w:eastAsia="Arial" w:hAnsi="Arial"/>
          <w:sz w:val="18"/>
          <w:szCs w:val="18"/>
          <w:b w:val="1"/>
          <w:bCs w:val="1"/>
          <w:color w:val="auto"/>
        </w:rPr>
      </w:pPr>
    </w:p>
    <w:p>
      <w:pPr>
        <w:jc w:val="both"/>
        <w:ind w:firstLine="1305"/>
        <w:spacing w:after="0" w:line="291" w:lineRule="auto"/>
        <w:tabs>
          <w:tab w:leader="none" w:pos="1775" w:val="left"/>
        </w:tabs>
        <w:numPr>
          <w:ilvl w:val="1"/>
          <w:numId w:val="147"/>
        </w:numPr>
        <w:rPr>
          <w:rFonts w:ascii="Arial" w:cs="Arial" w:eastAsia="Arial" w:hAnsi="Arial"/>
          <w:sz w:val="18"/>
          <w:szCs w:val="18"/>
          <w:b w:val="1"/>
          <w:bCs w:val="1"/>
          <w:color w:val="auto"/>
        </w:rPr>
      </w:pPr>
      <w:r>
        <w:rPr>
          <w:rFonts w:ascii="Arial" w:cs="Arial" w:eastAsia="Arial" w:hAnsi="Arial"/>
          <w:sz w:val="18"/>
          <w:szCs w:val="18"/>
          <w:color w:val="auto"/>
        </w:rPr>
        <w:t>the RSUs and the Ordinary Shares subject to the RSUs,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19" w:name="page220"/>
    <w:bookmarkEnd w:id="219"/>
    <w:p>
      <w:pPr>
        <w:ind w:left="1740" w:hanging="435"/>
        <w:spacing w:after="0"/>
        <w:tabs>
          <w:tab w:leader="none" w:pos="1740"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the future value of the underlying Ordinary Shares is unknown, indeterminable and cannot be predicted with certainty;</w:t>
      </w:r>
    </w:p>
    <w:p>
      <w:pPr>
        <w:spacing w:after="0" w:line="238" w:lineRule="exact"/>
        <w:rPr>
          <w:rFonts w:ascii="Arial" w:cs="Arial" w:eastAsia="Arial" w:hAnsi="Arial"/>
          <w:sz w:val="18"/>
          <w:szCs w:val="18"/>
          <w:b w:val="1"/>
          <w:bCs w:val="1"/>
          <w:color w:val="auto"/>
        </w:rPr>
      </w:pPr>
    </w:p>
    <w:p>
      <w:pPr>
        <w:jc w:val="both"/>
        <w:ind w:firstLine="1305"/>
        <w:spacing w:after="0" w:line="242" w:lineRule="auto"/>
        <w:tabs>
          <w:tab w:leader="none" w:pos="1909" w:val="left"/>
        </w:tabs>
        <w:numPr>
          <w:ilvl w:val="1"/>
          <w:numId w:val="148"/>
        </w:numPr>
        <w:rPr>
          <w:rFonts w:ascii="Arial" w:cs="Arial" w:eastAsia="Arial" w:hAnsi="Arial"/>
          <w:sz w:val="20"/>
          <w:szCs w:val="20"/>
          <w:b w:val="1"/>
          <w:bCs w:val="1"/>
          <w:color w:val="auto"/>
        </w:rPr>
      </w:pPr>
      <w:r>
        <w:rPr>
          <w:rFonts w:ascii="Arial" w:cs="Arial" w:eastAsia="Arial" w:hAnsi="Arial"/>
          <w:sz w:val="20"/>
          <w:szCs w:val="20"/>
          <w:color w:val="auto"/>
        </w:rPr>
        <w:t>no claim or entitlement to compensation or damages shall arise from forfeiture of the Award resulting from the termination of your Continuous Service (for any reason whatsoever, whether or not later found to be invalid or in breach of employment laws in the jurisdiction where you are providing Continuous Service or the terms of your employment agreement, if any), and in consideration of the Award to which you are otherwise not entitled, you irrevocably agree never to institute any claim against the Company, any Affiliate or the Employer, waive your ability, if any, to bring any such claim, and release the Company, any affiliate and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197" w:lineRule="exact"/>
        <w:rPr>
          <w:rFonts w:ascii="Arial" w:cs="Arial" w:eastAsia="Arial" w:hAnsi="Arial"/>
          <w:sz w:val="20"/>
          <w:szCs w:val="20"/>
          <w:b w:val="1"/>
          <w:bCs w:val="1"/>
          <w:color w:val="auto"/>
        </w:rPr>
      </w:pPr>
    </w:p>
    <w:p>
      <w:pPr>
        <w:jc w:val="both"/>
        <w:ind w:firstLine="1305"/>
        <w:spacing w:after="0" w:line="272" w:lineRule="auto"/>
        <w:tabs>
          <w:tab w:leader="none" w:pos="1796"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for purposes of the Award, your Continuous Service will be considered terminated as of the date you are no longer actively providing services to the Company or any Affiliate (regardless of the reason for such termination and whether or not later found to be invalid or in breach of employment laws in the jurisdiction where you are providing Continuous Service or the terms of your employment agreement, if any) and unless otherwise expressly provided in this Agreement or determined by the Company, your right to vest in the Award under the Plan, if any, will terminate as of such date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your period of service would not include any contractual notice period or any period of “garden leave” or similar period mandated under employment laws in the jurisdiction where you are providing Continuous Service or the terms of your employment agreement, if any); the Board or the chief executive officer of the Company or an Affiliate, as applicable, shall have the exclusive discretion to determine when you are no longer actively providing services for purposes of your RSU grant (including whether you may still be considered to be providing services while on a leave of absence);</w:t>
      </w:r>
    </w:p>
    <w:p>
      <w:pPr>
        <w:spacing w:after="0" w:line="171" w:lineRule="exact"/>
        <w:rPr>
          <w:rFonts w:ascii="Arial" w:cs="Arial" w:eastAsia="Arial" w:hAnsi="Arial"/>
          <w:sz w:val="18"/>
          <w:szCs w:val="18"/>
          <w:b w:val="1"/>
          <w:bCs w:val="1"/>
          <w:color w:val="auto"/>
        </w:rPr>
      </w:pPr>
    </w:p>
    <w:p>
      <w:pPr>
        <w:jc w:val="both"/>
        <w:ind w:firstLine="1305"/>
        <w:spacing w:after="0" w:line="269" w:lineRule="auto"/>
        <w:tabs>
          <w:tab w:leader="none" w:pos="1735" w:val="left"/>
        </w:tabs>
        <w:numPr>
          <w:ilvl w:val="1"/>
          <w:numId w:val="148"/>
        </w:numPr>
        <w:rPr>
          <w:rFonts w:ascii="Arial" w:cs="Arial" w:eastAsia="Arial" w:hAnsi="Arial"/>
          <w:sz w:val="19"/>
          <w:szCs w:val="19"/>
          <w:b w:val="1"/>
          <w:bCs w:val="1"/>
          <w:color w:val="auto"/>
        </w:rPr>
      </w:pPr>
      <w:r>
        <w:rPr>
          <w:rFonts w:ascii="Arial" w:cs="Arial" w:eastAsia="Arial" w:hAnsi="Arial"/>
          <w:sz w:val="19"/>
          <w:szCs w:val="19"/>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Ordinary Shares; and</w:t>
      </w:r>
    </w:p>
    <w:p>
      <w:pPr>
        <w:spacing w:after="0" w:line="170" w:lineRule="exact"/>
        <w:rPr>
          <w:rFonts w:ascii="Arial" w:cs="Arial" w:eastAsia="Arial" w:hAnsi="Arial"/>
          <w:sz w:val="19"/>
          <w:szCs w:val="19"/>
          <w:b w:val="1"/>
          <w:bCs w:val="1"/>
          <w:color w:val="auto"/>
        </w:rPr>
      </w:pPr>
    </w:p>
    <w:p>
      <w:pPr>
        <w:jc w:val="both"/>
        <w:ind w:firstLine="1305"/>
        <w:spacing w:after="0" w:line="291" w:lineRule="auto"/>
        <w:tabs>
          <w:tab w:leader="none" w:pos="1827"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you acknowledge and agree that neither the Company, the Employer nor any Affiliate shall be liable for any foreign exchange rate fluctuation between your local currency and the United States Dollar that may affect the value of the Award or of any amounts due to you pursuant to the settlement of the Award or the subsequent sale of any Ordinary Shares acquired upon settlement.</w:t>
      </w:r>
    </w:p>
    <w:p>
      <w:pPr>
        <w:spacing w:after="0" w:line="159" w:lineRule="exact"/>
        <w:rPr>
          <w:rFonts w:ascii="Arial" w:cs="Arial" w:eastAsia="Arial" w:hAnsi="Arial"/>
          <w:sz w:val="18"/>
          <w:szCs w:val="18"/>
          <w:b w:val="1"/>
          <w:bCs w:val="1"/>
          <w:color w:val="auto"/>
        </w:rPr>
      </w:pPr>
    </w:p>
    <w:p>
      <w:pPr>
        <w:jc w:val="both"/>
        <w:ind w:firstLine="656"/>
        <w:spacing w:after="0" w:line="276" w:lineRule="auto"/>
        <w:tabs>
          <w:tab w:leader="none" w:pos="1544"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ADVICE REGARDING GRANT. </w:t>
      </w:r>
      <w:r>
        <w:rPr>
          <w:rFonts w:ascii="Arial" w:cs="Arial" w:eastAsia="Arial" w:hAnsi="Arial"/>
          <w:sz w:val="20"/>
          <w:szCs w:val="20"/>
          <w:color w:val="auto"/>
        </w:rPr>
        <w:t>The Company is not providing any tax, legal or financial advice, nor is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making any recommendations regarding your participation 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184" w:lineRule="exact"/>
        <w:rPr>
          <w:rFonts w:ascii="Arial" w:cs="Arial" w:eastAsia="Arial" w:hAnsi="Arial"/>
          <w:sz w:val="20"/>
          <w:szCs w:val="20"/>
          <w:b w:val="1"/>
          <w:bCs w:val="1"/>
          <w:color w:val="auto"/>
        </w:rPr>
      </w:pPr>
    </w:p>
    <w:p>
      <w:pPr>
        <w:jc w:val="both"/>
        <w:ind w:firstLine="656"/>
        <w:spacing w:after="0" w:line="276" w:lineRule="auto"/>
        <w:tabs>
          <w:tab w:leader="none" w:pos="1544"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b w:val="1"/>
          <w:bCs w:val="1"/>
          <w:i w:val="1"/>
          <w:iCs w:val="1"/>
          <w:color w:val="auto"/>
        </w:rPr>
        <w:t>You hereby explicitly and unambiguously consent to the collection, use and transfer, in electronic or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other form, of your personal data as described in this Agreement and any other Award grant materials by and among, as applicable, the Employer, the Company and any Affiliate for the exclusive purpose of implementing, administering and managing your participation in the Plan.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b w:val="1"/>
          <w:bCs w:val="1"/>
          <w:i w:val="1"/>
          <w:iCs w:val="1"/>
          <w:color w:val="auto"/>
        </w:rPr>
        <w:t>You understand that the Company and the Employer may hold certain personal information about you, including, but not limited to, your name, home address and telephone number, date of birth, social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0" w:name="page221"/>
    <w:bookmarkEnd w:id="220"/>
    <w:p>
      <w:pPr>
        <w:jc w:val="both"/>
        <w:spacing w:after="0" w:line="269" w:lineRule="auto"/>
        <w:rPr>
          <w:sz w:val="20"/>
          <w:szCs w:val="20"/>
          <w:color w:val="auto"/>
        </w:rPr>
      </w:pPr>
      <w:r>
        <w:rPr>
          <w:rFonts w:ascii="Arial" w:cs="Arial" w:eastAsia="Arial" w:hAnsi="Arial"/>
          <w:sz w:val="19"/>
          <w:szCs w:val="19"/>
          <w:b w:val="1"/>
          <w:bCs w:val="1"/>
          <w:i w:val="1"/>
          <w:iCs w:val="1"/>
          <w:color w:val="auto"/>
        </w:rPr>
        <w:t>insurance number or other identification number, salary, nationality, job title, any Ordinary Shares or directorships held in the Company, details of all Awards or any other entitlement to Ordinary Shares awarded, canceled, exercised, vested, unvested or outstanding in your favor (“Data”), for the exclusive purpose of implementing, administering and managing the Plan.</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You understand that Data will be transferred to a third party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with a lower level of protection than your country. You understand that you may request a list with the names and addresses of any potential recipients of the Data by contacting your local human resources representative. You authorize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Continuous Service and career with the Employer will not be adversely affected; the only adverse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83" w:lineRule="exact"/>
        <w:rPr>
          <w:sz w:val="20"/>
          <w:szCs w:val="20"/>
          <w:color w:val="auto"/>
        </w:rPr>
      </w:pPr>
    </w:p>
    <w:p>
      <w:pPr>
        <w:ind w:firstLine="656"/>
        <w:spacing w:after="0" w:line="295" w:lineRule="auto"/>
        <w:tabs>
          <w:tab w:leader="none" w:pos="1544"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Award and the provisions of this Agreement are governed by, and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Delaware, without regard to the conflict of law provisions.</w:t>
      </w:r>
    </w:p>
    <w:p>
      <w:pPr>
        <w:spacing w:after="0" w:line="15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59" w:lineRule="exact"/>
        <w:rPr>
          <w:sz w:val="20"/>
          <w:szCs w:val="20"/>
          <w:color w:val="auto"/>
        </w:rPr>
      </w:pPr>
    </w:p>
    <w:p>
      <w:pPr>
        <w:ind w:firstLine="656"/>
        <w:spacing w:after="0" w:line="354" w:lineRule="auto"/>
        <w:tabs>
          <w:tab w:leader="none" w:pos="154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LANGUAGE. </w:t>
      </w:r>
      <w:r>
        <w:rPr>
          <w:rFonts w:ascii="Arial" w:cs="Arial" w:eastAsia="Arial" w:hAnsi="Arial"/>
          <w:sz w:val="18"/>
          <w:szCs w:val="18"/>
          <w:color w:val="auto"/>
        </w:rPr>
        <w:t>If you have received this Agreement or any other document related to the Plan translated into a language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English and if the meaning of the translated version is different than the English version, the English version will control.</w:t>
      </w:r>
    </w:p>
    <w:p>
      <w:pPr>
        <w:spacing w:after="0" w:line="118" w:lineRule="exact"/>
        <w:rPr>
          <w:rFonts w:ascii="Arial" w:cs="Arial" w:eastAsia="Arial" w:hAnsi="Arial"/>
          <w:sz w:val="18"/>
          <w:szCs w:val="18"/>
          <w:b w:val="1"/>
          <w:bCs w:val="1"/>
          <w:color w:val="auto"/>
        </w:rPr>
      </w:pPr>
    </w:p>
    <w:p>
      <w:pPr>
        <w:jc w:val="both"/>
        <w:ind w:firstLine="656"/>
        <w:spacing w:after="0" w:line="316" w:lineRule="auto"/>
        <w:tabs>
          <w:tab w:leader="none" w:pos="154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APPENDIX. </w:t>
      </w:r>
      <w:r>
        <w:rPr>
          <w:rFonts w:ascii="Arial" w:cs="Arial" w:eastAsia="Arial" w:hAnsi="Arial"/>
          <w:sz w:val="18"/>
          <w:szCs w:val="18"/>
          <w:color w:val="auto"/>
        </w:rPr>
        <w:t>Notwithstanding any provisions in this Agreement, the Award shall be subject to any special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52" w:lineRule="exact"/>
        <w:rPr>
          <w:rFonts w:ascii="Arial" w:cs="Arial" w:eastAsia="Arial" w:hAnsi="Arial"/>
          <w:sz w:val="18"/>
          <w:szCs w:val="18"/>
          <w:b w:val="1"/>
          <w:bCs w:val="1"/>
          <w:color w:val="auto"/>
        </w:rPr>
      </w:pPr>
    </w:p>
    <w:p>
      <w:pPr>
        <w:ind w:firstLine="656"/>
        <w:spacing w:after="0" w:line="295" w:lineRule="auto"/>
        <w:tabs>
          <w:tab w:leader="none" w:pos="1544" w:val="left"/>
        </w:tabs>
        <w:numPr>
          <w:ilvl w:val="0"/>
          <w:numId w:val="15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ELECTRONIC DELIVERY. </w:t>
      </w:r>
      <w:r>
        <w:rPr>
          <w:rFonts w:ascii="Arial" w:cs="Arial" w:eastAsia="Arial" w:hAnsi="Arial"/>
          <w:sz w:val="20"/>
          <w:szCs w:val="20"/>
          <w:color w:val="auto"/>
        </w:rPr>
        <w:t>Any notices provided for in your Award or the Plan shall be given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electronically) and shall be deemed effectively given upon receipt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1" w:name="page222"/>
    <w:bookmarkEnd w:id="221"/>
    <w:p>
      <w:pPr>
        <w:jc w:val="both"/>
        <w:spacing w:after="0" w:line="272" w:lineRule="auto"/>
        <w:rPr>
          <w:sz w:val="20"/>
          <w:szCs w:val="20"/>
          <w:color w:val="auto"/>
        </w:rPr>
      </w:pPr>
      <w:r>
        <w:rPr>
          <w:rFonts w:ascii="Arial" w:cs="Arial" w:eastAsia="Arial" w:hAnsi="Arial"/>
          <w:sz w:val="20"/>
          <w:szCs w:val="20"/>
          <w:color w:val="auto"/>
        </w:rPr>
        <w:t>or, in the case of notices delivered by the Company to you, fourteen (14)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86" w:lineRule="exact"/>
        <w:rPr>
          <w:sz w:val="20"/>
          <w:szCs w:val="20"/>
          <w:color w:val="auto"/>
        </w:rPr>
      </w:pPr>
    </w:p>
    <w:p>
      <w:pPr>
        <w:ind w:left="1560" w:hanging="904"/>
        <w:spacing w:after="0"/>
        <w:tabs>
          <w:tab w:leader="none" w:pos="156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35" w:lineRule="exact"/>
        <w:rPr>
          <w:rFonts w:ascii="Arial" w:cs="Arial" w:eastAsia="Arial" w:hAnsi="Arial"/>
          <w:sz w:val="20"/>
          <w:szCs w:val="20"/>
          <w:b w:val="1"/>
          <w:bCs w:val="1"/>
          <w:color w:val="auto"/>
        </w:rPr>
      </w:pPr>
    </w:p>
    <w:p>
      <w:pPr>
        <w:ind w:right="20" w:firstLine="1305"/>
        <w:spacing w:after="0" w:line="316" w:lineRule="auto"/>
        <w:tabs>
          <w:tab w:leader="none" w:pos="1773" w:val="left"/>
        </w:tabs>
        <w:numPr>
          <w:ilvl w:val="1"/>
          <w:numId w:val="152"/>
        </w:numPr>
        <w:rPr>
          <w:rFonts w:ascii="Arial" w:cs="Arial" w:eastAsia="Arial" w:hAnsi="Arial"/>
          <w:sz w:val="18"/>
          <w:szCs w:val="18"/>
          <w:b w:val="1"/>
          <w:bCs w:val="1"/>
          <w:color w:val="auto"/>
        </w:rPr>
      </w:pPr>
      <w:r>
        <w:rPr>
          <w:rFonts w:ascii="Arial" w:cs="Arial" w:eastAsia="Arial" w:hAnsi="Arial"/>
          <w:sz w:val="18"/>
          <w:szCs w:val="18"/>
          <w:color w:val="auto"/>
        </w:rPr>
        <w:t>All covenants and agreements hereunder shall inure to the benefit of, and be enforceable by the Company’s successors and assigns, if any. Your rights and obligations under your Award may only be assigned with the prior written consent of the Company.</w:t>
      </w:r>
    </w:p>
    <w:p>
      <w:pPr>
        <w:spacing w:after="0" w:line="130" w:lineRule="exact"/>
        <w:rPr>
          <w:rFonts w:ascii="Arial" w:cs="Arial" w:eastAsia="Arial" w:hAnsi="Arial"/>
          <w:sz w:val="18"/>
          <w:szCs w:val="18"/>
          <w:b w:val="1"/>
          <w:bCs w:val="1"/>
          <w:color w:val="auto"/>
        </w:rPr>
      </w:pPr>
    </w:p>
    <w:p>
      <w:pPr>
        <w:ind w:right="20" w:firstLine="1305"/>
        <w:spacing w:after="0" w:line="260" w:lineRule="auto"/>
        <w:tabs>
          <w:tab w:leader="none" w:pos="1752" w:val="left"/>
        </w:tabs>
        <w:numPr>
          <w:ilvl w:val="1"/>
          <w:numId w:val="152"/>
        </w:numPr>
        <w:rPr>
          <w:rFonts w:ascii="Arial" w:cs="Arial" w:eastAsia="Arial" w:hAnsi="Arial"/>
          <w:sz w:val="20"/>
          <w:szCs w:val="20"/>
          <w:b w:val="1"/>
          <w:bCs w:val="1"/>
          <w:color w:val="auto"/>
        </w:rPr>
      </w:pPr>
      <w:r>
        <w:rPr>
          <w:rFonts w:ascii="Arial" w:cs="Arial" w:eastAsia="Arial" w:hAnsi="Arial"/>
          <w:sz w:val="20"/>
          <w:szCs w:val="20"/>
          <w:color w:val="auto"/>
        </w:rPr>
        <w:t>You agree upon request to execute any further documents or instruments necessary or desirable in the sole determination of the Company to carry out the purposes or intent of your Award.</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87" w:val="left"/>
        </w:tabs>
        <w:numPr>
          <w:ilvl w:val="1"/>
          <w:numId w:val="152"/>
        </w:numPr>
        <w:rPr>
          <w:rFonts w:ascii="Arial" w:cs="Arial" w:eastAsia="Arial" w:hAnsi="Arial"/>
          <w:sz w:val="20"/>
          <w:szCs w:val="20"/>
          <w:b w:val="1"/>
          <w:bCs w:val="1"/>
          <w:color w:val="auto"/>
        </w:rPr>
      </w:pPr>
      <w:r>
        <w:rPr>
          <w:rFonts w:ascii="Arial" w:cs="Arial" w:eastAsia="Arial" w:hAnsi="Arial"/>
          <w:sz w:val="20"/>
          <w:szCs w:val="20"/>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76" w:lineRule="exact"/>
        <w:rPr>
          <w:rFonts w:ascii="Arial" w:cs="Arial" w:eastAsia="Arial" w:hAnsi="Arial"/>
          <w:sz w:val="20"/>
          <w:szCs w:val="20"/>
          <w:b w:val="1"/>
          <w:bCs w:val="1"/>
          <w:color w:val="auto"/>
        </w:rPr>
      </w:pPr>
    </w:p>
    <w:p>
      <w:pPr>
        <w:jc w:val="both"/>
        <w:ind w:firstLine="1305"/>
        <w:spacing w:after="0" w:line="250" w:lineRule="auto"/>
        <w:tabs>
          <w:tab w:leader="none" w:pos="1782" w:val="left"/>
        </w:tabs>
        <w:numPr>
          <w:ilvl w:val="1"/>
          <w:numId w:val="152"/>
        </w:numPr>
        <w:rPr>
          <w:rFonts w:ascii="Arial" w:cs="Arial" w:eastAsia="Arial" w:hAnsi="Arial"/>
          <w:sz w:val="20"/>
          <w:szCs w:val="20"/>
          <w:b w:val="1"/>
          <w:bCs w:val="1"/>
          <w:color w:val="auto"/>
        </w:rPr>
      </w:pPr>
      <w:r>
        <w:rPr>
          <w:rFonts w:ascii="Arial" w:cs="Arial" w:eastAsia="Arial" w:hAnsi="Arial"/>
          <w:sz w:val="20"/>
          <w:szCs w:val="20"/>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3" w:lineRule="exact"/>
        <w:rPr>
          <w:rFonts w:ascii="Arial" w:cs="Arial" w:eastAsia="Arial" w:hAnsi="Arial"/>
          <w:sz w:val="20"/>
          <w:szCs w:val="20"/>
          <w:b w:val="1"/>
          <w:bCs w:val="1"/>
          <w:color w:val="auto"/>
        </w:rPr>
      </w:pPr>
    </w:p>
    <w:p>
      <w:pPr>
        <w:jc w:val="both"/>
        <w:ind w:firstLine="656"/>
        <w:spacing w:after="0" w:line="288" w:lineRule="auto"/>
        <w:tabs>
          <w:tab w:leader="none" w:pos="1544"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76" w:lineRule="exact"/>
        <w:rPr>
          <w:rFonts w:ascii="Arial" w:cs="Arial" w:eastAsia="Arial" w:hAnsi="Arial"/>
          <w:sz w:val="19"/>
          <w:szCs w:val="19"/>
          <w:b w:val="1"/>
          <w:bCs w:val="1"/>
          <w:color w:val="auto"/>
        </w:rPr>
      </w:pPr>
    </w:p>
    <w:p>
      <w:pPr>
        <w:jc w:val="both"/>
        <w:ind w:firstLine="656"/>
        <w:spacing w:after="0" w:line="316" w:lineRule="auto"/>
        <w:tabs>
          <w:tab w:leader="none" w:pos="1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all or any part of this Agreement or the Plan is declared by any court or governmental authority to be</w:t>
      </w:r>
      <w:r>
        <w:rPr>
          <w:rFonts w:ascii="Arial" w:cs="Arial" w:eastAsia="Arial" w:hAnsi="Arial"/>
          <w:sz w:val="18"/>
          <w:szCs w:val="18"/>
          <w:b w:val="1"/>
          <w:bCs w:val="1"/>
          <w:color w:val="auto"/>
        </w:rPr>
        <w:t xml:space="preserve"> </w:t>
      </w:r>
      <w:r>
        <w:rPr>
          <w:rFonts w:ascii="Arial" w:cs="Arial" w:eastAsia="Arial" w:hAnsi="Arial"/>
          <w:sz w:val="18"/>
          <w:szCs w:val="18"/>
          <w:color w:val="auto"/>
        </w:rPr>
        <w:t>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52" w:lineRule="exact"/>
        <w:rPr>
          <w:rFonts w:ascii="Arial" w:cs="Arial" w:eastAsia="Arial" w:hAnsi="Arial"/>
          <w:sz w:val="18"/>
          <w:szCs w:val="18"/>
          <w:b w:val="1"/>
          <w:bCs w:val="1"/>
          <w:color w:val="auto"/>
        </w:rPr>
      </w:pPr>
    </w:p>
    <w:p>
      <w:pPr>
        <w:jc w:val="both"/>
        <w:ind w:firstLine="656"/>
        <w:spacing w:after="0" w:line="302" w:lineRule="auto"/>
        <w:tabs>
          <w:tab w:leader="none" w:pos="1544"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161" w:lineRule="exact"/>
        <w:rPr>
          <w:rFonts w:ascii="Arial" w:cs="Arial" w:eastAsia="Arial" w:hAnsi="Arial"/>
          <w:sz w:val="19"/>
          <w:szCs w:val="19"/>
          <w:b w:val="1"/>
          <w:bCs w:val="1"/>
          <w:color w:val="auto"/>
        </w:rPr>
      </w:pPr>
    </w:p>
    <w:p>
      <w:pPr>
        <w:ind w:right="20" w:firstLine="656"/>
        <w:spacing w:after="0" w:line="295" w:lineRule="auto"/>
        <w:tabs>
          <w:tab w:leader="none" w:pos="1544"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HEADINGS. </w:t>
      </w:r>
      <w:r>
        <w:rPr>
          <w:rFonts w:ascii="Arial" w:cs="Arial" w:eastAsia="Arial" w:hAnsi="Arial"/>
          <w:sz w:val="20"/>
          <w:szCs w:val="20"/>
          <w:color w:val="auto"/>
        </w:rPr>
        <w:t>The headings of the Sections in this Agreement are inserted for convenience only and shall not be deemed to</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a part of this Agreement or to affect the meaning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76" w:right="239" w:bottom="1440" w:gutter="0" w:footer="0" w:header="0"/>
        </w:sectPr>
      </w:pPr>
    </w:p>
    <w:bookmarkStart w:id="222" w:name="page223"/>
    <w:bookmarkEnd w:id="222"/>
    <w:p>
      <w:pPr>
        <w:ind w:firstLine="656"/>
        <w:spacing w:after="0" w:line="354" w:lineRule="auto"/>
        <w:tabs>
          <w:tab w:leader="none" w:pos="154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You acknowledge that a waiver by the Company of breach of any provision of this Agreement shall not operate</w:t>
      </w:r>
      <w:r>
        <w:rPr>
          <w:rFonts w:ascii="Arial" w:cs="Arial" w:eastAsia="Arial" w:hAnsi="Arial"/>
          <w:sz w:val="18"/>
          <w:szCs w:val="18"/>
          <w:b w:val="1"/>
          <w:bCs w:val="1"/>
          <w:color w:val="auto"/>
        </w:rPr>
        <w:t xml:space="preserve"> </w:t>
      </w:r>
      <w:r>
        <w:rPr>
          <w:rFonts w:ascii="Arial" w:cs="Arial" w:eastAsia="Arial" w:hAnsi="Arial"/>
          <w:sz w:val="18"/>
          <w:szCs w:val="18"/>
          <w:color w:val="auto"/>
        </w:rPr>
        <w:t>or be construed as a waiver of any other provision of this Agreement, or of any subsequent breach by you or any other Participant.</w:t>
      </w:r>
    </w:p>
    <w:p>
      <w:pPr>
        <w:spacing w:after="0" w:line="111" w:lineRule="exact"/>
        <w:rPr>
          <w:sz w:val="20"/>
          <w:szCs w:val="20"/>
          <w:color w:val="auto"/>
        </w:rPr>
      </w:pPr>
    </w:p>
    <w:p>
      <w:pPr>
        <w:jc w:val="center"/>
        <w:spacing w:after="0"/>
        <w:tabs>
          <w:tab w:leader="none" w:pos="180" w:val="left"/>
          <w:tab w:leader="none" w:pos="180" w:val="left"/>
        </w:tabs>
        <w:rPr>
          <w:sz w:val="20"/>
          <w:szCs w:val="20"/>
          <w:color w:val="auto"/>
        </w:rPr>
      </w:pPr>
      <w:r>
        <w:rPr>
          <w:rFonts w:ascii="Arial" w:cs="Arial" w:eastAsia="Arial" w:hAnsi="Arial"/>
          <w:sz w:val="20"/>
          <w:szCs w:val="20"/>
          <w:color w:val="auto"/>
        </w:rPr>
        <w:t>*</w:t>
        <w:tab/>
        <w:t>*</w:t>
        <w:tab/>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Non-U.S. Restricted Stock Unit Agreement will be deemed to be signed by you upon the signing by you of the Non- 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Restricted Stock Unit Grant Notice to which it is attached.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71" w:right="2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20"/>
          <w:szCs w:val="20"/>
          <w:b w:val="1"/>
          <w:bCs w:val="1"/>
          <w:color w:val="auto"/>
        </w:rPr>
        <w:t>APPENDIX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NON-U.S. RESTRICTED STOCK UNIT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This Appendix contains additional terms and conditions that govern the Award granted under the Plan to you if you reside and/or work in one of the countries listed below. Certain capitalized terms used but not defined in this Appendix have the meanings set forth in the Plan and/or the Agreement.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If you are a citizen or resident of a country other than the one in which you are currently working, transfer employment after the RSUs are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2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January 2013.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vest in the RSUs or sell Ordinary Shares acquired pursuant thereto.</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AUSTRIA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Consumer Protection Notification. </w:t>
      </w:r>
      <w:r>
        <w:rPr>
          <w:rFonts w:ascii="Arial" w:cs="Arial" w:eastAsia="Arial" w:hAnsi="Arial"/>
          <w:sz w:val="18"/>
          <w:szCs w:val="18"/>
          <w:color w:val="auto"/>
        </w:rPr>
        <w:t>You may be entitled to revoke acceptance of the Agreement on the basis of the Austrian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Act (the “Act”) under the conditions listed below, if the Act is considered to be applicable to the Agreement and the Plan:</w:t>
      </w:r>
    </w:p>
    <w:p>
      <w:pPr>
        <w:spacing w:after="0" w:line="124" w:lineRule="exact"/>
        <w:rPr>
          <w:sz w:val="20"/>
          <w:szCs w:val="20"/>
          <w:color w:val="auto"/>
        </w:rPr>
      </w:pPr>
    </w:p>
    <w:p>
      <w:pPr>
        <w:ind w:left="900" w:hanging="244"/>
        <w:spacing w:after="0"/>
        <w:tabs>
          <w:tab w:leader="none" w:pos="90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revocation must be made within one (1) week after acceptance of the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jc w:val="both"/>
        <w:ind w:firstLine="656"/>
        <w:spacing w:after="0" w:line="250" w:lineRule="auto"/>
        <w:tabs>
          <w:tab w:leader="none" w:pos="93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revocation must be in written form to be valid. It is sufficient if you return the Agreement to the Company or the Company’s representative with language which can be understood as a refusal to conclude or honor the Agreement, provided the revocation is sent within the period discussed above.</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hold Ordinary Shares acquired under the Plan outside of Austria, you must submit a report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Austrian National Bank. An exemption applies if the value of the Ordinary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57" w:right="239" w:bottom="1440" w:gutter="0" w:footer="0" w:header="0"/>
        </w:sectPr>
      </w:pPr>
    </w:p>
    <w:bookmarkStart w:id="224" w:name="page225"/>
    <w:bookmarkEnd w:id="224"/>
    <w:p>
      <w:pPr>
        <w:jc w:val="both"/>
        <w:spacing w:after="0" w:line="246" w:lineRule="auto"/>
        <w:rPr>
          <w:sz w:val="20"/>
          <w:szCs w:val="20"/>
          <w:color w:val="auto"/>
        </w:rPr>
      </w:pPr>
      <w:r>
        <w:rPr>
          <w:rFonts w:ascii="Arial" w:cs="Arial" w:eastAsia="Arial" w:hAnsi="Arial"/>
          <w:sz w:val="20"/>
          <w:szCs w:val="20"/>
          <w:color w:val="auto"/>
        </w:rPr>
        <w:t>Shares as of any given quarter does not exceed €30,000,000 or if the value of the Ordinary Shares in any given year as of December 31 does not exceed €5,000,000. If the former threshold is exceeded, quarterly obligations are imposed, whereas if the latter threshold is exceeded, annual reports must be given. The annual reporting date is December 31 and the deadline for filing the annual report is March 31 of the following year.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 separate reporting requirement applies when you sell Ordinary Shares acquired under the Plan or receive a dividend.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BELGIUM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Reporting. </w:t>
      </w:r>
      <w:r>
        <w:rPr>
          <w:rFonts w:ascii="Arial" w:cs="Arial" w:eastAsia="Arial" w:hAnsi="Arial"/>
          <w:sz w:val="19"/>
          <w:szCs w:val="19"/>
          <w:color w:val="auto"/>
        </w:rPr>
        <w:t>You are required to report any bank accounts opened and maintained outside of Belgium on your annual tax return.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Settlement of RSUs. </w:t>
      </w:r>
      <w:r>
        <w:rPr>
          <w:rFonts w:ascii="Arial" w:cs="Arial" w:eastAsia="Arial" w:hAnsi="Arial"/>
          <w:sz w:val="20"/>
          <w:szCs w:val="20"/>
          <w:color w:val="auto"/>
        </w:rPr>
        <w:t>Notwithstanding any discretion contained in the Plan, the grant of RSUs does not provide any right for you to receive a</w:t>
      </w:r>
      <w:r>
        <w:rPr>
          <w:rFonts w:ascii="Arial" w:cs="Arial" w:eastAsia="Arial" w:hAnsi="Arial"/>
          <w:sz w:val="20"/>
          <w:szCs w:val="20"/>
          <w:b w:val="1"/>
          <w:bCs w:val="1"/>
          <w:color w:val="auto"/>
        </w:rPr>
        <w:t xml:space="preserve"> </w:t>
      </w:r>
      <w:r>
        <w:rPr>
          <w:rFonts w:ascii="Arial" w:cs="Arial" w:eastAsia="Arial" w:hAnsi="Arial"/>
          <w:sz w:val="20"/>
          <w:szCs w:val="20"/>
          <w:color w:val="auto"/>
        </w:rPr>
        <w:t>cash payment; the RSUs are payable in Ordinary Shares only.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Involuntary Termination Terms. </w:t>
      </w:r>
      <w:r>
        <w:rPr>
          <w:rFonts w:ascii="Arial" w:cs="Arial" w:eastAsia="Arial" w:hAnsi="Arial"/>
          <w:sz w:val="19"/>
          <w:szCs w:val="19"/>
          <w:color w:val="auto"/>
        </w:rPr>
        <w:t>In the event of involuntary termination of your Continuous Service (regardless of the reason for such</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and whether or not later found to be invalid or in breach of employment laws in the jurisdiction where you are providing Continuous Service or the terms of your employment agreement, if any), vesting will terminate as of the date that is the earlier of: (1) the date you receive notice of termination of employment from the Employer, or (2) the date you are no longer actively rendering services, regardless of any notice period or period of pay in lieu of such notice required under local law (including, but not limited to, statutory law, regulatory law, and/or common law); the Board or the chief executive officer of the Company or an Affiliate, as applicable, shall have the exclusive discretion to determine when you are no longer actively employed or rendering services for purposes of the RSUs.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if Participant resides in Quebec:</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Consent to Receive Information in English. </w:t>
      </w:r>
      <w:r>
        <w:rPr>
          <w:rFonts w:ascii="Arial" w:cs="Arial" w:eastAsia="Arial" w:hAnsi="Arial"/>
          <w:sz w:val="20"/>
          <w:szCs w:val="20"/>
          <w:color w:val="auto"/>
        </w:rPr>
        <w:t>The parties acknowledge that it is their express wish that the Agreement,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 xml:space="preserve">Consentement Pour Recevoir Des Informations en Anglais. </w:t>
      </w:r>
      <w:r>
        <w:rPr>
          <w:rFonts w:ascii="Arial" w:cs="Arial" w:eastAsia="Arial" w:hAnsi="Arial"/>
          <w:sz w:val="20"/>
          <w:szCs w:val="20"/>
          <w:i w:val="1"/>
          <w:iCs w:val="1"/>
          <w:color w:val="auto"/>
        </w:rPr>
        <w:t>Les parties reconnaissent avoir exigé la rédaction en anglais de la convention,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ainsi que de tous documents, avis et procédures judiciaires, exécutés, donnés ou intentés en vertu de, ou liés directement ou indirectement, à la présente convention.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Section 17 of the Agreement: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You hereby authorize the Company and the Company’s representatives to discuss and obtain all relevant information from all personnel, professional or non-professional, involved in the administration of the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5" w:name="page226"/>
    <w:bookmarkEnd w:id="225"/>
    <w:p>
      <w:pPr>
        <w:jc w:val="both"/>
        <w:spacing w:after="0" w:line="316" w:lineRule="auto"/>
        <w:rPr>
          <w:sz w:val="20"/>
          <w:szCs w:val="20"/>
          <w:color w:val="auto"/>
        </w:rPr>
      </w:pPr>
      <w:r>
        <w:rPr>
          <w:rFonts w:ascii="Arial" w:cs="Arial" w:eastAsia="Arial" w:hAnsi="Arial"/>
          <w:sz w:val="18"/>
          <w:szCs w:val="18"/>
          <w:color w:val="auto"/>
        </w:rPr>
        <w:t>You further authorize the Company, the Employer and any Affiliate to disclose and discuss such information with their advisors. You also authorize the Company, the Employer and any Affiliate to record such information and to keep such information in your employment file.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By accepting the grant, Participant confirms having read and understood the Plan and Agreement which were provided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English language. Participant accepts the terms of those documents accordingly.</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 xml:space="preserve">Consentement Relatif à la Langue Utilisée. </w:t>
      </w:r>
      <w:r>
        <w:rPr>
          <w:rFonts w:ascii="Arial" w:cs="Arial" w:eastAsia="Arial" w:hAnsi="Arial"/>
          <w:sz w:val="20"/>
          <w:szCs w:val="20"/>
          <w:i w:val="1"/>
          <w:iCs w:val="1"/>
          <w:color w:val="auto"/>
        </w:rPr>
        <w:t>En acceptant l’attribution, vous confirmez avoir lu et compris le Plan et le Contrat, qui ont été</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communiqués en langue anglaise. Le Participant accepte les termes de ces documents en connaissance de cause.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hold Ordinary Shares outside of France or maintain a foreign bank account, you are required to report</w:t>
      </w:r>
      <w:r>
        <w:rPr>
          <w:rFonts w:ascii="Arial" w:cs="Arial" w:eastAsia="Arial" w:hAnsi="Arial"/>
          <w:sz w:val="20"/>
          <w:szCs w:val="20"/>
          <w:b w:val="1"/>
          <w:bCs w:val="1"/>
          <w:color w:val="auto"/>
        </w:rPr>
        <w:t xml:space="preserve"> </w:t>
      </w:r>
      <w:r>
        <w:rPr>
          <w:rFonts w:ascii="Arial" w:cs="Arial" w:eastAsia="Arial" w:hAnsi="Arial"/>
          <w:sz w:val="20"/>
          <w:szCs w:val="20"/>
          <w:color w:val="auto"/>
        </w:rPr>
        <w:t>such to the French tax authorities when filing your annual tax return.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Cross-border payments in excess of €12,500 must be reported monthly to the German Federal Bank. If you</w:t>
      </w:r>
      <w:r>
        <w:rPr>
          <w:rFonts w:ascii="Arial" w:cs="Arial" w:eastAsia="Arial" w:hAnsi="Arial"/>
          <w:sz w:val="20"/>
          <w:szCs w:val="20"/>
          <w:b w:val="1"/>
          <w:bCs w:val="1"/>
          <w:color w:val="auto"/>
        </w:rPr>
        <w:t xml:space="preserve"> </w:t>
      </w:r>
      <w:r>
        <w:rPr>
          <w:rFonts w:ascii="Arial" w:cs="Arial" w:eastAsia="Arial" w:hAnsi="Arial"/>
          <w:sz w:val="20"/>
          <w:szCs w:val="20"/>
          <w:color w:val="auto"/>
        </w:rPr>
        <w:t>make or receive a payment in excess of this amount, you are responsible for obtaining the appropriate form from a German bank and complying with applicable reporting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The following supplements Section 2 of the Agreement:</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any vesting date falls on a date when the Company determines that you are not permitted to sell Ordinary Shares in the open market for any reason, including under the Company’s Policy Regarding Stock Trading by Executive Officers, Directors and Other Designated Employees (or any successor policy) or the Company’s Policy Against Trading on the Basis of Inside Information (or any successor policy), then such vesting date shall instead be the later of the next business day of the next occurring open “window period” applicable to you or the next business day when the Company determines that you are not prohibited from selling Ordinary Shares in the open market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The following replaces Section 10(a) of the Agreement:</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20"/>
          <w:szCs w:val="20"/>
          <w:b w:val="1"/>
          <w:bCs w:val="1"/>
          <w:i w:val="1"/>
          <w:iCs w:val="1"/>
          <w:color w:val="auto"/>
        </w:rPr>
        <w:t>Employer</w:t>
      </w:r>
      <w:r>
        <w:rPr>
          <w:rFonts w:ascii="Arial" w:cs="Arial" w:eastAsia="Arial" w:hAnsi="Arial"/>
          <w:sz w:val="20"/>
          <w:szCs w:val="20"/>
          <w:color w:val="auto"/>
        </w:rPr>
        <w:t>”) to withhold an amount sufficient to satisfy any income tax, social insurance, payroll tax, fringe benefits tax, payment on account or other tax-related items which arise in connection with your Award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6" w:name="page227"/>
    <w:bookmarkEnd w:id="226"/>
    <w:p>
      <w:pPr>
        <w:jc w:val="both"/>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replaces Section 17 of the Agreement:</w:t>
      </w:r>
    </w:p>
    <w:p>
      <w:pPr>
        <w:spacing w:after="0" w:line="235" w:lineRule="exact"/>
        <w:rPr>
          <w:sz w:val="20"/>
          <w:szCs w:val="20"/>
          <w:color w:val="auto"/>
        </w:rPr>
      </w:pPr>
    </w:p>
    <w:p>
      <w:pPr>
        <w:jc w:val="both"/>
        <w:spacing w:after="0" w:line="309" w:lineRule="auto"/>
        <w:rPr>
          <w:sz w:val="20"/>
          <w:szCs w:val="20"/>
          <w:color w:val="auto"/>
        </w:rPr>
      </w:pPr>
      <w:r>
        <w:rPr>
          <w:rFonts w:ascii="Arial" w:cs="Arial" w:eastAsia="Arial" w:hAnsi="Arial"/>
          <w:sz w:val="16"/>
          <w:szCs w:val="16"/>
          <w:b w:val="1"/>
          <w:bCs w:val="1"/>
          <w:i w:val="1"/>
          <w:iCs w:val="1"/>
          <w:color w:val="auto"/>
        </w:rPr>
        <w:t>You acknowledge, understand and agree that, in signing or electronically accepting the Grant Notice and/or this Agreement, you consent to the Company and any Affiliate sharing and exchanging your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you further consent to the Company and any Affiliate providing the Company’s or Affiliates’ agents and/or third parties with the Information for the administration and operation of the Plan. You accept that this may involve the Information being sent to a country outside the European Economic Area which may not have the same level of data protection laws as Ireland. You acknowledge that you have the right to request a list of the names and addresses of any potential recipients of the Information and to review and correct the Information by contacting the local human resources representative. You further acknowledge that the collection, processing and transfer of the Information is important to Plan administration and that failure to consent to same may prohibit participation in the Plan.</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2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If you are a director, shadow director or secretary of the Company or an Irish Affiliate, you must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the Irish Affiliate in writing within five (5) business days of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xml:space="preserve"> RSUs, Ordinary Shares), or within five (5) business days of becoming aware of the event giving rise to the notification requirement, or within five (5) business days of becoming a director or secretary if such an interest exists at the time. This notification requirement also applies with respect to the interests of a spouse or minor children (whose interests will be attributed to the director, shadow director or secretary, as applicable).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ITALY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Notification. </w:t>
      </w:r>
      <w:r>
        <w:rPr>
          <w:rFonts w:ascii="Arial" w:cs="Arial" w:eastAsia="Arial" w:hAnsi="Arial"/>
          <w:sz w:val="20"/>
          <w:szCs w:val="20"/>
          <w:color w:val="auto"/>
        </w:rPr>
        <w:t>The following provision replaces Section 17 of the Agreement: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7" w:name="page228"/>
    <w:bookmarkEnd w:id="227"/>
    <w:p>
      <w:pPr>
        <w:jc w:val="both"/>
        <w:spacing w:after="0" w:line="278" w:lineRule="auto"/>
        <w:rPr>
          <w:sz w:val="20"/>
          <w:szCs w:val="20"/>
          <w:color w:val="auto"/>
        </w:rPr>
      </w:pPr>
      <w:r>
        <w:rPr>
          <w:rFonts w:ascii="Arial" w:cs="Arial" w:eastAsia="Arial" w:hAnsi="Arial"/>
          <w:sz w:val="18"/>
          <w:szCs w:val="18"/>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Ordinary Shares or directorships held in the Company or any Affiliate, details of all Awards granted, or any other entitlement to Ordinary Shares awarded, canceled, exercised, vested, unvested or outstanding in your favor (“Data”), for the exclusive purpose of implementing, managing and administering the Plan.</w:t>
      </w:r>
    </w:p>
    <w:p>
      <w:pPr>
        <w:spacing w:after="0" w:line="165" w:lineRule="exact"/>
        <w:rPr>
          <w:sz w:val="20"/>
          <w:szCs w:val="20"/>
          <w:color w:val="auto"/>
        </w:rPr>
      </w:pPr>
    </w:p>
    <w:p>
      <w:pPr>
        <w:jc w:val="both"/>
        <w:spacing w:after="0" w:line="234" w:lineRule="exact"/>
        <w:rPr>
          <w:sz w:val="20"/>
          <w:szCs w:val="20"/>
          <w:color w:val="auto"/>
        </w:rPr>
      </w:pPr>
      <w:r>
        <w:rPr>
          <w:rFonts w:ascii="Arial" w:cs="Arial" w:eastAsia="Arial" w:hAnsi="Arial"/>
          <w:sz w:val="16"/>
          <w:szCs w:val="16"/>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Jazz Pharmaceuticals plc, with registered offices at Fourth Floor, Connaught House, 1 Burlington Road, Dublin 4, Ireland, and, pursuant to Legislative Decree no. 196/2003, its Representative in France for privacy purposes is EUSA Pharma SAS, Les Jardins d'Eole, 3 allér de Séquoias, 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69760, Limonest, France. 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Employer, the Company and/ any Affiliate will transfer Data among themselves as necessary for the purpose of implementing, administering and managing your participation in the Plan, and that the Company and any Affiliate may each further transfer Data to third parties assisting the Company in the implementation, administration, and management of the Plan, including any requisite transfer of Data to a broker or other third party with whom you may elect to deposit any Ordinary Shares acquired under the Plan. Such recipients may receive, possess, use, retain, and transfer Data in electronic or other form, for the purposes of implementing, administering, and managing your participation in the Plan. You understand that these recipients may be located in the European Economic Area or elsewhere, such as the United States.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38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Acknowledgement. </w:t>
      </w:r>
      <w:r>
        <w:rPr>
          <w:rFonts w:ascii="Arial" w:cs="Arial" w:eastAsia="Arial" w:hAnsi="Arial"/>
          <w:sz w:val="20"/>
          <w:szCs w:val="20"/>
          <w:color w:val="auto"/>
        </w:rPr>
        <w:t>You acknowledge that you have read and specifically and expressly approve the following sections of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10 - Tax Withholding Obligations; Section 15 - Nature of Grant; Section 18 - Governing Law and Venue; Section 19 - Language; Section 21- Notices; Electronic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8" w:name="page229"/>
    <w:bookmarkEnd w:id="228"/>
    <w:p>
      <w:pPr>
        <w:jc w:val="both"/>
        <w:spacing w:after="0" w:line="260" w:lineRule="auto"/>
        <w:rPr>
          <w:sz w:val="20"/>
          <w:szCs w:val="20"/>
          <w:color w:val="auto"/>
        </w:rPr>
      </w:pPr>
      <w:r>
        <w:rPr>
          <w:rFonts w:ascii="Arial" w:cs="Arial" w:eastAsia="Arial" w:hAnsi="Arial"/>
          <w:sz w:val="20"/>
          <w:szCs w:val="20"/>
          <w:color w:val="auto"/>
        </w:rPr>
        <w:t>Delivery; and Section 24 - Severability. In addition, you acknowledge that you have read and specifically and expressly approve the Data Privacy Notification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You are required to report the following on your annual tax return (Form UNICO, Schedule RW) or on a</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form if no tax return is required: (1) any transfers of cash or Ordinary Shares to or from Italy exceeding €10,000, (2) any foreign investments or investments held outside of Italy at the end of the calendar year exceeding €10,000 if such investments (cash or Ordinary Shares) may result in income taxable in Italy, and (3) the amount of the transfers to and from abroad which have had an impact during the calendar year on your foreign investments or investments held outside of Italy, to the extent that the overall amount of the transfers exceed €10,000. Under certain circumstances, you may be exempt from the requirement under (1) above if the transfer or investment is made through an authorized broker resident in Italy.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NETHERLANDS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b w:val="1"/>
          <w:bCs w:val="1"/>
          <w:color w:val="auto"/>
        </w:rPr>
        <w:t xml:space="preserve">Insider Trading Notification. </w:t>
      </w:r>
      <w:r>
        <w:rPr>
          <w:rFonts w:ascii="Arial" w:cs="Arial" w:eastAsia="Arial" w:hAnsi="Arial"/>
          <w:sz w:val="18"/>
          <w:szCs w:val="18"/>
          <w:color w:val="auto"/>
        </w:rPr>
        <w:t>You should be aware of Dutch insider trading rules that may impact the sale of Ordinary Shares acquired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In particular, you may be prohibited from effecting certain transactions if you have insider information regarding the Company.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grant of the RSUs and participating in the Plan, you acknowledge having read and understood this Insider Trading Notification and further acknowledge that it is your responsibility to comply with the following Dutch insider trading rules.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Article 5:56 of the Dutch Financial Supervision Act, anyone who has “insider information” related to an issuing company is prohibited from effectuating a transaction in securities in or from the Netherlands. “Insider information” is defined as knowledge of details concerning the issuing company to which the securities relate that is not public and which, if published, would reasonably be expected to affect the stock price, regardless of the development of the price. The insider could be any Continuous Service provider in the Netherlands who has insider information as described herein.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Given the broad scope of the definition of insider information, certain Continuous Service providers working in the Netherlands (including a Participant in the Plan) may have inside information and, thus, would be prohibited from effectuating a transaction in securities in the Netherlands at a time when in possession of such insider information. If you are uncertain whether the insider trading rules apply to you, you should consult with your personal legal advisor.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Polish residents are required to file quarterly reports to the National Bank of Poland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and balances regarding their rights to Ordinary Shares (such as RSUs) and Ordinary Shares if the total value (calculated individually or together with other assets and liabilities possessed abroad) exceeds PLN 7 million.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29" w:name="page230"/>
    <w:bookmarkEnd w:id="229"/>
    <w:p>
      <w:pPr>
        <w:jc w:val="both"/>
        <w:spacing w:after="0" w:line="250" w:lineRule="auto"/>
        <w:rPr>
          <w:sz w:val="20"/>
          <w:szCs w:val="20"/>
          <w:color w:val="auto"/>
        </w:rPr>
      </w:pPr>
      <w:r>
        <w:rPr>
          <w:rFonts w:ascii="Arial" w:cs="Arial" w:eastAsia="Arial" w:hAnsi="Arial"/>
          <w:sz w:val="20"/>
          <w:szCs w:val="20"/>
          <w:color w:val="auto"/>
        </w:rPr>
        <w:t>Polish residents also are required to transfer funds through a bank account in Poland if the transferred amount in any single transaction exceeds a specified threshold (currently €15,000). Polish residents are required to retain documents connected with foreign exchange transactions for a period of five years from the date the exchange transaction was made.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PORTUGAL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acquire Ordinary Shares under the Plan and hold the Ordinary Shares with a U.S. broker that is not a</w:t>
      </w:r>
      <w:r>
        <w:rPr>
          <w:rFonts w:ascii="Arial" w:cs="Arial" w:eastAsia="Arial" w:hAnsi="Arial"/>
          <w:sz w:val="20"/>
          <w:szCs w:val="20"/>
          <w:b w:val="1"/>
          <w:bCs w:val="1"/>
          <w:color w:val="auto"/>
        </w:rPr>
        <w:t xml:space="preserve"> </w:t>
      </w:r>
      <w:r>
        <w:rPr>
          <w:rFonts w:ascii="Arial" w:cs="Arial" w:eastAsia="Arial" w:hAnsi="Arial"/>
          <w:sz w:val="20"/>
          <w:szCs w:val="20"/>
          <w:color w:val="auto"/>
        </w:rPr>
        <w:t>Portuguese financial intermediary, you may need to file a report with the Portuguese Central Bank. If the Ordinary Shares are held by a Portuguese financial intermediary, it will file the report for you.</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This provision supplements Section 10 of the Agreement:</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payment or withholding of the income tax due is not made within 90 days of the event giving rise to the liability or such other period specified in Section 222(1)(c) of the U.K. Income Tax (Earnings and Pensions) Act 2003 (the “Due Date”), the amount of any uncollected tax will constitute a loan owed by you to the Employer, effective on the Due Date. You agree that the loan will bear interest at the then-current Her Majesty's Revenue and Custom (“HMRC”) Official Rate, it will be immediately due and repayable, and the Company or the Employer may recover it at any time thereafter by any of the means referred to in Section 10 of the Agreement. Notwithstanding the foregoing, if you are a director or executive officer of the Company (within the meaning of Section 13(k) of the Exchange Act), you will not be eligible for such a loan to cover the tax liability. In the event that you are a director or executive officer and the income tax due is not collected from or paid by you by the Due Date, the amount of any uncollected income tax will constitute a benefit to you on which additional income tax and national insurance contributions (“NICs”) will be payable. You will be responsible for reporting and paying any income tax due on this additional benefit directly to HMRC under the self-assessment regime and for reimbursing your Employer for the value of any NICs due on this additional benefit.</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Joint Election for Transfer of Liability for Employer National Insurance Contributions. </w:t>
      </w:r>
      <w:r>
        <w:rPr>
          <w:rFonts w:ascii="Arial" w:cs="Arial" w:eastAsia="Arial" w:hAnsi="Arial"/>
          <w:sz w:val="20"/>
          <w:szCs w:val="20"/>
          <w:color w:val="auto"/>
        </w:rPr>
        <w:t>As a condition of participation in the Plan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of the RSUs, you agree to accept any liability for secondary Class 1 NICs that may be payable by the Company, the Employer or any Affiliate in connection with the RSUs and any event giving rise to Tax-Related Items (the “Employer NICs”). Without prejudice to the foregoing, you agree to execute a joint election with the Company, the form of such joint election (the “Joint Election”) having been approved formally by HMRC, and any other required consent or election prior to vesting of the RSUs. You further agree to execute such other joint elections as may be required between you and any successor to the Company, the Employer or any Affiliate. You further agree that the Company, the Employer or any Affiliate may collect the Employer NICs from you by any of the means set forth in Section 10 of the Agreement.</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do not enter into a Joint Election prior to the vesting of the RSUs, you will not be entitled to vest in the RSUs without any liability to the Company, the Employer or any Affiliate.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20"/>
          <w:szCs w:val="20"/>
          <w:b w:val="1"/>
          <w:bCs w:val="1"/>
          <w:color w:val="auto"/>
        </w:rPr>
        <w:t>JAZZ PHARMACEUTICALS PLC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2011 EQUITY INCENTIVE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ELECTION TO TRANSFER THE EMPLOYER’S SECONDARY CLASS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NATIONAL INSURANCE LIABILITY TO THE EMPLOYEE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223" w:lineRule="exact"/>
        <w:rPr>
          <w:sz w:val="20"/>
          <w:szCs w:val="20"/>
          <w:color w:val="auto"/>
        </w:rPr>
      </w:pPr>
    </w:p>
    <w:p>
      <w:pPr>
        <w:jc w:val="both"/>
        <w:ind w:left="660" w:hanging="652"/>
        <w:spacing w:after="0" w:line="253" w:lineRule="auto"/>
        <w:tabs>
          <w:tab w:leader="none" w:pos="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individual who has received this Election (the “</w:t>
      </w:r>
      <w:r>
        <w:rPr>
          <w:rFonts w:ascii="Arial" w:cs="Arial" w:eastAsia="Arial" w:hAnsi="Arial"/>
          <w:sz w:val="20"/>
          <w:szCs w:val="20"/>
          <w:b w:val="1"/>
          <w:bCs w:val="1"/>
          <w:color w:val="auto"/>
        </w:rPr>
        <w:t>Employee</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color w:val="auto"/>
        </w:rPr>
        <w:t>Employer</w:t>
      </w:r>
      <w:r>
        <w:rPr>
          <w:rFonts w:ascii="Arial" w:cs="Arial" w:eastAsia="Arial" w:hAnsi="Arial"/>
          <w:sz w:val="20"/>
          <w:szCs w:val="20"/>
          <w:color w:val="auto"/>
        </w:rPr>
        <w:t>”) and who is eligible to receive stock options and/or restricted stock units (together, the “</w:t>
      </w:r>
      <w:r>
        <w:rPr>
          <w:rFonts w:ascii="Arial" w:cs="Arial" w:eastAsia="Arial" w:hAnsi="Arial"/>
          <w:sz w:val="20"/>
          <w:szCs w:val="20"/>
          <w:b w:val="1"/>
          <w:bCs w:val="1"/>
          <w:color w:val="auto"/>
        </w:rPr>
        <w:t>Awards</w:t>
      </w:r>
      <w:r>
        <w:rPr>
          <w:rFonts w:ascii="Arial" w:cs="Arial" w:eastAsia="Arial" w:hAnsi="Arial"/>
          <w:sz w:val="20"/>
          <w:szCs w:val="20"/>
          <w:color w:val="auto"/>
        </w:rPr>
        <w:t>”) pursuant to the Jazz Pharmaceuticals plc 2011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and</w:t>
      </w:r>
    </w:p>
    <w:p>
      <w:pPr>
        <w:spacing w:after="0" w:line="191" w:lineRule="exact"/>
        <w:rPr>
          <w:rFonts w:ascii="Arial" w:cs="Arial" w:eastAsia="Arial" w:hAnsi="Arial"/>
          <w:sz w:val="20"/>
          <w:szCs w:val="20"/>
          <w:color w:val="auto"/>
        </w:rPr>
      </w:pPr>
    </w:p>
    <w:p>
      <w:pPr>
        <w:ind w:left="660" w:hanging="652"/>
        <w:spacing w:after="0" w:line="267" w:lineRule="auto"/>
        <w:tabs>
          <w:tab w:leader="none" w:pos="6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Jazz Pharmaceuticals plc, Fourth Floor, Connaught House, 1 Burlington Road, Dublin 4, Ireland (the “</w:t>
      </w:r>
      <w:r>
        <w:rPr>
          <w:rFonts w:ascii="Arial" w:cs="Arial" w:eastAsia="Arial" w:hAnsi="Arial"/>
          <w:sz w:val="20"/>
          <w:szCs w:val="20"/>
          <w:b w:val="1"/>
          <w:bCs w:val="1"/>
          <w:color w:val="auto"/>
        </w:rPr>
        <w:t>Company</w:t>
      </w:r>
      <w:r>
        <w:rPr>
          <w:rFonts w:ascii="Arial" w:cs="Arial" w:eastAsia="Arial" w:hAnsi="Arial"/>
          <w:sz w:val="20"/>
          <w:szCs w:val="20"/>
          <w:color w:val="auto"/>
        </w:rPr>
        <w:t>”), which may grant Awards under the Plan and is entering into this Election on behalf of the Employer.</w:t>
      </w:r>
    </w:p>
    <w:p>
      <w:pPr>
        <w:spacing w:after="0" w:line="393"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This Election relates to all Awards granted to the Employee under the Plan on or after January 18, 2012 up to the termination date of the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In this Election the following words and phrases have the following meanings:</w:t>
      </w:r>
    </w:p>
    <w:p>
      <w:pPr>
        <w:spacing w:after="0" w:line="200" w:lineRule="exact"/>
        <w:rPr>
          <w:sz w:val="20"/>
          <w:szCs w:val="20"/>
          <w:color w:val="auto"/>
        </w:rPr>
      </w:pPr>
    </w:p>
    <w:p>
      <w:pPr>
        <w:spacing w:after="0" w:line="239"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Chargeable Event</w:t>
      </w:r>
      <w:r>
        <w:rPr>
          <w:rFonts w:ascii="Arial" w:cs="Arial" w:eastAsia="Arial" w:hAnsi="Arial"/>
          <w:sz w:val="20"/>
          <w:szCs w:val="20"/>
          <w:color w:val="auto"/>
        </w:rPr>
        <w:t>” means, in relation to the Awards:</w:t>
      </w:r>
    </w:p>
    <w:p>
      <w:pPr>
        <w:spacing w:after="0" w:line="200" w:lineRule="exact"/>
        <w:rPr>
          <w:rFonts w:ascii="Arial" w:cs="Arial" w:eastAsia="Arial" w:hAnsi="Arial"/>
          <w:sz w:val="20"/>
          <w:szCs w:val="20"/>
          <w:color w:val="auto"/>
        </w:rPr>
      </w:pPr>
    </w:p>
    <w:p>
      <w:pPr>
        <w:spacing w:after="0" w:line="251" w:lineRule="exact"/>
        <w:rPr>
          <w:rFonts w:ascii="Arial" w:cs="Arial" w:eastAsia="Arial" w:hAnsi="Arial"/>
          <w:sz w:val="20"/>
          <w:szCs w:val="20"/>
          <w:color w:val="auto"/>
        </w:rPr>
      </w:pPr>
    </w:p>
    <w:p>
      <w:pPr>
        <w:ind w:left="1960" w:hanging="655"/>
        <w:spacing w:after="0"/>
        <w:tabs>
          <w:tab w:leader="none" w:pos="196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acquisition of securities pursuant to the Awards (within section 477(3)(a) of ITEPA);</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960" w:hanging="655"/>
        <w:spacing w:after="0"/>
        <w:tabs>
          <w:tab w:leader="none" w:pos="196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assignment (if applicable) or release of the Awards in return for consideration (within section 477(3)(b) of ITEPA);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60" w:hanging="655"/>
        <w:spacing w:after="0" w:line="260" w:lineRule="auto"/>
        <w:tabs>
          <w:tab w:leader="none" w:pos="196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receipt of a benefit in connection with the Awards, other than a benefit within (i) or (ii) above (within section 477(3)(c) of ITEPA);</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post-acquisition charges relating to the ordinary shares of the Company acquired pursuant to the Awards (within section 427 of ITEPA); and/or</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post-acquisition charges relating to the ordinary shares of the Company acquired pursuant to the Awards (within section 439 of ITEPA).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57" w:right="239" w:bottom="1440" w:gutter="0" w:footer="0" w:header="0"/>
        </w:sectPr>
      </w:pPr>
    </w:p>
    <w:bookmarkStart w:id="231" w:name="page232"/>
    <w:bookmarkEnd w:id="231"/>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ITEPA</w:t>
      </w:r>
      <w:r>
        <w:rPr>
          <w:rFonts w:ascii="Arial" w:cs="Arial" w:eastAsia="Arial" w:hAnsi="Arial"/>
          <w:sz w:val="20"/>
          <w:szCs w:val="20"/>
          <w:color w:val="auto"/>
        </w:rPr>
        <w:t>” means the Income Tax (Earnings and Pensions) Act 2003.</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300" w:hanging="644"/>
        <w:spacing w:after="0"/>
        <w:tabs>
          <w:tab w:leader="none" w:pos="130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SSCBA</w:t>
      </w:r>
      <w:r>
        <w:rPr>
          <w:rFonts w:ascii="Arial" w:cs="Arial" w:eastAsia="Arial" w:hAnsi="Arial"/>
          <w:sz w:val="20"/>
          <w:szCs w:val="20"/>
          <w:color w:val="auto"/>
        </w:rPr>
        <w:t>” means the Social Security Contributions and Benefits Act 1992.</w:t>
      </w:r>
    </w:p>
    <w:p>
      <w:pPr>
        <w:spacing w:after="0" w:line="200" w:lineRule="exact"/>
        <w:rPr>
          <w:sz w:val="20"/>
          <w:szCs w:val="20"/>
          <w:color w:val="auto"/>
        </w:rPr>
      </w:pPr>
    </w:p>
    <w:p>
      <w:pPr>
        <w:spacing w:after="0" w:line="24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This Election relates to the Employer’s secondary Class 1 National Insurance Contributions (the “</w:t>
      </w:r>
      <w:r>
        <w:rPr>
          <w:rFonts w:ascii="Arial" w:cs="Arial" w:eastAsia="Arial" w:hAnsi="Arial"/>
          <w:sz w:val="20"/>
          <w:szCs w:val="20"/>
          <w:b w:val="1"/>
          <w:bCs w:val="1"/>
          <w:color w:val="auto"/>
        </w:rPr>
        <w:t>Employer’s Liability</w:t>
      </w:r>
      <w:r>
        <w:rPr>
          <w:rFonts w:ascii="Arial" w:cs="Arial" w:eastAsia="Arial" w:hAnsi="Arial"/>
          <w:sz w:val="20"/>
          <w:szCs w:val="20"/>
          <w:color w:val="auto"/>
        </w:rPr>
        <w:t>”) which may arise on the occurrence of a Chargeable Event in respect of the Awards pursuant to section 4(4)(a) and/or paragraph 3B(1A) of Schedule 1 of the SSCBA.</w:t>
      </w:r>
    </w:p>
    <w:p>
      <w:pPr>
        <w:spacing w:after="0" w:line="200" w:lineRule="exact"/>
        <w:rPr>
          <w:sz w:val="20"/>
          <w:szCs w:val="20"/>
          <w:color w:val="auto"/>
        </w:rPr>
      </w:pPr>
    </w:p>
    <w:p>
      <w:pPr>
        <w:spacing w:after="0" w:line="21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1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376"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The Election</w:t>
      </w:r>
    </w:p>
    <w:p>
      <w:pPr>
        <w:spacing w:after="0" w:line="235"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Employee and the Company jointly elect that the entire liability of the Employer to pay the Employer’s Liability on the Chargeable Event is hereby transferred to the Employee. The Employee understands that, by signing the award grant notice, he or she will become personally liable for the Employer’s Liability covered by this Election. This Election is made in accordance with paragraph 3B(1) of Schedule 1 of the SSCBA.</w:t>
      </w:r>
    </w:p>
    <w:p>
      <w:pPr>
        <w:spacing w:after="0" w:line="200" w:lineRule="exact"/>
        <w:rPr>
          <w:rFonts w:ascii="Arial" w:cs="Arial" w:eastAsia="Arial" w:hAnsi="Arial"/>
          <w:sz w:val="20"/>
          <w:szCs w:val="20"/>
          <w:b w:val="1"/>
          <w:bCs w:val="1"/>
          <w:color w:val="auto"/>
        </w:rPr>
      </w:pPr>
    </w:p>
    <w:p>
      <w:pPr>
        <w:spacing w:after="0" w:line="215" w:lineRule="exact"/>
        <w:rPr>
          <w:rFonts w:ascii="Arial" w:cs="Arial" w:eastAsia="Arial" w:hAnsi="Arial"/>
          <w:sz w:val="20"/>
          <w:szCs w:val="20"/>
          <w:b w:val="1"/>
          <w:bCs w:val="1"/>
          <w:color w:val="auto"/>
        </w:rPr>
      </w:pPr>
    </w:p>
    <w:p>
      <w:pPr>
        <w:ind w:left="660" w:hanging="652"/>
        <w:spacing w:after="0"/>
        <w:tabs>
          <w:tab w:leader="none" w:pos="660" w:val="left"/>
        </w:tabs>
        <w:numPr>
          <w:ilvl w:val="0"/>
          <w:numId w:val="159"/>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the Employer’s Liability</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Employee hereby authorises the Company and/or the Employer to collect the Employer’s Liability from the Employee at any time after the Chargeable Event:</w:t>
      </w:r>
    </w:p>
    <w:p>
      <w:pPr>
        <w:spacing w:after="0" w:line="190" w:lineRule="exact"/>
        <w:rPr>
          <w:sz w:val="20"/>
          <w:szCs w:val="20"/>
          <w:color w:val="auto"/>
        </w:rPr>
      </w:pPr>
    </w:p>
    <w:p>
      <w:pPr>
        <w:ind w:left="1300" w:right="20" w:hanging="644"/>
        <w:spacing w:after="0" w:line="260" w:lineRule="auto"/>
        <w:tabs>
          <w:tab w:leader="none" w:pos="13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by deduction from salary or any other payment payable to the Employee at any time on or after the date of the Chargeable Event; and/or</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directly from the Employee by payment in cash or cleared funds; and/or</w:t>
      </w:r>
    </w:p>
    <w:p>
      <w:pPr>
        <w:spacing w:after="0" w:line="229"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Arial" w:cs="Arial" w:eastAsia="Arial" w:hAnsi="Arial"/>
          <w:sz w:val="20"/>
          <w:szCs w:val="20"/>
          <w:b w:val="1"/>
          <w:bCs w:val="1"/>
          <w:color w:val="auto"/>
        </w:rPr>
        <w:t>HMRC</w:t>
      </w:r>
      <w:r>
        <w:rPr>
          <w:rFonts w:ascii="Arial" w:cs="Arial" w:eastAsia="Arial" w:hAnsi="Arial"/>
          <w:sz w:val="20"/>
          <w:szCs w:val="20"/>
          <w:color w:val="auto"/>
        </w:rPr>
        <w:t>”) by the due date; and/or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1103" w:right="239" w:bottom="1440" w:gutter="0" w:footer="0" w:header="0"/>
        </w:sectPr>
      </w:pPr>
    </w:p>
    <w:bookmarkStart w:id="232" w:name="page233"/>
    <w:bookmarkEnd w:id="232"/>
    <w:p>
      <w:pPr>
        <w:jc w:val="both"/>
        <w:ind w:left="1300" w:hanging="644"/>
        <w:spacing w:after="0" w:line="246" w:lineRule="auto"/>
        <w:tabs>
          <w:tab w:leader="none" w:pos="130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where the proceeds of the gain are to be made through a third party, the Employee will authorize that party to withhold an amount from the payment or to sell some of the securities which the Employee is entitled to receive in respect of the Award, such amount to be paid in sufficient time to enable the Company and/or the Employer to make payment to HMRC by the due date; and/or</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by any other means specified in the applicable Award agreement entered into between the Employee and the Company.</w:t>
      </w:r>
    </w:p>
    <w:p>
      <w:pPr>
        <w:spacing w:after="0" w:line="200" w:lineRule="exact"/>
        <w:rPr>
          <w:sz w:val="20"/>
          <w:szCs w:val="20"/>
          <w:color w:val="auto"/>
        </w:rPr>
      </w:pPr>
    </w:p>
    <w:p>
      <w:pPr>
        <w:spacing w:after="0" w:line="25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Company hereby reserves for itself and the Employer the right to withhold the transfer of any securities to the Employee in respect of the Awards until full payment of the Employer’s Liability is received.</w:t>
      </w:r>
    </w:p>
    <w:p>
      <w:pPr>
        <w:spacing w:after="0" w:line="200" w:lineRule="exact"/>
        <w:rPr>
          <w:sz w:val="20"/>
          <w:szCs w:val="20"/>
          <w:color w:val="auto"/>
        </w:rPr>
      </w:pPr>
    </w:p>
    <w:p>
      <w:pPr>
        <w:spacing w:after="0" w:line="207"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The Company or the Employer agrees to remit the Employer’s Liability to HMRC on behalf of the Employee within 14 days after the end of the UK tax month during which the Chargeable Event occurs (or within 17 days if payments are made electronically).</w:t>
      </w:r>
    </w:p>
    <w:p>
      <w:pPr>
        <w:spacing w:after="0" w:line="376"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Election</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200" w:lineRule="exact"/>
        <w:rPr>
          <w:sz w:val="20"/>
          <w:szCs w:val="20"/>
          <w:color w:val="auto"/>
        </w:rPr>
      </w:pP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This Election will continue in effect until the earliest of the following:</w:t>
      </w:r>
    </w:p>
    <w:p>
      <w:pPr>
        <w:spacing w:after="0" w:line="229" w:lineRule="exact"/>
        <w:rPr>
          <w:sz w:val="20"/>
          <w:szCs w:val="20"/>
          <w:color w:val="auto"/>
        </w:rPr>
      </w:pPr>
    </w:p>
    <w:p>
      <w:pPr>
        <w:ind w:left="1300" w:hanging="644"/>
        <w:spacing w:after="0"/>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date on which the Employee and the Company agree in writing that it should cease to have effect;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date on which the Company serves written notice on the Employee terminating its effect;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date on which HMRC withdraws approval of this Election; or</w:t>
      </w:r>
    </w:p>
    <w:p>
      <w:pPr>
        <w:spacing w:after="0" w:line="229"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1420"/>
          </w:cols>
          <w:pgMar w:left="240" w:top="663" w:right="239" w:bottom="1440" w:gutter="0" w:footer="0" w:header="0"/>
        </w:sectPr>
      </w:pPr>
    </w:p>
    <w:bookmarkStart w:id="233" w:name="page234"/>
    <w:bookmarkEnd w:id="233"/>
    <w:p>
      <w:pPr>
        <w:spacing w:after="0"/>
        <w:rPr>
          <w:sz w:val="20"/>
          <w:szCs w:val="20"/>
          <w:color w:val="auto"/>
        </w:rPr>
      </w:pPr>
      <w:r>
        <w:rPr>
          <w:rFonts w:ascii="Arial" w:cs="Arial" w:eastAsia="Arial" w:hAnsi="Arial"/>
          <w:sz w:val="20"/>
          <w:szCs w:val="20"/>
          <w:b w:val="1"/>
          <w:bCs w:val="1"/>
          <w:color w:val="auto"/>
        </w:rPr>
        <w:t>SCHEDULE OF EMPLOYER COMPANIES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employer companies to which this Election may apply: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each company, provide the following details: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EUSA Pharma (Europe) Limited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Borders>
              <w:right w:val="single" w:sz="8" w:color="auto"/>
            </w:tcBorders>
          </w:tcPr>
          <w:p>
            <w:pPr>
              <w:spacing w:after="0"/>
              <w:rPr>
                <w:sz w:val="22"/>
                <w:szCs w:val="22"/>
                <w:color w:val="auto"/>
              </w:rPr>
            </w:pPr>
          </w:p>
        </w:tc>
        <w:tc>
          <w:tcPr>
            <w:tcW w:w="52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Registered Office:</w:t>
            </w:r>
          </w:p>
        </w:tc>
        <w:tc>
          <w:tcPr>
            <w:tcW w:w="5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EUSA Pharma</w:t>
            </w:r>
          </w:p>
        </w:tc>
      </w:tr>
      <w:tr>
        <w:trPr>
          <w:trHeight w:val="230"/>
        </w:trPr>
        <w:tc>
          <w:tcPr>
            <w:tcW w:w="1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Magdalen Centre</w:t>
            </w:r>
          </w:p>
        </w:tc>
      </w:tr>
      <w:tr>
        <w:trPr>
          <w:trHeight w:val="230"/>
        </w:trPr>
        <w:tc>
          <w:tcPr>
            <w:tcW w:w="1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Oxford Science Park</w:t>
            </w:r>
          </w:p>
        </w:tc>
      </w:tr>
      <w:tr>
        <w:trPr>
          <w:trHeight w:val="250"/>
        </w:trPr>
        <w:tc>
          <w:tcPr>
            <w:tcW w:w="100" w:type="dxa"/>
            <w:vAlign w:val="bottom"/>
            <w:tcBorders>
              <w:right w:val="single" w:sz="8" w:color="auto"/>
            </w:tcBorders>
          </w:tcPr>
          <w:p>
            <w:pPr>
              <w:spacing w:after="0"/>
              <w:rPr>
                <w:sz w:val="21"/>
                <w:szCs w:val="21"/>
                <w:color w:val="auto"/>
              </w:rPr>
            </w:pPr>
          </w:p>
        </w:tc>
        <w:tc>
          <w:tcPr>
            <w:tcW w:w="522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Oxford, OX4 4GA</w:t>
            </w:r>
          </w:p>
        </w:tc>
      </w:tr>
      <w:tr>
        <w:trPr>
          <w:trHeight w:val="23"/>
        </w:trPr>
        <w:tc>
          <w:tcPr>
            <w:tcW w:w="100" w:type="dxa"/>
            <w:vAlign w:val="bottom"/>
            <w:tcBorders>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Company Registration Number:</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4555273</w:t>
            </w:r>
          </w:p>
        </w:tc>
      </w:tr>
      <w:tr>
        <w:trPr>
          <w:trHeight w:val="23"/>
        </w:trPr>
        <w:tc>
          <w:tcPr>
            <w:tcW w:w="100" w:type="dxa"/>
            <w:vAlign w:val="bottom"/>
            <w:tcBorders>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Corporation Tax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452/76424 00934</w:t>
            </w:r>
          </w:p>
        </w:tc>
      </w:tr>
      <w:tr>
        <w:trPr>
          <w:trHeight w:val="23"/>
        </w:trPr>
        <w:tc>
          <w:tcPr>
            <w:tcW w:w="100" w:type="dxa"/>
            <w:vAlign w:val="bottom"/>
            <w:tcBorders>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3"/>
        </w:trPr>
        <w:tc>
          <w:tcPr>
            <w:tcW w:w="10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Corporation Tax Address:</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HM Revenue &amp; Customs</w:t>
            </w:r>
          </w:p>
        </w:tc>
      </w:tr>
      <w:tr>
        <w:trPr>
          <w:trHeight w:val="230"/>
        </w:trPr>
        <w:tc>
          <w:tcPr>
            <w:tcW w:w="1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CT Operations (Large &amp; Complex Specialist)</w:t>
            </w:r>
          </w:p>
        </w:tc>
      </w:tr>
      <w:tr>
        <w:trPr>
          <w:trHeight w:val="230"/>
        </w:trPr>
        <w:tc>
          <w:tcPr>
            <w:tcW w:w="1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16 North</w:t>
            </w:r>
          </w:p>
        </w:tc>
      </w:tr>
      <w:tr>
        <w:trPr>
          <w:trHeight w:val="230"/>
        </w:trPr>
        <w:tc>
          <w:tcPr>
            <w:tcW w:w="1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Government Buildings</w:t>
            </w:r>
          </w:p>
        </w:tc>
      </w:tr>
      <w:tr>
        <w:trPr>
          <w:trHeight w:val="230"/>
        </w:trPr>
        <w:tc>
          <w:tcPr>
            <w:tcW w:w="100" w:type="dxa"/>
            <w:vAlign w:val="bottom"/>
            <w:tcBorders>
              <w:right w:val="single" w:sz="8" w:color="auto"/>
            </w:tcBorders>
          </w:tcPr>
          <w:p>
            <w:pPr>
              <w:spacing w:after="0"/>
              <w:rPr>
                <w:sz w:val="19"/>
                <w:szCs w:val="19"/>
                <w:color w:val="auto"/>
              </w:rPr>
            </w:pPr>
          </w:p>
        </w:tc>
        <w:tc>
          <w:tcPr>
            <w:tcW w:w="5220" w:type="dxa"/>
            <w:vAlign w:val="bottom"/>
            <w:tcBorders>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 Glas, Llanishen</w:t>
            </w:r>
          </w:p>
        </w:tc>
      </w:tr>
      <w:tr>
        <w:trPr>
          <w:trHeight w:val="250"/>
        </w:trPr>
        <w:tc>
          <w:tcPr>
            <w:tcW w:w="100" w:type="dxa"/>
            <w:vAlign w:val="bottom"/>
            <w:tcBorders>
              <w:right w:val="single" w:sz="8" w:color="auto"/>
            </w:tcBorders>
          </w:tcPr>
          <w:p>
            <w:pPr>
              <w:spacing w:after="0"/>
              <w:rPr>
                <w:sz w:val="21"/>
                <w:szCs w:val="21"/>
                <w:color w:val="auto"/>
              </w:rPr>
            </w:pPr>
          </w:p>
        </w:tc>
        <w:tc>
          <w:tcPr>
            <w:tcW w:w="5220" w:type="dxa"/>
            <w:vAlign w:val="bottom"/>
            <w:tcBorders>
              <w:right w:val="single" w:sz="8" w:color="auto"/>
            </w:tcBorders>
          </w:tcPr>
          <w:p>
            <w:pPr>
              <w:spacing w:after="0"/>
              <w:rPr>
                <w:sz w:val="21"/>
                <w:szCs w:val="21"/>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Cardiff, CF14 5 FP</w:t>
            </w:r>
          </w:p>
        </w:tc>
      </w:tr>
      <w:tr>
        <w:trPr>
          <w:trHeight w:val="23"/>
        </w:trPr>
        <w:tc>
          <w:tcPr>
            <w:tcW w:w="100" w:type="dxa"/>
            <w:vAlign w:val="bottom"/>
            <w:tcBorders>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100" w:type="dxa"/>
            <w:vAlign w:val="bottom"/>
            <w:tcBorders>
              <w:right w:val="single" w:sz="8" w:color="auto"/>
            </w:tcBorders>
          </w:tcPr>
          <w:p>
            <w:pPr>
              <w:spacing w:after="0"/>
              <w:rPr>
                <w:sz w:val="22"/>
                <w:szCs w:val="22"/>
                <w:color w:val="auto"/>
              </w:rPr>
            </w:pPr>
          </w:p>
        </w:tc>
        <w:tc>
          <w:tcPr>
            <w:tcW w:w="52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PAYE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120/WZ72892</w:t>
            </w:r>
          </w:p>
        </w:tc>
      </w:tr>
      <w:tr>
        <w:trPr>
          <w:trHeight w:val="23"/>
        </w:trPr>
        <w:tc>
          <w:tcPr>
            <w:tcW w:w="100" w:type="dxa"/>
            <w:vAlign w:val="bottom"/>
            <w:tcBorders>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898"/>
        </w:trPr>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420" w:type="dxa"/>
            <w:vAlign w:val="bottom"/>
          </w:tcPr>
          <w:p>
            <w:pPr>
              <w:ind w:left="300"/>
              <w:spacing w:after="0"/>
              <w:rPr>
                <w:sz w:val="20"/>
                <w:szCs w:val="20"/>
                <w:color w:val="auto"/>
              </w:rPr>
            </w:pPr>
            <w:r>
              <w:rPr>
                <w:rFonts w:ascii="Arial" w:cs="Arial" w:eastAsia="Arial" w:hAnsi="Arial"/>
                <w:sz w:val="18"/>
                <w:szCs w:val="18"/>
                <w:color w:val="auto"/>
              </w:rPr>
              <w:t>22</w:t>
            </w:r>
          </w:p>
        </w:tc>
      </w:tr>
      <w:tr>
        <w:trPr>
          <w:trHeight w:val="326"/>
        </w:trPr>
        <w:tc>
          <w:tcPr>
            <w:tcW w:w="5320" w:type="dxa"/>
            <w:vAlign w:val="bottom"/>
            <w:gridSpan w:val="2"/>
          </w:tcPr>
          <w:p>
            <w:pPr>
              <w:spacing w:after="0"/>
              <w:rPr>
                <w:sz w:val="20"/>
                <w:szCs w:val="20"/>
                <w:color w:val="auto"/>
              </w:rPr>
            </w:pPr>
            <w:r>
              <w:rPr>
                <w:rFonts w:ascii="Arial" w:cs="Arial" w:eastAsia="Arial" w:hAnsi="Arial"/>
                <w:sz w:val="14"/>
                <w:szCs w:val="14"/>
                <w:color w:val="auto"/>
              </w:rPr>
              <w:t>804536 v1/SD</w:t>
            </w:r>
          </w:p>
        </w:tc>
        <w:tc>
          <w:tcPr>
            <w:tcW w:w="5420" w:type="dxa"/>
            <w:vAlign w:val="bottom"/>
          </w:tcPr>
          <w:p>
            <w:pPr>
              <w:spacing w:after="0"/>
              <w:rPr>
                <w:sz w:val="24"/>
                <w:szCs w:val="24"/>
                <w:color w:val="auto"/>
              </w:rPr>
            </w:pPr>
          </w:p>
        </w:tc>
      </w:tr>
    </w:tbl>
    <w:p>
      <w:pPr>
        <w:sectPr>
          <w:pgSz w:w="11900" w:h="16838" w:orient="portrait"/>
          <w:cols w:equalWidth="0" w:num="1">
            <w:col w:w="10740"/>
          </w:cols>
          <w:pgMar w:left="240" w:top="657" w:right="919" w:bottom="1440" w:gutter="0" w:footer="0" w:header="0"/>
        </w:sectPr>
      </w:pPr>
    </w:p>
    <w:bookmarkStart w:id="234" w:name="page235"/>
    <w:bookmarkEnd w:id="234"/>
    <w:p>
      <w:pPr>
        <w:jc w:val="center"/>
        <w:ind w:right="-1220"/>
        <w:spacing w:after="0"/>
        <w:rPr>
          <w:sz w:val="20"/>
          <w:szCs w:val="20"/>
          <w:color w:val="auto"/>
        </w:rPr>
      </w:pPr>
      <w:r>
        <w:rPr>
          <w:rFonts w:ascii="Arial" w:cs="Arial" w:eastAsia="Arial" w:hAnsi="Arial"/>
          <w:sz w:val="20"/>
          <w:szCs w:val="20"/>
          <w:b w:val="1"/>
          <w:bCs w:val="1"/>
          <w:color w:val="auto"/>
        </w:rPr>
        <w:t>ATTACHMENT II</w:t>
      </w:r>
    </w:p>
    <w:p>
      <w:pPr>
        <w:spacing w:after="0" w:line="216"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2011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804536 v1/SD</w:t>
      </w:r>
    </w:p>
    <w:p>
      <w:pPr>
        <w:sectPr>
          <w:pgSz w:w="11900" w:h="16838" w:orient="portrait"/>
          <w:cols w:equalWidth="0" w:num="1">
            <w:col w:w="10219"/>
          </w:cols>
          <w:pgMar w:left="240" w:top="657" w:right="1440" w:bottom="1440" w:gutter="0" w:footer="0" w:header="0"/>
        </w:sectPr>
      </w:pPr>
    </w:p>
    <w:bookmarkStart w:id="235" w:name="page236"/>
    <w:bookmarkEnd w:id="235"/>
    <w:p>
      <w:pPr>
        <w:jc w:val="right"/>
        <w:spacing w:after="0"/>
        <w:rPr>
          <w:sz w:val="20"/>
          <w:szCs w:val="20"/>
          <w:color w:val="auto"/>
        </w:rPr>
      </w:pPr>
      <w:r>
        <w:rPr>
          <w:rFonts w:ascii="Arial" w:cs="Arial" w:eastAsia="Arial" w:hAnsi="Arial"/>
          <w:sz w:val="20"/>
          <w:szCs w:val="20"/>
          <w:b w:val="1"/>
          <w:bCs w:val="1"/>
          <w:color w:val="auto"/>
        </w:rPr>
        <w:t>Exhibit 10.30B</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JAZZ PHARMACEUTICALS PLC</w:t>
      </w:r>
    </w:p>
    <w:p>
      <w:pPr>
        <w:jc w:val="center"/>
        <w:spacing w:after="0"/>
        <w:rPr>
          <w:sz w:val="20"/>
          <w:szCs w:val="20"/>
          <w:color w:val="auto"/>
        </w:rPr>
      </w:pPr>
      <w:r>
        <w:rPr>
          <w:rFonts w:ascii="Arial" w:cs="Arial" w:eastAsia="Arial" w:hAnsi="Arial"/>
          <w:sz w:val="20"/>
          <w:szCs w:val="20"/>
          <w:b w:val="1"/>
          <w:bCs w:val="1"/>
          <w:color w:val="auto"/>
        </w:rPr>
        <w:t>AMENDED AND RESTATED</w:t>
      </w:r>
    </w:p>
    <w:p>
      <w:pPr>
        <w:jc w:val="center"/>
        <w:spacing w:after="0"/>
        <w:rPr>
          <w:sz w:val="20"/>
          <w:szCs w:val="20"/>
          <w:color w:val="auto"/>
        </w:rPr>
      </w:pPr>
      <w:r>
        <w:rPr>
          <w:rFonts w:ascii="Arial" w:cs="Arial" w:eastAsia="Arial" w:hAnsi="Arial"/>
          <w:sz w:val="20"/>
          <w:szCs w:val="20"/>
          <w:b w:val="1"/>
          <w:bCs w:val="1"/>
          <w:color w:val="auto"/>
        </w:rPr>
        <w:t>2007 NON-EMPLOYEE DIRECTORS STOCK OPTION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NON-U.S. OPTION GRANT NOTICE</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Jazz Pharmaceuticals plc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pursuant to its Amended and Restated 2007 Non-Employee Directors Stock Option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hereby grants to Optionholder an option to purchase the number of Ordinary Shares set forth below. This option is subject to all of the terms and conditions as set forth herein and in the Non-U.S. Option Agreement and the Plan, all of which are attached hereto and incorporated herein in their entirety.</w:t>
      </w:r>
    </w:p>
    <w:p>
      <w:pPr>
        <w:spacing w:after="0" w:line="24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Option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Number of Ordinary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Exercise Price (Per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27305</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4"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Expiration Date:</w:t>
      </w:r>
    </w:p>
    <w:p>
      <w:pPr>
        <w:spacing w:after="0" w:line="223"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b w:val="1"/>
          <w:bCs w:val="1"/>
          <w:color w:val="auto"/>
        </w:rPr>
        <w:t>Type of Grant:</w:t>
      </w:r>
      <w:r>
        <w:rPr>
          <w:sz w:val="20"/>
          <w:szCs w:val="20"/>
          <w:color w:val="auto"/>
        </w:rPr>
        <w:tab/>
      </w:r>
      <w:r>
        <w:rPr>
          <w:rFonts w:ascii="Arial" w:cs="Arial" w:eastAsia="Arial" w:hAnsi="Arial"/>
          <w:sz w:val="18"/>
          <w:szCs w:val="18"/>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-139700</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Schedule: [</w:t>
      </w:r>
      <w:r>
        <w:rPr>
          <w:rFonts w:ascii="Arial" w:cs="Arial" w:eastAsia="Arial" w:hAnsi="Arial"/>
          <w:sz w:val="20"/>
          <w:szCs w:val="20"/>
          <w:color w:val="auto"/>
        </w:rPr>
        <w:t>______________________________________</w:t>
      </w:r>
      <w:r>
        <w:rPr>
          <w:rFonts w:ascii="Arial" w:cs="Arial" w:eastAsia="Arial" w:hAnsi="Arial"/>
          <w:sz w:val="20"/>
          <w:szCs w:val="20"/>
          <w:b w:val="1"/>
          <w:bCs w:val="1"/>
          <w:color w:val="auto"/>
        </w:rPr>
        <w:t>]</w:t>
      </w:r>
    </w:p>
    <w:p>
      <w:pPr>
        <w:spacing w:after="0" w:line="175"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auto"/>
        </w:rPr>
        <w:t>Payment:</w:t>
      </w:r>
      <w:r>
        <w:rPr>
          <w:sz w:val="20"/>
          <w:szCs w:val="20"/>
          <w:color w:val="auto"/>
        </w:rPr>
        <w:tab/>
      </w:r>
      <w:r>
        <w:rPr>
          <w:rFonts w:ascii="Arial" w:cs="Arial" w:eastAsia="Arial" w:hAnsi="Arial"/>
          <w:sz w:val="20"/>
          <w:szCs w:val="20"/>
          <w:color w:val="auto"/>
        </w:rPr>
        <w:t>By one or a combination of the following items (described in the Option Agreement):</w:t>
      </w:r>
    </w:p>
    <w:p>
      <w:pPr>
        <w:spacing w:after="0" w:line="114" w:lineRule="exact"/>
        <w:rPr>
          <w:sz w:val="20"/>
          <w:szCs w:val="20"/>
          <w:color w:val="auto"/>
        </w:rPr>
      </w:pPr>
    </w:p>
    <w:p>
      <w:pPr>
        <w:ind w:left="2060" w:hanging="431"/>
        <w:spacing w:after="0"/>
        <w:tabs>
          <w:tab w:leader="none" w:pos="2060" w:val="left"/>
        </w:tabs>
        <w:numPr>
          <w:ilvl w:val="0"/>
          <w:numId w:val="164"/>
        </w:numPr>
        <w:rPr>
          <w:rFonts w:ascii="MS PGothic" w:cs="MS PGothic" w:eastAsia="MS PGothic" w:hAnsi="MS PGothic"/>
          <w:sz w:val="20"/>
          <w:szCs w:val="20"/>
          <w:color w:val="auto"/>
        </w:rPr>
      </w:pPr>
      <w:r>
        <w:rPr>
          <w:rFonts w:ascii="Arial" w:cs="Arial" w:eastAsia="Arial" w:hAnsi="Arial"/>
          <w:sz w:val="20"/>
          <w:szCs w:val="20"/>
          <w:color w:val="auto"/>
        </w:rPr>
        <w:t>By cash or check</w:t>
      </w:r>
    </w:p>
    <w:p>
      <w:pPr>
        <w:spacing w:after="0" w:line="15" w:lineRule="exact"/>
        <w:rPr>
          <w:rFonts w:ascii="MS PGothic" w:cs="MS PGothic" w:eastAsia="MS PGothic" w:hAnsi="MS PGothic"/>
          <w:sz w:val="20"/>
          <w:szCs w:val="20"/>
          <w:color w:val="auto"/>
        </w:rPr>
      </w:pPr>
    </w:p>
    <w:p>
      <w:pPr>
        <w:ind w:left="2000" w:hanging="371"/>
        <w:spacing w:after="0"/>
        <w:tabs>
          <w:tab w:leader="none" w:pos="2000" w:val="left"/>
        </w:tabs>
        <w:numPr>
          <w:ilvl w:val="0"/>
          <w:numId w:val="164"/>
        </w:numPr>
        <w:rPr>
          <w:rFonts w:ascii="MS PGothic" w:cs="MS PGothic" w:eastAsia="MS PGothic" w:hAnsi="MS PGothic"/>
          <w:sz w:val="20"/>
          <w:szCs w:val="20"/>
          <w:color w:val="auto"/>
        </w:rPr>
      </w:pPr>
      <w:r>
        <w:rPr>
          <w:rFonts w:ascii="Arial" w:cs="Arial" w:eastAsia="Arial" w:hAnsi="Arial"/>
          <w:sz w:val="20"/>
          <w:szCs w:val="20"/>
          <w:color w:val="auto"/>
        </w:rPr>
        <w:t>Pursuant to a Regulation T Program if the Ordinary Shares are publicly traded</w:t>
      </w:r>
    </w:p>
    <w:p>
      <w:pPr>
        <w:ind w:left="2000" w:hanging="371"/>
        <w:spacing w:after="0"/>
        <w:tabs>
          <w:tab w:leader="none" w:pos="2000" w:val="left"/>
        </w:tabs>
        <w:numPr>
          <w:ilvl w:val="0"/>
          <w:numId w:val="164"/>
        </w:numPr>
        <w:rPr>
          <w:rFonts w:ascii="MS PGothic" w:cs="MS PGothic" w:eastAsia="MS PGothic" w:hAnsi="MS PGothic"/>
          <w:sz w:val="20"/>
          <w:szCs w:val="20"/>
          <w:color w:val="auto"/>
        </w:rPr>
      </w:pPr>
      <w:r>
        <w:rPr>
          <w:rFonts w:ascii="Arial" w:cs="Arial" w:eastAsia="Arial" w:hAnsi="Arial"/>
          <w:sz w:val="20"/>
          <w:szCs w:val="20"/>
          <w:color w:val="auto"/>
        </w:rPr>
        <w:t>By delivery of already-owned Ordinary Shares if the Ordinary Shares are publicly traded</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Additional Terms/Acknowledgements: </w:t>
      </w:r>
      <w:r>
        <w:rPr>
          <w:rFonts w:ascii="Arial" w:cs="Arial" w:eastAsia="Arial" w:hAnsi="Arial"/>
          <w:sz w:val="20"/>
          <w:szCs w:val="20"/>
          <w:color w:val="auto"/>
        </w:rPr>
        <w:t>The undersigned Optionholder acknowledges receipt of, and understands and agrees to, this Non-U.S.</w:t>
      </w:r>
      <w:r>
        <w:rPr>
          <w:rFonts w:ascii="Arial" w:cs="Arial" w:eastAsia="Arial" w:hAnsi="Arial"/>
          <w:sz w:val="20"/>
          <w:szCs w:val="20"/>
          <w:b w:val="1"/>
          <w:bCs w:val="1"/>
          <w:color w:val="auto"/>
        </w:rPr>
        <w:t xml:space="preserve"> </w:t>
      </w:r>
      <w:r>
        <w:rPr>
          <w:rFonts w:ascii="Arial" w:cs="Arial" w:eastAsia="Arial" w:hAnsi="Arial"/>
          <w:sz w:val="20"/>
          <w:szCs w:val="20"/>
          <w:color w:val="auto"/>
        </w:rPr>
        <w:t>Option Grant Notice, the Non-U.S. Option Agreement and the Plan. Optionholder further acknowledges that as of the Date of Grant, this Non-U.S. Option Grant Notice, the Non-U.S. Option Agreement, and the Plan set forth the entire understanding between Optionholder and the Company regarding the acquisition of Ordinary Shares and supersede all prior oral and written agreements, promises and/or representations on that subject with the exception of (i) options previously granted and delivered to Optionholder under the Plan, (ii) any other specific written agreement between Optionholder and the Company and (iii) any compensation recovery policy that is adopted by the Company or is otherwise required by applicable law. By accepting this option, Optionholder consents to receive Plan documents by electronic delivery and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57" w:right="239" w:bottom="1440" w:gutter="0" w:footer="0" w:header="0"/>
        </w:sectPr>
      </w:pPr>
    </w:p>
    <w:bookmarkStart w:id="236" w:name="page237"/>
    <w:bookmarkEnd w:id="236"/>
    <w:tbl>
      <w:tblPr>
        <w:tblLayout w:type="fixed"/>
        <w:tblInd w:w="40" w:type="dxa"/>
        <w:tblCellMar>
          <w:top w:w="0" w:type="dxa"/>
          <w:left w:w="0" w:type="dxa"/>
          <w:bottom w:w="0" w:type="dxa"/>
          <w:right w:w="0" w:type="dxa"/>
        </w:tblCellMar>
      </w:tblPr>
      <w:tr>
        <w:trPr>
          <w:trHeight w:val="256"/>
        </w:trPr>
        <w:tc>
          <w:tcPr>
            <w:tcW w:w="4280" w:type="dxa"/>
            <w:vAlign w:val="bottom"/>
            <w:gridSpan w:val="3"/>
          </w:tcPr>
          <w:p>
            <w:pPr>
              <w:spacing w:after="0"/>
              <w:rPr>
                <w:sz w:val="20"/>
                <w:szCs w:val="20"/>
                <w:color w:val="auto"/>
              </w:rPr>
            </w:pPr>
            <w:r>
              <w:rPr>
                <w:rFonts w:ascii="Arial" w:cs="Arial" w:eastAsia="Arial" w:hAnsi="Arial"/>
                <w:sz w:val="20"/>
                <w:szCs w:val="20"/>
                <w:b w:val="1"/>
                <w:bCs w:val="1"/>
                <w:color w:val="auto"/>
              </w:rPr>
              <w:t>JAZZ PHARMACEUTICALS PLC</w:t>
            </w: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4280" w:type="dxa"/>
            <w:vAlign w:val="bottom"/>
            <w:gridSpan w:val="3"/>
            <w:vMerge w:val="restart"/>
          </w:tcPr>
          <w:p>
            <w:pPr>
              <w:spacing w:after="0"/>
              <w:rPr>
                <w:sz w:val="20"/>
                <w:szCs w:val="20"/>
                <w:color w:val="auto"/>
              </w:rPr>
            </w:pPr>
            <w:r>
              <w:rPr>
                <w:rFonts w:ascii="Arial" w:cs="Arial" w:eastAsia="Arial" w:hAnsi="Arial"/>
                <w:sz w:val="20"/>
                <w:szCs w:val="20"/>
                <w:color w:val="auto"/>
              </w:rPr>
              <w:t>By:</w:t>
            </w:r>
          </w:p>
        </w:tc>
        <w:tc>
          <w:tcPr>
            <w:tcW w:w="142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20"/>
                <w:szCs w:val="20"/>
                <w:b w:val="1"/>
                <w:bCs w:val="1"/>
                <w:color w:val="auto"/>
              </w:rPr>
              <w:t>OPTIONHOLDER:</w:t>
            </w:r>
          </w:p>
        </w:tc>
        <w:tc>
          <w:tcPr>
            <w:tcW w:w="0" w:type="dxa"/>
            <w:vAlign w:val="bottom"/>
          </w:tcPr>
          <w:p>
            <w:pPr>
              <w:spacing w:after="0"/>
              <w:rPr>
                <w:sz w:val="1"/>
                <w:szCs w:val="1"/>
                <w:color w:val="auto"/>
              </w:rPr>
            </w:pPr>
          </w:p>
        </w:tc>
      </w:tr>
      <w:tr>
        <w:trPr>
          <w:trHeight w:val="64"/>
        </w:trPr>
        <w:tc>
          <w:tcPr>
            <w:tcW w:w="428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860" w:type="dxa"/>
            <w:vAlign w:val="bottom"/>
            <w:tcBorders>
              <w:top w:val="single" w:sz="8" w:color="auto"/>
            </w:tcBorders>
          </w:tcPr>
          <w:p>
            <w:pPr>
              <w:ind w:left="2020"/>
              <w:spacing w:after="0"/>
              <w:rPr>
                <w:sz w:val="20"/>
                <w:szCs w:val="20"/>
                <w:color w:val="auto"/>
              </w:rPr>
            </w:pPr>
            <w:r>
              <w:rPr>
                <w:rFonts w:ascii="Arial" w:cs="Arial" w:eastAsia="Arial" w:hAnsi="Arial"/>
                <w:sz w:val="20"/>
                <w:szCs w:val="20"/>
                <w:color w:val="auto"/>
              </w:rPr>
              <w:t>Signature</w:t>
            </w:r>
          </w:p>
        </w:tc>
        <w:tc>
          <w:tcPr>
            <w:tcW w:w="1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
        </w:trPr>
        <w:tc>
          <w:tcPr>
            <w:tcW w:w="4280" w:type="dxa"/>
            <w:vAlign w:val="bottom"/>
            <w:gridSpan w:val="3"/>
          </w:tcPr>
          <w:p>
            <w:pPr>
              <w:spacing w:after="0"/>
              <w:rPr>
                <w:sz w:val="5"/>
                <w:szCs w:val="5"/>
                <w:color w:val="auto"/>
              </w:rPr>
            </w:pPr>
          </w:p>
        </w:tc>
        <w:tc>
          <w:tcPr>
            <w:tcW w:w="14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 w:type="dxa"/>
            <w:vAlign w:val="bottom"/>
            <w:gridSpan w:val="2"/>
          </w:tcPr>
          <w:p>
            <w:pPr>
              <w:spacing w:after="0" w:line="209" w:lineRule="exact"/>
              <w:rPr>
                <w:sz w:val="20"/>
                <w:szCs w:val="20"/>
                <w:color w:val="auto"/>
              </w:rPr>
            </w:pPr>
            <w:r>
              <w:rPr>
                <w:rFonts w:ascii="Arial" w:cs="Arial" w:eastAsia="Arial" w:hAnsi="Arial"/>
                <w:sz w:val="20"/>
                <w:szCs w:val="20"/>
                <w:color w:val="auto"/>
                <w:w w:val="92"/>
              </w:rPr>
              <w:t>Title:</w:t>
            </w:r>
          </w:p>
        </w:tc>
        <w:tc>
          <w:tcPr>
            <w:tcW w:w="386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gridSpan w:val="2"/>
          </w:tcPr>
          <w:p>
            <w:pPr>
              <w:ind w:left="2020"/>
              <w:spacing w:after="0" w:line="209" w:lineRule="exact"/>
              <w:rPr>
                <w:sz w:val="20"/>
                <w:szCs w:val="20"/>
                <w:color w:val="auto"/>
              </w:rPr>
            </w:pPr>
            <w:r>
              <w:rPr>
                <w:rFonts w:ascii="Arial" w:cs="Arial" w:eastAsia="Arial" w:hAnsi="Arial"/>
                <w:sz w:val="20"/>
                <w:szCs w:val="20"/>
                <w:color w:val="auto"/>
              </w:rPr>
              <w:t>Signature</w:t>
            </w:r>
          </w:p>
        </w:tc>
        <w:tc>
          <w:tcPr>
            <w:tcW w:w="0" w:type="dxa"/>
            <w:vAlign w:val="bottom"/>
          </w:tcPr>
          <w:p>
            <w:pPr>
              <w:spacing w:after="0"/>
              <w:rPr>
                <w:sz w:val="1"/>
                <w:szCs w:val="1"/>
                <w:color w:val="auto"/>
              </w:rPr>
            </w:pPr>
          </w:p>
        </w:tc>
      </w:tr>
      <w:tr>
        <w:trPr>
          <w:trHeight w:val="318"/>
        </w:trPr>
        <w:tc>
          <w:tcPr>
            <w:tcW w:w="4280" w:type="dxa"/>
            <w:vAlign w:val="bottom"/>
            <w:gridSpan w:val="3"/>
          </w:tcPr>
          <w:p>
            <w:pPr>
              <w:spacing w:after="0"/>
              <w:rPr>
                <w:sz w:val="20"/>
                <w:szCs w:val="20"/>
                <w:color w:val="auto"/>
              </w:rPr>
            </w:pPr>
            <w:r>
              <w:rPr>
                <w:rFonts w:ascii="Arial" w:cs="Arial" w:eastAsia="Arial" w:hAnsi="Arial"/>
                <w:sz w:val="20"/>
                <w:szCs w:val="20"/>
                <w:color w:val="auto"/>
              </w:rPr>
              <w:t>Date:</w:t>
            </w:r>
          </w:p>
        </w:tc>
        <w:tc>
          <w:tcPr>
            <w:tcW w:w="1420" w:type="dxa"/>
            <w:vAlign w:val="bottom"/>
          </w:tcPr>
          <w:p>
            <w:pPr>
              <w:spacing w:after="0"/>
              <w:rPr>
                <w:sz w:val="24"/>
                <w:szCs w:val="24"/>
                <w:color w:val="auto"/>
              </w:rPr>
            </w:pPr>
          </w:p>
        </w:tc>
        <w:tc>
          <w:tcPr>
            <w:tcW w:w="4320" w:type="dxa"/>
            <w:vAlign w:val="bottom"/>
            <w:gridSpan w:val="3"/>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Non-U.S. Option Agreement and Amended and Restated 2007 Non-Employee Directors Stock Option Plan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0219"/>
          </w:cols>
          <w:pgMar w:left="240" w:top="819" w:right="1440" w:bottom="1440" w:gutter="0" w:footer="0" w:header="0"/>
        </w:sectPr>
      </w:pPr>
    </w:p>
    <w:bookmarkStart w:id="237" w:name="page238"/>
    <w:bookmarkEnd w:id="237"/>
    <w:p>
      <w:pPr>
        <w:jc w:val="center"/>
        <w:ind w:right="-1220"/>
        <w:spacing w:after="0"/>
        <w:rPr>
          <w:sz w:val="20"/>
          <w:szCs w:val="20"/>
          <w:color w:val="auto"/>
        </w:rPr>
      </w:pPr>
      <w:r>
        <w:rPr>
          <w:rFonts w:ascii="Arial" w:cs="Arial" w:eastAsia="Arial" w:hAnsi="Arial"/>
          <w:sz w:val="20"/>
          <w:szCs w:val="20"/>
          <w:b w:val="1"/>
          <w:bCs w:val="1"/>
          <w:color w:val="auto"/>
        </w:rPr>
        <w:t>ATTACHMENT I</w:t>
      </w:r>
    </w:p>
    <w:p>
      <w:pPr>
        <w:spacing w:after="0" w:line="216" w:lineRule="exact"/>
        <w:rPr>
          <w:sz w:val="20"/>
          <w:szCs w:val="20"/>
          <w:color w:val="auto"/>
        </w:rPr>
      </w:pPr>
    </w:p>
    <w:p>
      <w:pPr>
        <w:jc w:val="right"/>
        <w:ind w:right="2979"/>
        <w:spacing w:after="0"/>
        <w:rPr>
          <w:sz w:val="20"/>
          <w:szCs w:val="20"/>
          <w:color w:val="auto"/>
        </w:rPr>
      </w:pPr>
      <w:r>
        <w:rPr>
          <w:rFonts w:ascii="Arial" w:cs="Arial" w:eastAsia="Arial" w:hAnsi="Arial"/>
          <w:sz w:val="20"/>
          <w:szCs w:val="20"/>
          <w:b w:val="1"/>
          <w:bCs w:val="1"/>
          <w:color w:val="auto"/>
        </w:rPr>
        <w:t>NON-U.S.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0219"/>
          </w:cols>
          <w:pgMar w:left="240" w:top="657" w:right="1440" w:bottom="1440" w:gutter="0" w:footer="0" w:header="0"/>
        </w:sectPr>
      </w:pPr>
    </w:p>
    <w:bookmarkStart w:id="238" w:name="page239"/>
    <w:bookmarkEnd w:id="238"/>
    <w:p>
      <w:pPr>
        <w:jc w:val="center"/>
        <w:ind w:right="40"/>
        <w:spacing w:after="0"/>
        <w:rPr>
          <w:sz w:val="20"/>
          <w:szCs w:val="20"/>
          <w:color w:val="auto"/>
        </w:rPr>
      </w:pPr>
      <w:r>
        <w:rPr>
          <w:rFonts w:ascii="Arial" w:cs="Arial" w:eastAsia="Arial" w:hAnsi="Arial"/>
          <w:sz w:val="20"/>
          <w:szCs w:val="20"/>
          <w:b w:val="1"/>
          <w:bCs w:val="1"/>
          <w:color w:val="auto"/>
        </w:rPr>
        <w:t>JAZZ PHARMACEUTICALS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jc w:val="center"/>
        <w:ind w:right="40"/>
        <w:spacing w:after="0"/>
        <w:rPr>
          <w:sz w:val="20"/>
          <w:szCs w:val="20"/>
          <w:color w:val="auto"/>
        </w:rPr>
      </w:pPr>
      <w:r>
        <w:rPr>
          <w:rFonts w:ascii="Arial" w:cs="Arial" w:eastAsia="Arial" w:hAnsi="Arial"/>
          <w:sz w:val="20"/>
          <w:szCs w:val="20"/>
          <w:b w:val="1"/>
          <w:bCs w:val="1"/>
          <w:color w:val="auto"/>
        </w:rPr>
        <w:t>2007 NON-EMPLOYEE DIRECTORS STOCK OPTION PLAN</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NON-U.S. OPTION AGREEMENT</w:t>
      </w:r>
    </w:p>
    <w:p>
      <w:pPr>
        <w:spacing w:after="0" w:line="22"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(NONSTATUTORY STOCK OPTION)</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19"/>
          <w:szCs w:val="19"/>
          <w:color w:val="auto"/>
        </w:rPr>
        <w:t>Pursuant to your Non-U.S. Option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Non-U.S. Option Agreement, including any country</w:t>
      </w:r>
      <w:r>
        <w:rPr>
          <w:rFonts w:ascii="MS PGothic" w:cs="MS PGothic" w:eastAsia="MS PGothic" w:hAnsi="MS PGothic"/>
          <w:sz w:val="19"/>
          <w:szCs w:val="19"/>
          <w:color w:val="auto"/>
        </w:rPr>
        <w:t>‑</w:t>
      </w:r>
      <w:r>
        <w:rPr>
          <w:rFonts w:ascii="Arial" w:cs="Arial" w:eastAsia="Arial" w:hAnsi="Arial"/>
          <w:sz w:val="19"/>
          <w:szCs w:val="19"/>
          <w:color w:val="auto"/>
        </w:rPr>
        <w:t>specific appendix (the “</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option under its Amended and Restated 2007 Non-Employee Directors Stock Option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purchase the number of Ordinary Shares indicated in your Grant Notice at the exercise price indicated in your Grant Notice. The option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Except as otherwise explicitly provided herein, if there is any conflict between the terms in this Option Agreement and the Plan, the terms of the Plan will control. Capitalized terms not explicitly defined in this Option Agreement or in the Grant Notice but defined in the Plan shall have the same definitions as in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details of your option, in addition to those set forth in the Grant Notice and the Plan, are as follows:</w:t>
      </w:r>
    </w:p>
    <w:p>
      <w:pPr>
        <w:spacing w:after="0" w:line="223" w:lineRule="exact"/>
        <w:rPr>
          <w:sz w:val="20"/>
          <w:szCs w:val="20"/>
          <w:color w:val="auto"/>
        </w:rPr>
      </w:pPr>
    </w:p>
    <w:p>
      <w:pPr>
        <w:ind w:firstLine="656"/>
        <w:spacing w:after="0" w:line="295" w:lineRule="auto"/>
        <w:tabs>
          <w:tab w:leader="none" w:pos="1445"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VESTING. </w:t>
      </w:r>
      <w:r>
        <w:rPr>
          <w:rFonts w:ascii="Arial" w:cs="Arial" w:eastAsia="Arial" w:hAnsi="Arial"/>
          <w:sz w:val="20"/>
          <w:szCs w:val="20"/>
          <w:color w:val="auto"/>
        </w:rPr>
        <w:t>Subject to Section 9 and the limitations contained herein, your option will vest as provided in your Grant Notice,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vesting will cease upon the termination of your Continuous Service.</w:t>
      </w:r>
    </w:p>
    <w:p>
      <w:pPr>
        <w:spacing w:after="0" w:line="150" w:lineRule="exact"/>
        <w:rPr>
          <w:rFonts w:ascii="Arial" w:cs="Arial" w:eastAsia="Arial" w:hAnsi="Arial"/>
          <w:sz w:val="20"/>
          <w:szCs w:val="20"/>
          <w:b w:val="1"/>
          <w:bCs w:val="1"/>
          <w:color w:val="auto"/>
        </w:rPr>
      </w:pPr>
    </w:p>
    <w:p>
      <w:pPr>
        <w:ind w:right="20" w:firstLine="656"/>
        <w:spacing w:after="0" w:line="293" w:lineRule="auto"/>
        <w:tabs>
          <w:tab w:leader="none" w:pos="1049"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NUMBER OF SHARES AND EXERCISE PRICE. </w:t>
      </w:r>
      <w:r>
        <w:rPr>
          <w:rFonts w:ascii="Arial" w:cs="Arial" w:eastAsia="Arial" w:hAnsi="Arial"/>
          <w:sz w:val="19"/>
          <w:szCs w:val="19"/>
          <w:color w:val="auto"/>
        </w:rPr>
        <w:t>The number of Ordinary Shares subject to your option and your exercise</w:t>
      </w:r>
      <w:r>
        <w:rPr>
          <w:rFonts w:ascii="Arial" w:cs="Arial" w:eastAsia="Arial" w:hAnsi="Arial"/>
          <w:sz w:val="19"/>
          <w:szCs w:val="19"/>
          <w:b w:val="1"/>
          <w:bCs w:val="1"/>
          <w:color w:val="auto"/>
        </w:rPr>
        <w:t xml:space="preserve"> </w:t>
      </w:r>
      <w:r>
        <w:rPr>
          <w:rFonts w:ascii="Arial" w:cs="Arial" w:eastAsia="Arial" w:hAnsi="Arial"/>
          <w:sz w:val="19"/>
          <w:szCs w:val="19"/>
          <w:color w:val="auto"/>
        </w:rPr>
        <w:t>price per Ordinary Share referenced in your Grant Notice may be adjusted from time to time for Capitalization Adjustments.</w:t>
      </w:r>
    </w:p>
    <w:p>
      <w:pPr>
        <w:spacing w:after="0" w:line="141" w:lineRule="exact"/>
        <w:rPr>
          <w:rFonts w:ascii="Arial" w:cs="Arial" w:eastAsia="Arial" w:hAnsi="Arial"/>
          <w:sz w:val="19"/>
          <w:szCs w:val="19"/>
          <w:b w:val="1"/>
          <w:bCs w:val="1"/>
          <w:color w:val="auto"/>
        </w:rPr>
      </w:pPr>
    </w:p>
    <w:p>
      <w:pPr>
        <w:jc w:val="both"/>
        <w:ind w:firstLine="656"/>
        <w:spacing w:after="0" w:line="253" w:lineRule="auto"/>
        <w:tabs>
          <w:tab w:leader="none" w:pos="1008"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METHOD OF PAYMENT. </w:t>
      </w:r>
      <w:r>
        <w:rPr>
          <w:rFonts w:ascii="Arial" w:cs="Arial" w:eastAsia="Arial" w:hAnsi="Arial"/>
          <w:sz w:val="20"/>
          <w:szCs w:val="20"/>
          <w:color w:val="auto"/>
        </w:rPr>
        <w:t>You must pay the full amount of the exercise price for the Ordinary Shares you wish to exercise. You</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may pay the exercise price in cash or by check (subject to Section 4) or in any other manner </w:t>
      </w:r>
      <w:r>
        <w:rPr>
          <w:rFonts w:ascii="Arial" w:cs="Arial" w:eastAsia="Arial" w:hAnsi="Arial"/>
          <w:sz w:val="20"/>
          <w:szCs w:val="20"/>
          <w:b w:val="1"/>
          <w:bCs w:val="1"/>
          <w:i w:val="1"/>
          <w:iCs w:val="1"/>
          <w:color w:val="auto"/>
        </w:rPr>
        <w:t>permitted by your Grant Notice,</w:t>
      </w:r>
      <w:r>
        <w:rPr>
          <w:rFonts w:ascii="Arial" w:cs="Arial" w:eastAsia="Arial" w:hAnsi="Arial"/>
          <w:sz w:val="20"/>
          <w:szCs w:val="20"/>
          <w:color w:val="auto"/>
        </w:rPr>
        <w:t xml:space="preserve"> which may include one or more of the following:</w:t>
      </w:r>
    </w:p>
    <w:p>
      <w:pPr>
        <w:spacing w:after="0" w:line="183" w:lineRule="exact"/>
        <w:rPr>
          <w:rFonts w:ascii="Arial" w:cs="Arial" w:eastAsia="Arial" w:hAnsi="Arial"/>
          <w:sz w:val="20"/>
          <w:szCs w:val="20"/>
          <w:b w:val="1"/>
          <w:bCs w:val="1"/>
          <w:color w:val="auto"/>
        </w:rPr>
      </w:pPr>
    </w:p>
    <w:p>
      <w:pPr>
        <w:jc w:val="both"/>
        <w:ind w:firstLine="1305"/>
        <w:spacing w:after="0" w:line="282" w:lineRule="auto"/>
        <w:tabs>
          <w:tab w:leader="none" w:pos="1806"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Ordinary Shares are publicly traded, pursuant to a program developed under Regulation T as promulgated by the U.S. Federal Reserve Board that, prior to the issuance of Ordinary Shares,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61" w:lineRule="exact"/>
        <w:rPr>
          <w:rFonts w:ascii="Arial" w:cs="Arial" w:eastAsia="Arial" w:hAnsi="Arial"/>
          <w:sz w:val="18"/>
          <w:szCs w:val="18"/>
          <w:b w:val="1"/>
          <w:bCs w:val="1"/>
          <w:color w:val="auto"/>
        </w:rPr>
      </w:pPr>
    </w:p>
    <w:p>
      <w:pPr>
        <w:jc w:val="both"/>
        <w:ind w:firstLine="1305"/>
        <w:spacing w:after="0" w:line="276" w:lineRule="auto"/>
        <w:tabs>
          <w:tab w:leader="none" w:pos="1736"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Provided that at the time of exercise the Ordinary Shares are publicly traded, by delivery to the Company (either by actual delivery or attestation) of already-owned Ordinary Shares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Ordinary Shares in a form approved by the Company. You may not exercise your option by delivery to the Company of Ordinary Shares if doing so would violate the provisions of any law, regulation or agreement applicable to the, or restricting the redemption of, the Ordinary Shares.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57" w:right="239" w:bottom="1440" w:gutter="0" w:footer="0" w:header="0"/>
        </w:sectPr>
      </w:pPr>
    </w:p>
    <w:bookmarkStart w:id="239" w:name="page240"/>
    <w:bookmarkEnd w:id="239"/>
    <w:p>
      <w:pPr>
        <w:jc w:val="both"/>
        <w:ind w:firstLine="656"/>
        <w:spacing w:after="0" w:line="253" w:lineRule="auto"/>
        <w:tabs>
          <w:tab w:leader="none" w:pos="1076" w:val="left"/>
        </w:tabs>
        <w:numPr>
          <w:ilvl w:val="1"/>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PAYMENT OF PAR (NOMINAL) VALUE. </w:t>
      </w:r>
      <w:r>
        <w:rPr>
          <w:rFonts w:ascii="Arial" w:cs="Arial" w:eastAsia="Arial" w:hAnsi="Arial"/>
          <w:sz w:val="20"/>
          <w:szCs w:val="20"/>
          <w:color w:val="auto"/>
        </w:rPr>
        <w:t>To the extent that any Ordinary Shares issued upon exercise of your option are</w:t>
      </w:r>
      <w:r>
        <w:rPr>
          <w:rFonts w:ascii="Arial" w:cs="Arial" w:eastAsia="Arial" w:hAnsi="Arial"/>
          <w:sz w:val="20"/>
          <w:szCs w:val="20"/>
          <w:b w:val="1"/>
          <w:bCs w:val="1"/>
          <w:color w:val="auto"/>
        </w:rPr>
        <w:t xml:space="preserve"> </w:t>
      </w:r>
      <w:r>
        <w:rPr>
          <w:rFonts w:ascii="Arial" w:cs="Arial" w:eastAsia="Arial" w:hAnsi="Arial"/>
          <w:sz w:val="20"/>
          <w:szCs w:val="20"/>
          <w:color w:val="auto"/>
        </w:rPr>
        <w:t>newly issued Ordinary Shares, you must pay in cash or by check an amount equal to the par value of such number of newly issued Ordinary Shares (rounded up to the nearest whole cent).</w:t>
      </w:r>
    </w:p>
    <w:p>
      <w:pPr>
        <w:spacing w:after="0" w:line="177" w:lineRule="exact"/>
        <w:rPr>
          <w:rFonts w:ascii="Arial" w:cs="Arial" w:eastAsia="Arial" w:hAnsi="Arial"/>
          <w:sz w:val="20"/>
          <w:szCs w:val="20"/>
          <w:b w:val="1"/>
          <w:bCs w:val="1"/>
          <w:color w:val="auto"/>
        </w:rPr>
      </w:pPr>
    </w:p>
    <w:p>
      <w:pPr>
        <w:ind w:left="1000" w:hanging="344"/>
        <w:spacing w:after="0"/>
        <w:tabs>
          <w:tab w:leader="none" w:pos="1000" w:val="left"/>
        </w:tabs>
        <w:numPr>
          <w:ilvl w:val="1"/>
          <w:numId w:val="1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WHOLE SHARES. </w:t>
      </w:r>
      <w:r>
        <w:rPr>
          <w:rFonts w:ascii="Arial" w:cs="Arial" w:eastAsia="Arial" w:hAnsi="Arial"/>
          <w:sz w:val="20"/>
          <w:szCs w:val="20"/>
          <w:color w:val="auto"/>
        </w:rPr>
        <w:t>You may exercise your option only for whole Ordinary Shares.</w:t>
      </w:r>
    </w:p>
    <w:p>
      <w:pPr>
        <w:spacing w:after="0" w:line="215" w:lineRule="exact"/>
        <w:rPr>
          <w:rFonts w:ascii="Arial" w:cs="Arial" w:eastAsia="Arial" w:hAnsi="Arial"/>
          <w:sz w:val="20"/>
          <w:szCs w:val="20"/>
          <w:b w:val="1"/>
          <w:bCs w:val="1"/>
          <w:color w:val="auto"/>
        </w:rPr>
      </w:pPr>
    </w:p>
    <w:p>
      <w:pPr>
        <w:jc w:val="both"/>
        <w:ind w:firstLine="656"/>
        <w:spacing w:after="0" w:line="258" w:lineRule="auto"/>
        <w:tabs>
          <w:tab w:leader="none" w:pos="1076" w:val="left"/>
        </w:tabs>
        <w:numPr>
          <w:ilvl w:val="1"/>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Notwithstanding anything to the contrary contained herein, you may not exercise your</w:t>
      </w:r>
      <w:r>
        <w:rPr>
          <w:rFonts w:ascii="Arial" w:cs="Arial" w:eastAsia="Arial" w:hAnsi="Arial"/>
          <w:sz w:val="19"/>
          <w:szCs w:val="19"/>
          <w:b w:val="1"/>
          <w:bCs w:val="1"/>
          <w:color w:val="auto"/>
        </w:rPr>
        <w:t xml:space="preserve"> </w:t>
      </w:r>
      <w:r>
        <w:rPr>
          <w:rFonts w:ascii="Arial" w:cs="Arial" w:eastAsia="Arial" w:hAnsi="Arial"/>
          <w:sz w:val="19"/>
          <w:szCs w:val="19"/>
          <w:color w:val="auto"/>
        </w:rPr>
        <w:t>option unless the Ordinary Shares issuable upon such exercise are then registered under the Securities Act or, if such Ordinary Shares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 The Company shall have no liability to you should your option expire unexercised as a result of the Company’s determination that the exercise of your option does not comply with the applicable laws and regulations governing the option or that the exercise is not in material compliance with such laws and regulations.</w:t>
      </w:r>
    </w:p>
    <w:p>
      <w:pPr>
        <w:spacing w:after="0" w:line="173" w:lineRule="exact"/>
        <w:rPr>
          <w:rFonts w:ascii="Arial" w:cs="Arial" w:eastAsia="Arial" w:hAnsi="Arial"/>
          <w:sz w:val="19"/>
          <w:szCs w:val="19"/>
          <w:b w:val="1"/>
          <w:bCs w:val="1"/>
          <w:color w:val="auto"/>
        </w:rPr>
      </w:pPr>
    </w:p>
    <w:p>
      <w:pPr>
        <w:ind w:firstLine="656"/>
        <w:spacing w:after="0" w:line="323" w:lineRule="auto"/>
        <w:tabs>
          <w:tab w:leader="none" w:pos="1035" w:val="left"/>
        </w:tabs>
        <w:numPr>
          <w:ilvl w:val="1"/>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You may not exercise your option before the commencement or after the expiration of its term.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subject to the provisions of Section 5(h) of the Plan, upon the earliest of the following:</w:t>
      </w:r>
    </w:p>
    <w:p>
      <w:pPr>
        <w:spacing w:after="0" w:line="124" w:lineRule="exact"/>
        <w:rPr>
          <w:rFonts w:ascii="Arial" w:cs="Arial" w:eastAsia="Arial" w:hAnsi="Arial"/>
          <w:sz w:val="18"/>
          <w:szCs w:val="18"/>
          <w:b w:val="1"/>
          <w:bCs w:val="1"/>
          <w:color w:val="auto"/>
        </w:rPr>
      </w:pPr>
    </w:p>
    <w:p>
      <w:pPr>
        <w:jc w:val="both"/>
        <w:ind w:firstLine="1305"/>
        <w:spacing w:after="0" w:line="270" w:lineRule="auto"/>
        <w:tabs>
          <w:tab w:leader="none" w:pos="1777" w:val="left"/>
        </w:tabs>
        <w:numPr>
          <w:ilvl w:val="2"/>
          <w:numId w:val="166"/>
        </w:numPr>
        <w:rPr>
          <w:rFonts w:ascii="Arial" w:cs="Arial" w:eastAsia="Arial" w:hAnsi="Arial"/>
          <w:sz w:val="18"/>
          <w:szCs w:val="18"/>
          <w:b w:val="1"/>
          <w:bCs w:val="1"/>
          <w:color w:val="auto"/>
        </w:rPr>
      </w:pPr>
      <w:r>
        <w:rPr>
          <w:rFonts w:ascii="Arial" w:cs="Arial" w:eastAsia="Arial" w:hAnsi="Arial"/>
          <w:sz w:val="18"/>
          <w:szCs w:val="18"/>
          <w:color w:val="auto"/>
        </w:rPr>
        <w:t xml:space="preserve">three (3) months after the termination of your Continuous Service for any reason other than your Disability or death or upon a Change in Control (except as otherwise provided in Section 7(c) below);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w:t>
      </w:r>
    </w:p>
    <w:p>
      <w:pPr>
        <w:spacing w:after="0" w:line="2" w:lineRule="exact"/>
        <w:rPr>
          <w:rFonts w:ascii="Arial" w:cs="Arial" w:eastAsia="Arial" w:hAnsi="Arial"/>
          <w:sz w:val="18"/>
          <w:szCs w:val="18"/>
          <w:b w:val="1"/>
          <w:bCs w:val="1"/>
          <w:color w:val="auto"/>
        </w:rPr>
      </w:pPr>
    </w:p>
    <w:p>
      <w:pPr>
        <w:ind w:left="280" w:hanging="272"/>
        <w:spacing w:after="0"/>
        <w:tabs>
          <w:tab w:leader="none" w:pos="2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months after the termination of your Continuous Service;</w:t>
      </w:r>
    </w:p>
    <w:p>
      <w:pPr>
        <w:spacing w:after="0" w:line="199" w:lineRule="exact"/>
        <w:rPr>
          <w:rFonts w:ascii="Arial" w:cs="Arial" w:eastAsia="Arial" w:hAnsi="Arial"/>
          <w:sz w:val="20"/>
          <w:szCs w:val="20"/>
          <w:color w:val="auto"/>
        </w:rPr>
      </w:pPr>
    </w:p>
    <w:p>
      <w:pPr>
        <w:ind w:right="20" w:firstLine="1305"/>
        <w:spacing w:after="0" w:line="260" w:lineRule="auto"/>
        <w:tabs>
          <w:tab w:leader="none" w:pos="1741" w:val="left"/>
        </w:tabs>
        <w:numPr>
          <w:ilvl w:val="2"/>
          <w:numId w:val="167"/>
        </w:numPr>
        <w:rPr>
          <w:rFonts w:ascii="Arial" w:cs="Arial" w:eastAsia="Arial" w:hAnsi="Arial"/>
          <w:sz w:val="20"/>
          <w:szCs w:val="20"/>
          <w:b w:val="1"/>
          <w:bCs w:val="1"/>
          <w:color w:val="auto"/>
        </w:rPr>
      </w:pPr>
      <w:r>
        <w:rPr>
          <w:rFonts w:ascii="Arial" w:cs="Arial" w:eastAsia="Arial" w:hAnsi="Arial"/>
          <w:sz w:val="20"/>
          <w:szCs w:val="20"/>
          <w:color w:val="auto"/>
        </w:rPr>
        <w:t>twelve (12) months after the termination of your Continuous Service due to your Disability (except as otherwise provided in Section 7(c) below);</w:t>
      </w:r>
    </w:p>
    <w:p>
      <w:pPr>
        <w:spacing w:after="0" w:line="176" w:lineRule="exact"/>
        <w:rPr>
          <w:rFonts w:ascii="Arial" w:cs="Arial" w:eastAsia="Arial" w:hAnsi="Arial"/>
          <w:sz w:val="20"/>
          <w:szCs w:val="20"/>
          <w:b w:val="1"/>
          <w:bCs w:val="1"/>
          <w:color w:val="auto"/>
        </w:rPr>
      </w:pPr>
    </w:p>
    <w:p>
      <w:pPr>
        <w:ind w:right="20" w:firstLine="1305"/>
        <w:spacing w:after="0" w:line="260" w:lineRule="auto"/>
        <w:tabs>
          <w:tab w:leader="none" w:pos="1761" w:val="left"/>
        </w:tabs>
        <w:numPr>
          <w:ilvl w:val="2"/>
          <w:numId w:val="167"/>
        </w:numPr>
        <w:rPr>
          <w:rFonts w:ascii="Arial" w:cs="Arial" w:eastAsia="Arial" w:hAnsi="Arial"/>
          <w:sz w:val="20"/>
          <w:szCs w:val="20"/>
          <w:b w:val="1"/>
          <w:bCs w:val="1"/>
          <w:color w:val="auto"/>
        </w:rPr>
      </w:pPr>
      <w:r>
        <w:rPr>
          <w:rFonts w:ascii="Arial" w:cs="Arial" w:eastAsia="Arial" w:hAnsi="Arial"/>
          <w:sz w:val="20"/>
          <w:szCs w:val="20"/>
          <w:color w:val="auto"/>
        </w:rPr>
        <w:t>eighteen (18) months after your death if you die either during your Continuous Service or within three (3) months after your Continuous Service terminates for any reason other than death;</w:t>
      </w:r>
    </w:p>
    <w:p>
      <w:pPr>
        <w:spacing w:after="0" w:line="176" w:lineRule="exact"/>
        <w:rPr>
          <w:rFonts w:ascii="Arial" w:cs="Arial" w:eastAsia="Arial" w:hAnsi="Arial"/>
          <w:sz w:val="20"/>
          <w:szCs w:val="20"/>
          <w:b w:val="1"/>
          <w:bCs w:val="1"/>
          <w:color w:val="auto"/>
        </w:rPr>
      </w:pPr>
    </w:p>
    <w:p>
      <w:pPr>
        <w:ind w:firstLine="1305"/>
        <w:spacing w:after="0" w:line="260" w:lineRule="auto"/>
        <w:tabs>
          <w:tab w:leader="none" w:pos="1759" w:val="left"/>
        </w:tabs>
        <w:numPr>
          <w:ilvl w:val="2"/>
          <w:numId w:val="167"/>
        </w:numPr>
        <w:rPr>
          <w:rFonts w:ascii="Arial" w:cs="Arial" w:eastAsia="Arial" w:hAnsi="Arial"/>
          <w:sz w:val="20"/>
          <w:szCs w:val="20"/>
          <w:b w:val="1"/>
          <w:bCs w:val="1"/>
          <w:color w:val="auto"/>
        </w:rPr>
      </w:pPr>
      <w:r>
        <w:rPr>
          <w:rFonts w:ascii="Arial" w:cs="Arial" w:eastAsia="Arial" w:hAnsi="Arial"/>
          <w:sz w:val="20"/>
          <w:szCs w:val="20"/>
          <w:color w:val="auto"/>
        </w:rPr>
        <w:t>twelve (12) months after the effective date of a Change in Control if your Continuous Service terminates as of, or within twelve (12) months following the Change in Control (except as otherwise provided in Section 7(c) above);</w:t>
      </w:r>
    </w:p>
    <w:p>
      <w:pPr>
        <w:spacing w:after="0" w:line="176" w:lineRule="exact"/>
        <w:rPr>
          <w:rFonts w:ascii="Arial" w:cs="Arial" w:eastAsia="Arial" w:hAnsi="Arial"/>
          <w:sz w:val="20"/>
          <w:szCs w:val="20"/>
          <w:b w:val="1"/>
          <w:bCs w:val="1"/>
          <w:color w:val="auto"/>
        </w:rPr>
      </w:pPr>
    </w:p>
    <w:p>
      <w:pPr>
        <w:ind w:left="1720" w:hanging="415"/>
        <w:spacing w:after="0"/>
        <w:tabs>
          <w:tab w:leader="none" w:pos="1720" w:val="left"/>
        </w:tabs>
        <w:numPr>
          <w:ilvl w:val="2"/>
          <w:numId w:val="167"/>
        </w:numPr>
        <w:rPr>
          <w:rFonts w:ascii="Arial" w:cs="Arial" w:eastAsia="Arial" w:hAnsi="Arial"/>
          <w:sz w:val="20"/>
          <w:szCs w:val="20"/>
          <w:b w:val="1"/>
          <w:bCs w:val="1"/>
          <w:color w:val="auto"/>
        </w:rPr>
      </w:pPr>
      <w:r>
        <w:rPr>
          <w:rFonts w:ascii="Arial" w:cs="Arial" w:eastAsia="Arial" w:hAnsi="Arial"/>
          <w:sz w:val="20"/>
          <w:szCs w:val="20"/>
          <w:color w:val="auto"/>
        </w:rPr>
        <w:t>the Expiration Date indicated in your Grant Notice; or</w:t>
      </w:r>
    </w:p>
    <w:p>
      <w:pPr>
        <w:spacing w:after="0" w:line="215" w:lineRule="exact"/>
        <w:rPr>
          <w:rFonts w:ascii="Arial" w:cs="Arial" w:eastAsia="Arial" w:hAnsi="Arial"/>
          <w:sz w:val="20"/>
          <w:szCs w:val="20"/>
          <w:b w:val="1"/>
          <w:bCs w:val="1"/>
          <w:color w:val="auto"/>
        </w:rPr>
      </w:pPr>
    </w:p>
    <w:p>
      <w:pPr>
        <w:ind w:left="1700" w:hanging="395"/>
        <w:spacing w:after="0"/>
        <w:tabs>
          <w:tab w:leader="none" w:pos="1700" w:val="left"/>
        </w:tabs>
        <w:numPr>
          <w:ilvl w:val="2"/>
          <w:numId w:val="167"/>
        </w:numPr>
        <w:rPr>
          <w:rFonts w:ascii="Arial" w:cs="Arial" w:eastAsia="Arial" w:hAnsi="Arial"/>
          <w:sz w:val="20"/>
          <w:szCs w:val="20"/>
          <w:b w:val="1"/>
          <w:bCs w:val="1"/>
          <w:color w:val="auto"/>
        </w:rPr>
      </w:pPr>
      <w:r>
        <w:rPr>
          <w:rFonts w:ascii="Arial" w:cs="Arial" w:eastAsia="Arial" w:hAnsi="Arial"/>
          <w:sz w:val="20"/>
          <w:szCs w:val="20"/>
          <w:color w:val="auto"/>
        </w:rPr>
        <w:t>the day before the tenth (10th) anniversary of the Date of Grant.</w:t>
      </w:r>
    </w:p>
    <w:p>
      <w:pPr>
        <w:spacing w:after="0" w:line="209" w:lineRule="exact"/>
        <w:rPr>
          <w:rFonts w:ascii="Arial" w:cs="Arial" w:eastAsia="Arial" w:hAnsi="Arial"/>
          <w:sz w:val="20"/>
          <w:szCs w:val="20"/>
          <w:b w:val="1"/>
          <w:bCs w:val="1"/>
          <w:color w:val="auto"/>
        </w:rPr>
      </w:pPr>
    </w:p>
    <w:p>
      <w:pPr>
        <w:ind w:left="1000" w:hanging="344"/>
        <w:spacing w:after="0"/>
        <w:tabs>
          <w:tab w:leader="none" w:pos="1000" w:val="left"/>
        </w:tabs>
        <w:numPr>
          <w:ilvl w:val="1"/>
          <w:numId w:val="167"/>
        </w:numPr>
        <w:rPr>
          <w:rFonts w:ascii="Arial" w:cs="Arial" w:eastAsia="Arial" w:hAnsi="Arial"/>
          <w:sz w:val="20"/>
          <w:szCs w:val="20"/>
          <w:b w:val="1"/>
          <w:bCs w:val="1"/>
          <w:color w:val="auto"/>
        </w:rPr>
      </w:pPr>
      <w:r>
        <w:rPr>
          <w:rFonts w:ascii="Arial" w:cs="Arial" w:eastAsia="Arial" w:hAnsi="Arial"/>
          <w:sz w:val="20"/>
          <w:szCs w:val="20"/>
          <w:b w:val="1"/>
          <w:bCs w:val="1"/>
          <w:color w:val="auto"/>
        </w:rPr>
        <w:t>EXERCISE.</w:t>
      </w:r>
    </w:p>
    <w:p>
      <w:pPr>
        <w:spacing w:after="0" w:line="221" w:lineRule="exact"/>
        <w:rPr>
          <w:rFonts w:ascii="Arial" w:cs="Arial" w:eastAsia="Arial" w:hAnsi="Arial"/>
          <w:sz w:val="20"/>
          <w:szCs w:val="20"/>
          <w:b w:val="1"/>
          <w:bCs w:val="1"/>
          <w:color w:val="auto"/>
        </w:rPr>
      </w:pPr>
    </w:p>
    <w:p>
      <w:pPr>
        <w:jc w:val="both"/>
        <w:ind w:firstLine="1305"/>
        <w:spacing w:after="0" w:line="263" w:lineRule="auto"/>
        <w:tabs>
          <w:tab w:leader="none" w:pos="1811" w:val="left"/>
        </w:tabs>
        <w:numPr>
          <w:ilvl w:val="2"/>
          <w:numId w:val="168"/>
        </w:numPr>
        <w:rPr>
          <w:rFonts w:ascii="Arial" w:cs="Arial" w:eastAsia="Arial" w:hAnsi="Arial"/>
          <w:sz w:val="19"/>
          <w:szCs w:val="19"/>
          <w:b w:val="1"/>
          <w:bCs w:val="1"/>
          <w:color w:val="auto"/>
        </w:rPr>
      </w:pPr>
      <w:r>
        <w:rPr>
          <w:rFonts w:ascii="Arial" w:cs="Arial" w:eastAsia="Arial" w:hAnsi="Arial"/>
          <w:sz w:val="19"/>
          <w:szCs w:val="19"/>
          <w:color w:val="auto"/>
        </w:rPr>
        <w:t>You may exercise the vested portion of your option during its term by (i) delivering a Notice of Exercise (in a form designated by the Company) or completing such other documents and/or procedures designated by the Company for exercise and (ii) paying the exercise price and any applicable Tax-Related Items (defined below) to the Company’s Secretary, stock plan administrator, or such other person as the Company may designate, together with such additional documents as the Company may then require.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57" w:right="239" w:bottom="1440" w:gutter="0" w:footer="0" w:header="0"/>
        </w:sectPr>
      </w:pPr>
    </w:p>
    <w:bookmarkStart w:id="240" w:name="page241"/>
    <w:bookmarkEnd w:id="240"/>
    <w:p>
      <w:pPr>
        <w:jc w:val="both"/>
        <w:ind w:firstLine="1305"/>
        <w:spacing w:after="0" w:line="250" w:lineRule="auto"/>
        <w:tabs>
          <w:tab w:leader="none" w:pos="1754" w:val="left"/>
        </w:tabs>
        <w:numPr>
          <w:ilvl w:val="1"/>
          <w:numId w:val="169"/>
        </w:numPr>
        <w:rPr>
          <w:rFonts w:ascii="Arial" w:cs="Arial" w:eastAsia="Arial" w:hAnsi="Arial"/>
          <w:sz w:val="20"/>
          <w:szCs w:val="20"/>
          <w:b w:val="1"/>
          <w:bCs w:val="1"/>
          <w:color w:val="auto"/>
        </w:rPr>
      </w:pPr>
      <w:r>
        <w:rPr>
          <w:rFonts w:ascii="Arial" w:cs="Arial" w:eastAsia="Arial" w:hAnsi="Arial"/>
          <w:sz w:val="20"/>
          <w:szCs w:val="20"/>
          <w:color w:val="auto"/>
        </w:rPr>
        <w:t>By exercising your option you agree that, as a condition to any exercise of your option, the Company may require you to enter into an arrangement providing for the payment by you to the Company of any Tax-Related Items arising by reason of (i) the exercise of your option or (ii) the disposition of Ordinary Shares acquired upon such exercise.</w:t>
      </w:r>
    </w:p>
    <w:p>
      <w:pPr>
        <w:spacing w:after="0" w:line="180" w:lineRule="exact"/>
        <w:rPr>
          <w:rFonts w:ascii="Arial" w:cs="Arial" w:eastAsia="Arial" w:hAnsi="Arial"/>
          <w:sz w:val="20"/>
          <w:szCs w:val="20"/>
          <w:b w:val="1"/>
          <w:bCs w:val="1"/>
          <w:color w:val="auto"/>
        </w:rPr>
      </w:pPr>
    </w:p>
    <w:p>
      <w:pPr>
        <w:jc w:val="both"/>
        <w:ind w:firstLine="656"/>
        <w:spacing w:after="0" w:line="248" w:lineRule="auto"/>
        <w:tabs>
          <w:tab w:leader="none" w:pos="1035"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If you are either (i) required to resign your position as a Non-Employee Director as a condition of a</w:t>
      </w:r>
      <w:r>
        <w:rPr>
          <w:rFonts w:ascii="Arial" w:cs="Arial" w:eastAsia="Arial" w:hAnsi="Arial"/>
          <w:sz w:val="20"/>
          <w:szCs w:val="20"/>
          <w:b w:val="1"/>
          <w:bCs w:val="1"/>
          <w:color w:val="auto"/>
        </w:rPr>
        <w:t xml:space="preserve"> </w:t>
      </w:r>
      <w:r>
        <w:rPr>
          <w:rFonts w:ascii="Arial" w:cs="Arial" w:eastAsia="Arial" w:hAnsi="Arial"/>
          <w:sz w:val="20"/>
          <w:szCs w:val="20"/>
          <w:color w:val="auto"/>
        </w:rPr>
        <w:t>Change in Control, or (ii) removed from your position as a Non-Employee Director in connection with a Change in Control, your option shall become fully vested and exercisable immediately prior to the effectiveness of such resignation or removal (and contingent upon the effectiveness of such Change in Control).</w:t>
      </w:r>
    </w:p>
    <w:p>
      <w:pPr>
        <w:spacing w:after="0" w:line="183" w:lineRule="exact"/>
        <w:rPr>
          <w:rFonts w:ascii="Arial" w:cs="Arial" w:eastAsia="Arial" w:hAnsi="Arial"/>
          <w:sz w:val="20"/>
          <w:szCs w:val="20"/>
          <w:b w:val="1"/>
          <w:bCs w:val="1"/>
          <w:color w:val="auto"/>
        </w:rPr>
      </w:pPr>
    </w:p>
    <w:p>
      <w:pPr>
        <w:ind w:firstLine="656"/>
        <w:spacing w:after="0" w:line="267" w:lineRule="auto"/>
        <w:tabs>
          <w:tab w:leader="none" w:pos="1242"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TRANSFERABILITY. </w:t>
      </w:r>
      <w:r>
        <w:rPr>
          <w:rFonts w:ascii="Arial" w:cs="Arial" w:eastAsia="Arial" w:hAnsi="Arial"/>
          <w:sz w:val="20"/>
          <w:szCs w:val="20"/>
          <w:color w:val="auto"/>
        </w:rPr>
        <w:t>Your option is not transferable, except by will or by the laws of descent and distribution, and is</w:t>
      </w:r>
      <w:r>
        <w:rPr>
          <w:rFonts w:ascii="Arial" w:cs="Arial" w:eastAsia="Arial" w:hAnsi="Arial"/>
          <w:sz w:val="20"/>
          <w:szCs w:val="20"/>
          <w:b w:val="1"/>
          <w:bCs w:val="1"/>
          <w:color w:val="auto"/>
        </w:rPr>
        <w:t xml:space="preserve"> </w:t>
      </w:r>
      <w:r>
        <w:rPr>
          <w:rFonts w:ascii="Arial" w:cs="Arial" w:eastAsia="Arial" w:hAnsi="Arial"/>
          <w:sz w:val="20"/>
          <w:szCs w:val="20"/>
          <w:color w:val="auto"/>
        </w:rPr>
        <w:t>exercisable during your life only by you.</w:t>
      </w:r>
    </w:p>
    <w:p>
      <w:pPr>
        <w:spacing w:after="0" w:line="163" w:lineRule="exact"/>
        <w:rPr>
          <w:rFonts w:ascii="Arial" w:cs="Arial" w:eastAsia="Arial" w:hAnsi="Arial"/>
          <w:sz w:val="20"/>
          <w:szCs w:val="20"/>
          <w:b w:val="1"/>
          <w:bCs w:val="1"/>
          <w:color w:val="auto"/>
        </w:rPr>
      </w:pPr>
    </w:p>
    <w:p>
      <w:pPr>
        <w:jc w:val="both"/>
        <w:ind w:firstLine="656"/>
        <w:spacing w:after="0" w:line="280" w:lineRule="auto"/>
        <w:tabs>
          <w:tab w:leader="none" w:pos="1123"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NOT A SERVICE CONTRACT. </w:t>
      </w:r>
      <w:r>
        <w:rPr>
          <w:rFonts w:ascii="Arial" w:cs="Arial" w:eastAsia="Arial" w:hAnsi="Arial"/>
          <w:sz w:val="18"/>
          <w:szCs w:val="18"/>
          <w:color w:val="auto"/>
        </w:rPr>
        <w:t>Your option is not an employment or service contract, and nothing in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create in any way whatsoever any obligation on your part to continue providing services to the Company or an Affiliate, or of the Company or an Affiliate to continue your services and shall not in any way restrict the Company or an Affiliate to terminate your Continuous Service. In addition, nothing in your option shall obligate the Company or an Affiliate, their respective shareholders, Boards of Directors, Officers or Employees to continue any relationship that you might have as a Director or Consultant for the Company or an Affiliate.</w:t>
      </w:r>
    </w:p>
    <w:p>
      <w:pPr>
        <w:spacing w:after="0" w:line="156" w:lineRule="exact"/>
        <w:rPr>
          <w:rFonts w:ascii="Arial" w:cs="Arial" w:eastAsia="Arial" w:hAnsi="Arial"/>
          <w:sz w:val="18"/>
          <w:szCs w:val="18"/>
          <w:b w:val="1"/>
          <w:bCs w:val="1"/>
          <w:color w:val="auto"/>
        </w:rPr>
      </w:pPr>
    </w:p>
    <w:p>
      <w:pPr>
        <w:ind w:left="1100" w:hanging="444"/>
        <w:spacing w:after="0"/>
        <w:tabs>
          <w:tab w:leader="none" w:pos="110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TAX WITHHOLDING OBLIGATIONS.</w:t>
      </w:r>
    </w:p>
    <w:p>
      <w:pPr>
        <w:spacing w:after="0" w:line="22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You acknowledge that, regardless of any action taken by the Company or, if different, your employer, if your employer is an Affiliate of the Company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w:t>
      </w:r>
      <w:r>
        <w:rPr>
          <w:rFonts w:ascii="MS PGothic" w:cs="MS PGothic" w:eastAsia="MS PGothic" w:hAnsi="MS PGothic"/>
          <w:sz w:val="18"/>
          <w:szCs w:val="18"/>
          <w:color w:val="auto"/>
        </w:rPr>
        <w:t>‑</w:t>
      </w:r>
      <w:r>
        <w:rPr>
          <w:rFonts w:ascii="Arial" w:cs="Arial" w:eastAsia="Arial" w:hAnsi="Arial"/>
          <w:sz w:val="18"/>
          <w:szCs w:val="18"/>
          <w:color w:val="auto"/>
        </w:rPr>
        <w:t>related items related to your participation in the Plan and legally applicable to you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your responsibility and may exceed the amount actually withheld by the Company or the Employer. You further acknowledge that the Company and/or the Employer (i) make no representations or undertakings regarding the treatment of any Tax-Related Items in connection with any aspect of the option, including, but not limited to, the grant, vesting or exercise of the option, the subsequent sale of Ordinary Shares acquired pursuant to such exercise and the receipt of any dividends; and (ii) do not commit to and are under no obligation to structure the terms of the grant or any aspect of the option to reduce or eliminate your liability for Tax-Related Items or achieve any particular tax result. Further, if you are subject to Tax-Related Items in more than one jurisdiction between the Date of Grant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Prior to the relevant taxable or tax withholding event, as applicable, you agree to make adequate arrangements satisfactory to the Company and/or the Employer to satisfy all Tax-Related Items.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this regard, you authorize the Company and/or the Employer, or their respective agents, at their discretion, to satisfy the obligations with regard to all Tax-Related Items by (i) withholding from proceeds of the sale of Ordinary Shares acquired at exercise of the option either through a voluntary sale or through a mandatory sale arranged by the Company (on your behalf pursuant to this authorization) without further consent or (ii) withholding from any cash compensation paid to you by the Company and/or the Employer.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amounts or other applicable withholding rates,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1" w:name="page242"/>
    <w:bookmarkEnd w:id="241"/>
    <w:p>
      <w:pPr>
        <w:jc w:val="both"/>
        <w:ind w:right="20"/>
        <w:spacing w:after="0" w:line="260" w:lineRule="auto"/>
        <w:rPr>
          <w:sz w:val="20"/>
          <w:szCs w:val="20"/>
          <w:color w:val="auto"/>
        </w:rPr>
      </w:pPr>
      <w:r>
        <w:rPr>
          <w:rFonts w:ascii="Arial" w:cs="Arial" w:eastAsia="Arial" w:hAnsi="Arial"/>
          <w:sz w:val="20"/>
          <w:szCs w:val="20"/>
          <w:color w:val="auto"/>
        </w:rPr>
        <w:t>including maximum applicable rates, in which case you will receive a refund of any over-withheld amount in cash and will have no entitlement to the Ordinary Share equivalent.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Finally, 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the Ordinary Shares or the proceeds of the sale of Ordinary Shares, if you fail to comply with your obligations in connection with the Tax-Related Items.</w:t>
      </w:r>
    </w:p>
    <w:p>
      <w:pPr>
        <w:spacing w:after="0" w:line="186" w:lineRule="exact"/>
        <w:rPr>
          <w:sz w:val="20"/>
          <w:szCs w:val="20"/>
          <w:color w:val="auto"/>
        </w:rPr>
      </w:pPr>
    </w:p>
    <w:p>
      <w:pPr>
        <w:ind w:left="1100" w:hanging="444"/>
        <w:spacing w:after="0"/>
        <w:tabs>
          <w:tab w:leader="none" w:pos="1100" w:val="left"/>
        </w:tabs>
        <w:numPr>
          <w:ilvl w:val="0"/>
          <w:numId w:val="1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In accepting the option, you acknowledge, understand and agree that:</w:t>
      </w:r>
    </w:p>
    <w:p>
      <w:pPr>
        <w:spacing w:after="0" w:line="221" w:lineRule="exact"/>
        <w:rPr>
          <w:rFonts w:ascii="Arial" w:cs="Arial" w:eastAsia="Arial" w:hAnsi="Arial"/>
          <w:sz w:val="20"/>
          <w:szCs w:val="20"/>
          <w:b w:val="1"/>
          <w:bCs w:val="1"/>
          <w:color w:val="auto"/>
        </w:rPr>
      </w:pPr>
    </w:p>
    <w:p>
      <w:pPr>
        <w:ind w:firstLine="1305"/>
        <w:spacing w:after="0" w:line="260" w:lineRule="auto"/>
        <w:tabs>
          <w:tab w:leader="none" w:pos="1821"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76" w:lineRule="exact"/>
        <w:rPr>
          <w:rFonts w:ascii="Arial" w:cs="Arial" w:eastAsia="Arial" w:hAnsi="Arial"/>
          <w:sz w:val="20"/>
          <w:szCs w:val="20"/>
          <w:b w:val="1"/>
          <w:bCs w:val="1"/>
          <w:color w:val="auto"/>
        </w:rPr>
      </w:pPr>
    </w:p>
    <w:p>
      <w:pPr>
        <w:ind w:right="20" w:firstLine="1305"/>
        <w:spacing w:after="0" w:line="260" w:lineRule="auto"/>
        <w:tabs>
          <w:tab w:leader="none" w:pos="1806"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the grant of the option is voluntary and occasional and does not create any contractual or other right to receive future grants of options, or benefits in lieu of options, even if options have been granted in the past;</w:t>
      </w:r>
    </w:p>
    <w:p>
      <w:pPr>
        <w:spacing w:after="0" w:line="176" w:lineRule="exact"/>
        <w:rPr>
          <w:rFonts w:ascii="Arial" w:cs="Arial" w:eastAsia="Arial" w:hAnsi="Arial"/>
          <w:sz w:val="20"/>
          <w:szCs w:val="20"/>
          <w:b w:val="1"/>
          <w:bCs w:val="1"/>
          <w:color w:val="auto"/>
        </w:rPr>
      </w:pPr>
    </w:p>
    <w:p>
      <w:pPr>
        <w:ind w:left="1720" w:hanging="415"/>
        <w:spacing w:after="0"/>
        <w:tabs>
          <w:tab w:leader="none" w:pos="1720"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all decisions with respect to future option or other grants, if any, will be at the sole discretion of the Company;</w:t>
      </w:r>
    </w:p>
    <w:p>
      <w:pPr>
        <w:spacing w:after="0" w:line="215" w:lineRule="exact"/>
        <w:rPr>
          <w:rFonts w:ascii="Arial" w:cs="Arial" w:eastAsia="Arial" w:hAnsi="Arial"/>
          <w:sz w:val="20"/>
          <w:szCs w:val="20"/>
          <w:b w:val="1"/>
          <w:bCs w:val="1"/>
          <w:color w:val="auto"/>
        </w:rPr>
      </w:pPr>
    </w:p>
    <w:p>
      <w:pPr>
        <w:ind w:left="1740" w:hanging="435"/>
        <w:spacing w:after="0"/>
        <w:tabs>
          <w:tab w:leader="none" w:pos="1740"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you are voluntarily participating in the Plan;</w:t>
      </w:r>
    </w:p>
    <w:p>
      <w:pPr>
        <w:spacing w:after="0" w:line="215" w:lineRule="exact"/>
        <w:rPr>
          <w:rFonts w:ascii="Arial" w:cs="Arial" w:eastAsia="Arial" w:hAnsi="Arial"/>
          <w:sz w:val="20"/>
          <w:szCs w:val="20"/>
          <w:b w:val="1"/>
          <w:bCs w:val="1"/>
          <w:color w:val="auto"/>
        </w:rPr>
      </w:pPr>
    </w:p>
    <w:p>
      <w:pPr>
        <w:ind w:left="1920" w:hanging="615"/>
        <w:spacing w:after="0"/>
        <w:tabs>
          <w:tab w:leader="none" w:pos="1920" w:val="left"/>
        </w:tabs>
        <w:numPr>
          <w:ilvl w:val="1"/>
          <w:numId w:val="171"/>
        </w:numPr>
        <w:rPr>
          <w:rFonts w:ascii="Arial" w:cs="Arial" w:eastAsia="Arial" w:hAnsi="Arial"/>
          <w:sz w:val="19"/>
          <w:szCs w:val="19"/>
          <w:b w:val="1"/>
          <w:bCs w:val="1"/>
          <w:color w:val="auto"/>
        </w:rPr>
      </w:pPr>
      <w:r>
        <w:rPr>
          <w:rFonts w:ascii="Arial" w:cs="Arial" w:eastAsia="Arial" w:hAnsi="Arial"/>
          <w:sz w:val="19"/>
          <w:szCs w:val="19"/>
          <w:color w:val="auto"/>
        </w:rPr>
        <w:t>the option and any Ordinary Shares acquired under the Plan are not intended to replace any pension rights or</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compensation;</w:t>
      </w:r>
    </w:p>
    <w:p>
      <w:pPr>
        <w:spacing w:after="0" w:line="199" w:lineRule="exact"/>
        <w:rPr>
          <w:rFonts w:ascii="Arial" w:cs="Arial" w:eastAsia="Arial" w:hAnsi="Arial"/>
          <w:sz w:val="19"/>
          <w:szCs w:val="19"/>
          <w:b w:val="1"/>
          <w:bCs w:val="1"/>
          <w:color w:val="auto"/>
        </w:rPr>
      </w:pPr>
    </w:p>
    <w:p>
      <w:pPr>
        <w:jc w:val="both"/>
        <w:ind w:firstLine="1305"/>
        <w:spacing w:after="0" w:line="291" w:lineRule="auto"/>
        <w:tabs>
          <w:tab w:leader="none" w:pos="1723"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the option and any Ordinary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51" w:lineRule="exact"/>
        <w:rPr>
          <w:rFonts w:ascii="Arial" w:cs="Arial" w:eastAsia="Arial" w:hAnsi="Arial"/>
          <w:sz w:val="18"/>
          <w:szCs w:val="18"/>
          <w:b w:val="1"/>
          <w:bCs w:val="1"/>
          <w:color w:val="auto"/>
        </w:rPr>
      </w:pPr>
    </w:p>
    <w:p>
      <w:pPr>
        <w:ind w:left="1780" w:hanging="475"/>
        <w:spacing w:after="0"/>
        <w:tabs>
          <w:tab w:leader="none" w:pos="1780" w:val="left"/>
        </w:tabs>
        <w:numPr>
          <w:ilvl w:val="1"/>
          <w:numId w:val="171"/>
        </w:numPr>
        <w:rPr>
          <w:rFonts w:ascii="Arial" w:cs="Arial" w:eastAsia="Arial" w:hAnsi="Arial"/>
          <w:sz w:val="18"/>
          <w:szCs w:val="18"/>
          <w:b w:val="1"/>
          <w:bCs w:val="1"/>
          <w:color w:val="auto"/>
        </w:rPr>
      </w:pPr>
      <w:r>
        <w:rPr>
          <w:rFonts w:ascii="Arial" w:cs="Arial" w:eastAsia="Arial" w:hAnsi="Arial"/>
          <w:sz w:val="18"/>
          <w:szCs w:val="18"/>
          <w:color w:val="auto"/>
        </w:rPr>
        <w:t>the future value of the Ordinary Shares underlying the option is unknown, indeterminable, and cannot be predicted with</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certainty;</w:t>
      </w:r>
    </w:p>
    <w:p>
      <w:pPr>
        <w:spacing w:after="0" w:line="199" w:lineRule="exact"/>
        <w:rPr>
          <w:rFonts w:ascii="Arial" w:cs="Arial" w:eastAsia="Arial" w:hAnsi="Arial"/>
          <w:sz w:val="18"/>
          <w:szCs w:val="18"/>
          <w:b w:val="1"/>
          <w:bCs w:val="1"/>
          <w:color w:val="auto"/>
        </w:rPr>
      </w:pPr>
    </w:p>
    <w:p>
      <w:pPr>
        <w:ind w:left="1740" w:hanging="435"/>
        <w:spacing w:after="0"/>
        <w:tabs>
          <w:tab w:leader="none" w:pos="1740"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if the underlying Ordinary Shares do not increase in value, the option will have no value;</w:t>
      </w:r>
    </w:p>
    <w:p>
      <w:pPr>
        <w:spacing w:after="0" w:line="215" w:lineRule="exact"/>
        <w:rPr>
          <w:rFonts w:ascii="Arial" w:cs="Arial" w:eastAsia="Arial" w:hAnsi="Arial"/>
          <w:sz w:val="20"/>
          <w:szCs w:val="20"/>
          <w:b w:val="1"/>
          <w:bCs w:val="1"/>
          <w:color w:val="auto"/>
        </w:rPr>
      </w:pPr>
    </w:p>
    <w:p>
      <w:pPr>
        <w:ind w:firstLine="1305"/>
        <w:spacing w:after="0" w:line="260" w:lineRule="auto"/>
        <w:tabs>
          <w:tab w:leader="none" w:pos="1747"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if you exercise the option and acquire Ordinary Shares, the value of such Ordinary Shares may increase or decrease in value, even below the exercise price;</w:t>
      </w:r>
    </w:p>
    <w:p>
      <w:pPr>
        <w:spacing w:after="0" w:line="176" w:lineRule="exact"/>
        <w:rPr>
          <w:rFonts w:ascii="Arial" w:cs="Arial" w:eastAsia="Arial" w:hAnsi="Arial"/>
          <w:sz w:val="20"/>
          <w:szCs w:val="20"/>
          <w:b w:val="1"/>
          <w:bCs w:val="1"/>
          <w:color w:val="auto"/>
        </w:rPr>
      </w:pPr>
    </w:p>
    <w:p>
      <w:pPr>
        <w:jc w:val="both"/>
        <w:ind w:firstLine="1305"/>
        <w:spacing w:after="0" w:line="243" w:lineRule="auto"/>
        <w:tabs>
          <w:tab w:leader="none" w:pos="1692" w:val="left"/>
        </w:tabs>
        <w:numPr>
          <w:ilvl w:val="1"/>
          <w:numId w:val="171"/>
        </w:numPr>
        <w:rPr>
          <w:rFonts w:ascii="Arial" w:cs="Arial" w:eastAsia="Arial" w:hAnsi="Arial"/>
          <w:sz w:val="20"/>
          <w:szCs w:val="20"/>
          <w:b w:val="1"/>
          <w:bCs w:val="1"/>
          <w:color w:val="auto"/>
        </w:rPr>
      </w:pPr>
      <w:r>
        <w:rPr>
          <w:rFonts w:ascii="Arial" w:cs="Arial" w:eastAsia="Arial" w:hAnsi="Arial"/>
          <w:sz w:val="20"/>
          <w:szCs w:val="20"/>
          <w:color w:val="auto"/>
        </w:rPr>
        <w:t>no claim or entitlement to compensation or damages shall arise from forfeiture of the option resulting from the termination of your Continuous Service (for any reason whatsoever, whether or not later found to be invalid or in breach of employment laws in the jurisdiction where you are providing Continuous Service or the terms of your employment agreement, if any), and in consideration of the grant of the option to which you are otherwise not entitled, you irrevocably agree never to institute any claim against the Company, any Affiliate or the Employer, waive your ability, if any, to bring any such claim, and release the Company, any Affiliate and the Employer from any such claim; if, notwithstanding the foregoing, any such claim is allowed by a court of competent jurisdiction, then, by participating in the Plan, you shall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2" w:name="page243"/>
    <w:bookmarkEnd w:id="242"/>
    <w:p>
      <w:pPr>
        <w:ind w:right="20"/>
        <w:spacing w:after="0" w:line="260" w:lineRule="auto"/>
        <w:rPr>
          <w:sz w:val="20"/>
          <w:szCs w:val="20"/>
          <w:color w:val="auto"/>
        </w:rPr>
      </w:pPr>
      <w:r>
        <w:rPr>
          <w:rFonts w:ascii="Arial" w:cs="Arial" w:eastAsia="Arial" w:hAnsi="Arial"/>
          <w:sz w:val="20"/>
          <w:szCs w:val="20"/>
          <w:color w:val="auto"/>
        </w:rPr>
        <w:t>be deemed irrevocably to have agreed not to pursue such claim and agree to execute any and all documents necessary to request dismissal or withdrawal of such claim;</w:t>
      </w:r>
    </w:p>
    <w:p>
      <w:pPr>
        <w:spacing w:after="0" w:line="177" w:lineRule="exact"/>
        <w:rPr>
          <w:sz w:val="20"/>
          <w:szCs w:val="20"/>
          <w:color w:val="auto"/>
        </w:rPr>
      </w:pPr>
    </w:p>
    <w:p>
      <w:pPr>
        <w:jc w:val="both"/>
        <w:ind w:firstLine="1305"/>
        <w:spacing w:after="0" w:line="270" w:lineRule="auto"/>
        <w:tabs>
          <w:tab w:leader="none" w:pos="1844"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for purposes of the option, your Continuous Service will be considered terminated as of the date you are no longer actively providing services to the Company or any Affiliate (regardless of the reason for such termination and whether or not later found to be invalid or in breach of employment laws in the jurisdiction where you are providing Continuous Service or the terms of your employment agreement, if any), and unless otherwise expressly provided in this Option Agreement or determined by the Company, (i) your right to vest in the option under the Plan, if any, will terminate as of such date and will not be extended by any notice period (e.g., your period of service would not include any contractual notice period or any period of “garden leave” or similar period mandated under employment laws in the jurisdiction where you are providing Continuous Service or the terms of your employment agreement, if any); and (ii) the period (if any) during which you may exercise the option after such termination of your Continuous Service will commence on the date you cease to actively provide services and will not be extended by any notice period mandated under employment laws in the jurisdiction where you are providing Continuous Service or the terms of your employment agreement, if any; the Board or the chief executive officer of the Company or an Affiliate, as applicable, shall have the exclusive discretion to determine when you are no longer actively providing services for purposes of your option grant (including whether you may still be considered to be providing services while on a leave of absence);</w:t>
      </w:r>
    </w:p>
    <w:p>
      <w:pPr>
        <w:spacing w:after="0" w:line="176" w:lineRule="exact"/>
        <w:rPr>
          <w:rFonts w:ascii="Arial" w:cs="Arial" w:eastAsia="Arial" w:hAnsi="Arial"/>
          <w:sz w:val="18"/>
          <w:szCs w:val="18"/>
          <w:b w:val="1"/>
          <w:bCs w:val="1"/>
          <w:color w:val="auto"/>
        </w:rPr>
      </w:pPr>
    </w:p>
    <w:p>
      <w:pPr>
        <w:jc w:val="both"/>
        <w:ind w:firstLine="1305"/>
        <w:spacing w:after="0" w:line="291" w:lineRule="auto"/>
        <w:tabs>
          <w:tab w:leader="none" w:pos="1728" w:val="left"/>
        </w:tabs>
        <w:numPr>
          <w:ilvl w:val="1"/>
          <w:numId w:val="172"/>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Ordinary Shares; and</w:t>
      </w:r>
    </w:p>
    <w:p>
      <w:pPr>
        <w:spacing w:after="0" w:line="151" w:lineRule="exact"/>
        <w:rPr>
          <w:rFonts w:ascii="Arial" w:cs="Arial" w:eastAsia="Arial" w:hAnsi="Arial"/>
          <w:sz w:val="18"/>
          <w:szCs w:val="18"/>
          <w:b w:val="1"/>
          <w:bCs w:val="1"/>
          <w:color w:val="auto"/>
        </w:rPr>
      </w:pPr>
    </w:p>
    <w:p>
      <w:pPr>
        <w:jc w:val="both"/>
        <w:ind w:firstLine="1305"/>
        <w:spacing w:after="0" w:line="269" w:lineRule="auto"/>
        <w:tabs>
          <w:tab w:leader="none" w:pos="1872" w:val="left"/>
        </w:tabs>
        <w:numPr>
          <w:ilvl w:val="1"/>
          <w:numId w:val="172"/>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neither the Company, the Employer nor any Affiliate shall be liable for any foreign exchange rate fluctuation between your local currency and the United States Dollar that may affect the value of the option or of any amounts due to you pursuant to the exercise of the option or the subsequent sale of any Ordinary Shares acquired upon exercise.</w:t>
      </w:r>
    </w:p>
    <w:p>
      <w:pPr>
        <w:spacing w:after="0" w:line="164" w:lineRule="exact"/>
        <w:rPr>
          <w:rFonts w:ascii="Arial" w:cs="Arial" w:eastAsia="Arial" w:hAnsi="Arial"/>
          <w:sz w:val="19"/>
          <w:szCs w:val="19"/>
          <w:b w:val="1"/>
          <w:bCs w:val="1"/>
          <w:color w:val="auto"/>
        </w:rPr>
      </w:pPr>
    </w:p>
    <w:p>
      <w:pPr>
        <w:jc w:val="both"/>
        <w:ind w:firstLine="656"/>
        <w:spacing w:after="0" w:line="248" w:lineRule="auto"/>
        <w:tabs>
          <w:tab w:leader="none" w:pos="1148"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ADVICE REGARDING GRANT. </w:t>
      </w:r>
      <w:r>
        <w:rPr>
          <w:rFonts w:ascii="Arial" w:cs="Arial" w:eastAsia="Arial" w:hAnsi="Arial"/>
          <w:sz w:val="20"/>
          <w:szCs w:val="20"/>
          <w:color w:val="auto"/>
        </w:rPr>
        <w:t>The Company is not providing any tax, legal or financial advice, nor is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making any recommendations regarding your participation 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183" w:lineRule="exact"/>
        <w:rPr>
          <w:rFonts w:ascii="Arial" w:cs="Arial" w:eastAsia="Arial" w:hAnsi="Arial"/>
          <w:sz w:val="20"/>
          <w:szCs w:val="20"/>
          <w:b w:val="1"/>
          <w:bCs w:val="1"/>
          <w:color w:val="auto"/>
        </w:rPr>
      </w:pPr>
    </w:p>
    <w:p>
      <w:pPr>
        <w:jc w:val="both"/>
        <w:ind w:firstLine="656"/>
        <w:spacing w:after="0" w:line="248" w:lineRule="auto"/>
        <w:tabs>
          <w:tab w:leader="none" w:pos="1121"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DATA PRIVACY.</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You hereby explicitly and unambiguously consent to the collection, use and transfer, in electronic or other</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form, of your personal data as described in this Option Agreement and any other option grant materials by and among, as applicable, the Employer, the Company and any Affiliate for the exclusive purpose of implementing, administering and managing your participation in the Plan.</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i w:val="1"/>
          <w:iCs w:val="1"/>
          <w:color w:val="auto"/>
        </w:rPr>
        <w:t>You understand that the Company and the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options or any other entitlement to Ordinary Shares awarded, canceled, exercised, vested, unvested or outstanding in your favor (“Data”), for the exclusive purpose of implementing, administering and managing the Plan.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3" w:name="page244"/>
    <w:bookmarkEnd w:id="243"/>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You understand that Data will be transferred to a third party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with a lower level of protection than your country. You understand that you may request a list with the names and addresses of any potential recipients of the Data by contacting your local human resources representative. You authorize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Continuous Service and career with the Employer will not be adversely affected; the only adverse consequence of refusing or withdrawing your consent is that the Company would not be able to grant you options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69" w:lineRule="exact"/>
        <w:rPr>
          <w:sz w:val="20"/>
          <w:szCs w:val="20"/>
          <w:color w:val="auto"/>
        </w:rPr>
      </w:pPr>
    </w:p>
    <w:p>
      <w:pPr>
        <w:ind w:right="20" w:firstLine="656"/>
        <w:spacing w:after="0" w:line="267" w:lineRule="auto"/>
        <w:tabs>
          <w:tab w:leader="none" w:pos="1094"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AND VENUE. </w:t>
      </w:r>
      <w:r>
        <w:rPr>
          <w:rFonts w:ascii="Arial" w:cs="Arial" w:eastAsia="Arial" w:hAnsi="Arial"/>
          <w:sz w:val="20"/>
          <w:szCs w:val="20"/>
          <w:color w:val="auto"/>
        </w:rPr>
        <w:t>The option grant and the provisions of this Option Agreement are governed by, and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laws of the State of Delaware, without regard to its conflict of law provisions.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For purposes of any action, lawsuit or other proceedings brought to enforce this Option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59" w:lineRule="exact"/>
        <w:rPr>
          <w:sz w:val="20"/>
          <w:szCs w:val="20"/>
          <w:color w:val="auto"/>
        </w:rPr>
      </w:pPr>
    </w:p>
    <w:p>
      <w:pPr>
        <w:jc w:val="both"/>
        <w:ind w:firstLine="656"/>
        <w:spacing w:after="0" w:line="253" w:lineRule="auto"/>
        <w:tabs>
          <w:tab w:leader="none" w:pos="1094"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LANGUAGE. </w:t>
      </w:r>
      <w:r>
        <w:rPr>
          <w:rFonts w:ascii="Arial" w:cs="Arial" w:eastAsia="Arial" w:hAnsi="Arial"/>
          <w:sz w:val="20"/>
          <w:szCs w:val="20"/>
          <w:color w:val="auto"/>
        </w:rPr>
        <w:t>If you have received this Option Agreement, or any other document related to the option and/or the Plan translated</w:t>
      </w:r>
      <w:r>
        <w:rPr>
          <w:rFonts w:ascii="Arial" w:cs="Arial" w:eastAsia="Arial" w:hAnsi="Arial"/>
          <w:sz w:val="20"/>
          <w:szCs w:val="20"/>
          <w:b w:val="1"/>
          <w:bCs w:val="1"/>
          <w:color w:val="auto"/>
        </w:rPr>
        <w:t xml:space="preserve"> </w:t>
      </w:r>
      <w:r>
        <w:rPr>
          <w:rFonts w:ascii="Arial" w:cs="Arial" w:eastAsia="Arial" w:hAnsi="Arial"/>
          <w:sz w:val="20"/>
          <w:szCs w:val="20"/>
          <w:color w:val="auto"/>
        </w:rPr>
        <w:t>into a language other than English and if the meaning of the translated version is different than the English version, the English version will control.</w:t>
      </w:r>
    </w:p>
    <w:p>
      <w:pPr>
        <w:spacing w:after="0" w:line="177" w:lineRule="exact"/>
        <w:rPr>
          <w:rFonts w:ascii="Arial" w:cs="Arial" w:eastAsia="Arial" w:hAnsi="Arial"/>
          <w:sz w:val="20"/>
          <w:szCs w:val="20"/>
          <w:b w:val="1"/>
          <w:bCs w:val="1"/>
          <w:color w:val="auto"/>
        </w:rPr>
      </w:pPr>
    </w:p>
    <w:p>
      <w:pPr>
        <w:ind w:firstLine="656"/>
        <w:spacing w:after="0" w:line="293" w:lineRule="auto"/>
        <w:tabs>
          <w:tab w:leader="none" w:pos="1094" w:val="left"/>
        </w:tabs>
        <w:numPr>
          <w:ilvl w:val="0"/>
          <w:numId w:val="17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The provisions of this Option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141" w:lineRule="exact"/>
        <w:rPr>
          <w:rFonts w:ascii="Arial" w:cs="Arial" w:eastAsia="Arial" w:hAnsi="Arial"/>
          <w:sz w:val="19"/>
          <w:szCs w:val="19"/>
          <w:b w:val="1"/>
          <w:bCs w:val="1"/>
          <w:color w:val="auto"/>
        </w:rPr>
      </w:pPr>
    </w:p>
    <w:p>
      <w:pPr>
        <w:jc w:val="both"/>
        <w:ind w:firstLine="656"/>
        <w:spacing w:after="0" w:line="246" w:lineRule="auto"/>
        <w:tabs>
          <w:tab w:leader="none" w:pos="1094"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APPENDIX. </w:t>
      </w:r>
      <w:r>
        <w:rPr>
          <w:rFonts w:ascii="Arial" w:cs="Arial" w:eastAsia="Arial" w:hAnsi="Arial"/>
          <w:sz w:val="20"/>
          <w:szCs w:val="20"/>
          <w:color w:val="auto"/>
        </w:rPr>
        <w:t>Notwithstanding any provisions in this Option Agreement, the option grant shall be subject to any special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set forth in any Appendix to this Option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Option Agreement.</w:t>
      </w:r>
    </w:p>
    <w:p>
      <w:pPr>
        <w:spacing w:after="0" w:line="185" w:lineRule="exact"/>
        <w:rPr>
          <w:rFonts w:ascii="Arial" w:cs="Arial" w:eastAsia="Arial" w:hAnsi="Arial"/>
          <w:sz w:val="20"/>
          <w:szCs w:val="20"/>
          <w:b w:val="1"/>
          <w:bCs w:val="1"/>
          <w:color w:val="auto"/>
        </w:rPr>
      </w:pPr>
    </w:p>
    <w:p>
      <w:pPr>
        <w:ind w:firstLine="656"/>
        <w:spacing w:after="0" w:line="267" w:lineRule="auto"/>
        <w:tabs>
          <w:tab w:leader="none" w:pos="1242"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ELECTRONIC DELIVERY. </w:t>
      </w:r>
      <w:r>
        <w:rPr>
          <w:rFonts w:ascii="Arial" w:cs="Arial" w:eastAsia="Arial" w:hAnsi="Arial"/>
          <w:sz w:val="20"/>
          <w:szCs w:val="20"/>
          <w:color w:val="auto"/>
        </w:rPr>
        <w:t>Any notices provided for in your option or the Plan will be given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electronically) and will be deemed effectively given upon receipt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4" w:name="page245"/>
    <w:bookmarkEnd w:id="244"/>
    <w:p>
      <w:pPr>
        <w:jc w:val="both"/>
        <w:spacing w:after="0" w:line="278" w:lineRule="auto"/>
        <w:rPr>
          <w:sz w:val="20"/>
          <w:szCs w:val="20"/>
          <w:color w:val="auto"/>
        </w:rPr>
      </w:pPr>
      <w:r>
        <w:rPr>
          <w:rFonts w:ascii="Arial" w:cs="Arial" w:eastAsia="Arial" w:hAnsi="Arial"/>
          <w:sz w:val="18"/>
          <w:szCs w:val="18"/>
          <w:color w:val="auto"/>
        </w:rPr>
        <w:t>or, in the case of notices delivered by mail by the Company to you, fourteen (14)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59" w:lineRule="exact"/>
        <w:rPr>
          <w:sz w:val="20"/>
          <w:szCs w:val="20"/>
          <w:color w:val="auto"/>
        </w:rPr>
      </w:pPr>
    </w:p>
    <w:p>
      <w:pPr>
        <w:jc w:val="both"/>
        <w:ind w:firstLine="656"/>
        <w:spacing w:after="0" w:line="248" w:lineRule="auto"/>
        <w:tabs>
          <w:tab w:leader="none" w:pos="1107"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PLAN DOCUMENT. </w:t>
      </w:r>
      <w:r>
        <w:rPr>
          <w:rFonts w:ascii="Arial" w:cs="Arial" w:eastAsia="Arial" w:hAnsi="Arial"/>
          <w:sz w:val="20"/>
          <w:szCs w:val="20"/>
          <w:color w:val="auto"/>
        </w:rPr>
        <w:t>Your option is subject to all the provisions of the Plan, the provisions of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made a part of your option, and is further subject to all interpretations, amendments, rules and regulations, which may from time to time be promulgated and adopted pursuant to the Plan. Except as otherwise explicitly provided herein, in the event of any conflict between the provisions of your option and those of the Plan, the provisions of the Plan shall control.</w:t>
      </w:r>
    </w:p>
    <w:p>
      <w:pPr>
        <w:spacing w:after="0" w:line="183" w:lineRule="exact"/>
        <w:rPr>
          <w:rFonts w:ascii="Arial" w:cs="Arial" w:eastAsia="Arial" w:hAnsi="Arial"/>
          <w:sz w:val="20"/>
          <w:szCs w:val="20"/>
          <w:b w:val="1"/>
          <w:bCs w:val="1"/>
          <w:color w:val="auto"/>
        </w:rPr>
      </w:pPr>
    </w:p>
    <w:p>
      <w:pPr>
        <w:jc w:val="both"/>
        <w:ind w:firstLine="656"/>
        <w:spacing w:after="0" w:line="273" w:lineRule="auto"/>
        <w:tabs>
          <w:tab w:leader="none" w:pos="1094" w:val="left"/>
        </w:tabs>
        <w:numPr>
          <w:ilvl w:val="0"/>
          <w:numId w:val="1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you, the provisions of this Agreement in any way it may deem necessary or advisable for legal or administrative reasons, and to require you to sign any additional agreements or undertakings that may be necessary to accomplish the foregoing.</w:t>
      </w:r>
    </w:p>
    <w:p>
      <w:pPr>
        <w:spacing w:after="0" w:line="159" w:lineRule="exact"/>
        <w:rPr>
          <w:rFonts w:ascii="Arial" w:cs="Arial" w:eastAsia="Arial" w:hAnsi="Arial"/>
          <w:sz w:val="19"/>
          <w:szCs w:val="19"/>
          <w:b w:val="1"/>
          <w:bCs w:val="1"/>
          <w:color w:val="auto"/>
        </w:rPr>
      </w:pPr>
    </w:p>
    <w:p>
      <w:pPr>
        <w:jc w:val="both"/>
        <w:ind w:firstLine="656"/>
        <w:spacing w:after="0" w:line="248" w:lineRule="auto"/>
        <w:tabs>
          <w:tab w:leader="none" w:pos="1229"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IMPOSITION OF OTHER REQUIREMENTS. </w:t>
      </w:r>
      <w:r>
        <w:rPr>
          <w:rFonts w:ascii="Arial" w:cs="Arial" w:eastAsia="Arial" w:hAnsi="Arial"/>
          <w:sz w:val="20"/>
          <w:szCs w:val="20"/>
          <w:color w:val="auto"/>
        </w:rPr>
        <w:t>The Company reserves the right to impose other requirements on your</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option and on any Ordinary Shares purchased upon exercise of the option, to the extent the Company determines it is necessary or advisable for legal or administrative reasons, and to require you to sign any additional agreements or undertakings that may be necessary to accomplish the foregoing.</w:t>
      </w:r>
    </w:p>
    <w:p>
      <w:pPr>
        <w:spacing w:after="0" w:line="183" w:lineRule="exact"/>
        <w:rPr>
          <w:rFonts w:ascii="Arial" w:cs="Arial" w:eastAsia="Arial" w:hAnsi="Arial"/>
          <w:sz w:val="20"/>
          <w:szCs w:val="20"/>
          <w:b w:val="1"/>
          <w:bCs w:val="1"/>
          <w:color w:val="auto"/>
        </w:rPr>
      </w:pPr>
    </w:p>
    <w:p>
      <w:pPr>
        <w:jc w:val="both"/>
        <w:ind w:firstLine="656"/>
        <w:spacing w:after="0" w:line="253" w:lineRule="auto"/>
        <w:tabs>
          <w:tab w:leader="none" w:pos="1188"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w:t>
      </w:r>
      <w:r>
        <w:rPr>
          <w:rFonts w:ascii="Arial" w:cs="Arial" w:eastAsia="Arial" w:hAnsi="Arial"/>
          <w:sz w:val="20"/>
          <w:szCs w:val="20"/>
          <w:color w:val="auto"/>
        </w:rPr>
        <w:t>You acknowledge that a waiver by the Company of breach of any provision of this Option Agreement shall not</w:t>
      </w:r>
      <w:r>
        <w:rPr>
          <w:rFonts w:ascii="Arial" w:cs="Arial" w:eastAsia="Arial" w:hAnsi="Arial"/>
          <w:sz w:val="20"/>
          <w:szCs w:val="20"/>
          <w:b w:val="1"/>
          <w:bCs w:val="1"/>
          <w:color w:val="auto"/>
        </w:rPr>
        <w:t xml:space="preserve"> </w:t>
      </w:r>
      <w:r>
        <w:rPr>
          <w:rFonts w:ascii="Arial" w:cs="Arial" w:eastAsia="Arial" w:hAnsi="Arial"/>
          <w:sz w:val="20"/>
          <w:szCs w:val="20"/>
          <w:color w:val="auto"/>
        </w:rPr>
        <w:t>operate or be construed as a waiver of any other provision of this Option Agreement, or of any subsequent breach by you or any other Optionholder.</w:t>
      </w:r>
    </w:p>
    <w:p>
      <w:pPr>
        <w:spacing w:after="0" w:line="177" w:lineRule="exact"/>
        <w:rPr>
          <w:rFonts w:ascii="Arial" w:cs="Arial" w:eastAsia="Arial" w:hAnsi="Arial"/>
          <w:sz w:val="20"/>
          <w:szCs w:val="20"/>
          <w:b w:val="1"/>
          <w:bCs w:val="1"/>
          <w:color w:val="auto"/>
        </w:rPr>
      </w:pPr>
    </w:p>
    <w:p>
      <w:pPr>
        <w:jc w:val="both"/>
        <w:ind w:firstLine="656"/>
        <w:spacing w:after="0" w:line="262" w:lineRule="auto"/>
        <w:tabs>
          <w:tab w:leader="none" w:pos="1175" w:val="left"/>
        </w:tabs>
        <w:numPr>
          <w:ilvl w:val="0"/>
          <w:numId w:val="17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REPORTING OBLIGATION. </w:t>
      </w:r>
      <w:r>
        <w:rPr>
          <w:rFonts w:ascii="Arial" w:cs="Arial" w:eastAsia="Arial" w:hAnsi="Arial"/>
          <w:sz w:val="19"/>
          <w:szCs w:val="19"/>
          <w:color w:val="auto"/>
        </w:rPr>
        <w:t>As long as you serve as a director of the Company or a shadow director or secretary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 Irish Affiliate, you must notify the Company or the Irish Affiliate in writing within five (5) business days of receiving or disposing of an interest in the Company (e.g., options, Ordinary Shares), or within five (5) business days of becoming aware of the event giving rise to the notification requirement. This notification requirement also applies with respect to the interests in the Company of a spouse or minor children (whose interests will be attributed to the director, shadow director or secretary, as applicable).</w:t>
      </w:r>
    </w:p>
    <w:p>
      <w:pPr>
        <w:spacing w:after="0" w:line="177" w:lineRule="exact"/>
        <w:rPr>
          <w:rFonts w:ascii="Arial" w:cs="Arial" w:eastAsia="Arial" w:hAnsi="Arial"/>
          <w:sz w:val="19"/>
          <w:szCs w:val="19"/>
          <w:b w:val="1"/>
          <w:bCs w:val="1"/>
          <w:color w:val="auto"/>
        </w:rPr>
      </w:pPr>
    </w:p>
    <w:p>
      <w:pPr>
        <w:ind w:left="5700"/>
        <w:spacing w:after="0"/>
        <w:rPr>
          <w:rFonts w:ascii="Arial" w:cs="Arial" w:eastAsia="Arial" w:hAnsi="Arial"/>
          <w:sz w:val="19"/>
          <w:szCs w:val="19"/>
          <w:b w:val="1"/>
          <w:bCs w:val="1"/>
          <w:color w:val="auto"/>
        </w:rPr>
      </w:pPr>
      <w:r>
        <w:rPr>
          <w:rFonts w:ascii="Arial" w:cs="Arial" w:eastAsia="Arial" w:hAnsi="Arial"/>
          <w:sz w:val="20"/>
          <w:szCs w:val="20"/>
          <w:color w:val="auto"/>
        </w:rPr>
        <w:t>* * * * *</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By signing the Non-U.S. Grant Notice to which this Non-U.S. Option Agreement is attached, you shall be deemed to have signed and agreed to the terms and conditions of this Non-U.S. Option Agreement.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0"/>
          <w:szCs w:val="20"/>
          <w:b w:val="1"/>
          <w:bCs w:val="1"/>
          <w:color w:val="auto"/>
        </w:rPr>
        <w:t>APPENDIX</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NON-U.S. OPTION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Appendix contains additional terms and conditions that govern the option granted under the Plan to you if you reside and/or work in one of the countries listed below. Certain capitalized terms used but not defined in this Appendix have the meanings set forth in the Plan, the Grant Notice and/or the Option Agreement.</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If you are a citizen or resident of a country other than the one in which you are currently working, transfer employment after the option is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January 2013.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exercise the option or sell Ordinary Shares acquired pursuant thereto.</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Consumer Protection Information. </w:t>
      </w:r>
      <w:r>
        <w:rPr>
          <w:rFonts w:ascii="Arial" w:cs="Arial" w:eastAsia="Arial" w:hAnsi="Arial"/>
          <w:sz w:val="20"/>
          <w:szCs w:val="20"/>
          <w:color w:val="auto"/>
        </w:rPr>
        <w:t>You may be entitled to revoke acceptance of the option granted under the Plan on the basis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Austrian Consumer Protection Act (the “Act”) under the conditions listed below, if the Act is considered to be applicable to the Option Agreement and the Plan:</w:t>
      </w:r>
    </w:p>
    <w:p>
      <w:pPr>
        <w:spacing w:after="0" w:line="184" w:lineRule="exact"/>
        <w:rPr>
          <w:sz w:val="20"/>
          <w:szCs w:val="20"/>
          <w:color w:val="auto"/>
        </w:rPr>
      </w:pPr>
    </w:p>
    <w:p>
      <w:pPr>
        <w:ind w:left="1680" w:hanging="375"/>
        <w:spacing w:after="0"/>
        <w:tabs>
          <w:tab w:leader="none" w:pos="1680"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The revocation must be made within one (1) week after acceptance of the option.</w:t>
      </w:r>
    </w:p>
    <w:p>
      <w:pPr>
        <w:spacing w:after="0" w:line="215"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revocation must be in written form to be valid. It is sufficient if you return the Option Agreement to the Company or the Company’s representative with language which can be understood as a refusal to conclude or honor the Option Agreement, provided the revocation is sent within the period discussed above.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If you hold Ordinary Shares acquired under the Plan outside of Austria, you must submit a report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Austrian National Bank. An exemption applies if the value of the Ordinary Shares as of any given quarter does not exceed €30,000,000 or if the value of the Ordinary Shares in any given year as of December 31 does not exceed €5,000,000. If the former threshold is exceeded, quarterly obligations are imposed, whereas if the latter threshold is exceeded, annual reports must be given. The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711" w:right="239" w:bottom="1440" w:gutter="0" w:footer="0" w:header="0"/>
        </w:sectPr>
      </w:pPr>
    </w:p>
    <w:bookmarkStart w:id="246" w:name="page247"/>
    <w:bookmarkEnd w:id="246"/>
    <w:p>
      <w:pPr>
        <w:spacing w:after="0"/>
        <w:rPr>
          <w:sz w:val="20"/>
          <w:szCs w:val="20"/>
          <w:color w:val="auto"/>
        </w:rPr>
      </w:pPr>
      <w:r>
        <w:rPr>
          <w:rFonts w:ascii="Arial" w:cs="Arial" w:eastAsia="Arial" w:hAnsi="Arial"/>
          <w:sz w:val="20"/>
          <w:szCs w:val="20"/>
          <w:color w:val="auto"/>
        </w:rPr>
        <w:t>annual reporting date is December 31 and the deadline for filing the annual report is March 31 of the following year.</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separate reporting requirement applies when you sell Ordinary Shares acquired under the Plan or receive a dividend payment.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BELGIUM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Taxation of Option. </w:t>
      </w:r>
      <w:r>
        <w:rPr>
          <w:rFonts w:ascii="Arial" w:cs="Arial" w:eastAsia="Arial" w:hAnsi="Arial"/>
          <w:sz w:val="19"/>
          <w:szCs w:val="19"/>
          <w:color w:val="auto"/>
        </w:rPr>
        <w:t>The option must be accepted in writing either (i) within 60 days of the offer (for tax at offer), or (ii) after 60 days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 (for tax at exercise). You have received a separate offer letter and undertaking form in addition to the Option Agreement and should refer to the offer letter for a more detailed description of the tax consequences corresponding with when you accept the option. You should consult with your personal tax advisor regarding taxation of the option and completion of the additional forms.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Reporting. </w:t>
      </w:r>
      <w:r>
        <w:rPr>
          <w:rFonts w:ascii="Arial" w:cs="Arial" w:eastAsia="Arial" w:hAnsi="Arial"/>
          <w:sz w:val="19"/>
          <w:szCs w:val="19"/>
          <w:color w:val="auto"/>
        </w:rPr>
        <w:t>You are required to report any bank accounts opened and maintained outside of Belgium on your annual tax return.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CANADA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Notwithstanding anything in Sections 3(b) and 12 to the contrary, you are prohibited from surrendering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 own or attesting to the ownership of Ordinary Shares to pay the exercise price or any Tax-Related Items in connection with the option.</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Involuntary Termination Terms. </w:t>
      </w:r>
      <w:r>
        <w:rPr>
          <w:rFonts w:ascii="Arial" w:cs="Arial" w:eastAsia="Arial" w:hAnsi="Arial"/>
          <w:sz w:val="20"/>
          <w:szCs w:val="20"/>
          <w:color w:val="auto"/>
        </w:rPr>
        <w:t>In the event of involuntary termination of your Continuous Service (regardless of the reason for such</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and whether or not later found to be invalid or in breach of employment laws in the jurisdiction where you are providing Continuous Service or the terms of your employment agreement, if any), vesting will terminate and the period remaining to exercise the option will be measured effective as of the date that is the earlier of: (1) the date you receive notice of termination of employment from the Employer, or (2) the date you are no longer actively rendering services, regardless of any notice period or period of pay in lieu of such notice required under local law (including, but not limited to, statutory law, regulatory law, and/or common law); the Board or the chief executive officer of the Company or an Affiliate, as applicable, shall have the exclusive discretion to determine when you are no longer actively employed or rendering services for purposes of the option.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provision applies if you reside in Quebec:</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Consent to Receive Information in English. </w:t>
      </w:r>
      <w:r>
        <w:rPr>
          <w:rFonts w:ascii="Arial" w:cs="Arial" w:eastAsia="Arial" w:hAnsi="Arial"/>
          <w:sz w:val="20"/>
          <w:szCs w:val="20"/>
          <w:color w:val="auto"/>
        </w:rPr>
        <w:t>The parties acknowledge that it is their express wish that the Option Agreement,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proceeds entered into, given or instituted pursuant hereto or relating directly or indirectly hereto, be drawn up in English.</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7" w:name="page248"/>
    <w:bookmarkEnd w:id="247"/>
    <w:p>
      <w:pPr>
        <w:jc w:val="both"/>
        <w:spacing w:after="0" w:line="260" w:lineRule="auto"/>
        <w:rPr>
          <w:sz w:val="20"/>
          <w:szCs w:val="20"/>
          <w:color w:val="auto"/>
        </w:rPr>
      </w:pPr>
      <w:r>
        <w:rPr>
          <w:rFonts w:ascii="Arial" w:cs="Arial" w:eastAsia="Arial" w:hAnsi="Arial"/>
          <w:sz w:val="20"/>
          <w:szCs w:val="20"/>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Notice and Consent. </w:t>
      </w:r>
      <w:r>
        <w:rPr>
          <w:rFonts w:ascii="Arial" w:cs="Arial" w:eastAsia="Arial" w:hAnsi="Arial"/>
          <w:sz w:val="20"/>
          <w:szCs w:val="20"/>
          <w:color w:val="auto"/>
        </w:rPr>
        <w:t>This section supplements Section 15 of the Option Agreement: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hereby authorize the Company and the Company’s representatives to discuss and obtain all relevant information from all personnel, professional or non-professional, involved in the administration of the Plan. You further authorize the Company, the Employer and any Affiliate to disclose and discuss such information with their advisors. You also authorize the Company, the Employer and any Affiliate to record such information and to keep such information in your file.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By accepting the option, you confirm that you have read and understood the documents relating to the option (the Option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this Appendix, and the Plan) which were provided in the English language, and you accept the terms of these documents accordingly.</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 xml:space="preserve">Consentement Relatif à la Langue Utilisée. </w:t>
      </w:r>
      <w:r>
        <w:rPr>
          <w:rFonts w:ascii="Arial" w:cs="Arial" w:eastAsia="Arial" w:hAnsi="Arial"/>
          <w:sz w:val="20"/>
          <w:szCs w:val="20"/>
          <w:i w:val="1"/>
          <w:iCs w:val="1"/>
          <w:color w:val="auto"/>
        </w:rPr>
        <w:t>En acceptant l’option, le Titulaire confirme avoir lu et compris les documents relatifs à l’option</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(Convention de Droits Preferentiels de Souscription, y compris cette Annexe et le Plan) qui ont été fournis en langue anglaise, et le Titulaire accepte les conditions afférentes à ces documents en connaissance de cause.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hold Ordinary Shares outside of France or maintain a foreign bank account, you are required to report</w:t>
      </w:r>
      <w:r>
        <w:rPr>
          <w:rFonts w:ascii="Arial" w:cs="Arial" w:eastAsia="Arial" w:hAnsi="Arial"/>
          <w:sz w:val="20"/>
          <w:szCs w:val="20"/>
          <w:b w:val="1"/>
          <w:bCs w:val="1"/>
          <w:color w:val="auto"/>
        </w:rPr>
        <w:t xml:space="preserve"> </w:t>
      </w:r>
      <w:r>
        <w:rPr>
          <w:rFonts w:ascii="Arial" w:cs="Arial" w:eastAsia="Arial" w:hAnsi="Arial"/>
          <w:sz w:val="20"/>
          <w:szCs w:val="20"/>
          <w:color w:val="auto"/>
        </w:rPr>
        <w:t>such to the French tax authorities when filing your annual tax return.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GERMANY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Cross-border payments in excess of €12,500 must be reported monthly to the German Federal Bank. If you</w:t>
      </w:r>
      <w:r>
        <w:rPr>
          <w:rFonts w:ascii="Arial" w:cs="Arial" w:eastAsia="Arial" w:hAnsi="Arial"/>
          <w:sz w:val="20"/>
          <w:szCs w:val="20"/>
          <w:b w:val="1"/>
          <w:bCs w:val="1"/>
          <w:color w:val="auto"/>
        </w:rPr>
        <w:t xml:space="preserve"> </w:t>
      </w:r>
      <w:r>
        <w:rPr>
          <w:rFonts w:ascii="Arial" w:cs="Arial" w:eastAsia="Arial" w:hAnsi="Arial"/>
          <w:sz w:val="20"/>
          <w:szCs w:val="20"/>
          <w:color w:val="auto"/>
        </w:rPr>
        <w:t>make or receive a payment in excess of this amount, you are responsible for obtaining the appropriate form from a German bank and complying with applicable reporting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replaces Section 15 of the Option Agreement:</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auto"/>
        </w:rPr>
        <w:t>You acknowledge, understand and agree that, in signing or electronically accepting the Grant Notice and/or this Option Agreement, you consent to the Company and any Affiliate sharing and exchanging your information held in order to administer and operate the Plan (including personal details, data relating to participation, salary, taxation and employment and sensitive personal data, e.g,. data relating to physical or mental health, criminal conviction or the alleged commission of offences) (the “Information”) and you further consent to the Company and any Affiliate providing the Company’s or Affiliates’ agents and/or third parties with the Information for the administration and operation of the Plan. You accept that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8" w:name="page249"/>
    <w:bookmarkEnd w:id="248"/>
    <w:p>
      <w:pPr>
        <w:jc w:val="both"/>
        <w:spacing w:after="0" w:line="260" w:lineRule="auto"/>
        <w:rPr>
          <w:sz w:val="20"/>
          <w:szCs w:val="20"/>
          <w:color w:val="auto"/>
        </w:rPr>
      </w:pPr>
      <w:r>
        <w:rPr>
          <w:rFonts w:ascii="Arial" w:cs="Arial" w:eastAsia="Arial" w:hAnsi="Arial"/>
          <w:sz w:val="19"/>
          <w:szCs w:val="19"/>
          <w:b w:val="1"/>
          <w:bCs w:val="1"/>
          <w:i w:val="1"/>
          <w:iCs w:val="1"/>
          <w:color w:val="auto"/>
        </w:rPr>
        <w:t>this may involve the Information being sent to a country outside the European Economic Area which may not have the same level of data protection laws as Ireland. You acknowledge that you have the right to request a list of the names and addresses of any potential recipients of the Information and to review and correct the Information by contacting the local human resources representative. You further acknowledge that the collection, processing and transfer of the Information is important to Plan administration and that failure to consent to same may prohibit participation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ITALY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Method of Payment. </w:t>
      </w:r>
      <w:r>
        <w:rPr>
          <w:rFonts w:ascii="Arial" w:cs="Arial" w:eastAsia="Arial" w:hAnsi="Arial"/>
          <w:sz w:val="18"/>
          <w:szCs w:val="18"/>
          <w:color w:val="auto"/>
        </w:rPr>
        <w:t>Notwithstanding anything to the contrary in Section 3 of the Option Agreement, due to securities restrictions in Italy,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required to use a “cashless sell-all” method of exercise pursuant to which you deliver irrevocable instructions to the broker to sell all Ordinary Shares to which you are entitled at exercise and remit the proceeds from sale, less any Tax-Related Items and brokerage fees or commissions, to you in cash. You will not be permitted to hold any Ordinary Shares in connection following the exercise of the option. The Company reserves the right to provide you with additional methods of exercising the option depending upon development of local laws.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Notification. </w:t>
      </w:r>
      <w:r>
        <w:rPr>
          <w:rFonts w:ascii="Arial" w:cs="Arial" w:eastAsia="Arial" w:hAnsi="Arial"/>
          <w:sz w:val="20"/>
          <w:szCs w:val="20"/>
          <w:color w:val="auto"/>
        </w:rPr>
        <w:t>The following provision replaces the “Data Privacy” section of the Option Agreement:</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You understand that the Company, the Employer and any Affiliate may hold certain personal information about you, including, but not limited to, your name, home address and telephone number, date of birth, social insurance (to the extent permitted under Italian law) or other identification number, salary, nationality, job title, Ordinary Shares or directorships held in the Company or any Affiliate, details of all options granted, or any other entitlement to Ordinary Shares awarded, canceled, exercised, vested,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i w:val="1"/>
          <w:iCs w:val="1"/>
          <w:color w:val="auto"/>
        </w:rPr>
        <w:t>unvested or outstanding in your favor (“Data”), for the exclusive purpose of implementing, managing and administering the Plan.</w:t>
      </w:r>
    </w:p>
    <w:p>
      <w:pPr>
        <w:spacing w:after="0" w:line="239" w:lineRule="exact"/>
        <w:rPr>
          <w:sz w:val="20"/>
          <w:szCs w:val="20"/>
          <w:color w:val="auto"/>
        </w:rPr>
      </w:pPr>
    </w:p>
    <w:p>
      <w:pPr>
        <w:jc w:val="both"/>
        <w:spacing w:after="0" w:line="234" w:lineRule="exact"/>
        <w:rPr>
          <w:sz w:val="20"/>
          <w:szCs w:val="20"/>
          <w:color w:val="auto"/>
        </w:rPr>
      </w:pPr>
      <w:r>
        <w:rPr>
          <w:rFonts w:ascii="Arial" w:cs="Arial" w:eastAsia="Arial" w:hAnsi="Arial"/>
          <w:sz w:val="16"/>
          <w:szCs w:val="16"/>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Jazz Pharmaceuticals plc, with registered offices at Fourth Floor, Connaught House, 1 Burlington Road, Dublin 4, Ireland, and, pursuant to Legislative Decree no. 196/2003, its Representative in France for privacy purposes is EUSA Pharma SAS, Les Jardins d'Eole, 3 allér de Séquoias, 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69760, Limonest, France. 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Employer, the Company and/or any Affiliate will transfer Data among themselves as necessary for the purpose of implementing, administering and managing your participation in the Plan, and that the Company and/or any Affiliate may each further transfer Data to third parties assisting the Company in the implementation, administration, and management of the Plan, including any requisite transfer of Data to a broker or other third party with whom you may elect to deposit any Ordinary Shares acquired under the Plan. Such recipients may receive, possess, use, retain, and transfer Data in electronic or other form, for the purposes of implementing, administering, and managing your participation in the Plan. You understand that these recipients may be located in the European Economic Area or elsewhere, such as the United States.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38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Acknowledgement. </w:t>
      </w:r>
      <w:r>
        <w:rPr>
          <w:rFonts w:ascii="Arial" w:cs="Arial" w:eastAsia="Arial" w:hAnsi="Arial"/>
          <w:sz w:val="19"/>
          <w:szCs w:val="19"/>
          <w:color w:val="auto"/>
        </w:rPr>
        <w:t>You acknowledge that you have read and specifically and expressly approve the following sections of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Section 12 - Tax Withholding Obligations; Section 13 - Nature of Grant; Section 16 - Governing Law and Venue; Section 17 - Language; Section 18 - Severability; Section 20 - Notices; Electronic Delivery; and Section 23 - Imposition of Other Requirements. In addition, you acknowledge that you have read and specifically and expressly approve the Data Privacy Notification above.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50" w:name="page251"/>
    <w:bookmarkEnd w:id="250"/>
    <w:p>
      <w:pPr>
        <w:jc w:val="both"/>
        <w:spacing w:after="0" w:line="244"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You are required to report the following on your annual tax return (Form UNICO, Schedule RW) or on a</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form if no tax return is required: (1) any transfers of cash or Ordinary Shares to or from Italy exceeding €10,000, (2) any foreign investments or investments held outside of Italy at the end of the calendar year exceeding €10,000 if such investments (options, cash or Ordinary Shares) may result in income taxable in Italy, and (3) the amount of the transfers to and from abroad which have had an impact during the calendar year on your foreign investments or investments held outside of Italy, to the extent that the overall amount of the transfers exceed €10,000. Under certain circumstances, you may be exempt from the requirement under (1) above if the transfer or investment is made through an authorized broker resident in Italy.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NETHERLANDS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Insider Trading Notification. </w:t>
      </w:r>
      <w:r>
        <w:rPr>
          <w:rFonts w:ascii="Arial" w:cs="Arial" w:eastAsia="Arial" w:hAnsi="Arial"/>
          <w:sz w:val="18"/>
          <w:szCs w:val="18"/>
          <w:color w:val="auto"/>
        </w:rPr>
        <w:t>You should be aware of Dutch insider trading rules, which may impact the sale of Ordinary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In particular, you may be prohibited from effecting certain transactions if you have insider information regarding the Company.</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grant of the option and participating in the Plan, you acknowledge having read and understood this Insider Trading Notification and further acknowledge that it is your responsibility to comply with the following Dutch insider trading rules.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Article 5:56 of the Dutch Financial Supervision Act, anyone who has “insider information” related to an issuing company is prohibited from effectuating a transaction in securities in or from the Netherlands. “Insider information” is defined as knowledge of details concerning the issuing company to which the securities relate that is not public and which, if published, would reasonably be expected to affect the stock price, regardless of the development of the price. The insider could be any person in Continuous Service in the Netherlands who has insider information as described herein.</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Given the broad scope of the definition of insider information, certain persons in Continuous Services in the Netherlands may have insider information and, thus, would be prohibited from effectuating a transaction in securities in the Netherlands at a time when in possession of such inside information. If you are uncertain whether the insider trading rules apply to you, you should consult with your personal legal advisor.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You are required to file quarterly reports to the National Bank of Poland with information on transactions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balances regarding your rights to Ordinary Shares (such as options) and Ordinary Shares if the total value (calculated individually or together with other assets and liabilities possessed abroad) exceeds PLN 7 million. You also are required to transfer funds through a bank account in Poland if the transferred amount in any single transaction exceeds a specified threshold (currently €15,000). You are required to retain documents connected with foreign exchange transactions for a period of five years from the date the exchange transaction was made.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PORTUGAL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NOTIFICATIONS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57" w:right="239" w:bottom="1440" w:gutter="0" w:footer="0" w:header="0"/>
        </w:sectPr>
      </w:pPr>
    </w:p>
    <w:bookmarkStart w:id="251" w:name="page252"/>
    <w:bookmarkEnd w:id="251"/>
    <w:p>
      <w:pPr>
        <w:jc w:val="both"/>
        <w:spacing w:after="0" w:line="253" w:lineRule="auto"/>
        <w:rPr>
          <w:sz w:val="20"/>
          <w:szCs w:val="20"/>
          <w:color w:val="auto"/>
        </w:rPr>
      </w:pPr>
      <w:r>
        <w:rPr>
          <w:rFonts w:ascii="Arial" w:cs="Arial" w:eastAsia="Arial" w:hAnsi="Arial"/>
          <w:sz w:val="20"/>
          <w:szCs w:val="20"/>
          <w:b w:val="1"/>
          <w:bCs w:val="1"/>
          <w:color w:val="auto"/>
        </w:rPr>
        <w:t xml:space="preserve">Exchange Control Notification. </w:t>
      </w:r>
      <w:r>
        <w:rPr>
          <w:rFonts w:ascii="Arial" w:cs="Arial" w:eastAsia="Arial" w:hAnsi="Arial"/>
          <w:sz w:val="20"/>
          <w:szCs w:val="20"/>
          <w:color w:val="auto"/>
        </w:rPr>
        <w:t>If you acquire Ordinary Shares under the Plan and hold the Ordinary Shares with a U.S. broker that is not a</w:t>
      </w:r>
      <w:r>
        <w:rPr>
          <w:rFonts w:ascii="Arial" w:cs="Arial" w:eastAsia="Arial" w:hAnsi="Arial"/>
          <w:sz w:val="20"/>
          <w:szCs w:val="20"/>
          <w:b w:val="1"/>
          <w:bCs w:val="1"/>
          <w:color w:val="auto"/>
        </w:rPr>
        <w:t xml:space="preserve"> </w:t>
      </w:r>
      <w:r>
        <w:rPr>
          <w:rFonts w:ascii="Arial" w:cs="Arial" w:eastAsia="Arial" w:hAnsi="Arial"/>
          <w:sz w:val="20"/>
          <w:szCs w:val="20"/>
          <w:color w:val="auto"/>
        </w:rPr>
        <w:t>Portuguese financial intermediary, you may need to file a report with the Portuguese Central Bank. If the Ordinary Shares are held by a Portuguese financial intermediary, it will file the report for you.</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Withholding Obligations. </w:t>
      </w:r>
      <w:r>
        <w:rPr>
          <w:rFonts w:ascii="Arial" w:cs="Arial" w:eastAsia="Arial" w:hAnsi="Arial"/>
          <w:sz w:val="20"/>
          <w:szCs w:val="20"/>
          <w:color w:val="auto"/>
        </w:rPr>
        <w:t>This provision supplements Section 12 of the Option Agreement:</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payment or withholding of the income tax due is not made within 90 days of the event giving rise to the liability or such other period specified in Section 222(1)(c) of the U.K. Income Tax (Earnings and Pensions) Act 2003 (the “Due Date”), the amount of any uncollected tax will constitute a loan owed by you to the Employer, effective on the Due Date. You agree that the loan will bear interest at the then-current Her Majesty's Revenue and Customs (“HMRC”) Official Rate, it will be immediately due and repayable, and the Company or the Employer may recover it at any time thereafter by any of the means referred to in Section 12 of the Option Agreement. Notwithstanding the foregoing, if you are a director or executive officer of the Company (within the meaning of Section 13(k) of the Exchange Act), you will not be eligible for such a loan to cover the tax liability. In the event that you are a director or executive officer and the income tax due is not collected from or paid by you by the Due Date, the amount of any uncollected income tax will constitute a benefit to you on which additional income tax and national insurance contributions (“NICs”) will be payable. You will be responsible for reporting and paying any income tax due on this additional benefit directly to HMRC under the self-assessment regime and for reimbursing the Employer for the value of any NICs due on this additional benefit.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Joint Election for Transfer of Liability for Employer National Insurance Contributions. </w:t>
      </w:r>
      <w:r>
        <w:rPr>
          <w:rFonts w:ascii="Arial" w:cs="Arial" w:eastAsia="Arial" w:hAnsi="Arial"/>
          <w:sz w:val="18"/>
          <w:szCs w:val="18"/>
          <w:color w:val="auto"/>
        </w:rPr>
        <w:t>As a condition of participation in the Plan,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accept any liability for secondary Class 1 NICs that may be payable by the Company, the Employer or any Affiliate in connection with the option and any event giving rise to Tax-Related Items (the “Employer NICs”). Without prejudice to the foregoing, you agree to execute a joint election with the Company, the form of such joint election (the “Joint Election”) having been approved formally by HMRC, and any other required consent or election prior to exercise of the option. You further agree to execute such other joint elections as may be required between you and any successor to the Company, the Employer or any Affiliate. You further agree that the Company, the Employer and any Affiliate may collect the Employer NICs from you by any of the means set forth in Section 12 of the Option Agreement.</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you do not enter into a Joint Election prior to the exercise of the option, you will not be entitled to exercise the option unless and until you enter into a Joint Election, and no Ordinary Shares will be issued to you under the Plan, without any liability to the Company, the Employer or any Affiliate.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57"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20"/>
          <w:szCs w:val="20"/>
          <w:b w:val="1"/>
          <w:bCs w:val="1"/>
          <w:color w:val="auto"/>
        </w:rPr>
        <w:t>JAZZ PHARMACEUTICALS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jc w:val="center"/>
        <w:spacing w:after="0"/>
        <w:rPr>
          <w:sz w:val="20"/>
          <w:szCs w:val="20"/>
          <w:color w:val="auto"/>
        </w:rPr>
      </w:pPr>
      <w:r>
        <w:rPr>
          <w:rFonts w:ascii="Arial" w:cs="Arial" w:eastAsia="Arial" w:hAnsi="Arial"/>
          <w:sz w:val="20"/>
          <w:szCs w:val="20"/>
          <w:b w:val="1"/>
          <w:bCs w:val="1"/>
          <w:color w:val="auto"/>
        </w:rPr>
        <w:t>2007 NON-EMPLOYEE DIRECTORS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ELECTION TO TRANSFER THE EMPLOYER’S SECONDARY CLASS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NATIONAL INSURANCE LIABILITY TO THE EMPLOYEE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This Election is between:</w:t>
      </w:r>
    </w:p>
    <w:p>
      <w:pPr>
        <w:spacing w:after="0" w:line="223" w:lineRule="exact"/>
        <w:rPr>
          <w:sz w:val="20"/>
          <w:szCs w:val="20"/>
          <w:color w:val="auto"/>
        </w:rPr>
      </w:pPr>
    </w:p>
    <w:p>
      <w:pPr>
        <w:jc w:val="both"/>
        <w:ind w:left="660" w:hanging="652"/>
        <w:spacing w:after="0" w:line="253"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individual who has received this Election (the “</w:t>
      </w:r>
      <w:r>
        <w:rPr>
          <w:rFonts w:ascii="Arial" w:cs="Arial" w:eastAsia="Arial" w:hAnsi="Arial"/>
          <w:sz w:val="20"/>
          <w:szCs w:val="20"/>
          <w:b w:val="1"/>
          <w:bCs w:val="1"/>
          <w:color w:val="auto"/>
        </w:rPr>
        <w:t>Employee</w:t>
      </w:r>
      <w:r>
        <w:rPr>
          <w:rFonts w:ascii="Arial" w:cs="Arial" w:eastAsia="Arial" w:hAnsi="Arial"/>
          <w:sz w:val="20"/>
          <w:szCs w:val="20"/>
          <w:color w:val="auto"/>
        </w:rPr>
        <w:t>”), who is employed by one of the employing companies listed in the attached schedule (the “</w:t>
      </w:r>
      <w:r>
        <w:rPr>
          <w:rFonts w:ascii="Arial" w:cs="Arial" w:eastAsia="Arial" w:hAnsi="Arial"/>
          <w:sz w:val="20"/>
          <w:szCs w:val="20"/>
          <w:b w:val="1"/>
          <w:bCs w:val="1"/>
          <w:color w:val="auto"/>
        </w:rPr>
        <w:t>Employer</w:t>
      </w:r>
      <w:r>
        <w:rPr>
          <w:rFonts w:ascii="Arial" w:cs="Arial" w:eastAsia="Arial" w:hAnsi="Arial"/>
          <w:sz w:val="20"/>
          <w:szCs w:val="20"/>
          <w:color w:val="auto"/>
        </w:rPr>
        <w:t>”) and who is eligible to receive stock options (the “</w:t>
      </w:r>
      <w:r>
        <w:rPr>
          <w:rFonts w:ascii="Arial" w:cs="Arial" w:eastAsia="Arial" w:hAnsi="Arial"/>
          <w:sz w:val="20"/>
          <w:szCs w:val="20"/>
          <w:b w:val="1"/>
          <w:bCs w:val="1"/>
          <w:color w:val="auto"/>
        </w:rPr>
        <w:t>Awards</w:t>
      </w:r>
      <w:r>
        <w:rPr>
          <w:rFonts w:ascii="Arial" w:cs="Arial" w:eastAsia="Arial" w:hAnsi="Arial"/>
          <w:sz w:val="20"/>
          <w:szCs w:val="20"/>
          <w:color w:val="auto"/>
        </w:rPr>
        <w:t>”) pursuant to the Jazz Pharmaceuticals plc Amended and Restated 2007 Non-Employee Directors Stock Option Plan (the “</w:t>
      </w:r>
      <w:r>
        <w:rPr>
          <w:rFonts w:ascii="Arial" w:cs="Arial" w:eastAsia="Arial" w:hAnsi="Arial"/>
          <w:sz w:val="20"/>
          <w:szCs w:val="20"/>
          <w:b w:val="1"/>
          <w:bCs w:val="1"/>
          <w:color w:val="auto"/>
        </w:rPr>
        <w:t>Plan</w:t>
      </w:r>
      <w:r>
        <w:rPr>
          <w:rFonts w:ascii="Arial" w:cs="Arial" w:eastAsia="Arial" w:hAnsi="Arial"/>
          <w:sz w:val="20"/>
          <w:szCs w:val="20"/>
          <w:color w:val="auto"/>
        </w:rPr>
        <w:t>”), and</w:t>
      </w:r>
    </w:p>
    <w:p>
      <w:pPr>
        <w:spacing w:after="0" w:line="191" w:lineRule="exact"/>
        <w:rPr>
          <w:rFonts w:ascii="Arial" w:cs="Arial" w:eastAsia="Arial" w:hAnsi="Arial"/>
          <w:sz w:val="20"/>
          <w:szCs w:val="20"/>
          <w:color w:val="auto"/>
        </w:rPr>
      </w:pPr>
    </w:p>
    <w:p>
      <w:pPr>
        <w:ind w:left="660" w:hanging="652"/>
        <w:spacing w:after="0" w:line="267"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Jazz Pharmaceuticals plc, Fourth Floor, Connaught House, 1 Burlington Road, Dublin 4, Ireland (the “</w:t>
      </w:r>
      <w:r>
        <w:rPr>
          <w:rFonts w:ascii="Arial" w:cs="Arial" w:eastAsia="Arial" w:hAnsi="Arial"/>
          <w:sz w:val="20"/>
          <w:szCs w:val="20"/>
          <w:b w:val="1"/>
          <w:bCs w:val="1"/>
          <w:color w:val="auto"/>
        </w:rPr>
        <w:t>Company</w:t>
      </w:r>
      <w:r>
        <w:rPr>
          <w:rFonts w:ascii="Arial" w:cs="Arial" w:eastAsia="Arial" w:hAnsi="Arial"/>
          <w:sz w:val="20"/>
          <w:szCs w:val="20"/>
          <w:color w:val="auto"/>
        </w:rPr>
        <w:t>”), which may grant Awards under the Plan and is entering into this Election on behalf of the Employer.</w:t>
      </w:r>
    </w:p>
    <w:p>
      <w:pPr>
        <w:spacing w:after="0" w:line="393"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color w:val="auto"/>
        </w:rPr>
        <w:t>This Election relates to all Awards granted to the Employee under the Plan on or after January 18, 2012 up to the termination date of the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In this Election the following words and phrases have the following meanings:</w:t>
      </w:r>
    </w:p>
    <w:p>
      <w:pPr>
        <w:spacing w:after="0" w:line="200" w:lineRule="exact"/>
        <w:rPr>
          <w:sz w:val="20"/>
          <w:szCs w:val="20"/>
          <w:color w:val="auto"/>
        </w:rPr>
      </w:pPr>
    </w:p>
    <w:p>
      <w:pPr>
        <w:spacing w:after="0" w:line="239"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Chargeable Event</w:t>
      </w:r>
      <w:r>
        <w:rPr>
          <w:rFonts w:ascii="Arial" w:cs="Arial" w:eastAsia="Arial" w:hAnsi="Arial"/>
          <w:sz w:val="20"/>
          <w:szCs w:val="20"/>
          <w:color w:val="auto"/>
        </w:rPr>
        <w:t>” means, in relation to the Awards:</w:t>
      </w:r>
    </w:p>
    <w:p>
      <w:pPr>
        <w:spacing w:after="0" w:line="200" w:lineRule="exact"/>
        <w:rPr>
          <w:rFonts w:ascii="Arial" w:cs="Arial" w:eastAsia="Arial" w:hAnsi="Arial"/>
          <w:sz w:val="20"/>
          <w:szCs w:val="20"/>
          <w:color w:val="auto"/>
        </w:rPr>
      </w:pPr>
    </w:p>
    <w:p>
      <w:pPr>
        <w:spacing w:after="0" w:line="251" w:lineRule="exact"/>
        <w:rPr>
          <w:rFonts w:ascii="Arial" w:cs="Arial" w:eastAsia="Arial" w:hAnsi="Arial"/>
          <w:sz w:val="20"/>
          <w:szCs w:val="20"/>
          <w:color w:val="auto"/>
        </w:rPr>
      </w:pPr>
    </w:p>
    <w:p>
      <w:pPr>
        <w:ind w:left="1960" w:hanging="655"/>
        <w:spacing w:after="0"/>
        <w:tabs>
          <w:tab w:leader="none" w:pos="196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the acquisition of securities pursuant to the Awards (within section 477(3)(a) of ITEPA);</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960" w:hanging="655"/>
        <w:spacing w:after="0"/>
        <w:tabs>
          <w:tab w:leader="none" w:pos="19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assignment (if applicable) or release of the Awards in return for consideration (within section 477(3)(b) of ITEPA);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960" w:hanging="655"/>
        <w:spacing w:after="0" w:line="260" w:lineRule="auto"/>
        <w:tabs>
          <w:tab w:leader="none" w:pos="196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the receipt of a benefit in connection with the Awards, other than a benefit within (i) or (ii) above (within section 477(3)(c) of ITEPA);</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post-acquisition charges relating to the ordinary shares of the Company acquired pursuant to the Awards (within section 427 of ITEPA); and/or</w:t>
      </w: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post-acquisition charges relating to the ordinary shares of the Company acquired pursuant to the Awards (within section 439 of ITEPA).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57" w:right="239" w:bottom="1440" w:gutter="0" w:footer="0" w:header="0"/>
        </w:sectPr>
      </w:pPr>
    </w:p>
    <w:bookmarkStart w:id="253" w:name="page254"/>
    <w:bookmarkEnd w:id="253"/>
    <w:p>
      <w:pPr>
        <w:ind w:left="1300" w:hanging="644"/>
        <w:spacing w:after="0"/>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ITEPA</w:t>
      </w:r>
      <w:r>
        <w:rPr>
          <w:rFonts w:ascii="Arial" w:cs="Arial" w:eastAsia="Arial" w:hAnsi="Arial"/>
          <w:sz w:val="20"/>
          <w:szCs w:val="20"/>
          <w:color w:val="auto"/>
        </w:rPr>
        <w:t>” means the Income Tax (Earnings and Pensions) Act 2003.</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300" w:hanging="644"/>
        <w:spacing w:after="0"/>
        <w:tabs>
          <w:tab w:leader="none" w:pos="130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SSCBA</w:t>
      </w:r>
      <w:r>
        <w:rPr>
          <w:rFonts w:ascii="Arial" w:cs="Arial" w:eastAsia="Arial" w:hAnsi="Arial"/>
          <w:sz w:val="20"/>
          <w:szCs w:val="20"/>
          <w:color w:val="auto"/>
        </w:rPr>
        <w:t>” means the Social Security Contributions and Benefits Act 1992.</w:t>
      </w:r>
    </w:p>
    <w:p>
      <w:pPr>
        <w:spacing w:after="0" w:line="200" w:lineRule="exact"/>
        <w:rPr>
          <w:sz w:val="20"/>
          <w:szCs w:val="20"/>
          <w:color w:val="auto"/>
        </w:rPr>
      </w:pPr>
    </w:p>
    <w:p>
      <w:pPr>
        <w:spacing w:after="0" w:line="24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This Election relates to the Employer’s secondary Class 1 National Insurance Contributions (the “</w:t>
      </w:r>
      <w:r>
        <w:rPr>
          <w:rFonts w:ascii="Arial" w:cs="Arial" w:eastAsia="Arial" w:hAnsi="Arial"/>
          <w:sz w:val="20"/>
          <w:szCs w:val="20"/>
          <w:b w:val="1"/>
          <w:bCs w:val="1"/>
          <w:color w:val="auto"/>
        </w:rPr>
        <w:t>Employer’s Liability</w:t>
      </w:r>
      <w:r>
        <w:rPr>
          <w:rFonts w:ascii="Arial" w:cs="Arial" w:eastAsia="Arial" w:hAnsi="Arial"/>
          <w:sz w:val="20"/>
          <w:szCs w:val="20"/>
          <w:color w:val="auto"/>
        </w:rPr>
        <w:t>”) which may arise on the occurrence of a Chargeable Event in respect of the Awards pursuant to section 4(4)(a) and/or paragraph 3B(1A) of Schedule 1 of the SSCBA.</w:t>
      </w:r>
    </w:p>
    <w:p>
      <w:pPr>
        <w:spacing w:after="0" w:line="200" w:lineRule="exact"/>
        <w:rPr>
          <w:sz w:val="20"/>
          <w:szCs w:val="20"/>
          <w:color w:val="auto"/>
        </w:rPr>
      </w:pPr>
    </w:p>
    <w:p>
      <w:pPr>
        <w:spacing w:after="0" w:line="21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1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9"/>
          <w:szCs w:val="19"/>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376"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20"/>
          <w:szCs w:val="20"/>
          <w:b w:val="1"/>
          <w:bCs w:val="1"/>
          <w:color w:val="auto"/>
        </w:rPr>
      </w:pPr>
      <w:r>
        <w:rPr>
          <w:rFonts w:ascii="Arial" w:cs="Arial" w:eastAsia="Arial" w:hAnsi="Arial"/>
          <w:sz w:val="20"/>
          <w:szCs w:val="20"/>
          <w:b w:val="1"/>
          <w:bCs w:val="1"/>
          <w:color w:val="auto"/>
        </w:rPr>
        <w:t>The Election</w:t>
      </w:r>
    </w:p>
    <w:p>
      <w:pPr>
        <w:spacing w:after="0" w:line="235" w:lineRule="exact"/>
        <w:rPr>
          <w:rFonts w:ascii="Arial" w:cs="Arial" w:eastAsia="Arial" w:hAnsi="Arial"/>
          <w:sz w:val="20"/>
          <w:szCs w:val="20"/>
          <w:b w:val="1"/>
          <w:bCs w:val="1"/>
          <w:color w:val="auto"/>
        </w:rPr>
      </w:pPr>
    </w:p>
    <w:p>
      <w:pPr>
        <w:jc w:val="both"/>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Employee and the Company jointly elect that the entire liability of the Employer to pay the Employer’s Liability on the Chargeable Event is hereby transferred to the Employee. The Employee understands that, by signing the award grant notice, he or she will become personally liable for the Employer’s Liability covered by this Election. This Election is made in accordance with paragraph 3B(1) of Schedule 1 of the SSCBA.</w:t>
      </w:r>
    </w:p>
    <w:p>
      <w:pPr>
        <w:spacing w:after="0" w:line="200" w:lineRule="exact"/>
        <w:rPr>
          <w:rFonts w:ascii="Arial" w:cs="Arial" w:eastAsia="Arial" w:hAnsi="Arial"/>
          <w:sz w:val="20"/>
          <w:szCs w:val="20"/>
          <w:b w:val="1"/>
          <w:bCs w:val="1"/>
          <w:color w:val="auto"/>
        </w:rPr>
      </w:pPr>
    </w:p>
    <w:p>
      <w:pPr>
        <w:spacing w:after="0" w:line="215" w:lineRule="exact"/>
        <w:rPr>
          <w:rFonts w:ascii="Arial" w:cs="Arial" w:eastAsia="Arial" w:hAnsi="Arial"/>
          <w:sz w:val="20"/>
          <w:szCs w:val="20"/>
          <w:b w:val="1"/>
          <w:bCs w:val="1"/>
          <w:color w:val="auto"/>
        </w:rPr>
      </w:pPr>
    </w:p>
    <w:p>
      <w:pPr>
        <w:ind w:left="660" w:hanging="652"/>
        <w:spacing w:after="0"/>
        <w:tabs>
          <w:tab w:leader="none" w:pos="660" w:val="left"/>
        </w:tabs>
        <w:numPr>
          <w:ilvl w:val="0"/>
          <w:numId w:val="183"/>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the Employer’s Liability</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The Employee hereby authorises the Company and/or the Employer to collect the Employer’s Liability from the Employee at any time after the Chargeable Event:</w:t>
      </w:r>
    </w:p>
    <w:p>
      <w:pPr>
        <w:spacing w:after="0" w:line="190" w:lineRule="exact"/>
        <w:rPr>
          <w:sz w:val="20"/>
          <w:szCs w:val="20"/>
          <w:color w:val="auto"/>
        </w:rPr>
      </w:pPr>
    </w:p>
    <w:p>
      <w:pPr>
        <w:ind w:left="1300" w:right="20" w:hanging="644"/>
        <w:spacing w:after="0" w:line="260" w:lineRule="auto"/>
        <w:tabs>
          <w:tab w:leader="none" w:pos="13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by deduction from salary or any other payment payable to the Employee at any time on or after the date of the Chargeable Event; and/or</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directly from the Employee by payment in cash or cleared funds; and/or</w:t>
      </w:r>
    </w:p>
    <w:p>
      <w:pPr>
        <w:spacing w:after="0" w:line="229"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Arial" w:cs="Arial" w:eastAsia="Arial" w:hAnsi="Arial"/>
          <w:sz w:val="20"/>
          <w:szCs w:val="20"/>
          <w:b w:val="1"/>
          <w:bCs w:val="1"/>
          <w:color w:val="auto"/>
        </w:rPr>
        <w:t>HMRC</w:t>
      </w:r>
      <w:r>
        <w:rPr>
          <w:rFonts w:ascii="Arial" w:cs="Arial" w:eastAsia="Arial" w:hAnsi="Arial"/>
          <w:sz w:val="20"/>
          <w:szCs w:val="20"/>
          <w:color w:val="auto"/>
        </w:rPr>
        <w:t>”) by the due date; and/or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1103" w:right="239" w:bottom="1440" w:gutter="0" w:footer="0" w:header="0"/>
        </w:sectPr>
      </w:pPr>
    </w:p>
    <w:bookmarkStart w:id="254" w:name="page255"/>
    <w:bookmarkEnd w:id="254"/>
    <w:p>
      <w:pPr>
        <w:jc w:val="both"/>
        <w:ind w:left="1300" w:hanging="644"/>
        <w:spacing w:after="0" w:line="246" w:lineRule="auto"/>
        <w:tabs>
          <w:tab w:leader="none" w:pos="130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where the proceeds of the gain are to be made through a third party, the Employee will authorize that party to withhold an amount from the payment or to sell some of the securities which the Employee is entitled to receive in respect of the Award, such amount to be paid in sufficient time to enable the Company and/or the Employer to make payment to HMRC by the due date; and/or</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by any other means specified in the applicable Award agreement entered into between the Employee and the Company.</w:t>
      </w:r>
    </w:p>
    <w:p>
      <w:pPr>
        <w:spacing w:after="0" w:line="200" w:lineRule="exact"/>
        <w:rPr>
          <w:sz w:val="20"/>
          <w:szCs w:val="20"/>
          <w:color w:val="auto"/>
        </w:rPr>
      </w:pPr>
    </w:p>
    <w:p>
      <w:pPr>
        <w:spacing w:after="0" w:line="257"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Company hereby reserves for itself and the Employer the right to withhold the transfer of any securities to the Employee in respect of the Awards until full payment of the Employer’s Liability is received.</w:t>
      </w:r>
    </w:p>
    <w:p>
      <w:pPr>
        <w:spacing w:after="0" w:line="200" w:lineRule="exact"/>
        <w:rPr>
          <w:sz w:val="20"/>
          <w:szCs w:val="20"/>
          <w:color w:val="auto"/>
        </w:rPr>
      </w:pPr>
    </w:p>
    <w:p>
      <w:pPr>
        <w:spacing w:after="0" w:line="207" w:lineRule="exact"/>
        <w:rPr>
          <w:sz w:val="20"/>
          <w:szCs w:val="20"/>
          <w:color w:val="auto"/>
        </w:rPr>
      </w:pPr>
    </w:p>
    <w:p>
      <w:pPr>
        <w:ind w:left="660" w:hanging="647"/>
        <w:spacing w:after="0" w:line="287"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The Company or the Employer agrees to remit the Employer’s Liability to HMRC on behalf of the Employee within 14 days after the end of the UK tax month during which the Chargeable Event occurs (or within 17 days if payments are made electronically).</w:t>
      </w:r>
    </w:p>
    <w:p>
      <w:pPr>
        <w:spacing w:after="0" w:line="376"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Duration of Election</w:t>
      </w:r>
    </w:p>
    <w:p>
      <w:pPr>
        <w:spacing w:after="0" w:line="200" w:lineRule="exact"/>
        <w:rPr>
          <w:sz w:val="20"/>
          <w:szCs w:val="20"/>
          <w:color w:val="auto"/>
        </w:rPr>
      </w:pPr>
    </w:p>
    <w:p>
      <w:pPr>
        <w:spacing w:after="0" w:line="251" w:lineRule="exact"/>
        <w:rPr>
          <w:sz w:val="20"/>
          <w:szCs w:val="20"/>
          <w:color w:val="auto"/>
        </w:rPr>
      </w:pPr>
    </w:p>
    <w:p>
      <w:pPr>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200" w:lineRule="exact"/>
        <w:rPr>
          <w:sz w:val="20"/>
          <w:szCs w:val="20"/>
          <w:color w:val="auto"/>
        </w:rPr>
      </w:pP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This Election will continue in effect until the earliest of the following:</w:t>
      </w:r>
    </w:p>
    <w:p>
      <w:pPr>
        <w:spacing w:after="0" w:line="229"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date on which the Employee and the Company agree in writing that it should cease to have effect;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date on which the Company serves written notice on the Employee terminating its effect;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date on which HMRC withdraws approval of this Election; or</w:t>
      </w:r>
    </w:p>
    <w:p>
      <w:pPr>
        <w:spacing w:after="0" w:line="229" w:lineRule="exact"/>
        <w:rPr>
          <w:rFonts w:ascii="Arial" w:cs="Arial" w:eastAsia="Arial" w:hAnsi="Arial"/>
          <w:sz w:val="20"/>
          <w:szCs w:val="20"/>
          <w:color w:val="auto"/>
        </w:rPr>
      </w:pPr>
    </w:p>
    <w:p>
      <w:pPr>
        <w:ind w:left="1300" w:hanging="644"/>
        <w:spacing w:after="0" w:line="260" w:lineRule="auto"/>
        <w:tabs>
          <w:tab w:leader="none" w:pos="130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1420"/>
          </w:cols>
          <w:pgMar w:left="240" w:top="663" w:right="239" w:bottom="1440" w:gutter="0" w:footer="0" w:header="0"/>
        </w:sectPr>
      </w:pPr>
    </w:p>
    <w:bookmarkStart w:id="255" w:name="page256"/>
    <w:bookmarkEnd w:id="255"/>
    <w:p>
      <w:pPr>
        <w:spacing w:after="0"/>
        <w:rPr>
          <w:sz w:val="20"/>
          <w:szCs w:val="20"/>
          <w:color w:val="auto"/>
        </w:rPr>
      </w:pPr>
      <w:r>
        <w:rPr>
          <w:rFonts w:ascii="Arial" w:cs="Arial" w:eastAsia="Arial" w:hAnsi="Arial"/>
          <w:sz w:val="20"/>
          <w:szCs w:val="20"/>
          <w:b w:val="1"/>
          <w:bCs w:val="1"/>
          <w:color w:val="auto"/>
        </w:rPr>
        <w:t>SCHEDULE OF EMPLOYER COMPANIES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are employer companies to which this Election may apply: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each company, provide the following details: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color w:val="auto"/>
        </w:rPr>
        <w:t>EUSA Pharma (Europe) Limited</w:t>
      </w:r>
    </w:p>
    <w:p>
      <w:pPr>
        <w:spacing w:after="0" w:line="348" w:lineRule="exact"/>
        <w:rPr>
          <w:sz w:val="20"/>
          <w:szCs w:val="20"/>
          <w:color w:val="auto"/>
        </w:rPr>
      </w:pPr>
    </w:p>
    <w:tbl>
      <w:tblPr>
        <w:tblLayout w:type="fixed"/>
        <w:tblInd w:w="90" w:type="dxa"/>
        <w:tblCellMar>
          <w:top w:w="0" w:type="dxa"/>
          <w:left w:w="0" w:type="dxa"/>
          <w:bottom w:w="0" w:type="dxa"/>
          <w:right w:w="0" w:type="dxa"/>
        </w:tblCellMar>
      </w:tblPr>
      <w:tr>
        <w:trPr>
          <w:trHeight w:val="253"/>
        </w:trPr>
        <w:tc>
          <w:tcPr>
            <w:tcW w:w="5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Registered Office:</w:t>
            </w:r>
          </w:p>
        </w:tc>
        <w:tc>
          <w:tcPr>
            <w:tcW w:w="54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EUSA Pharma</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Magdalen Centre</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Oxford Science Park</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Oxford, OX4 4GA</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Company Registration Number:</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4555273</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452/76424 00934</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33"/>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Corporation Tax Address:</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HM Revenue &amp; Customs</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CT Operations (Large &amp; Complex Specialist)</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16 North</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Government Buildings</w:t>
            </w:r>
          </w:p>
        </w:tc>
      </w:tr>
      <w:tr>
        <w:trPr>
          <w:trHeight w:val="230"/>
        </w:trPr>
        <w:tc>
          <w:tcPr>
            <w:tcW w:w="5240" w:type="dxa"/>
            <w:vAlign w:val="bottom"/>
            <w:tcBorders>
              <w:left w:val="single" w:sz="8" w:color="auto"/>
              <w:right w:val="single" w:sz="8" w:color="auto"/>
            </w:tcBorders>
          </w:tcPr>
          <w:p>
            <w:pPr>
              <w:spacing w:after="0"/>
              <w:rPr>
                <w:sz w:val="19"/>
                <w:szCs w:val="19"/>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Ty Glas, Llanishen</w:t>
            </w:r>
          </w:p>
        </w:tc>
      </w:tr>
      <w:tr>
        <w:trPr>
          <w:trHeight w:val="250"/>
        </w:trPr>
        <w:tc>
          <w:tcPr>
            <w:tcW w:w="5240" w:type="dxa"/>
            <w:vAlign w:val="bottom"/>
            <w:tcBorders>
              <w:left w:val="single" w:sz="8" w:color="auto"/>
              <w:right w:val="single" w:sz="8" w:color="auto"/>
            </w:tcBorders>
          </w:tcPr>
          <w:p>
            <w:pPr>
              <w:spacing w:after="0"/>
              <w:rPr>
                <w:sz w:val="21"/>
                <w:szCs w:val="21"/>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Cardiff, CF14 5 FP</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r>
        <w:trPr>
          <w:trHeight w:val="254"/>
        </w:trPr>
        <w:tc>
          <w:tcPr>
            <w:tcW w:w="5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PAYE Reference:</w:t>
            </w: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120/WZ72892</w:t>
            </w:r>
          </w:p>
        </w:tc>
      </w:tr>
      <w:tr>
        <w:trPr>
          <w:trHeight w:val="23"/>
        </w:trPr>
        <w:tc>
          <w:tcPr>
            <w:tcW w:w="5240" w:type="dxa"/>
            <w:vAlign w:val="bottom"/>
            <w:tcBorders>
              <w:left w:val="single" w:sz="8" w:color="auto"/>
              <w:bottom w:val="single" w:sz="8" w:color="auto"/>
              <w:right w:val="single" w:sz="8" w:color="auto"/>
            </w:tcBorders>
          </w:tcPr>
          <w:p>
            <w:pPr>
              <w:spacing w:after="0"/>
              <w:rPr>
                <w:sz w:val="2"/>
                <w:szCs w:val="2"/>
                <w:color w:val="auto"/>
              </w:rPr>
            </w:pPr>
          </w:p>
        </w:tc>
        <w:tc>
          <w:tcPr>
            <w:tcW w:w="54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0740"/>
          </w:cols>
          <w:pgMar w:left="240" w:top="657" w:right="919" w:bottom="1440" w:gutter="0" w:footer="0" w:header="0"/>
        </w:sectPr>
      </w:pPr>
    </w:p>
    <w:bookmarkStart w:id="256" w:name="page257"/>
    <w:bookmarkEnd w:id="256"/>
    <w:p>
      <w:pPr>
        <w:jc w:val="center"/>
        <w:ind w:right="-1200"/>
        <w:spacing w:after="0"/>
        <w:rPr>
          <w:sz w:val="20"/>
          <w:szCs w:val="20"/>
          <w:color w:val="auto"/>
        </w:rPr>
      </w:pPr>
      <w:r>
        <w:rPr>
          <w:rFonts w:ascii="Arial" w:cs="Arial" w:eastAsia="Arial" w:hAnsi="Arial"/>
          <w:sz w:val="20"/>
          <w:szCs w:val="20"/>
          <w:b w:val="1"/>
          <w:bCs w:val="1"/>
          <w:color w:val="auto"/>
        </w:rPr>
        <w:t>ATTACHMENT II</w:t>
      </w:r>
    </w:p>
    <w:p>
      <w:pPr>
        <w:spacing w:after="0" w:line="216" w:lineRule="exact"/>
        <w:rPr>
          <w:sz w:val="20"/>
          <w:szCs w:val="20"/>
          <w:color w:val="auto"/>
        </w:rPr>
      </w:pPr>
    </w:p>
    <w:p>
      <w:pPr>
        <w:jc w:val="center"/>
        <w:ind w:right="-1160"/>
        <w:spacing w:after="0"/>
        <w:rPr>
          <w:sz w:val="20"/>
          <w:szCs w:val="20"/>
          <w:color w:val="auto"/>
        </w:rPr>
      </w:pPr>
      <w:r>
        <w:rPr>
          <w:rFonts w:ascii="Arial" w:cs="Arial" w:eastAsia="Arial" w:hAnsi="Arial"/>
          <w:sz w:val="20"/>
          <w:szCs w:val="20"/>
          <w:b w:val="1"/>
          <w:bCs w:val="1"/>
          <w:color w:val="auto"/>
        </w:rPr>
        <w:t>JAZZ PHARMACEUTICALS PLC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AMENDED AND RESTATED</w:t>
      </w:r>
    </w:p>
    <w:p>
      <w:pPr>
        <w:jc w:val="center"/>
        <w:ind w:right="-1200"/>
        <w:spacing w:after="0"/>
        <w:rPr>
          <w:sz w:val="20"/>
          <w:szCs w:val="20"/>
          <w:color w:val="auto"/>
        </w:rPr>
      </w:pPr>
      <w:r>
        <w:rPr>
          <w:rFonts w:ascii="Arial" w:cs="Arial" w:eastAsia="Arial" w:hAnsi="Arial"/>
          <w:sz w:val="19"/>
          <w:szCs w:val="19"/>
          <w:b w:val="1"/>
          <w:bCs w:val="1"/>
          <w:color w:val="auto"/>
        </w:rPr>
        <w:t>2007 NON-EMPLOYEE DIRECTORS STOCK OPTION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6592568-v2\GESDMS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805743 v2/SD</w:t>
      </w:r>
    </w:p>
    <w:p>
      <w:pPr>
        <w:sectPr>
          <w:pgSz w:w="11900" w:h="16838" w:orient="portrait"/>
          <w:cols w:equalWidth="0" w:num="1">
            <w:col w:w="10219"/>
          </w:cols>
          <w:pgMar w:left="240" w:top="657" w:right="1440" w:bottom="1440" w:gutter="0" w:footer="0" w:header="0"/>
        </w:sectPr>
      </w:pPr>
    </w:p>
    <w:bookmarkStart w:id="257" w:name="page258"/>
    <w:bookmarkEnd w:id="257"/>
    <w:p>
      <w:pPr>
        <w:jc w:val="right"/>
        <w:spacing w:after="0"/>
        <w:rPr>
          <w:sz w:val="20"/>
          <w:szCs w:val="20"/>
          <w:color w:val="auto"/>
        </w:rPr>
      </w:pPr>
      <w:r>
        <w:rPr>
          <w:rFonts w:ascii="Arial" w:cs="Arial" w:eastAsia="Arial" w:hAnsi="Arial"/>
          <w:sz w:val="20"/>
          <w:szCs w:val="20"/>
          <w:b w:val="1"/>
          <w:bCs w:val="1"/>
          <w:color w:val="auto"/>
        </w:rPr>
        <w:t>Exhibit 10.31A</w:t>
      </w:r>
    </w:p>
    <w:p>
      <w:pPr>
        <w:spacing w:after="0" w:line="200" w:lineRule="exact"/>
        <w:rPr>
          <w:sz w:val="20"/>
          <w:szCs w:val="20"/>
          <w:color w:val="auto"/>
        </w:rPr>
      </w:pPr>
    </w:p>
    <w:p>
      <w:pPr>
        <w:spacing w:after="0" w:line="232"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JAZZ PHARMACEUTICALS PLC</w:t>
      </w:r>
    </w:p>
    <w:p>
      <w:pPr>
        <w:spacing w:after="0" w:line="22"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2007 EMPLOYEE STOCK PURCHASE PLAN</w:t>
      </w: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21" w:lineRule="exact"/>
        <w:rPr>
          <w:rFonts w:ascii="Arial" w:cs="Arial" w:eastAsia="Arial" w:hAnsi="Arial"/>
          <w:sz w:val="20"/>
          <w:szCs w:val="20"/>
          <w:b w:val="1"/>
          <w:bCs w:val="1"/>
          <w:color w:val="auto"/>
        </w:rPr>
      </w:pPr>
    </w:p>
    <w:p>
      <w:pPr>
        <w:jc w:val="both"/>
        <w:ind w:firstLine="656"/>
        <w:spacing w:after="0" w:line="250" w:lineRule="auto"/>
        <w:tabs>
          <w:tab w:leader="none" w:pos="1161" w:val="left"/>
        </w:tabs>
        <w:numPr>
          <w:ilvl w:val="1"/>
          <w:numId w:val="188"/>
        </w:numPr>
        <w:rPr>
          <w:rFonts w:ascii="Arial" w:cs="Arial" w:eastAsia="Arial" w:hAnsi="Arial"/>
          <w:sz w:val="20"/>
          <w:szCs w:val="20"/>
          <w:b w:val="1"/>
          <w:bCs w:val="1"/>
          <w:color w:val="auto"/>
        </w:rPr>
      </w:pPr>
      <w:r>
        <w:rPr>
          <w:rFonts w:ascii="Arial" w:cs="Arial" w:eastAsia="Arial" w:hAnsi="Arial"/>
          <w:sz w:val="20"/>
          <w:szCs w:val="20"/>
          <w:color w:val="auto"/>
        </w:rPr>
        <w:t>The purpose of the Plan is to provide a means by which Eligible Employees of the Company and certain designated Related Corporations may be given an opportunity to purchase Ordinary Shares. The Plan is intended to permit the Company to grant a series of Purchase Rights to Eligible Employees under an Employee Stock Purchase Plan.</w:t>
      </w:r>
    </w:p>
    <w:p>
      <w:pPr>
        <w:spacing w:after="0" w:line="145" w:lineRule="exact"/>
        <w:rPr>
          <w:rFonts w:ascii="Arial" w:cs="Arial" w:eastAsia="Arial" w:hAnsi="Arial"/>
          <w:sz w:val="20"/>
          <w:szCs w:val="20"/>
          <w:b w:val="1"/>
          <w:bCs w:val="1"/>
          <w:color w:val="auto"/>
        </w:rPr>
      </w:pPr>
    </w:p>
    <w:p>
      <w:pPr>
        <w:ind w:firstLine="656"/>
        <w:spacing w:after="0" w:line="316" w:lineRule="auto"/>
        <w:tabs>
          <w:tab w:leader="none" w:pos="1157" w:val="left"/>
        </w:tabs>
        <w:numPr>
          <w:ilvl w:val="1"/>
          <w:numId w:val="188"/>
        </w:numPr>
        <w:rPr>
          <w:rFonts w:ascii="Arial" w:cs="Arial" w:eastAsia="Arial" w:hAnsi="Arial"/>
          <w:sz w:val="18"/>
          <w:szCs w:val="18"/>
          <w:b w:val="1"/>
          <w:bCs w:val="1"/>
          <w:color w:val="auto"/>
        </w:rPr>
      </w:pPr>
      <w:r>
        <w:rPr>
          <w:rFonts w:ascii="Arial" w:cs="Arial" w:eastAsia="Arial" w:hAnsi="Arial"/>
          <w:sz w:val="18"/>
          <w:szCs w:val="18"/>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83" w:lineRule="exact"/>
        <w:rPr>
          <w:rFonts w:ascii="Arial" w:cs="Arial" w:eastAsia="Arial" w:hAnsi="Arial"/>
          <w:sz w:val="18"/>
          <w:szCs w:val="18"/>
          <w:b w:val="1"/>
          <w:bCs w:val="1"/>
          <w:color w:val="auto"/>
        </w:rPr>
      </w:pPr>
    </w:p>
    <w:p>
      <w:pPr>
        <w:ind w:left="660" w:hanging="652"/>
        <w:spacing w:after="0"/>
        <w:tabs>
          <w:tab w:leader="none" w:pos="66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w:t>
      </w:r>
    </w:p>
    <w:p>
      <w:pPr>
        <w:spacing w:after="0" w:line="221" w:lineRule="exact"/>
        <w:rPr>
          <w:rFonts w:ascii="Arial" w:cs="Arial" w:eastAsia="Arial" w:hAnsi="Arial"/>
          <w:sz w:val="20"/>
          <w:szCs w:val="20"/>
          <w:b w:val="1"/>
          <w:bCs w:val="1"/>
          <w:color w:val="auto"/>
        </w:rPr>
      </w:pPr>
    </w:p>
    <w:p>
      <w:pPr>
        <w:ind w:right="20" w:firstLine="656"/>
        <w:spacing w:after="0" w:line="260" w:lineRule="auto"/>
        <w:tabs>
          <w:tab w:leader="none" w:pos="1247" w:val="left"/>
        </w:tabs>
        <w:numPr>
          <w:ilvl w:val="1"/>
          <w:numId w:val="188"/>
        </w:numPr>
        <w:rPr>
          <w:rFonts w:ascii="Arial" w:cs="Arial" w:eastAsia="Arial" w:hAnsi="Arial"/>
          <w:sz w:val="20"/>
          <w:szCs w:val="20"/>
          <w:b w:val="1"/>
          <w:bCs w:val="1"/>
          <w:color w:val="auto"/>
        </w:rPr>
      </w:pPr>
      <w:r>
        <w:rPr>
          <w:rFonts w:ascii="Arial" w:cs="Arial" w:eastAsia="Arial" w:hAnsi="Arial"/>
          <w:sz w:val="20"/>
          <w:szCs w:val="20"/>
          <w:color w:val="auto"/>
        </w:rPr>
        <w:t>The Board shall administer the Plan unless and until the Board delegates administration of the Plan to a Committee or Committees, as provided in Section 2(c).</w:t>
      </w:r>
    </w:p>
    <w:p>
      <w:pPr>
        <w:spacing w:after="0" w:line="136" w:lineRule="exact"/>
        <w:rPr>
          <w:rFonts w:ascii="Arial" w:cs="Arial" w:eastAsia="Arial" w:hAnsi="Arial"/>
          <w:sz w:val="20"/>
          <w:szCs w:val="20"/>
          <w:b w:val="1"/>
          <w:bCs w:val="1"/>
          <w:color w:val="auto"/>
        </w:rPr>
      </w:pPr>
    </w:p>
    <w:p>
      <w:pPr>
        <w:ind w:left="1100" w:hanging="444"/>
        <w:spacing w:after="0"/>
        <w:tabs>
          <w:tab w:leader="none" w:pos="1100" w:val="left"/>
        </w:tabs>
        <w:numPr>
          <w:ilvl w:val="1"/>
          <w:numId w:val="188"/>
        </w:numPr>
        <w:rPr>
          <w:rFonts w:ascii="Arial" w:cs="Arial" w:eastAsia="Arial" w:hAnsi="Arial"/>
          <w:sz w:val="20"/>
          <w:szCs w:val="20"/>
          <w:b w:val="1"/>
          <w:bCs w:val="1"/>
          <w:color w:val="auto"/>
        </w:rPr>
      </w:pPr>
      <w:r>
        <w:rPr>
          <w:rFonts w:ascii="Arial" w:cs="Arial" w:eastAsia="Arial" w:hAnsi="Arial"/>
          <w:sz w:val="20"/>
          <w:szCs w:val="20"/>
          <w:color w:val="auto"/>
        </w:rPr>
        <w:t>The Board shall have the power, subject to, and within the limitations of, the express provisions of the Plan:</w:t>
      </w:r>
    </w:p>
    <w:p>
      <w:pPr>
        <w:spacing w:after="0" w:line="175" w:lineRule="exact"/>
        <w:rPr>
          <w:rFonts w:ascii="Arial" w:cs="Arial" w:eastAsia="Arial" w:hAnsi="Arial"/>
          <w:sz w:val="20"/>
          <w:szCs w:val="20"/>
          <w:b w:val="1"/>
          <w:bCs w:val="1"/>
          <w:color w:val="auto"/>
        </w:rPr>
      </w:pPr>
    </w:p>
    <w:p>
      <w:pPr>
        <w:ind w:firstLine="1305"/>
        <w:spacing w:after="0" w:line="260" w:lineRule="auto"/>
        <w:tabs>
          <w:tab w:leader="none" w:pos="1754"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To determine how and when Purchase Rights to purchase Ordinary Shares shall be granted and the provisions of each Offering comprised of such Purchase Rights (which need not be identical).</w:t>
      </w:r>
    </w:p>
    <w:p>
      <w:pPr>
        <w:spacing w:after="0" w:line="136" w:lineRule="exact"/>
        <w:rPr>
          <w:rFonts w:ascii="Arial" w:cs="Arial" w:eastAsia="Arial" w:hAnsi="Arial"/>
          <w:sz w:val="20"/>
          <w:szCs w:val="20"/>
          <w:b w:val="1"/>
          <w:bCs w:val="1"/>
          <w:color w:val="auto"/>
        </w:rPr>
      </w:pPr>
    </w:p>
    <w:p>
      <w:pPr>
        <w:ind w:left="1740" w:hanging="435"/>
        <w:spacing w:after="0"/>
        <w:tabs>
          <w:tab w:leader="none" w:pos="1740" w:val="left"/>
        </w:tabs>
        <w:numPr>
          <w:ilvl w:val="2"/>
          <w:numId w:val="188"/>
        </w:numPr>
        <w:rPr>
          <w:rFonts w:ascii="Arial" w:cs="Arial" w:eastAsia="Arial" w:hAnsi="Arial"/>
          <w:sz w:val="18"/>
          <w:szCs w:val="18"/>
          <w:b w:val="1"/>
          <w:bCs w:val="1"/>
          <w:color w:val="auto"/>
        </w:rPr>
      </w:pPr>
      <w:r>
        <w:rPr>
          <w:rFonts w:ascii="Arial" w:cs="Arial" w:eastAsia="Arial" w:hAnsi="Arial"/>
          <w:sz w:val="18"/>
          <w:szCs w:val="18"/>
          <w:color w:val="auto"/>
        </w:rPr>
        <w:t>To designate from time to time which Related Corporations of the Company shall be eligible to participate in the Plan.</w:t>
      </w:r>
    </w:p>
    <w:p>
      <w:pPr>
        <w:spacing w:after="0" w:line="198" w:lineRule="exact"/>
        <w:rPr>
          <w:rFonts w:ascii="Arial" w:cs="Arial" w:eastAsia="Arial" w:hAnsi="Arial"/>
          <w:sz w:val="18"/>
          <w:szCs w:val="18"/>
          <w:b w:val="1"/>
          <w:bCs w:val="1"/>
          <w:color w:val="auto"/>
        </w:rPr>
      </w:pPr>
    </w:p>
    <w:p>
      <w:pPr>
        <w:jc w:val="both"/>
        <w:ind w:firstLine="1305"/>
        <w:spacing w:after="0" w:line="269" w:lineRule="auto"/>
        <w:tabs>
          <w:tab w:leader="none" w:pos="1864" w:val="left"/>
        </w:tabs>
        <w:numPr>
          <w:ilvl w:val="2"/>
          <w:numId w:val="188"/>
        </w:numPr>
        <w:rPr>
          <w:rFonts w:ascii="Arial" w:cs="Arial" w:eastAsia="Arial" w:hAnsi="Arial"/>
          <w:sz w:val="19"/>
          <w:szCs w:val="19"/>
          <w:b w:val="1"/>
          <w:bCs w:val="1"/>
          <w:color w:val="auto"/>
        </w:rPr>
      </w:pPr>
      <w:r>
        <w:rPr>
          <w:rFonts w:ascii="Arial" w:cs="Arial" w:eastAsia="Arial" w:hAnsi="Arial"/>
          <w:sz w:val="19"/>
          <w:szCs w:val="19"/>
          <w:color w:val="auto"/>
        </w:rPr>
        <w:t>To construe and interpret the Plan and Purchase Rights, and to establish, amend and revoke rules and regulations for administration of the Plan. The Board, in the exercise of this power, may correct any defect, omission or inconsistency in the Plan, in a manner and to the extent it shall deem necessary or expedient to make the Plan or Purchase Rights fully effective.</w:t>
      </w:r>
    </w:p>
    <w:p>
      <w:pPr>
        <w:spacing w:after="0" w:line="129" w:lineRule="exact"/>
        <w:rPr>
          <w:rFonts w:ascii="Arial" w:cs="Arial" w:eastAsia="Arial" w:hAnsi="Arial"/>
          <w:sz w:val="19"/>
          <w:szCs w:val="19"/>
          <w:b w:val="1"/>
          <w:bCs w:val="1"/>
          <w:color w:val="auto"/>
        </w:rPr>
      </w:pPr>
    </w:p>
    <w:p>
      <w:pPr>
        <w:ind w:left="1780" w:hanging="475"/>
        <w:spacing w:after="0"/>
        <w:tabs>
          <w:tab w:leader="none" w:pos="1780"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To settle all controversies regarding the Plan and Purchase Rights granted under it.</w:t>
      </w:r>
    </w:p>
    <w:p>
      <w:pPr>
        <w:spacing w:after="0" w:line="175" w:lineRule="exact"/>
        <w:rPr>
          <w:rFonts w:ascii="Arial" w:cs="Arial" w:eastAsia="Arial" w:hAnsi="Arial"/>
          <w:sz w:val="20"/>
          <w:szCs w:val="20"/>
          <w:b w:val="1"/>
          <w:bCs w:val="1"/>
          <w:color w:val="auto"/>
        </w:rPr>
      </w:pPr>
    </w:p>
    <w:p>
      <w:pPr>
        <w:ind w:left="1720" w:hanging="415"/>
        <w:spacing w:after="0"/>
        <w:tabs>
          <w:tab w:leader="none" w:pos="1720"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To suspend or terminate the Plan at any time as provided in Section 13.</w:t>
      </w:r>
    </w:p>
    <w:p>
      <w:pPr>
        <w:spacing w:after="0" w:line="175" w:lineRule="exact"/>
        <w:rPr>
          <w:rFonts w:ascii="Arial" w:cs="Arial" w:eastAsia="Arial" w:hAnsi="Arial"/>
          <w:sz w:val="20"/>
          <w:szCs w:val="20"/>
          <w:b w:val="1"/>
          <w:bCs w:val="1"/>
          <w:color w:val="auto"/>
        </w:rPr>
      </w:pPr>
    </w:p>
    <w:p>
      <w:pPr>
        <w:ind w:left="1780" w:hanging="475"/>
        <w:spacing w:after="0"/>
        <w:tabs>
          <w:tab w:leader="none" w:pos="1780"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To amend the Plan at any time as provided in Section 13.</w:t>
      </w:r>
    </w:p>
    <w:p>
      <w:pPr>
        <w:spacing w:after="0" w:line="175" w:lineRule="exact"/>
        <w:rPr>
          <w:rFonts w:ascii="Arial" w:cs="Arial" w:eastAsia="Arial" w:hAnsi="Arial"/>
          <w:sz w:val="20"/>
          <w:szCs w:val="20"/>
          <w:b w:val="1"/>
          <w:bCs w:val="1"/>
          <w:color w:val="auto"/>
        </w:rPr>
      </w:pPr>
    </w:p>
    <w:p>
      <w:pPr>
        <w:ind w:firstLine="1305"/>
        <w:spacing w:after="0" w:line="386" w:lineRule="auto"/>
        <w:tabs>
          <w:tab w:leader="none" w:pos="1917" w:val="left"/>
        </w:tabs>
        <w:numPr>
          <w:ilvl w:val="2"/>
          <w:numId w:val="188"/>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42" w:lineRule="exact"/>
        <w:rPr>
          <w:rFonts w:ascii="Arial" w:cs="Arial" w:eastAsia="Arial" w:hAnsi="Arial"/>
          <w:sz w:val="16"/>
          <w:szCs w:val="16"/>
          <w:b w:val="1"/>
          <w:bCs w:val="1"/>
          <w:color w:val="auto"/>
        </w:rPr>
      </w:pPr>
    </w:p>
    <w:p>
      <w:pPr>
        <w:ind w:right="20" w:firstLine="1305"/>
        <w:spacing w:after="0" w:line="260" w:lineRule="auto"/>
        <w:tabs>
          <w:tab w:leader="none" w:pos="2056" w:val="left"/>
        </w:tabs>
        <w:numPr>
          <w:ilvl w:val="2"/>
          <w:numId w:val="188"/>
        </w:numPr>
        <w:rPr>
          <w:rFonts w:ascii="Arial" w:cs="Arial" w:eastAsia="Arial" w:hAnsi="Arial"/>
          <w:sz w:val="20"/>
          <w:szCs w:val="20"/>
          <w:b w:val="1"/>
          <w:bCs w:val="1"/>
          <w:color w:val="auto"/>
        </w:rPr>
      </w:pPr>
      <w:r>
        <w:rPr>
          <w:rFonts w:ascii="Arial" w:cs="Arial" w:eastAsia="Arial" w:hAnsi="Arial"/>
          <w:sz w:val="20"/>
          <w:szCs w:val="20"/>
          <w:color w:val="auto"/>
        </w:rPr>
        <w:t>To adopt such procedures and sub-plans as are necessary or appropriate to permit participation in the Plan by Employees who are foreign nationals or employed outside the United States.</w:t>
      </w:r>
    </w:p>
    <w:p>
      <w:pPr>
        <w:spacing w:after="0" w:line="136" w:lineRule="exact"/>
        <w:rPr>
          <w:rFonts w:ascii="Arial" w:cs="Arial" w:eastAsia="Arial" w:hAnsi="Arial"/>
          <w:sz w:val="20"/>
          <w:szCs w:val="20"/>
          <w:b w:val="1"/>
          <w:bCs w:val="1"/>
          <w:color w:val="auto"/>
        </w:rPr>
      </w:pPr>
    </w:p>
    <w:p>
      <w:pPr>
        <w:ind w:firstLine="656"/>
        <w:spacing w:after="0" w:line="260" w:lineRule="auto"/>
        <w:tabs>
          <w:tab w:leader="none" w:pos="1190" w:val="left"/>
        </w:tabs>
        <w:numPr>
          <w:ilvl w:val="1"/>
          <w:numId w:val="188"/>
        </w:numPr>
        <w:rPr>
          <w:rFonts w:ascii="Arial" w:cs="Arial" w:eastAsia="Arial" w:hAnsi="Arial"/>
          <w:sz w:val="20"/>
          <w:szCs w:val="20"/>
          <w:b w:val="1"/>
          <w:bCs w:val="1"/>
          <w:color w:val="auto"/>
        </w:rPr>
      </w:pPr>
      <w:r>
        <w:rPr>
          <w:rFonts w:ascii="Arial" w:cs="Arial" w:eastAsia="Arial" w:hAnsi="Arial"/>
          <w:sz w:val="20"/>
          <w:szCs w:val="20"/>
          <w:color w:val="auto"/>
        </w:rPr>
        <w:t>The Board may delegate some or all of the administration of the Plan to a Committee or Committees. If administration is delegated to a Committee, the Committee shall have, in connection with</w:t>
      </w:r>
    </w:p>
    <w:p>
      <w:pPr>
        <w:sectPr>
          <w:pgSz w:w="11900" w:h="16838" w:orient="portrait"/>
          <w:cols w:equalWidth="0" w:num="1">
            <w:col w:w="11420"/>
          </w:cols>
          <w:pgMar w:left="240" w:top="617" w:right="239" w:bottom="1440" w:gutter="0" w:footer="0" w:header="0"/>
        </w:sectPr>
      </w:pPr>
    </w:p>
    <w:bookmarkStart w:id="258" w:name="page259"/>
    <w:bookmarkEnd w:id="258"/>
    <w:p>
      <w:pPr>
        <w:jc w:val="both"/>
        <w:spacing w:after="0" w:line="243" w:lineRule="auto"/>
        <w:rPr>
          <w:sz w:val="20"/>
          <w:szCs w:val="20"/>
          <w:color w:val="auto"/>
        </w:rPr>
      </w:pPr>
      <w:r>
        <w:rPr>
          <w:rFonts w:ascii="Arial" w:cs="Arial" w:eastAsia="Arial" w:hAnsi="Arial"/>
          <w:sz w:val="20"/>
          <w:szCs w:val="20"/>
          <w:color w:val="auto"/>
        </w:rPr>
        <w:t>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shall have the final power to determine all questions of policy and expediency that may arise in the administration of the Plan.</w:t>
      </w:r>
    </w:p>
    <w:p>
      <w:pPr>
        <w:spacing w:after="0" w:line="153" w:lineRule="exact"/>
        <w:rPr>
          <w:sz w:val="20"/>
          <w:szCs w:val="20"/>
          <w:color w:val="auto"/>
        </w:rPr>
      </w:pPr>
    </w:p>
    <w:p>
      <w:pPr>
        <w:ind w:right="20" w:firstLine="656"/>
        <w:spacing w:after="0" w:line="260" w:lineRule="auto"/>
        <w:tabs>
          <w:tab w:leader="none" w:pos="1082" w:val="left"/>
        </w:tabs>
        <w:numPr>
          <w:ilvl w:val="1"/>
          <w:numId w:val="189"/>
        </w:numPr>
        <w:rPr>
          <w:rFonts w:ascii="Arial" w:cs="Arial" w:eastAsia="Arial" w:hAnsi="Arial"/>
          <w:sz w:val="20"/>
          <w:szCs w:val="20"/>
          <w:b w:val="1"/>
          <w:bCs w:val="1"/>
          <w:color w:val="auto"/>
        </w:rPr>
      </w:pPr>
      <w:r>
        <w:rPr>
          <w:rFonts w:ascii="Arial" w:cs="Arial" w:eastAsia="Arial" w:hAnsi="Arial"/>
          <w:sz w:val="20"/>
          <w:szCs w:val="20"/>
          <w:color w:val="auto"/>
        </w:rPr>
        <w:t>All determinations, interpretations and constructions made by the Board in good faith shall not be subject to review by any person and shall be final, binding and conclusive on all persons.</w:t>
      </w:r>
    </w:p>
    <w:p>
      <w:pPr>
        <w:spacing w:after="0" w:line="130" w:lineRule="exact"/>
        <w:rPr>
          <w:rFonts w:ascii="Arial" w:cs="Arial" w:eastAsia="Arial" w:hAnsi="Arial"/>
          <w:sz w:val="20"/>
          <w:szCs w:val="20"/>
          <w:b w:val="1"/>
          <w:bCs w:val="1"/>
          <w:color w:val="auto"/>
        </w:rPr>
      </w:pPr>
    </w:p>
    <w:p>
      <w:pPr>
        <w:ind w:left="660" w:hanging="652"/>
        <w:spacing w:after="0"/>
        <w:tabs>
          <w:tab w:leader="none" w:pos="66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ORDINARY SHARES SUBJECT TO THE PLAN.</w:t>
      </w:r>
    </w:p>
    <w:p>
      <w:pPr>
        <w:spacing w:after="0" w:line="221" w:lineRule="exact"/>
        <w:rPr>
          <w:rFonts w:ascii="Arial" w:cs="Arial" w:eastAsia="Arial" w:hAnsi="Arial"/>
          <w:sz w:val="20"/>
          <w:szCs w:val="20"/>
          <w:b w:val="1"/>
          <w:bCs w:val="1"/>
          <w:color w:val="auto"/>
        </w:rPr>
      </w:pPr>
    </w:p>
    <w:p>
      <w:pPr>
        <w:jc w:val="both"/>
        <w:ind w:firstLine="656"/>
        <w:spacing w:after="0" w:line="273" w:lineRule="auto"/>
        <w:tabs>
          <w:tab w:leader="none" w:pos="1089"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12(a) relating to Capitalization Adjustments, the number of Ordinary Shares that may be sold pursuant to Purchase Rights shall not exceed in the aggregate one million two thousand one hundred twenty five (1,002,125) Ordinary Shares. In addition, the number of Ordinary Shares available for issuance under the Plan shall automatically increase on January 1st of each year for a period of ten (10) years commencing on January 1, 2013 and ending on (and including) January 1, 2022, in an amount equal to the lesser of (i) one and one-half percent (1.5%) of the total number of Ordinary Shares outstanding on December 31st of the preceding calendar year or (ii) one million (1,000,000) Ordinary Shares. Notwithstanding the foregoing, the Board may act prior to the first day of any calendar year, to provide that there shall be no increase in the share reserve for such calendar year or that the increase in the share reserve for such calendar year shall be a lesser number of Ordinary Shares than would otherwise occur pursuant to the preceding sentence.</w:t>
      </w:r>
    </w:p>
    <w:p>
      <w:pPr>
        <w:spacing w:after="0" w:line="128" w:lineRule="exact"/>
        <w:rPr>
          <w:rFonts w:ascii="Arial" w:cs="Arial" w:eastAsia="Arial" w:hAnsi="Arial"/>
          <w:sz w:val="18"/>
          <w:szCs w:val="18"/>
          <w:b w:val="1"/>
          <w:bCs w:val="1"/>
          <w:color w:val="auto"/>
        </w:rPr>
      </w:pPr>
    </w:p>
    <w:p>
      <w:pPr>
        <w:ind w:firstLine="656"/>
        <w:spacing w:after="0" w:line="260" w:lineRule="auto"/>
        <w:tabs>
          <w:tab w:leader="none" w:pos="1126" w:val="left"/>
        </w:tabs>
        <w:numPr>
          <w:ilvl w:val="1"/>
          <w:numId w:val="190"/>
        </w:numPr>
        <w:rPr>
          <w:rFonts w:ascii="Arial" w:cs="Arial" w:eastAsia="Arial" w:hAnsi="Arial"/>
          <w:sz w:val="20"/>
          <w:szCs w:val="20"/>
          <w:b w:val="1"/>
          <w:bCs w:val="1"/>
          <w:color w:val="auto"/>
        </w:rPr>
      </w:pPr>
      <w:r>
        <w:rPr>
          <w:rFonts w:ascii="Arial" w:cs="Arial" w:eastAsia="Arial" w:hAnsi="Arial"/>
          <w:sz w:val="20"/>
          <w:szCs w:val="20"/>
          <w:color w:val="auto"/>
        </w:rPr>
        <w:t>If any Purchase Right granted under the Plan shall for any reason terminate without having been exercised, the Ordinary Shares not purchased under such Purchase Right shall again become available for issuance under the Plan.</w:t>
      </w:r>
    </w:p>
    <w:p>
      <w:pPr>
        <w:spacing w:after="0" w:line="136" w:lineRule="exact"/>
        <w:rPr>
          <w:rFonts w:ascii="Arial" w:cs="Arial" w:eastAsia="Arial" w:hAnsi="Arial"/>
          <w:sz w:val="20"/>
          <w:szCs w:val="20"/>
          <w:b w:val="1"/>
          <w:bCs w:val="1"/>
          <w:color w:val="auto"/>
        </w:rPr>
      </w:pPr>
    </w:p>
    <w:p>
      <w:pPr>
        <w:ind w:right="20" w:firstLine="656"/>
        <w:spacing w:after="0" w:line="260" w:lineRule="auto"/>
        <w:tabs>
          <w:tab w:leader="none" w:pos="1078" w:val="left"/>
        </w:tabs>
        <w:numPr>
          <w:ilvl w:val="1"/>
          <w:numId w:val="190"/>
        </w:numPr>
        <w:rPr>
          <w:rFonts w:ascii="Arial" w:cs="Arial" w:eastAsia="Arial" w:hAnsi="Arial"/>
          <w:sz w:val="20"/>
          <w:szCs w:val="20"/>
          <w:b w:val="1"/>
          <w:bCs w:val="1"/>
          <w:color w:val="auto"/>
        </w:rPr>
      </w:pPr>
      <w:r>
        <w:rPr>
          <w:rFonts w:ascii="Arial" w:cs="Arial" w:eastAsia="Arial" w:hAnsi="Arial"/>
          <w:sz w:val="20"/>
          <w:szCs w:val="20"/>
          <w:color w:val="auto"/>
        </w:rPr>
        <w:t>The shares purchasable under the Plan shall be authorized but unissued or reacquired Ordinary Shares, including Ordinary Shares repurchased by the Company or any Affiliate on the open market or otherwise.</w:t>
      </w:r>
    </w:p>
    <w:p>
      <w:pPr>
        <w:spacing w:after="0" w:line="130" w:lineRule="exact"/>
        <w:rPr>
          <w:rFonts w:ascii="Arial" w:cs="Arial" w:eastAsia="Arial" w:hAnsi="Arial"/>
          <w:sz w:val="20"/>
          <w:szCs w:val="20"/>
          <w:b w:val="1"/>
          <w:bCs w:val="1"/>
          <w:color w:val="auto"/>
        </w:rPr>
      </w:pPr>
    </w:p>
    <w:p>
      <w:pPr>
        <w:ind w:left="660" w:hanging="652"/>
        <w:spacing w:after="0"/>
        <w:tabs>
          <w:tab w:leader="none" w:pos="66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GRANT OF PURCHASE RIGHTS; OFFERING.</w:t>
      </w:r>
    </w:p>
    <w:p>
      <w:pPr>
        <w:spacing w:after="0" w:line="221" w:lineRule="exact"/>
        <w:rPr>
          <w:rFonts w:ascii="Arial" w:cs="Arial" w:eastAsia="Arial" w:hAnsi="Arial"/>
          <w:sz w:val="20"/>
          <w:szCs w:val="20"/>
          <w:b w:val="1"/>
          <w:bCs w:val="1"/>
          <w:color w:val="auto"/>
        </w:rPr>
      </w:pPr>
    </w:p>
    <w:p>
      <w:pPr>
        <w:jc w:val="both"/>
        <w:ind w:firstLine="656"/>
        <w:spacing w:after="0" w:line="273" w:lineRule="auto"/>
        <w:tabs>
          <w:tab w:leader="none" w:pos="1083" w:val="left"/>
        </w:tabs>
        <w:numPr>
          <w:ilvl w:val="1"/>
          <w:numId w:val="190"/>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purchase Ordinary Shares under the Plan to Eligible Employees in an Offering (consisting of one or more Purchase Periods) on an Offering Date or Offering Dates selected by the Board. Each Offering shall be in such form and shall contain such terms and conditions as the Board shall deem appropriate, which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5 through 8, inclusive.</w:t>
      </w:r>
    </w:p>
    <w:p>
      <w:pPr>
        <w:spacing w:after="0" w:line="128" w:lineRule="exact"/>
        <w:rPr>
          <w:rFonts w:ascii="Arial" w:cs="Arial" w:eastAsia="Arial" w:hAnsi="Arial"/>
          <w:sz w:val="18"/>
          <w:szCs w:val="18"/>
          <w:b w:val="1"/>
          <w:bCs w:val="1"/>
          <w:color w:val="auto"/>
        </w:rPr>
      </w:pPr>
    </w:p>
    <w:p>
      <w:pPr>
        <w:ind w:firstLine="656"/>
        <w:spacing w:after="0" w:line="260" w:lineRule="auto"/>
        <w:tabs>
          <w:tab w:leader="none" w:pos="1113" w:val="left"/>
        </w:tabs>
        <w:numPr>
          <w:ilvl w:val="1"/>
          <w:numId w:val="190"/>
        </w:numPr>
        <w:rPr>
          <w:rFonts w:ascii="Arial" w:cs="Arial" w:eastAsia="Arial" w:hAnsi="Arial"/>
          <w:sz w:val="20"/>
          <w:szCs w:val="20"/>
          <w:b w:val="1"/>
          <w:bCs w:val="1"/>
          <w:color w:val="auto"/>
        </w:rPr>
      </w:pPr>
      <w:r>
        <w:rPr>
          <w:rFonts w:ascii="Arial" w:cs="Arial" w:eastAsia="Arial" w:hAnsi="Arial"/>
          <w:sz w:val="20"/>
          <w:szCs w:val="20"/>
          <w:color w:val="auto"/>
        </w:rPr>
        <w:t>If a Participant has more than one Purchase Right outstanding under the Plan, unless he or she otherwise indicates in agreements or notices delivered hereunder: (i) each agreement or notice delivered</w:t>
      </w:r>
    </w:p>
    <w:p>
      <w:pPr>
        <w:sectPr>
          <w:pgSz w:w="11900" w:h="16838" w:orient="portrait"/>
          <w:cols w:equalWidth="0" w:num="1">
            <w:col w:w="11420"/>
          </w:cols>
          <w:pgMar w:left="240" w:top="623" w:right="239" w:bottom="1440" w:gutter="0" w:footer="0" w:header="0"/>
        </w:sectPr>
      </w:pPr>
    </w:p>
    <w:bookmarkStart w:id="259" w:name="page260"/>
    <w:bookmarkEnd w:id="259"/>
    <w:p>
      <w:pPr>
        <w:jc w:val="both"/>
        <w:spacing w:after="0" w:line="246" w:lineRule="auto"/>
        <w:rPr>
          <w:sz w:val="20"/>
          <w:szCs w:val="20"/>
          <w:color w:val="auto"/>
        </w:rPr>
      </w:pPr>
      <w:r>
        <w:rPr>
          <w:rFonts w:ascii="Arial" w:cs="Arial" w:eastAsia="Arial" w:hAnsi="Arial"/>
          <w:sz w:val="20"/>
          <w:szCs w:val="20"/>
          <w:color w:val="auto"/>
        </w:rPr>
        <w:t>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spacing w:after="0" w:line="151" w:lineRule="exact"/>
        <w:rPr>
          <w:sz w:val="20"/>
          <w:szCs w:val="20"/>
          <w:color w:val="auto"/>
        </w:rPr>
      </w:pPr>
    </w:p>
    <w:p>
      <w:pPr>
        <w:jc w:val="both"/>
        <w:ind w:firstLine="656"/>
        <w:spacing w:after="0" w:line="282" w:lineRule="auto"/>
        <w:tabs>
          <w:tab w:leader="none" w:pos="1068" w:val="left"/>
        </w:tabs>
        <w:numPr>
          <w:ilvl w:val="1"/>
          <w:numId w:val="191"/>
        </w:numPr>
        <w:rPr>
          <w:rFonts w:ascii="Arial" w:cs="Arial" w:eastAsia="Arial" w:hAnsi="Arial"/>
          <w:sz w:val="18"/>
          <w:szCs w:val="18"/>
          <w:b w:val="1"/>
          <w:bCs w:val="1"/>
          <w:color w:val="auto"/>
        </w:rPr>
      </w:pPr>
      <w:r>
        <w:rPr>
          <w:rFonts w:ascii="Arial" w:cs="Arial" w:eastAsia="Arial" w:hAnsi="Arial"/>
          <w:sz w:val="18"/>
          <w:szCs w:val="18"/>
          <w:color w:val="auto"/>
        </w:rPr>
        <w:t>The Board shall have the discretion to structure an Offering so that if the Fair Market Value of an Ordinary Share on any Purchase Date within that Offering is less than or equal to the Fair Market Value of an Ordinary Share on the Offering Date for that Offering, then (i) that Offering shall terminate immediately following the purchase of Ordinary Shares on such Purchase Date, and (ii) Participants in such terminated Offering shall be automatically enrolled in a new Offering beginning on the first day following such Purchase Date.</w:t>
      </w:r>
    </w:p>
    <w:p>
      <w:pPr>
        <w:spacing w:after="0" w:line="115" w:lineRule="exact"/>
        <w:rPr>
          <w:rFonts w:ascii="Arial" w:cs="Arial" w:eastAsia="Arial" w:hAnsi="Arial"/>
          <w:sz w:val="18"/>
          <w:szCs w:val="18"/>
          <w:b w:val="1"/>
          <w:bCs w:val="1"/>
          <w:color w:val="auto"/>
        </w:rPr>
      </w:pPr>
    </w:p>
    <w:p>
      <w:pPr>
        <w:ind w:left="660" w:hanging="652"/>
        <w:spacing w:after="0"/>
        <w:tabs>
          <w:tab w:leader="none" w:pos="66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221" w:lineRule="exact"/>
        <w:rPr>
          <w:rFonts w:ascii="Arial" w:cs="Arial" w:eastAsia="Arial" w:hAnsi="Arial"/>
          <w:sz w:val="20"/>
          <w:szCs w:val="20"/>
          <w:b w:val="1"/>
          <w:bCs w:val="1"/>
          <w:color w:val="auto"/>
        </w:rPr>
      </w:pPr>
    </w:p>
    <w:p>
      <w:pPr>
        <w:jc w:val="both"/>
        <w:ind w:firstLine="656"/>
        <w:spacing w:after="0" w:line="257" w:lineRule="auto"/>
        <w:tabs>
          <w:tab w:leader="none" w:pos="1107" w:val="left"/>
        </w:tabs>
        <w:numPr>
          <w:ilvl w:val="1"/>
          <w:numId w:val="192"/>
        </w:numPr>
        <w:rPr>
          <w:rFonts w:ascii="Arial" w:cs="Arial" w:eastAsia="Arial" w:hAnsi="Arial"/>
          <w:sz w:val="19"/>
          <w:szCs w:val="19"/>
          <w:b w:val="1"/>
          <w:bCs w:val="1"/>
          <w:color w:val="auto"/>
        </w:rPr>
      </w:pPr>
      <w:r>
        <w:rPr>
          <w:rFonts w:ascii="Arial" w:cs="Arial" w:eastAsia="Arial" w:hAnsi="Arial"/>
          <w:sz w:val="19"/>
          <w:szCs w:val="19"/>
          <w:color w:val="auto"/>
        </w:rPr>
        <w:t>Purchase Rights may be granted only to Employees of the Company or, as the Board may designate as provided in Section 2(b), to Employees of a Related Corporation. Except as provided in Section 5(b), an Employee shall not be eligible to be granted Purchase Rights under the Plan unless, on the Offering Date, such Employee has been in the employ of the Company or the Related Corporation,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is at least twenty (20) hours per week and at least five (5) months per calendar year or such other criteria as the Board may determine consistent with Section 423 of the Code.</w:t>
      </w:r>
    </w:p>
    <w:p>
      <w:pPr>
        <w:spacing w:after="0" w:line="140" w:lineRule="exact"/>
        <w:rPr>
          <w:rFonts w:ascii="Arial" w:cs="Arial" w:eastAsia="Arial" w:hAnsi="Arial"/>
          <w:sz w:val="19"/>
          <w:szCs w:val="19"/>
          <w:b w:val="1"/>
          <w:bCs w:val="1"/>
          <w:color w:val="auto"/>
        </w:rPr>
      </w:pPr>
    </w:p>
    <w:p>
      <w:pPr>
        <w:jc w:val="both"/>
        <w:ind w:firstLine="656"/>
        <w:spacing w:after="0" w:line="244" w:lineRule="auto"/>
        <w:tabs>
          <w:tab w:leader="none" w:pos="1128" w:val="left"/>
        </w:tabs>
        <w:numPr>
          <w:ilvl w:val="1"/>
          <w:numId w:val="192"/>
        </w:numPr>
        <w:rPr>
          <w:rFonts w:ascii="Arial" w:cs="Arial" w:eastAsia="Arial" w:hAnsi="Arial"/>
          <w:sz w:val="20"/>
          <w:szCs w:val="20"/>
          <w:b w:val="1"/>
          <w:bCs w:val="1"/>
          <w:color w:val="auto"/>
        </w:rPr>
      </w:pPr>
      <w:r>
        <w:rPr>
          <w:rFonts w:ascii="Arial" w:cs="Arial" w:eastAsia="Arial" w:hAnsi="Arial"/>
          <w:sz w:val="20"/>
          <w:szCs w:val="20"/>
          <w:color w:val="auto"/>
        </w:rPr>
        <w:t>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spacing w:after="0" w:line="154" w:lineRule="exact"/>
        <w:rPr>
          <w:rFonts w:ascii="Arial" w:cs="Arial" w:eastAsia="Arial" w:hAnsi="Arial"/>
          <w:sz w:val="20"/>
          <w:szCs w:val="20"/>
          <w:b w:val="1"/>
          <w:bCs w:val="1"/>
          <w:color w:val="auto"/>
        </w:rPr>
      </w:pPr>
    </w:p>
    <w:p>
      <w:pPr>
        <w:ind w:firstLine="1305"/>
        <w:spacing w:after="0" w:line="260" w:lineRule="auto"/>
        <w:tabs>
          <w:tab w:leader="none" w:pos="1740" w:val="left"/>
        </w:tabs>
        <w:numPr>
          <w:ilvl w:val="2"/>
          <w:numId w:val="192"/>
        </w:numPr>
        <w:rPr>
          <w:rFonts w:ascii="Arial" w:cs="Arial" w:eastAsia="Arial" w:hAnsi="Arial"/>
          <w:sz w:val="20"/>
          <w:szCs w:val="20"/>
          <w:b w:val="1"/>
          <w:bCs w:val="1"/>
          <w:color w:val="auto"/>
        </w:rPr>
      </w:pPr>
      <w:r>
        <w:rPr>
          <w:rFonts w:ascii="Arial" w:cs="Arial" w:eastAsia="Arial" w:hAnsi="Arial"/>
          <w:sz w:val="20"/>
          <w:szCs w:val="20"/>
          <w:color w:val="auto"/>
        </w:rPr>
        <w:t>the date on which such Purchase Right is granted shall be the “Offering Date” of such Purchase Right for all purposes, including determination of the exercise price of such Purchase Right;</w:t>
      </w:r>
    </w:p>
    <w:p>
      <w:pPr>
        <w:spacing w:after="0" w:line="136" w:lineRule="exact"/>
        <w:rPr>
          <w:rFonts w:ascii="Arial" w:cs="Arial" w:eastAsia="Arial" w:hAnsi="Arial"/>
          <w:sz w:val="20"/>
          <w:szCs w:val="20"/>
          <w:b w:val="1"/>
          <w:bCs w:val="1"/>
          <w:color w:val="auto"/>
        </w:rPr>
      </w:pPr>
    </w:p>
    <w:p>
      <w:pPr>
        <w:ind w:firstLine="1305"/>
        <w:spacing w:after="0" w:line="260" w:lineRule="auto"/>
        <w:tabs>
          <w:tab w:leader="none" w:pos="1781" w:val="left"/>
        </w:tabs>
        <w:numPr>
          <w:ilvl w:val="2"/>
          <w:numId w:val="192"/>
        </w:numPr>
        <w:rPr>
          <w:rFonts w:ascii="Arial" w:cs="Arial" w:eastAsia="Arial" w:hAnsi="Arial"/>
          <w:sz w:val="20"/>
          <w:szCs w:val="20"/>
          <w:b w:val="1"/>
          <w:bCs w:val="1"/>
          <w:color w:val="auto"/>
        </w:rPr>
      </w:pPr>
      <w:r>
        <w:rPr>
          <w:rFonts w:ascii="Arial" w:cs="Arial" w:eastAsia="Arial" w:hAnsi="Arial"/>
          <w:sz w:val="20"/>
          <w:szCs w:val="20"/>
          <w:color w:val="auto"/>
        </w:rPr>
        <w:t>the period of the Offering with respect to such Purchase Right shall begin on its Offering Date and end coincident with the end of such Offering; and</w:t>
      </w:r>
    </w:p>
    <w:p>
      <w:pPr>
        <w:spacing w:after="0" w:line="136" w:lineRule="exact"/>
        <w:rPr>
          <w:rFonts w:ascii="Arial" w:cs="Arial" w:eastAsia="Arial" w:hAnsi="Arial"/>
          <w:sz w:val="20"/>
          <w:szCs w:val="20"/>
          <w:b w:val="1"/>
          <w:bCs w:val="1"/>
          <w:color w:val="auto"/>
        </w:rPr>
      </w:pPr>
    </w:p>
    <w:p>
      <w:pPr>
        <w:ind w:firstLine="1305"/>
        <w:spacing w:after="0" w:line="260" w:lineRule="auto"/>
        <w:tabs>
          <w:tab w:leader="none" w:pos="1831" w:val="left"/>
        </w:tabs>
        <w:numPr>
          <w:ilvl w:val="2"/>
          <w:numId w:val="192"/>
        </w:numPr>
        <w:rPr>
          <w:rFonts w:ascii="Arial" w:cs="Arial" w:eastAsia="Arial" w:hAnsi="Arial"/>
          <w:sz w:val="20"/>
          <w:szCs w:val="20"/>
          <w:b w:val="1"/>
          <w:bCs w:val="1"/>
          <w:color w:val="auto"/>
        </w:rPr>
      </w:pPr>
      <w:r>
        <w:rPr>
          <w:rFonts w:ascii="Arial" w:cs="Arial" w:eastAsia="Arial" w:hAnsi="Arial"/>
          <w:sz w:val="20"/>
          <w:szCs w:val="20"/>
          <w:color w:val="auto"/>
        </w:rPr>
        <w:t>the Board may provide that if such person first becomes an Eligible Employee within a specified period of time before the end of the Offering, he or she shall not receive any Purchase Right under that Offering.</w:t>
      </w:r>
    </w:p>
    <w:p>
      <w:pPr>
        <w:spacing w:after="0" w:line="136" w:lineRule="exact"/>
        <w:rPr>
          <w:rFonts w:ascii="Arial" w:cs="Arial" w:eastAsia="Arial" w:hAnsi="Arial"/>
          <w:sz w:val="20"/>
          <w:szCs w:val="20"/>
          <w:b w:val="1"/>
          <w:bCs w:val="1"/>
          <w:color w:val="auto"/>
        </w:rPr>
      </w:pPr>
    </w:p>
    <w:p>
      <w:pPr>
        <w:jc w:val="both"/>
        <w:ind w:firstLine="656"/>
        <w:spacing w:after="0" w:line="244" w:lineRule="auto"/>
        <w:tabs>
          <w:tab w:leader="none" w:pos="1081" w:val="left"/>
        </w:tabs>
        <w:numPr>
          <w:ilvl w:val="1"/>
          <w:numId w:val="192"/>
        </w:numPr>
        <w:rPr>
          <w:rFonts w:ascii="Arial" w:cs="Arial" w:eastAsia="Arial" w:hAnsi="Arial"/>
          <w:sz w:val="20"/>
          <w:szCs w:val="20"/>
          <w:b w:val="1"/>
          <w:bCs w:val="1"/>
          <w:color w:val="auto"/>
        </w:rPr>
      </w:pPr>
      <w:r>
        <w:rPr>
          <w:rFonts w:ascii="Arial" w:cs="Arial" w:eastAsia="Arial" w:hAnsi="Arial"/>
          <w:sz w:val="20"/>
          <w:szCs w:val="20"/>
          <w:color w:val="auto"/>
        </w:rPr>
        <w:t>No Employee shall be eligible for the grant of any Purchase Rights under the Plan if, immediately after any such Purchase Rights are granted, such Employee owns shares possessing five percent (5%) or more of the total combined voting power or value of all classes of shares of the Company or of any Related Corporation. For purposes of this Section 5(c), the rules of Section 424(d) of the Code shall apply in determining the share ownership of any Employee, and shares which such Employee may purchase under all outstanding Purchase Rights and options shall be treated as shares owned by such Employee.</w:t>
      </w:r>
    </w:p>
    <w:p>
      <w:pPr>
        <w:sectPr>
          <w:pgSz w:w="11900" w:h="16838" w:orient="portrait"/>
          <w:cols w:equalWidth="0" w:num="1">
            <w:col w:w="11420"/>
          </w:cols>
          <w:pgMar w:left="240" w:top="623" w:right="239" w:bottom="1440" w:gutter="0" w:footer="0" w:header="0"/>
        </w:sectPr>
      </w:pPr>
    </w:p>
    <w:bookmarkStart w:id="260" w:name="page261"/>
    <w:bookmarkEnd w:id="260"/>
    <w:p>
      <w:pPr>
        <w:jc w:val="both"/>
        <w:ind w:firstLine="656"/>
        <w:spacing w:after="0" w:line="243" w:lineRule="auto"/>
        <w:tabs>
          <w:tab w:leader="none" w:pos="1090" w:val="left"/>
        </w:tabs>
        <w:numPr>
          <w:ilvl w:val="1"/>
          <w:numId w:val="193"/>
        </w:numPr>
        <w:rPr>
          <w:rFonts w:ascii="Arial" w:cs="Arial" w:eastAsia="Arial" w:hAnsi="Arial"/>
          <w:sz w:val="20"/>
          <w:szCs w:val="20"/>
          <w:b w:val="1"/>
          <w:bCs w:val="1"/>
          <w:color w:val="auto"/>
        </w:rPr>
      </w:pPr>
      <w:r>
        <w:rPr>
          <w:rFonts w:ascii="Arial" w:cs="Arial" w:eastAsia="Arial" w:hAnsi="Arial"/>
          <w:sz w:val="20"/>
          <w:szCs w:val="20"/>
          <w:color w:val="auto"/>
        </w:rPr>
        <w:t>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shares of the Company or any Related Corporation to accrue at a rate which exceeds twenty five thousand dollars ($25,000) of Fair Market Value of such shares (determined at the time such rights are granted, and which, with respect to the Plan, shall be determined as of their respective Offering Dates) for each calendar year in which such rights are outstanding at any time.</w:t>
      </w:r>
    </w:p>
    <w:p>
      <w:pPr>
        <w:spacing w:after="0" w:line="155" w:lineRule="exact"/>
        <w:rPr>
          <w:rFonts w:ascii="Arial" w:cs="Arial" w:eastAsia="Arial" w:hAnsi="Arial"/>
          <w:sz w:val="20"/>
          <w:szCs w:val="20"/>
          <w:b w:val="1"/>
          <w:bCs w:val="1"/>
          <w:color w:val="auto"/>
        </w:rPr>
      </w:pPr>
    </w:p>
    <w:p>
      <w:pPr>
        <w:jc w:val="both"/>
        <w:ind w:firstLine="656"/>
        <w:spacing w:after="0" w:line="269" w:lineRule="auto"/>
        <w:tabs>
          <w:tab w:leader="none" w:pos="1113" w:val="left"/>
        </w:tabs>
        <w:numPr>
          <w:ilvl w:val="1"/>
          <w:numId w:val="193"/>
        </w:numPr>
        <w:rPr>
          <w:rFonts w:ascii="Arial" w:cs="Arial" w:eastAsia="Arial" w:hAnsi="Arial"/>
          <w:sz w:val="19"/>
          <w:szCs w:val="19"/>
          <w:b w:val="1"/>
          <w:bCs w:val="1"/>
          <w:color w:val="auto"/>
        </w:rPr>
      </w:pPr>
      <w:r>
        <w:rPr>
          <w:rFonts w:ascii="Arial" w:cs="Arial" w:eastAsia="Arial" w:hAnsi="Arial"/>
          <w:sz w:val="19"/>
          <w:szCs w:val="19"/>
          <w:color w:val="auto"/>
        </w:rPr>
        <w:t>Officers of the Company and any designated Related Corporation,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spacing w:after="0" w:line="123" w:lineRule="exact"/>
        <w:rPr>
          <w:rFonts w:ascii="Arial" w:cs="Arial" w:eastAsia="Arial" w:hAnsi="Arial"/>
          <w:sz w:val="19"/>
          <w:szCs w:val="19"/>
          <w:b w:val="1"/>
          <w:bCs w:val="1"/>
          <w:color w:val="auto"/>
        </w:rPr>
      </w:pPr>
    </w:p>
    <w:p>
      <w:pPr>
        <w:ind w:left="660" w:hanging="652"/>
        <w:spacing w:after="0"/>
        <w:tabs>
          <w:tab w:leader="none" w:pos="66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PURCHASE RIGHTS; PURCHASE PRICE.</w:t>
      </w:r>
    </w:p>
    <w:p>
      <w:pPr>
        <w:spacing w:after="0" w:line="221" w:lineRule="exact"/>
        <w:rPr>
          <w:rFonts w:ascii="Arial" w:cs="Arial" w:eastAsia="Arial" w:hAnsi="Arial"/>
          <w:sz w:val="20"/>
          <w:szCs w:val="20"/>
          <w:b w:val="1"/>
          <w:bCs w:val="1"/>
          <w:color w:val="auto"/>
        </w:rPr>
      </w:pPr>
    </w:p>
    <w:p>
      <w:pPr>
        <w:jc w:val="both"/>
        <w:ind w:firstLine="656"/>
        <w:spacing w:after="0" w:line="260" w:lineRule="auto"/>
        <w:tabs>
          <w:tab w:leader="none" w:pos="1106" w:val="left"/>
        </w:tabs>
        <w:numPr>
          <w:ilvl w:val="1"/>
          <w:numId w:val="194"/>
        </w:numPr>
        <w:rPr>
          <w:rFonts w:ascii="Arial" w:cs="Arial" w:eastAsia="Arial" w:hAnsi="Arial"/>
          <w:sz w:val="19"/>
          <w:szCs w:val="19"/>
          <w:b w:val="1"/>
          <w:bCs w:val="1"/>
          <w:color w:val="auto"/>
        </w:rPr>
      </w:pPr>
      <w:r>
        <w:rPr>
          <w:rFonts w:ascii="Arial" w:cs="Arial" w:eastAsia="Arial" w:hAnsi="Arial"/>
          <w:sz w:val="19"/>
          <w:szCs w:val="19"/>
          <w:color w:val="auto"/>
        </w:rPr>
        <w:t>On each Offering Date, each Eligible Employee, pursuant to an Offering made under the Plan, shall be granted a Purchase Right to purchase up to that number of Ordinary Shares purchasable either with a percentage or with a maximum dollar amount, as designated by the Board, but in either case not exceeding fifteen percent (15%)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spacing w:after="0" w:line="140" w:lineRule="exact"/>
        <w:rPr>
          <w:rFonts w:ascii="Arial" w:cs="Arial" w:eastAsia="Arial" w:hAnsi="Arial"/>
          <w:sz w:val="19"/>
          <w:szCs w:val="19"/>
          <w:b w:val="1"/>
          <w:bCs w:val="1"/>
          <w:color w:val="auto"/>
        </w:rPr>
      </w:pPr>
    </w:p>
    <w:p>
      <w:pPr>
        <w:ind w:right="20" w:firstLine="656"/>
        <w:spacing w:after="0" w:line="287" w:lineRule="auto"/>
        <w:tabs>
          <w:tab w:leader="none" w:pos="1087" w:val="left"/>
        </w:tabs>
        <w:numPr>
          <w:ilvl w:val="1"/>
          <w:numId w:val="194"/>
        </w:numPr>
        <w:rPr>
          <w:rFonts w:ascii="Arial" w:cs="Arial" w:eastAsia="Arial" w:hAnsi="Arial"/>
          <w:sz w:val="19"/>
          <w:szCs w:val="19"/>
          <w:b w:val="1"/>
          <w:bCs w:val="1"/>
          <w:color w:val="auto"/>
        </w:rPr>
      </w:pPr>
      <w:r>
        <w:rPr>
          <w:rFonts w:ascii="Arial" w:cs="Arial" w:eastAsia="Arial" w:hAnsi="Arial"/>
          <w:sz w:val="19"/>
          <w:szCs w:val="19"/>
          <w:color w:val="auto"/>
        </w:rPr>
        <w:t>The Board shall establish one (1) or more Purchase Dates during an Offering as of which Purchase Rights granted pursuant to that Offering shall be exercised and purchases of Ordinary Shares shall be carried out in accordance with such Offering.</w:t>
      </w:r>
    </w:p>
    <w:p>
      <w:pPr>
        <w:spacing w:after="0" w:line="112" w:lineRule="exact"/>
        <w:rPr>
          <w:rFonts w:ascii="Arial" w:cs="Arial" w:eastAsia="Arial" w:hAnsi="Arial"/>
          <w:sz w:val="19"/>
          <w:szCs w:val="19"/>
          <w:b w:val="1"/>
          <w:bCs w:val="1"/>
          <w:color w:val="auto"/>
        </w:rPr>
      </w:pPr>
    </w:p>
    <w:p>
      <w:pPr>
        <w:jc w:val="both"/>
        <w:ind w:firstLine="656"/>
        <w:spacing w:after="0" w:line="257" w:lineRule="auto"/>
        <w:tabs>
          <w:tab w:leader="none" w:pos="1104" w:val="left"/>
        </w:tabs>
        <w:numPr>
          <w:ilvl w:val="1"/>
          <w:numId w:val="194"/>
        </w:numPr>
        <w:rPr>
          <w:rFonts w:ascii="Arial" w:cs="Arial" w:eastAsia="Arial" w:hAnsi="Arial"/>
          <w:sz w:val="19"/>
          <w:szCs w:val="19"/>
          <w:b w:val="1"/>
          <w:bCs w:val="1"/>
          <w:color w:val="auto"/>
        </w:rPr>
      </w:pPr>
      <w:r>
        <w:rPr>
          <w:rFonts w:ascii="Arial" w:cs="Arial" w:eastAsia="Arial" w:hAnsi="Arial"/>
          <w:sz w:val="19"/>
          <w:szCs w:val="19"/>
          <w:color w:val="auto"/>
        </w:rPr>
        <w:t>In connection with each Offering made under the Plan, the Board may specify a maximum number of Ordinary Shares that may be purchased by any Participant on any Purchase Date during such Offering. In connection with each Offering made under the Plan, the Board may specify a maximum aggregate number of Ordinary Shares that may be purchased by all Participants pursuant to such Offering. In addition, in connection with each Offering that contains more than one Purchase Date, the Board may specify a maximum aggregate number of Ordinary Shares that may be purchased by all Participants on any Purchase Date under the Offering. If the aggregate purchase of Ordinary Shares issuable upon exercise of Purchase Rights granted under the Offering would exceed any such maximum aggregate number, then, in the absence of any Board action otherwise, a pro rata allocation of the Ordinary Shares available shall be made in as nearly a uniform manner as shall be practicable and equitable.</w:t>
      </w:r>
    </w:p>
    <w:p>
      <w:pPr>
        <w:spacing w:after="0" w:line="140" w:lineRule="exact"/>
        <w:rPr>
          <w:rFonts w:ascii="Arial" w:cs="Arial" w:eastAsia="Arial" w:hAnsi="Arial"/>
          <w:sz w:val="19"/>
          <w:szCs w:val="19"/>
          <w:b w:val="1"/>
          <w:bCs w:val="1"/>
          <w:color w:val="auto"/>
        </w:rPr>
      </w:pPr>
    </w:p>
    <w:p>
      <w:pPr>
        <w:ind w:left="1100" w:hanging="444"/>
        <w:spacing w:after="0"/>
        <w:tabs>
          <w:tab w:leader="none" w:pos="1100" w:val="left"/>
        </w:tabs>
        <w:numPr>
          <w:ilvl w:val="1"/>
          <w:numId w:val="194"/>
        </w:numPr>
        <w:rPr>
          <w:rFonts w:ascii="Arial" w:cs="Arial" w:eastAsia="Arial" w:hAnsi="Arial"/>
          <w:sz w:val="20"/>
          <w:szCs w:val="20"/>
          <w:b w:val="1"/>
          <w:bCs w:val="1"/>
          <w:color w:val="auto"/>
        </w:rPr>
      </w:pPr>
      <w:r>
        <w:rPr>
          <w:rFonts w:ascii="Arial" w:cs="Arial" w:eastAsia="Arial" w:hAnsi="Arial"/>
          <w:sz w:val="20"/>
          <w:szCs w:val="20"/>
          <w:color w:val="auto"/>
        </w:rPr>
        <w:t>The purchase price of Ordinary Shares acquired pursuant to Purchase Rights shall be not less than the lesser of:</w:t>
      </w:r>
    </w:p>
    <w:p>
      <w:pPr>
        <w:spacing w:after="0" w:line="175" w:lineRule="exact"/>
        <w:rPr>
          <w:rFonts w:ascii="Arial" w:cs="Arial" w:eastAsia="Arial" w:hAnsi="Arial"/>
          <w:sz w:val="20"/>
          <w:szCs w:val="20"/>
          <w:b w:val="1"/>
          <w:bCs w:val="1"/>
          <w:color w:val="auto"/>
        </w:rPr>
      </w:pPr>
    </w:p>
    <w:p>
      <w:pPr>
        <w:ind w:left="1680" w:hanging="375"/>
        <w:spacing w:after="0"/>
        <w:tabs>
          <w:tab w:leader="none" w:pos="1680" w:val="left"/>
        </w:tabs>
        <w:numPr>
          <w:ilvl w:val="2"/>
          <w:numId w:val="194"/>
        </w:numPr>
        <w:rPr>
          <w:rFonts w:ascii="Arial" w:cs="Arial" w:eastAsia="Arial" w:hAnsi="Arial"/>
          <w:sz w:val="18"/>
          <w:szCs w:val="18"/>
          <w:b w:val="1"/>
          <w:bCs w:val="1"/>
          <w:color w:val="auto"/>
        </w:rPr>
      </w:pPr>
      <w:r>
        <w:rPr>
          <w:rFonts w:ascii="Arial" w:cs="Arial" w:eastAsia="Arial" w:hAnsi="Arial"/>
          <w:sz w:val="18"/>
          <w:szCs w:val="18"/>
          <w:color w:val="auto"/>
        </w:rPr>
        <w:t>an amount equal to eighty-five percent (85%) of the Fair Market Value of the Ordinary Shares on the Offering Date; or</w:t>
      </w:r>
    </w:p>
    <w:p>
      <w:pPr>
        <w:spacing w:after="0" w:line="198" w:lineRule="exact"/>
        <w:rPr>
          <w:rFonts w:ascii="Arial" w:cs="Arial" w:eastAsia="Arial" w:hAnsi="Arial"/>
          <w:sz w:val="18"/>
          <w:szCs w:val="18"/>
          <w:b w:val="1"/>
          <w:bCs w:val="1"/>
          <w:color w:val="auto"/>
        </w:rPr>
      </w:pPr>
    </w:p>
    <w:p>
      <w:pPr>
        <w:ind w:left="1760" w:hanging="455"/>
        <w:spacing w:after="0"/>
        <w:tabs>
          <w:tab w:leader="none" w:pos="1760" w:val="left"/>
        </w:tabs>
        <w:numPr>
          <w:ilvl w:val="2"/>
          <w:numId w:val="194"/>
        </w:numPr>
        <w:rPr>
          <w:rFonts w:ascii="Arial" w:cs="Arial" w:eastAsia="Arial" w:hAnsi="Arial"/>
          <w:sz w:val="18"/>
          <w:szCs w:val="18"/>
          <w:b w:val="1"/>
          <w:bCs w:val="1"/>
          <w:color w:val="auto"/>
        </w:rPr>
      </w:pPr>
      <w:r>
        <w:rPr>
          <w:rFonts w:ascii="Arial" w:cs="Arial" w:eastAsia="Arial" w:hAnsi="Arial"/>
          <w:sz w:val="18"/>
          <w:szCs w:val="18"/>
          <w:color w:val="auto"/>
        </w:rPr>
        <w:t>an amount equal to eighty-five percent (85%) of the Fair Market Value of the Ordinary Shares on the applicable Purchase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Date;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all cases the purchase price is not less than the nominal value of an Ordinary Share on the applicable Purchase Date.</w:t>
      </w:r>
    </w:p>
    <w:p>
      <w:pPr>
        <w:sectPr>
          <w:pgSz w:w="11900" w:h="16838" w:orient="portrait"/>
          <w:cols w:equalWidth="0" w:num="1">
            <w:col w:w="11420"/>
          </w:cols>
          <w:pgMar w:left="240" w:top="622" w:right="239" w:bottom="1440" w:gutter="0" w:footer="0" w:header="0"/>
        </w:sectPr>
      </w:pPr>
    </w:p>
    <w:bookmarkStart w:id="261" w:name="page262"/>
    <w:bookmarkEnd w:id="261"/>
    <w:p>
      <w:pPr>
        <w:ind w:left="652" w:hanging="652"/>
        <w:spacing w:after="0"/>
        <w:tabs>
          <w:tab w:leader="none" w:pos="652"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 WITHDRAWAL; TERMINATION.</w:t>
      </w:r>
    </w:p>
    <w:p>
      <w:pPr>
        <w:spacing w:after="0" w:line="221" w:lineRule="exact"/>
        <w:rPr>
          <w:rFonts w:ascii="Arial" w:cs="Arial" w:eastAsia="Arial" w:hAnsi="Arial"/>
          <w:sz w:val="20"/>
          <w:szCs w:val="20"/>
          <w:b w:val="1"/>
          <w:bCs w:val="1"/>
          <w:color w:val="auto"/>
        </w:rPr>
      </w:pPr>
    </w:p>
    <w:p>
      <w:pPr>
        <w:jc w:val="both"/>
        <w:ind w:left="-8" w:firstLine="656"/>
        <w:spacing w:after="0" w:line="272" w:lineRule="auto"/>
        <w:tabs>
          <w:tab w:leader="none" w:pos="106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A Participant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be credited to a bookkeeping account for such Participant under the Plan and shall be deposited with the general funds of the Company except where applicable law requires that Contributions be deposited with a third party. To the extent provided in the Offering, a Participant may begin such Contributions after the beginning of the Offering. To the extent provided in the Offering, a Participant may thereafter reduce (including to zero) or increase his or her Contributions. To the extent specifically provided in the Offering, in addition to making Contributions by payroll deductions, a Participant may make Contributions through the payment by cash or check prior to each Purchase Date of the Offering.</w:t>
      </w:r>
    </w:p>
    <w:p>
      <w:pPr>
        <w:spacing w:after="0" w:line="130" w:lineRule="exact"/>
        <w:rPr>
          <w:rFonts w:ascii="Arial" w:cs="Arial" w:eastAsia="Arial" w:hAnsi="Arial"/>
          <w:sz w:val="18"/>
          <w:szCs w:val="18"/>
          <w:b w:val="1"/>
          <w:bCs w:val="1"/>
          <w:color w:val="auto"/>
        </w:rPr>
      </w:pPr>
    </w:p>
    <w:p>
      <w:pPr>
        <w:jc w:val="both"/>
        <w:ind w:left="-8" w:firstLine="656"/>
        <w:spacing w:after="0" w:line="274" w:lineRule="auto"/>
        <w:tabs>
          <w:tab w:leader="none" w:pos="1090"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Ordinary Shares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spacing w:after="0" w:line="128" w:lineRule="exact"/>
        <w:rPr>
          <w:rFonts w:ascii="Arial" w:cs="Arial" w:eastAsia="Arial" w:hAnsi="Arial"/>
          <w:sz w:val="18"/>
          <w:szCs w:val="18"/>
          <w:b w:val="1"/>
          <w:bCs w:val="1"/>
          <w:color w:val="auto"/>
        </w:rPr>
      </w:pPr>
    </w:p>
    <w:p>
      <w:pPr>
        <w:jc w:val="both"/>
        <w:ind w:left="-8" w:firstLine="656"/>
        <w:spacing w:after="0" w:line="242" w:lineRule="auto"/>
        <w:tabs>
          <w:tab w:leader="none" w:pos="1086" w:val="left"/>
        </w:tabs>
        <w:numPr>
          <w:ilvl w:val="1"/>
          <w:numId w:val="195"/>
        </w:numPr>
        <w:rPr>
          <w:rFonts w:ascii="Arial" w:cs="Arial" w:eastAsia="Arial" w:hAnsi="Arial"/>
          <w:sz w:val="20"/>
          <w:szCs w:val="20"/>
          <w:b w:val="1"/>
          <w:bCs w:val="1"/>
          <w:color w:val="auto"/>
        </w:rPr>
      </w:pPr>
      <w:r>
        <w:rPr>
          <w:rFonts w:ascii="Arial" w:cs="Arial" w:eastAsia="Arial" w:hAnsi="Arial"/>
          <w:sz w:val="20"/>
          <w:szCs w:val="20"/>
          <w:color w:val="auto"/>
        </w:rPr>
        <w:t>Purchase Rights granted pursuant to any Offering under the Plan shall terminate immediately upon a Participant ceasing to be an Employee for any reason or for no reason (subject to any post-employment participation period required by law) or other lack of eligibility. The Company shall distribute to such terminated or otherwise ineligible Employee all of his or her accumulated Contributions (reduced to the extent, if any, such Contributions have been used to acquire Ordinary Shares for the terminated or otherwise ineligible Employee) under the Offering</w:t>
      </w:r>
      <w:r>
        <w:rPr>
          <w:rFonts w:ascii="Arial" w:cs="Arial" w:eastAsia="Arial" w:hAnsi="Arial"/>
          <w:sz w:val="20"/>
          <w:szCs w:val="20"/>
          <w:u w:val="single" w:color="auto"/>
          <w:color w:val="0000FF"/>
        </w:rPr>
        <w:t>.</w:t>
      </w:r>
      <w:r>
        <w:rPr>
          <w:rFonts w:ascii="Arial" w:cs="Arial" w:eastAsia="Arial" w:hAnsi="Arial"/>
          <w:sz w:val="20"/>
          <w:szCs w:val="20"/>
          <w:color w:val="auto"/>
        </w:rPr>
        <w:t xml:space="preserve"> For purposes of clarification, in the event a Participant transfers employment from the Company or a Related Corporation that has been designated as being eligible to participate in the Plan for an Offering to a Related Corporation that has not been designated as being eligible to participate in the Plan for such Offering, such transfer shall not cause such Participant to cease being eligible to participate in the Plan for such Offering, provided that there is no interruption or termination of such Participant’s employment with the Company or a Related Corporation.</w:t>
      </w:r>
    </w:p>
    <w:p>
      <w:pPr>
        <w:spacing w:after="0" w:line="154" w:lineRule="exact"/>
        <w:rPr>
          <w:rFonts w:ascii="Arial" w:cs="Arial" w:eastAsia="Arial" w:hAnsi="Arial"/>
          <w:sz w:val="20"/>
          <w:szCs w:val="20"/>
          <w:b w:val="1"/>
          <w:bCs w:val="1"/>
          <w:color w:val="auto"/>
        </w:rPr>
      </w:pPr>
    </w:p>
    <w:p>
      <w:pPr>
        <w:ind w:left="-8" w:firstLine="656"/>
        <w:spacing w:after="0" w:line="316" w:lineRule="auto"/>
        <w:tabs>
          <w:tab w:leader="none" w:pos="1102" w:val="left"/>
        </w:tabs>
        <w:numPr>
          <w:ilvl w:val="1"/>
          <w:numId w:val="195"/>
        </w:numPr>
        <w:rPr>
          <w:rFonts w:ascii="Arial" w:cs="Arial" w:eastAsia="Arial" w:hAnsi="Arial"/>
          <w:sz w:val="18"/>
          <w:szCs w:val="18"/>
          <w:b w:val="1"/>
          <w:bCs w:val="1"/>
          <w:color w:val="auto"/>
        </w:rPr>
      </w:pPr>
      <w:r>
        <w:rPr>
          <w:rFonts w:ascii="Arial" w:cs="Arial" w:eastAsia="Arial" w:hAnsi="Arial"/>
          <w:sz w:val="18"/>
          <w:szCs w:val="18"/>
          <w:color w:val="auto"/>
        </w:rPr>
        <w:t>Purchase Rights shall not be transferable by a Participant except by will, the laws of descent and distribution, or by a beneficiary designation as provided in Section 10. During a Participant’s lifetime, Purchase Rights shall be exercisable only by such Participant.</w:t>
      </w:r>
    </w:p>
    <w:p>
      <w:pPr>
        <w:spacing w:after="0" w:line="89" w:lineRule="exact"/>
        <w:rPr>
          <w:rFonts w:ascii="Arial" w:cs="Arial" w:eastAsia="Arial" w:hAnsi="Arial"/>
          <w:sz w:val="18"/>
          <w:szCs w:val="18"/>
          <w:b w:val="1"/>
          <w:bCs w:val="1"/>
          <w:color w:val="auto"/>
        </w:rPr>
      </w:pPr>
    </w:p>
    <w:p>
      <w:pPr>
        <w:ind w:left="1072" w:hanging="424"/>
        <w:spacing w:after="0"/>
        <w:tabs>
          <w:tab w:leader="none" w:pos="1072" w:val="left"/>
        </w:tabs>
        <w:numPr>
          <w:ilvl w:val="1"/>
          <w:numId w:val="195"/>
        </w:numPr>
        <w:rPr>
          <w:rFonts w:ascii="Arial" w:cs="Arial" w:eastAsia="Arial" w:hAnsi="Arial"/>
          <w:sz w:val="20"/>
          <w:szCs w:val="20"/>
          <w:b w:val="1"/>
          <w:bCs w:val="1"/>
          <w:color w:val="auto"/>
        </w:rPr>
      </w:pPr>
      <w:r>
        <w:rPr>
          <w:rFonts w:ascii="Arial" w:cs="Arial" w:eastAsia="Arial" w:hAnsi="Arial"/>
          <w:sz w:val="20"/>
          <w:szCs w:val="20"/>
          <w:color w:val="auto"/>
        </w:rPr>
        <w:t>Unless otherwise specified in an Offering, the Company shall have no obligation to pay interest on Contributions.</w:t>
      </w:r>
    </w:p>
    <w:p>
      <w:pPr>
        <w:spacing w:after="0" w:line="169" w:lineRule="exact"/>
        <w:rPr>
          <w:rFonts w:ascii="Arial" w:cs="Arial" w:eastAsia="Arial" w:hAnsi="Arial"/>
          <w:sz w:val="20"/>
          <w:szCs w:val="20"/>
          <w:b w:val="1"/>
          <w:bCs w:val="1"/>
          <w:color w:val="auto"/>
        </w:rPr>
      </w:pPr>
    </w:p>
    <w:p>
      <w:pPr>
        <w:ind w:left="652" w:hanging="652"/>
        <w:spacing w:after="0"/>
        <w:tabs>
          <w:tab w:leader="none" w:pos="652"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EXERCISE OF PURCHASE RIGHTS.</w:t>
      </w:r>
    </w:p>
    <w:p>
      <w:pPr>
        <w:spacing w:after="0" w:line="221" w:lineRule="exact"/>
        <w:rPr>
          <w:rFonts w:ascii="Arial" w:cs="Arial" w:eastAsia="Arial" w:hAnsi="Arial"/>
          <w:sz w:val="20"/>
          <w:szCs w:val="20"/>
          <w:b w:val="1"/>
          <w:bCs w:val="1"/>
          <w:color w:val="auto"/>
        </w:rPr>
      </w:pPr>
    </w:p>
    <w:p>
      <w:pPr>
        <w:jc w:val="both"/>
        <w:ind w:left="-8" w:firstLine="656"/>
        <w:spacing w:after="0" w:line="250" w:lineRule="auto"/>
        <w:tabs>
          <w:tab w:leader="none" w:pos="1167" w:val="left"/>
        </w:tabs>
        <w:numPr>
          <w:ilvl w:val="1"/>
          <w:numId w:val="195"/>
        </w:numPr>
        <w:rPr>
          <w:rFonts w:ascii="Arial" w:cs="Arial" w:eastAsia="Arial" w:hAnsi="Arial"/>
          <w:sz w:val="20"/>
          <w:szCs w:val="20"/>
          <w:b w:val="1"/>
          <w:bCs w:val="1"/>
          <w:color w:val="auto"/>
        </w:rPr>
      </w:pPr>
      <w:r>
        <w:rPr>
          <w:rFonts w:ascii="Arial" w:cs="Arial" w:eastAsia="Arial" w:hAnsi="Arial"/>
          <w:sz w:val="20"/>
          <w:szCs w:val="20"/>
          <w:color w:val="auto"/>
        </w:rPr>
        <w:t>On each Purchase Date during an Offering, each Participant’s accumulated Contributions shall be applied to the purchase of Ordinary Shares up to the maximum number of Ordinary Shares permitted pursuant to the terms of the Plan and the applicable Offering, at the purchase price specified in the Offering.</w:t>
      </w:r>
    </w:p>
    <w:p>
      <w:pPr>
        <w:sectPr>
          <w:pgSz w:w="11900" w:h="16838" w:orient="portrait"/>
          <w:cols w:equalWidth="0" w:num="1">
            <w:col w:w="11412"/>
          </w:cols>
          <w:pgMar w:left="248" w:top="616" w:right="239" w:bottom="1440" w:gutter="0" w:footer="0" w:header="0"/>
        </w:sectPr>
      </w:pPr>
    </w:p>
    <w:bookmarkStart w:id="262" w:name="page263"/>
    <w:bookmarkEnd w:id="262"/>
    <w:p>
      <w:pPr>
        <w:spacing w:after="0"/>
        <w:rPr>
          <w:sz w:val="20"/>
          <w:szCs w:val="20"/>
          <w:color w:val="auto"/>
        </w:rPr>
      </w:pPr>
      <w:r>
        <w:rPr>
          <w:rFonts w:ascii="Arial" w:cs="Arial" w:eastAsia="Arial" w:hAnsi="Arial"/>
          <w:sz w:val="19"/>
          <w:szCs w:val="19"/>
          <w:color w:val="auto"/>
        </w:rPr>
        <w:t>No fractional Ordinary Shares shall be issued upon the exercise of Purchase Rights unless specifically provided for in the Offering.</w:t>
      </w:r>
    </w:p>
    <w:p>
      <w:pPr>
        <w:spacing w:after="0" w:line="187" w:lineRule="exact"/>
        <w:rPr>
          <w:sz w:val="20"/>
          <w:szCs w:val="20"/>
          <w:color w:val="auto"/>
        </w:rPr>
      </w:pPr>
    </w:p>
    <w:p>
      <w:pPr>
        <w:jc w:val="both"/>
        <w:ind w:firstLine="656"/>
        <w:spacing w:after="0" w:line="302" w:lineRule="auto"/>
        <w:tabs>
          <w:tab w:leader="none" w:pos="1147" w:val="left"/>
        </w:tabs>
        <w:numPr>
          <w:ilvl w:val="1"/>
          <w:numId w:val="196"/>
        </w:numPr>
        <w:rPr>
          <w:rFonts w:ascii="Arial" w:cs="Arial" w:eastAsia="Arial" w:hAnsi="Arial"/>
          <w:sz w:val="16"/>
          <w:szCs w:val="16"/>
          <w:b w:val="1"/>
          <w:bCs w:val="1"/>
          <w:color w:val="auto"/>
        </w:rPr>
      </w:pPr>
      <w:r>
        <w:rPr>
          <w:rFonts w:ascii="Arial" w:cs="Arial" w:eastAsia="Arial" w:hAnsi="Arial"/>
          <w:sz w:val="16"/>
          <w:szCs w:val="16"/>
          <w:color w:val="auto"/>
        </w:rPr>
        <w:t>If any amount of accumulated Contributions remains in a Participant’s account after the purchase of Ordinary Shares and such remaining amount is less than the amount required to purchase one Ordinary Share on the final Purchase Date of an Offering, then such remaining amount shall be held in such Participant’s account for the purchase of Ordinary Shares under the next Offering under the Plan, unless such Participant withdraws from such next Offering, as provided in Section 7(b), or is not eligible to participate in such Offering, as provided in Section 5, in which case such amount shall be distributed to such Participant after the final Purchase Date, without interest. If the amount of Contributions remaining in a Participant’s account after the purchase of Ordinary Shares is at least equal to the amount required to purchase one</w:t>
      </w:r>
    </w:p>
    <w:p>
      <w:pPr>
        <w:spacing w:after="0" w:line="4" w:lineRule="exact"/>
        <w:rPr>
          <w:rFonts w:ascii="Arial" w:cs="Arial" w:eastAsia="Arial" w:hAnsi="Arial"/>
          <w:sz w:val="16"/>
          <w:szCs w:val="16"/>
          <w:b w:val="1"/>
          <w:bCs w:val="1"/>
          <w:color w:val="auto"/>
        </w:rPr>
      </w:pPr>
    </w:p>
    <w:p>
      <w:pPr>
        <w:ind w:firstLine="8"/>
        <w:spacing w:after="0" w:line="244" w:lineRule="auto"/>
        <w:tabs>
          <w:tab w:leader="none" w:pos="28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whole Ordinary Share on the final Purchase Date of the Offering, then such remaining amount shall be distributed in full to such Participant at the end of the Offering without interest.</w:t>
      </w:r>
    </w:p>
    <w:p>
      <w:pPr>
        <w:spacing w:after="0" w:line="151" w:lineRule="exact"/>
        <w:rPr>
          <w:rFonts w:ascii="Arial" w:cs="Arial" w:eastAsia="Arial" w:hAnsi="Arial"/>
          <w:sz w:val="20"/>
          <w:szCs w:val="20"/>
          <w:color w:val="auto"/>
        </w:rPr>
      </w:pPr>
    </w:p>
    <w:p>
      <w:pPr>
        <w:jc w:val="both"/>
        <w:ind w:firstLine="656"/>
        <w:spacing w:after="0" w:line="271" w:lineRule="auto"/>
        <w:tabs>
          <w:tab w:leader="none" w:pos="1076" w:val="left"/>
        </w:tabs>
        <w:numPr>
          <w:ilvl w:val="1"/>
          <w:numId w:val="197"/>
        </w:numPr>
        <w:rPr>
          <w:rFonts w:ascii="Arial" w:cs="Arial" w:eastAsia="Arial" w:hAnsi="Arial"/>
          <w:sz w:val="18"/>
          <w:szCs w:val="18"/>
          <w:b w:val="1"/>
          <w:bCs w:val="1"/>
          <w:color w:val="auto"/>
        </w:rPr>
      </w:pPr>
      <w:r>
        <w:rPr>
          <w:rFonts w:ascii="Arial" w:cs="Arial" w:eastAsia="Arial" w:hAnsi="Arial"/>
          <w:sz w:val="18"/>
          <w:szCs w:val="18"/>
          <w:color w:val="auto"/>
        </w:rPr>
        <w:t>No Purchase Rights may be exercised to any extent unless the Ordinary Shares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during any Offering hereunder the Ordinary Shares are not so registered or the Plan is not in such compliance, no Purchase Rights or any Offering shall be exercised on such Purchase Date, and the Purchase Date shall be delayed until the Ordinary Shares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Ordinary Shares are not registered and the Plan is not in such compliance, no Purchase Rights or any Offering shall be exercised and all Contributions accumulated during the Offering (reduced to the extent, if any, such Contributions have been used to acquire Ordinary Shares) shall be distributed to the Participants without interest.</w:t>
      </w:r>
    </w:p>
    <w:p>
      <w:pPr>
        <w:spacing w:after="0" w:line="128"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shall seek to obtain from each federal, state, foreign or other regulatory commission or agency having jurisdiction over the Plan such authority as may be required to issue and sell Ordinary Shares upon exercise of the Purchase Rights. If, after commercially reasonable efforts, the Company is unable to obtain from any such regulatory commission or agency the authority that counsel for the Company deems necessary for the lawful issuance and sale of Ordinary Shares under the Plan, the Company shall be relieved from any liability for failure to issue and sell Ordinary Shares upon exercise of such Purchase Rights unless and until such authority is obtained.</w:t>
      </w:r>
    </w:p>
    <w:p>
      <w:pPr>
        <w:spacing w:after="0" w:line="159"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20"/>
          <w:szCs w:val="20"/>
          <w:b w:val="1"/>
          <w:bCs w:val="1"/>
          <w:color w:val="auto"/>
        </w:rPr>
      </w:pPr>
      <w:r>
        <w:rPr>
          <w:rFonts w:ascii="Arial" w:cs="Arial" w:eastAsia="Arial" w:hAnsi="Arial"/>
          <w:sz w:val="20"/>
          <w:szCs w:val="20"/>
          <w:b w:val="1"/>
          <w:bCs w:val="1"/>
          <w:color w:val="auto"/>
        </w:rPr>
        <w:t>DESIGNATION OF BENEFICIARY.</w:t>
      </w:r>
    </w:p>
    <w:p>
      <w:pPr>
        <w:spacing w:after="0" w:line="221" w:lineRule="exact"/>
        <w:rPr>
          <w:rFonts w:ascii="Arial" w:cs="Arial" w:eastAsia="Arial" w:hAnsi="Arial"/>
          <w:sz w:val="20"/>
          <w:szCs w:val="20"/>
          <w:b w:val="1"/>
          <w:bCs w:val="1"/>
          <w:color w:val="auto"/>
        </w:rPr>
      </w:pPr>
    </w:p>
    <w:p>
      <w:pPr>
        <w:jc w:val="both"/>
        <w:ind w:firstLine="656"/>
        <w:spacing w:after="0" w:line="244" w:lineRule="auto"/>
        <w:tabs>
          <w:tab w:leader="none" w:pos="1103" w:val="left"/>
        </w:tabs>
        <w:numPr>
          <w:ilvl w:val="1"/>
          <w:numId w:val="199"/>
        </w:numPr>
        <w:rPr>
          <w:rFonts w:ascii="Arial" w:cs="Arial" w:eastAsia="Arial" w:hAnsi="Arial"/>
          <w:sz w:val="20"/>
          <w:szCs w:val="20"/>
          <w:b w:val="1"/>
          <w:bCs w:val="1"/>
          <w:color w:val="auto"/>
        </w:rPr>
      </w:pPr>
      <w:r>
        <w:rPr>
          <w:rFonts w:ascii="Arial" w:cs="Arial" w:eastAsia="Arial" w:hAnsi="Arial"/>
          <w:sz w:val="20"/>
          <w:szCs w:val="20"/>
          <w:color w:val="auto"/>
        </w:rPr>
        <w:t>A Participant may file a written designation of a beneficiary who is to receive any Ordinary Shares and/or cash, if any, from the Participant’s account under the Plan in the event of such Participant’s death subsequent to the end of an Offering but prior to delivery to the Participant of such Ordinary Shares or cash. In addition, a 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spacing w:after="0" w:line="154" w:lineRule="exact"/>
        <w:rPr>
          <w:rFonts w:ascii="Arial" w:cs="Arial" w:eastAsia="Arial" w:hAnsi="Arial"/>
          <w:sz w:val="20"/>
          <w:szCs w:val="20"/>
          <w:b w:val="1"/>
          <w:bCs w:val="1"/>
          <w:color w:val="auto"/>
        </w:rPr>
      </w:pPr>
    </w:p>
    <w:p>
      <w:pPr>
        <w:jc w:val="both"/>
        <w:ind w:firstLine="656"/>
        <w:spacing w:after="0" w:line="250" w:lineRule="auto"/>
        <w:tabs>
          <w:tab w:leader="none" w:pos="1151" w:val="left"/>
        </w:tabs>
        <w:numPr>
          <w:ilvl w:val="1"/>
          <w:numId w:val="199"/>
        </w:numPr>
        <w:rPr>
          <w:rFonts w:ascii="Arial" w:cs="Arial" w:eastAsia="Arial" w:hAnsi="Arial"/>
          <w:sz w:val="20"/>
          <w:szCs w:val="20"/>
          <w:b w:val="1"/>
          <w:bCs w:val="1"/>
          <w:color w:val="auto"/>
        </w:rPr>
      </w:pPr>
      <w:r>
        <w:rPr>
          <w:rFonts w:ascii="Arial" w:cs="Arial" w:eastAsia="Arial" w:hAnsi="Arial"/>
          <w:sz w:val="20"/>
          <w:szCs w:val="20"/>
          <w:color w:val="auto"/>
        </w:rPr>
        <w:t>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Ordinary</w:t>
      </w:r>
    </w:p>
    <w:p>
      <w:pPr>
        <w:sectPr>
          <w:pgSz w:w="11900" w:h="16838" w:orient="portrait"/>
          <w:cols w:equalWidth="0" w:num="1">
            <w:col w:w="11420"/>
          </w:cols>
          <w:pgMar w:left="240" w:top="623" w:right="239" w:bottom="1440" w:gutter="0" w:footer="0" w:header="0"/>
        </w:sectPr>
      </w:pPr>
    </w:p>
    <w:bookmarkStart w:id="263" w:name="page264"/>
    <w:bookmarkEnd w:id="263"/>
    <w:p>
      <w:pPr>
        <w:jc w:val="both"/>
        <w:spacing w:after="0" w:line="246" w:lineRule="auto"/>
        <w:rPr>
          <w:sz w:val="20"/>
          <w:szCs w:val="20"/>
          <w:color w:val="auto"/>
        </w:rPr>
      </w:pPr>
      <w:r>
        <w:rPr>
          <w:rFonts w:ascii="Arial" w:cs="Arial" w:eastAsia="Arial" w:hAnsi="Arial"/>
          <w:sz w:val="20"/>
          <w:szCs w:val="20"/>
          <w:color w:val="auto"/>
        </w:rPr>
        <w:t>Shares and/or cash to the executor or administrator of the estate of the Participant, or if no such executor or administrator has been appointed (to the knowledge of the Company), the Company, in its sole discretion, may deliver such Ordinary Shares and/or cash to the spouse or to any one or more dependents or relatives of the Participant, or if no spouse, dependent or relative is known to the Company, then to such other person as the Company may designate.</w:t>
      </w:r>
    </w:p>
    <w:p>
      <w:pPr>
        <w:spacing w:after="0" w:line="145"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 PROVISIONS.</w:t>
      </w:r>
    </w:p>
    <w:p>
      <w:pPr>
        <w:spacing w:after="0" w:line="221" w:lineRule="exact"/>
        <w:rPr>
          <w:rFonts w:ascii="Arial" w:cs="Arial" w:eastAsia="Arial" w:hAnsi="Arial"/>
          <w:sz w:val="20"/>
          <w:szCs w:val="20"/>
          <w:b w:val="1"/>
          <w:bCs w:val="1"/>
          <w:color w:val="auto"/>
        </w:rPr>
      </w:pPr>
    </w:p>
    <w:p>
      <w:pPr>
        <w:jc w:val="both"/>
        <w:ind w:firstLine="656"/>
        <w:spacing w:after="0" w:line="246" w:lineRule="auto"/>
        <w:tabs>
          <w:tab w:leader="none" w:pos="1089" w:val="left"/>
        </w:tabs>
        <w:numPr>
          <w:ilvl w:val="1"/>
          <w:numId w:val="200"/>
        </w:numPr>
        <w:rPr>
          <w:rFonts w:ascii="Arial" w:cs="Arial" w:eastAsia="Arial" w:hAnsi="Arial"/>
          <w:sz w:val="20"/>
          <w:szCs w:val="20"/>
          <w:b w:val="1"/>
          <w:bCs w:val="1"/>
          <w:color w:val="auto"/>
        </w:rPr>
      </w:pPr>
      <w:r>
        <w:rPr>
          <w:rFonts w:ascii="Arial" w:cs="Arial" w:eastAsia="Arial" w:hAnsi="Arial"/>
          <w:sz w:val="20"/>
          <w:szCs w:val="20"/>
          <w:color w:val="auto"/>
        </w:rPr>
        <w:t>The Plan and Offering do not constitute an employment contract. Nothing in the Plan or in the Offering shall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51" w:lineRule="exact"/>
        <w:rPr>
          <w:rFonts w:ascii="Arial" w:cs="Arial" w:eastAsia="Arial" w:hAnsi="Arial"/>
          <w:sz w:val="20"/>
          <w:szCs w:val="20"/>
          <w:b w:val="1"/>
          <w:bCs w:val="1"/>
          <w:color w:val="auto"/>
        </w:rPr>
      </w:pPr>
    </w:p>
    <w:p>
      <w:pPr>
        <w:ind w:left="1140" w:hanging="484"/>
        <w:spacing w:after="0"/>
        <w:tabs>
          <w:tab w:leader="none" w:pos="1140"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The provisions of the Plan shall be governed by the laws of the State of Delaware without resort to that state’s conflicts of laws</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rules.</w:t>
      </w:r>
    </w:p>
    <w:p>
      <w:pPr>
        <w:spacing w:after="0" w:line="159" w:lineRule="exact"/>
        <w:rPr>
          <w:rFonts w:ascii="Arial" w:cs="Arial" w:eastAsia="Arial" w:hAnsi="Arial"/>
          <w:sz w:val="18"/>
          <w:szCs w:val="18"/>
          <w:b w:val="1"/>
          <w:bCs w:val="1"/>
          <w:color w:val="auto"/>
        </w:rPr>
      </w:pPr>
    </w:p>
    <w:p>
      <w:pPr>
        <w:ind w:left="1080" w:hanging="424"/>
        <w:spacing w:after="0"/>
        <w:tabs>
          <w:tab w:leader="none" w:pos="1080" w:val="left"/>
        </w:tabs>
        <w:numPr>
          <w:ilvl w:val="1"/>
          <w:numId w:val="200"/>
        </w:numPr>
        <w:rPr>
          <w:rFonts w:ascii="Arial" w:cs="Arial" w:eastAsia="Arial" w:hAnsi="Arial"/>
          <w:sz w:val="19"/>
          <w:szCs w:val="19"/>
          <w:b w:val="1"/>
          <w:bCs w:val="1"/>
          <w:color w:val="auto"/>
        </w:rPr>
      </w:pPr>
      <w:r>
        <w:rPr>
          <w:rFonts w:ascii="Arial" w:cs="Arial" w:eastAsia="Arial" w:hAnsi="Arial"/>
          <w:sz w:val="19"/>
          <w:szCs w:val="19"/>
          <w:color w:val="auto"/>
        </w:rPr>
        <w:t>Proceeds from the sale of Ordinary Shares pursuant to Purchase Rights shall constitute general funds of the Company.</w:t>
      </w:r>
    </w:p>
    <w:p>
      <w:pPr>
        <w:spacing w:after="0" w:line="186" w:lineRule="exact"/>
        <w:rPr>
          <w:rFonts w:ascii="Arial" w:cs="Arial" w:eastAsia="Arial" w:hAnsi="Arial"/>
          <w:sz w:val="19"/>
          <w:szCs w:val="19"/>
          <w:b w:val="1"/>
          <w:bCs w:val="1"/>
          <w:color w:val="auto"/>
        </w:rPr>
      </w:pPr>
    </w:p>
    <w:p>
      <w:pPr>
        <w:jc w:val="both"/>
        <w:ind w:firstLine="656"/>
        <w:spacing w:after="0" w:line="250" w:lineRule="auto"/>
        <w:tabs>
          <w:tab w:leader="none" w:pos="1133" w:val="left"/>
        </w:tabs>
        <w:numPr>
          <w:ilvl w:val="1"/>
          <w:numId w:val="200"/>
        </w:numPr>
        <w:rPr>
          <w:rFonts w:ascii="Arial" w:cs="Arial" w:eastAsia="Arial" w:hAnsi="Arial"/>
          <w:sz w:val="20"/>
          <w:szCs w:val="20"/>
          <w:b w:val="1"/>
          <w:bCs w:val="1"/>
          <w:color w:val="auto"/>
        </w:rPr>
      </w:pPr>
      <w:r>
        <w:rPr>
          <w:rFonts w:ascii="Arial" w:cs="Arial" w:eastAsia="Arial" w:hAnsi="Arial"/>
          <w:sz w:val="20"/>
          <w:szCs w:val="20"/>
          <w:color w:val="auto"/>
        </w:rPr>
        <w:t>A Participant shall not be deemed to be the holder of, or to have any of the rights of a holder with respect to, Ordinary Shares subject to Purchase Rights unless and until the Participant’s Ordinary Shares acquired upon exercise of Purchase Rights are recorded in the books of the Company (or its transfer agent).</w:t>
      </w:r>
    </w:p>
    <w:p>
      <w:pPr>
        <w:spacing w:after="0" w:line="139" w:lineRule="exact"/>
        <w:rPr>
          <w:rFonts w:ascii="Arial" w:cs="Arial" w:eastAsia="Arial" w:hAnsi="Arial"/>
          <w:sz w:val="20"/>
          <w:szCs w:val="20"/>
          <w:b w:val="1"/>
          <w:bCs w:val="1"/>
          <w:color w:val="auto"/>
        </w:rPr>
      </w:pPr>
    </w:p>
    <w:p>
      <w:pPr>
        <w:ind w:left="660" w:hanging="652"/>
        <w:spacing w:after="0"/>
        <w:tabs>
          <w:tab w:leader="none" w:pos="66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UPON CHANGES IN ORDINARY SHARES; CORPORATE TRANSACTIONS.</w:t>
      </w:r>
    </w:p>
    <w:p>
      <w:pPr>
        <w:spacing w:after="0" w:line="221" w:lineRule="exact"/>
        <w:rPr>
          <w:rFonts w:ascii="Arial" w:cs="Arial" w:eastAsia="Arial" w:hAnsi="Arial"/>
          <w:sz w:val="20"/>
          <w:szCs w:val="20"/>
          <w:b w:val="1"/>
          <w:bCs w:val="1"/>
          <w:color w:val="auto"/>
        </w:rPr>
      </w:pPr>
    </w:p>
    <w:p>
      <w:pPr>
        <w:jc w:val="both"/>
        <w:ind w:firstLine="656"/>
        <w:spacing w:after="0" w:line="278" w:lineRule="auto"/>
        <w:tabs>
          <w:tab w:leader="none" w:pos="1216" w:val="left"/>
        </w:tabs>
        <w:numPr>
          <w:ilvl w:val="1"/>
          <w:numId w:val="200"/>
        </w:numPr>
        <w:rPr>
          <w:rFonts w:ascii="Arial" w:cs="Arial" w:eastAsia="Arial" w:hAnsi="Arial"/>
          <w:sz w:val="18"/>
          <w:szCs w:val="18"/>
          <w:b w:val="1"/>
          <w:bCs w:val="1"/>
          <w:color w:val="auto"/>
        </w:rPr>
      </w:pPr>
      <w:r>
        <w:rPr>
          <w:rFonts w:ascii="Arial" w:cs="Arial" w:eastAsia="Arial" w:hAnsi="Arial"/>
          <w:sz w:val="18"/>
          <w:szCs w:val="18"/>
          <w:color w:val="auto"/>
        </w:rPr>
        <w:t>In the event of a Capitalization Adjustment, the Board shall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imposed by purchase limits under each ongoing Offering. The Board shall make such adjustments, and its determination shall be final, binding and conclusive.</w:t>
      </w:r>
    </w:p>
    <w:p>
      <w:pPr>
        <w:spacing w:after="0" w:line="124" w:lineRule="exact"/>
        <w:rPr>
          <w:rFonts w:ascii="Arial" w:cs="Arial" w:eastAsia="Arial" w:hAnsi="Arial"/>
          <w:sz w:val="18"/>
          <w:szCs w:val="18"/>
          <w:b w:val="1"/>
          <w:bCs w:val="1"/>
          <w:color w:val="auto"/>
        </w:rPr>
      </w:pPr>
    </w:p>
    <w:p>
      <w:pPr>
        <w:jc w:val="both"/>
        <w:ind w:firstLine="656"/>
        <w:spacing w:after="0" w:line="258" w:lineRule="auto"/>
        <w:tabs>
          <w:tab w:leader="none" w:pos="1095" w:val="left"/>
        </w:tabs>
        <w:numPr>
          <w:ilvl w:val="1"/>
          <w:numId w:val="200"/>
        </w:numPr>
        <w:rPr>
          <w:rFonts w:ascii="Arial" w:cs="Arial" w:eastAsia="Arial" w:hAnsi="Arial"/>
          <w:sz w:val="19"/>
          <w:szCs w:val="19"/>
          <w:b w:val="1"/>
          <w:bCs w:val="1"/>
          <w:color w:val="auto"/>
        </w:rPr>
      </w:pPr>
      <w:r>
        <w:rPr>
          <w:rFonts w:ascii="Arial" w:cs="Arial" w:eastAsia="Arial" w:hAnsi="Arial"/>
          <w:sz w:val="19"/>
          <w:szCs w:val="19"/>
          <w:color w:val="auto"/>
        </w:rPr>
        <w:t>In the event of a Corporate Transaction, then: (i) any surviving corporation or acquiring corporation (or the surviving or acquiring corporation’s parent company) may assume or continue Purchase Rights outstanding under the Plan or may substitute similar rights (including a right to acquire the same consideration paid to the shareholders in the Corporate Transaction) for those outstanding under the Plan, or (ii) if any surviving or acquiring corporation (or its parent company) does not assume or continue such Purchase Rights or does not substitute similar rights for Purchase Rights outstanding under the Plan, then the Participants’ accumulated Contributions shall be used to purchase Ordinary Shares within ten (10) business days prior to the Corporate Transaction under any ongoing Offerings, and the Participants’ Purchase Rights under the ongoing Offerings shall terminate immediately after such purchase.</w:t>
      </w:r>
    </w:p>
    <w:p>
      <w:pPr>
        <w:spacing w:after="0" w:line="132" w:lineRule="exact"/>
        <w:rPr>
          <w:rFonts w:ascii="Arial" w:cs="Arial" w:eastAsia="Arial" w:hAnsi="Arial"/>
          <w:sz w:val="19"/>
          <w:szCs w:val="19"/>
          <w:b w:val="1"/>
          <w:bCs w:val="1"/>
          <w:color w:val="auto"/>
        </w:rPr>
      </w:pPr>
    </w:p>
    <w:p>
      <w:pPr>
        <w:ind w:left="660" w:hanging="652"/>
        <w:spacing w:after="0"/>
        <w:tabs>
          <w:tab w:leader="none" w:pos="66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TERMINATION OR SUSPENSION OF THE PLAN.</w:t>
      </w:r>
    </w:p>
    <w:p>
      <w:pPr>
        <w:spacing w:after="0" w:line="221" w:lineRule="exact"/>
        <w:rPr>
          <w:rFonts w:ascii="Arial" w:cs="Arial" w:eastAsia="Arial" w:hAnsi="Arial"/>
          <w:sz w:val="20"/>
          <w:szCs w:val="20"/>
          <w:b w:val="1"/>
          <w:bCs w:val="1"/>
          <w:color w:val="auto"/>
        </w:rPr>
      </w:pPr>
    </w:p>
    <w:p>
      <w:pPr>
        <w:jc w:val="both"/>
        <w:ind w:firstLine="656"/>
        <w:spacing w:after="0" w:line="342" w:lineRule="auto"/>
        <w:tabs>
          <w:tab w:leader="none" w:pos="1095" w:val="left"/>
        </w:tabs>
        <w:numPr>
          <w:ilvl w:val="1"/>
          <w:numId w:val="200"/>
        </w:numPr>
        <w:rPr>
          <w:rFonts w:ascii="Arial" w:cs="Arial" w:eastAsia="Arial" w:hAnsi="Arial"/>
          <w:sz w:val="16"/>
          <w:szCs w:val="16"/>
          <w:b w:val="1"/>
          <w:bCs w:val="1"/>
          <w:color w:val="auto"/>
        </w:rPr>
      </w:pPr>
      <w:r>
        <w:rPr>
          <w:rFonts w:ascii="Arial" w:cs="Arial" w:eastAsia="Arial" w:hAnsi="Arial"/>
          <w:sz w:val="16"/>
          <w:szCs w:val="16"/>
          <w:color w:val="auto"/>
        </w:rPr>
        <w:t>The Board may amend the Plan at any time in any respect the Board deems necessary or advisable. However, except as provided in Section 12(a) relating to Capitalization Adjustments, shareholder approval shall be required for any amendment of the Plan for which shareholder approval is required by applicable law or listing requirements, including any amendment that either (i) materially increases the</w:t>
      </w:r>
    </w:p>
    <w:p>
      <w:pPr>
        <w:sectPr>
          <w:pgSz w:w="11900" w:h="16838" w:orient="portrait"/>
          <w:cols w:equalWidth="0" w:num="1">
            <w:col w:w="11420"/>
          </w:cols>
          <w:pgMar w:left="240" w:top="623" w:right="239" w:bottom="1440" w:gutter="0" w:footer="0" w:header="0"/>
        </w:sectPr>
      </w:pPr>
    </w:p>
    <w:bookmarkStart w:id="264" w:name="page265"/>
    <w:bookmarkEnd w:id="264"/>
    <w:p>
      <w:pPr>
        <w:jc w:val="both"/>
        <w:spacing w:after="0" w:line="244" w:lineRule="auto"/>
        <w:rPr>
          <w:sz w:val="20"/>
          <w:szCs w:val="20"/>
          <w:color w:val="auto"/>
        </w:rPr>
      </w:pPr>
      <w:r>
        <w:rPr>
          <w:rFonts w:ascii="Arial" w:cs="Arial" w:eastAsia="Arial" w:hAnsi="Arial"/>
          <w:sz w:val="20"/>
          <w:szCs w:val="20"/>
          <w:color w:val="auto"/>
        </w:rPr>
        <w:t>number of Ordinary Shares available for issuance under the Plan, (ii) materially expands the class of individuals eligible to become Participants and receive Purchase Rights under the Plan, (iii) materially increases the benefits accruing to Participants under the Plan or materially reduces the price at which Ordinary Shares may be purchased under the Plan, (iv) materially extends the term of the Plan, or (v) expands the types of awards available for issuance under the Plan, but in each of (i) through (v) above only to the extent shareholder approval is required by applicable law or listing requirements.</w:t>
      </w:r>
    </w:p>
    <w:p>
      <w:pPr>
        <w:spacing w:after="0" w:line="154" w:lineRule="exact"/>
        <w:rPr>
          <w:sz w:val="20"/>
          <w:szCs w:val="20"/>
          <w:color w:val="auto"/>
        </w:rPr>
      </w:pPr>
    </w:p>
    <w:p>
      <w:pPr>
        <w:jc w:val="both"/>
        <w:ind w:right="20" w:firstLine="656"/>
        <w:spacing w:after="0" w:line="269" w:lineRule="auto"/>
        <w:tabs>
          <w:tab w:leader="none" w:pos="1084" w:val="left"/>
        </w:tabs>
        <w:numPr>
          <w:ilvl w:val="1"/>
          <w:numId w:val="201"/>
        </w:numPr>
        <w:rPr>
          <w:rFonts w:ascii="Arial" w:cs="Arial" w:eastAsia="Arial" w:hAnsi="Arial"/>
          <w:sz w:val="19"/>
          <w:szCs w:val="19"/>
          <w:b w:val="1"/>
          <w:bCs w:val="1"/>
          <w:color w:val="auto"/>
        </w:rPr>
      </w:pPr>
      <w:r>
        <w:rPr>
          <w:rFonts w:ascii="Arial" w:cs="Arial" w:eastAsia="Arial" w:hAnsi="Arial"/>
          <w:sz w:val="19"/>
          <w:szCs w:val="19"/>
          <w:color w:val="auto"/>
        </w:rPr>
        <w:t>The Board may suspend or terminate the Plan at any time. Unless sooner terminated, the Plan shall terminate at the time that all of the Ordinary Shares reserved for issuance under the Plan, as increased and/or adjusted from time to time, have been issued under the terms of the Plan. No Purchase Rights may be granted under the Plan while the Plan is suspended or after it is terminated.</w:t>
      </w:r>
    </w:p>
    <w:p>
      <w:pPr>
        <w:spacing w:after="0" w:line="129" w:lineRule="exact"/>
        <w:rPr>
          <w:rFonts w:ascii="Arial" w:cs="Arial" w:eastAsia="Arial" w:hAnsi="Arial"/>
          <w:sz w:val="19"/>
          <w:szCs w:val="19"/>
          <w:b w:val="1"/>
          <w:bCs w:val="1"/>
          <w:color w:val="auto"/>
        </w:rPr>
      </w:pPr>
    </w:p>
    <w:p>
      <w:pPr>
        <w:jc w:val="both"/>
        <w:ind w:firstLine="656"/>
        <w:spacing w:after="0" w:line="276" w:lineRule="auto"/>
        <w:tabs>
          <w:tab w:leader="none" w:pos="1172" w:val="left"/>
        </w:tabs>
        <w:numPr>
          <w:ilvl w:val="1"/>
          <w:numId w:val="201"/>
        </w:numPr>
        <w:rPr>
          <w:rFonts w:ascii="Arial" w:cs="Arial" w:eastAsia="Arial" w:hAnsi="Arial"/>
          <w:sz w:val="18"/>
          <w:szCs w:val="18"/>
          <w:b w:val="1"/>
          <w:bCs w:val="1"/>
          <w:color w:val="auto"/>
        </w:rPr>
      </w:pPr>
      <w:r>
        <w:rPr>
          <w:rFonts w:ascii="Arial" w:cs="Arial" w:eastAsia="Arial" w:hAnsi="Arial"/>
          <w:sz w:val="18"/>
          <w:szCs w:val="18"/>
          <w:color w:val="auto"/>
        </w:rPr>
        <w:t>Any benefits, privileges, entitlements and obligations under any outstanding Purchase Rights granted before an amendment, suspension or termination of the Plan shall not be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Effective Date of the Plan, or (iii) as necessary to obtain or maintain favorable tax, listing, or regulatory treatment.</w:t>
      </w:r>
    </w:p>
    <w:p>
      <w:pPr>
        <w:spacing w:after="0" w:line="118" w:lineRule="exact"/>
        <w:rPr>
          <w:rFonts w:ascii="Arial" w:cs="Arial" w:eastAsia="Arial" w:hAnsi="Arial"/>
          <w:sz w:val="18"/>
          <w:szCs w:val="18"/>
          <w:b w:val="1"/>
          <w:bCs w:val="1"/>
          <w:color w:val="auto"/>
        </w:rPr>
      </w:pPr>
    </w:p>
    <w:p>
      <w:pPr>
        <w:ind w:left="660" w:hanging="652"/>
        <w:spacing w:after="0"/>
        <w:tabs>
          <w:tab w:leader="none" w:pos="66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EFFECTIVE DATE OF PLAN.</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Plan became effective on May 31, 2007.</w:t>
      </w:r>
    </w:p>
    <w:p>
      <w:pPr>
        <w:spacing w:after="0" w:line="209" w:lineRule="exact"/>
        <w:rPr>
          <w:rFonts w:ascii="Arial" w:cs="Arial" w:eastAsia="Arial" w:hAnsi="Arial"/>
          <w:sz w:val="20"/>
          <w:szCs w:val="20"/>
          <w:b w:val="1"/>
          <w:bCs w:val="1"/>
          <w:color w:val="auto"/>
        </w:rPr>
      </w:pPr>
    </w:p>
    <w:p>
      <w:pPr>
        <w:ind w:left="660" w:hanging="652"/>
        <w:spacing w:after="0"/>
        <w:tabs>
          <w:tab w:leader="none" w:pos="660" w:val="left"/>
        </w:tabs>
        <w:numPr>
          <w:ilvl w:val="0"/>
          <w:numId w:val="20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As used in the Plan, the following definitions shall apply to the capitalized terms indicated below:</w:t>
      </w:r>
    </w:p>
    <w:p>
      <w:pPr>
        <w:spacing w:after="0" w:line="175" w:lineRule="exact"/>
        <w:rPr>
          <w:rFonts w:ascii="Arial" w:cs="Arial" w:eastAsia="Arial" w:hAnsi="Arial"/>
          <w:sz w:val="20"/>
          <w:szCs w:val="20"/>
          <w:b w:val="1"/>
          <w:bCs w:val="1"/>
          <w:color w:val="auto"/>
        </w:rPr>
      </w:pPr>
    </w:p>
    <w:p>
      <w:pPr>
        <w:ind w:left="1080" w:hanging="424"/>
        <w:spacing w:after="0"/>
        <w:tabs>
          <w:tab w:leader="none" w:pos="1080" w:val="left"/>
        </w:tabs>
        <w:numPr>
          <w:ilvl w:val="1"/>
          <w:numId w:val="202"/>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p>
      <w:pPr>
        <w:spacing w:after="0" w:line="175" w:lineRule="exact"/>
        <w:rPr>
          <w:rFonts w:ascii="Arial" w:cs="Arial" w:eastAsia="Arial" w:hAnsi="Arial"/>
          <w:sz w:val="20"/>
          <w:szCs w:val="20"/>
          <w:b w:val="1"/>
          <w:bCs w:val="1"/>
          <w:color w:val="auto"/>
        </w:rPr>
      </w:pPr>
    </w:p>
    <w:p>
      <w:pPr>
        <w:jc w:val="both"/>
        <w:ind w:firstLine="656"/>
        <w:spacing w:after="0" w:line="269" w:lineRule="auto"/>
        <w:tabs>
          <w:tab w:leader="none" w:pos="1129" w:val="left"/>
        </w:tabs>
        <w:numPr>
          <w:ilvl w:val="1"/>
          <w:numId w:val="2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Ordinary Shares subject to the Plan or subject to any Purchase Right after the effective date of the Plan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as that term is used in Financial Accounting Standards Board Accounting Standards Codification Topic</w:t>
      </w:r>
    </w:p>
    <w:p>
      <w:pPr>
        <w:spacing w:after="0" w:line="3" w:lineRule="exact"/>
        <w:rPr>
          <w:rFonts w:ascii="Arial" w:cs="Arial" w:eastAsia="Arial" w:hAnsi="Arial"/>
          <w:sz w:val="18"/>
          <w:szCs w:val="18"/>
          <w:b w:val="1"/>
          <w:bCs w:val="1"/>
          <w:color w:val="auto"/>
        </w:rPr>
      </w:pPr>
    </w:p>
    <w:p>
      <w:pPr>
        <w:jc w:val="both"/>
        <w:ind w:firstLine="8"/>
        <w:spacing w:after="0" w:line="241" w:lineRule="auto"/>
        <w:tabs>
          <w:tab w:leader="none" w:pos="357" w:val="left"/>
        </w:tabs>
        <w:numPr>
          <w:ilvl w:val="0"/>
          <w:numId w:val="203"/>
        </w:numPr>
        <w:rPr>
          <w:rFonts w:ascii="Arial" w:cs="Arial" w:eastAsia="Arial" w:hAnsi="Arial"/>
          <w:sz w:val="20"/>
          <w:szCs w:val="20"/>
          <w:color w:val="auto"/>
        </w:rPr>
      </w:pPr>
      <w:r>
        <w:rPr>
          <w:rFonts w:ascii="Arial" w:cs="Arial" w:eastAsia="Arial" w:hAnsi="Arial"/>
          <w:sz w:val="20"/>
          <w:szCs w:val="20"/>
          <w:color w:val="auto"/>
        </w:rPr>
        <w:t>(or any successor thereto), including, for the avoidance of doubt, capitalization of profits or reserves, capital distribution, rights issue, the conversion of one class of share to another or reduction of capital or otherwise. Notwithstanding the foregoing, the conversion of any convertible securities of the Company shall not be treated as a Capitalization Adjustment.</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1"/>
          <w:numId w:val="20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r>
        <w:rPr>
          <w:rFonts w:ascii="Arial" w:cs="Arial" w:eastAsia="Arial" w:hAnsi="Arial"/>
          <w:sz w:val="20"/>
          <w:szCs w:val="20"/>
          <w:i w:val="1"/>
          <w:iCs w:val="1"/>
          <w:color w:val="auto"/>
        </w:rPr>
        <w:t>.</w:t>
      </w:r>
    </w:p>
    <w:p>
      <w:pPr>
        <w:spacing w:after="0" w:line="175" w:lineRule="exact"/>
        <w:rPr>
          <w:rFonts w:ascii="Arial" w:cs="Arial" w:eastAsia="Arial" w:hAnsi="Arial"/>
          <w:sz w:val="20"/>
          <w:szCs w:val="20"/>
          <w:b w:val="1"/>
          <w:bCs w:val="1"/>
          <w:color w:val="auto"/>
        </w:rPr>
      </w:pPr>
    </w:p>
    <w:p>
      <w:pPr>
        <w:ind w:firstLine="656"/>
        <w:spacing w:after="0" w:line="260" w:lineRule="auto"/>
        <w:tabs>
          <w:tab w:leader="none" w:pos="1088" w:val="left"/>
        </w:tabs>
        <w:numPr>
          <w:ilvl w:val="1"/>
          <w:numId w:val="20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a committee of one (1) or more members of the Board to whom authority has been delegated by the Board in accordance with Section 2(c).</w:t>
      </w:r>
    </w:p>
    <w:p>
      <w:pPr>
        <w:spacing w:after="0" w:line="136" w:lineRule="exact"/>
        <w:rPr>
          <w:rFonts w:ascii="Arial" w:cs="Arial" w:eastAsia="Arial" w:hAnsi="Arial"/>
          <w:sz w:val="20"/>
          <w:szCs w:val="20"/>
          <w:b w:val="1"/>
          <w:bCs w:val="1"/>
          <w:color w:val="auto"/>
        </w:rPr>
      </w:pPr>
    </w:p>
    <w:p>
      <w:pPr>
        <w:ind w:left="1080" w:hanging="424"/>
        <w:spacing w:after="0"/>
        <w:tabs>
          <w:tab w:leader="none" w:pos="1080" w:val="left"/>
        </w:tabs>
        <w:numPr>
          <w:ilvl w:val="1"/>
          <w:numId w:val="203"/>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Jazz Pharmaceuticals plc, a company formed under the laws of Ireland.</w:t>
      </w:r>
    </w:p>
    <w:p>
      <w:pPr>
        <w:sectPr>
          <w:pgSz w:w="11900" w:h="16838" w:orient="portrait"/>
          <w:cols w:equalWidth="0" w:num="1">
            <w:col w:w="11420"/>
          </w:cols>
          <w:pgMar w:left="240" w:top="622" w:right="239" w:bottom="1440" w:gutter="0" w:footer="0" w:header="0"/>
        </w:sectPr>
      </w:pPr>
    </w:p>
    <w:bookmarkStart w:id="265" w:name="page266"/>
    <w:bookmarkEnd w:id="265"/>
    <w:p>
      <w:pPr>
        <w:jc w:val="both"/>
        <w:ind w:firstLine="656"/>
        <w:spacing w:after="0" w:line="246" w:lineRule="auto"/>
        <w:tabs>
          <w:tab w:leader="none" w:pos="1138" w:val="left"/>
        </w:tabs>
        <w:numPr>
          <w:ilvl w:val="0"/>
          <w:numId w:val="20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Contributions</w:t>
      </w:r>
      <w:r>
        <w:rPr>
          <w:rFonts w:ascii="Arial" w:cs="Arial" w:eastAsia="Arial" w:hAnsi="Arial"/>
          <w:sz w:val="20"/>
          <w:szCs w:val="20"/>
          <w:color w:val="auto"/>
        </w:rPr>
        <w:t>” 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51" w:lineRule="exact"/>
        <w:rPr>
          <w:rFonts w:ascii="Arial" w:cs="Arial" w:eastAsia="Arial" w:hAnsi="Arial"/>
          <w:sz w:val="20"/>
          <w:szCs w:val="20"/>
          <w:b w:val="1"/>
          <w:bCs w:val="1"/>
          <w:color w:val="auto"/>
        </w:rPr>
      </w:pPr>
    </w:p>
    <w:p>
      <w:pPr>
        <w:ind w:firstLine="656"/>
        <w:spacing w:after="0" w:line="260" w:lineRule="auto"/>
        <w:tabs>
          <w:tab w:leader="none" w:pos="1144" w:val="left"/>
        </w:tabs>
        <w:numPr>
          <w:ilvl w:val="0"/>
          <w:numId w:val="204"/>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Corporate Transaction</w:t>
      </w:r>
      <w:r>
        <w:rPr>
          <w:rFonts w:ascii="Arial" w:cs="Arial" w:eastAsia="Arial" w:hAnsi="Arial"/>
          <w:sz w:val="20"/>
          <w:szCs w:val="20"/>
          <w:color w:val="auto"/>
        </w:rPr>
        <w:t>” means the consummation, in a single transaction or in a series of related transactions, of any one or more of the following events:</w:t>
      </w:r>
    </w:p>
    <w:p>
      <w:pPr>
        <w:spacing w:after="0" w:line="136" w:lineRule="exact"/>
        <w:rPr>
          <w:rFonts w:ascii="Arial" w:cs="Arial" w:eastAsia="Arial" w:hAnsi="Arial"/>
          <w:sz w:val="20"/>
          <w:szCs w:val="20"/>
          <w:b w:val="1"/>
          <w:bCs w:val="1"/>
          <w:color w:val="auto"/>
        </w:rPr>
      </w:pPr>
    </w:p>
    <w:p>
      <w:pPr>
        <w:ind w:firstLine="1305"/>
        <w:spacing w:after="0" w:line="260" w:lineRule="auto"/>
        <w:tabs>
          <w:tab w:leader="none" w:pos="1703" w:val="left"/>
        </w:tabs>
        <w:numPr>
          <w:ilvl w:val="1"/>
          <w:numId w:val="204"/>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all or substantially all, as determined by the Board, in its sole discretion, of the consolidated assets of the Company and its Subsidiaries;</w:t>
      </w:r>
    </w:p>
    <w:p>
      <w:pPr>
        <w:spacing w:after="0" w:line="130" w:lineRule="exact"/>
        <w:rPr>
          <w:rFonts w:ascii="Arial" w:cs="Arial" w:eastAsia="Arial" w:hAnsi="Arial"/>
          <w:sz w:val="20"/>
          <w:szCs w:val="20"/>
          <w:b w:val="1"/>
          <w:bCs w:val="1"/>
          <w:color w:val="auto"/>
        </w:rPr>
      </w:pPr>
    </w:p>
    <w:p>
      <w:pPr>
        <w:ind w:left="1740" w:hanging="435"/>
        <w:spacing w:after="0"/>
        <w:tabs>
          <w:tab w:leader="none" w:pos="1740" w:val="left"/>
        </w:tabs>
        <w:numPr>
          <w:ilvl w:val="1"/>
          <w:numId w:val="204"/>
        </w:numPr>
        <w:rPr>
          <w:rFonts w:ascii="Arial" w:cs="Arial" w:eastAsia="Arial" w:hAnsi="Arial"/>
          <w:sz w:val="20"/>
          <w:szCs w:val="20"/>
          <w:b w:val="1"/>
          <w:bCs w:val="1"/>
          <w:color w:val="auto"/>
        </w:rPr>
      </w:pPr>
      <w:r>
        <w:rPr>
          <w:rFonts w:ascii="Arial" w:cs="Arial" w:eastAsia="Arial" w:hAnsi="Arial"/>
          <w:sz w:val="20"/>
          <w:szCs w:val="20"/>
          <w:color w:val="auto"/>
        </w:rPr>
        <w:t>a sale or other disposition of at least ninety percent (90%</w:t>
      </w:r>
      <w:r>
        <w:rPr>
          <w:rFonts w:ascii="Arial" w:cs="Arial" w:eastAsia="Arial" w:hAnsi="Arial"/>
          <w:sz w:val="20"/>
          <w:szCs w:val="20"/>
          <w:b w:val="1"/>
          <w:bCs w:val="1"/>
          <w:color w:val="auto"/>
        </w:rPr>
        <w:t>)</w:t>
      </w:r>
      <w:r>
        <w:rPr>
          <w:rFonts w:ascii="Arial" w:cs="Arial" w:eastAsia="Arial" w:hAnsi="Arial"/>
          <w:sz w:val="20"/>
          <w:szCs w:val="20"/>
          <w:color w:val="auto"/>
        </w:rPr>
        <w:t xml:space="preserve"> of the outstanding securities of the Company;</w:t>
      </w:r>
    </w:p>
    <w:p>
      <w:pPr>
        <w:spacing w:after="0" w:line="181" w:lineRule="exact"/>
        <w:rPr>
          <w:rFonts w:ascii="Arial" w:cs="Arial" w:eastAsia="Arial" w:hAnsi="Arial"/>
          <w:sz w:val="20"/>
          <w:szCs w:val="20"/>
          <w:b w:val="1"/>
          <w:bCs w:val="1"/>
          <w:color w:val="auto"/>
        </w:rPr>
      </w:pPr>
    </w:p>
    <w:p>
      <w:pPr>
        <w:ind w:left="1800" w:hanging="495"/>
        <w:spacing w:after="0"/>
        <w:tabs>
          <w:tab w:leader="none" w:pos="1800" w:val="left"/>
        </w:tabs>
        <w:numPr>
          <w:ilvl w:val="1"/>
          <w:numId w:val="204"/>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not the surviving corporation; or</w:t>
      </w:r>
    </w:p>
    <w:p>
      <w:pPr>
        <w:spacing w:after="0" w:line="186" w:lineRule="exact"/>
        <w:rPr>
          <w:rFonts w:ascii="Arial" w:cs="Arial" w:eastAsia="Arial" w:hAnsi="Arial"/>
          <w:sz w:val="19"/>
          <w:szCs w:val="19"/>
          <w:b w:val="1"/>
          <w:bCs w:val="1"/>
          <w:color w:val="auto"/>
        </w:rPr>
      </w:pPr>
    </w:p>
    <w:p>
      <w:pPr>
        <w:jc w:val="both"/>
        <w:ind w:firstLine="1305"/>
        <w:spacing w:after="0" w:line="269" w:lineRule="auto"/>
        <w:tabs>
          <w:tab w:leader="none" w:pos="1939" w:val="left"/>
        </w:tabs>
        <w:numPr>
          <w:ilvl w:val="1"/>
          <w:numId w:val="204"/>
        </w:numPr>
        <w:rPr>
          <w:rFonts w:ascii="Arial" w:cs="Arial" w:eastAsia="Arial" w:hAnsi="Arial"/>
          <w:sz w:val="19"/>
          <w:szCs w:val="19"/>
          <w:b w:val="1"/>
          <w:bCs w:val="1"/>
          <w:color w:val="auto"/>
        </w:rPr>
      </w:pPr>
      <w:r>
        <w:rPr>
          <w:rFonts w:ascii="Arial" w:cs="Arial" w:eastAsia="Arial" w:hAnsi="Arial"/>
          <w:sz w:val="19"/>
          <w:szCs w:val="19"/>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avoidance of doubt, any one or more of the above events may be effected pursuant to (A) a compromise or arrangement sanctioned by the court under section 201 of the Companies Act 1963 of the Republic of Ireland or (B) section 204 of the Companies Act 1963 of the Republic of Ireland.</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the foregoing or any other provision of this Plan, unless the Board determines otherwise, the term Corporate Transaction shall not include the creation of a new holding company where the Company becomes a wholly-owned subsidiary of that holding company and the holding company will be owned in substantially the same proportions by the persons who held the Company’s issued shares immediately before such transaction (in which case Purchase Rights granted hereunder will be treated as if they were in all respects purchase rights over shares in the holding company but so that (i) the new purchase right shall vest in the same manner as the Purchase Right; (ii) the total market value of the new shares subject to the new purchase right shall, immediately after such reorganization, be equal to the total market value of the Ordinary Shares comprised in the Purchase Right immediately prior to such reorganization; (iii) the new shares shall have the same rights attaching thereto as the Ordinary Shares; and (iv) the new purchase right shall be deemed to have been granted as at the date of grant of the Purchase Right).</w:t>
      </w:r>
    </w:p>
    <w:p>
      <w:pPr>
        <w:spacing w:after="0" w:line="198" w:lineRule="exact"/>
        <w:rPr>
          <w:sz w:val="20"/>
          <w:szCs w:val="20"/>
          <w:color w:val="auto"/>
        </w:rPr>
      </w:pPr>
    </w:p>
    <w:p>
      <w:pPr>
        <w:ind w:left="1100" w:hanging="444"/>
        <w:spacing w:after="0"/>
        <w:tabs>
          <w:tab w:leader="none" w:pos="1100" w:val="left"/>
        </w:tabs>
        <w:numPr>
          <w:ilvl w:val="0"/>
          <w:numId w:val="20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means a member of the Board.</w:t>
      </w:r>
    </w:p>
    <w:p>
      <w:pPr>
        <w:spacing w:after="0" w:line="175" w:lineRule="exact"/>
        <w:rPr>
          <w:rFonts w:ascii="Arial" w:cs="Arial" w:eastAsia="Arial" w:hAnsi="Arial"/>
          <w:sz w:val="20"/>
          <w:szCs w:val="20"/>
          <w:b w:val="1"/>
          <w:bCs w:val="1"/>
          <w:color w:val="auto"/>
        </w:rPr>
      </w:pPr>
    </w:p>
    <w:p>
      <w:pPr>
        <w:ind w:right="20" w:firstLine="656"/>
        <w:spacing w:after="0" w:line="287" w:lineRule="auto"/>
        <w:tabs>
          <w:tab w:leader="none" w:pos="1060" w:val="left"/>
        </w:tabs>
        <w:numPr>
          <w:ilvl w:val="0"/>
          <w:numId w:val="205"/>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Eligible Employee</w:t>
      </w:r>
      <w:r>
        <w:rPr>
          <w:rFonts w:ascii="Arial" w:cs="Arial" w:eastAsia="Arial" w:hAnsi="Arial"/>
          <w:sz w:val="19"/>
          <w:szCs w:val="19"/>
          <w:color w:val="auto"/>
        </w:rPr>
        <w:t>” means an Employee who meets the requirements set forth in the Offering for eligibility to participate in the Offering, provided that such Employee also meets the requirements for eligibility to participate set forth in the Plan.</w:t>
      </w:r>
    </w:p>
    <w:p>
      <w:pPr>
        <w:spacing w:after="0" w:line="112" w:lineRule="exact"/>
        <w:rPr>
          <w:rFonts w:ascii="Arial" w:cs="Arial" w:eastAsia="Arial" w:hAnsi="Arial"/>
          <w:sz w:val="19"/>
          <w:szCs w:val="19"/>
          <w:b w:val="1"/>
          <w:bCs w:val="1"/>
          <w:color w:val="auto"/>
        </w:rPr>
      </w:pPr>
    </w:p>
    <w:p>
      <w:pPr>
        <w:jc w:val="both"/>
        <w:ind w:firstLine="656"/>
        <w:spacing w:after="0" w:line="250" w:lineRule="auto"/>
        <w:tabs>
          <w:tab w:leader="none" w:pos="1057" w:val="left"/>
        </w:tabs>
        <w:numPr>
          <w:ilvl w:val="0"/>
          <w:numId w:val="20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means any person, including Officers and Directors, who is employed for purposes of Section 423(b)(4) of the Code by the Company or a Related Corporation. However, service solely as a Director, or payment of a fee for such services, shall not cause a Director to be considered an “Employee” for purposes of the Plan.</w:t>
      </w:r>
    </w:p>
    <w:p>
      <w:pPr>
        <w:sectPr>
          <w:pgSz w:w="11900" w:h="16838" w:orient="portrait"/>
          <w:cols w:equalWidth="0" w:num="1">
            <w:col w:w="11420"/>
          </w:cols>
          <w:pgMar w:left="240" w:top="623" w:right="239" w:bottom="1440" w:gutter="0" w:footer="0" w:header="0"/>
        </w:sectPr>
      </w:pPr>
    </w:p>
    <w:bookmarkStart w:id="266" w:name="page267"/>
    <w:bookmarkEnd w:id="266"/>
    <w:p>
      <w:pPr>
        <w:ind w:right="20" w:firstLine="656"/>
        <w:spacing w:after="0" w:line="260" w:lineRule="auto"/>
        <w:tabs>
          <w:tab w:leader="none" w:pos="1142"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Employee Stock Purchase Plan</w:t>
      </w:r>
      <w:r>
        <w:rPr>
          <w:rFonts w:ascii="Arial" w:cs="Arial" w:eastAsia="Arial" w:hAnsi="Arial"/>
          <w:sz w:val="20"/>
          <w:szCs w:val="20"/>
          <w:color w:val="auto"/>
        </w:rPr>
        <w:t>” means a plan that grants Purchase Rights intended to be options issued under an “employee stock purchase plan,” as that term is defined in Section 423(b) of the Code.</w:t>
      </w:r>
    </w:p>
    <w:p>
      <w:pPr>
        <w:spacing w:after="0" w:line="136" w:lineRule="exact"/>
        <w:rPr>
          <w:rFonts w:ascii="Arial" w:cs="Arial" w:eastAsia="Arial" w:hAnsi="Arial"/>
          <w:sz w:val="20"/>
          <w:szCs w:val="20"/>
          <w:b w:val="1"/>
          <w:bCs w:val="1"/>
          <w:color w:val="auto"/>
        </w:rPr>
      </w:pPr>
    </w:p>
    <w:p>
      <w:pPr>
        <w:ind w:left="1040" w:hanging="384"/>
        <w:spacing w:after="0"/>
        <w:tabs>
          <w:tab w:leader="none" w:pos="104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Exchange Act of 1934, as amended.</w:t>
      </w:r>
    </w:p>
    <w:p>
      <w:pPr>
        <w:spacing w:after="0" w:line="175" w:lineRule="exact"/>
        <w:rPr>
          <w:rFonts w:ascii="Arial" w:cs="Arial" w:eastAsia="Arial" w:hAnsi="Arial"/>
          <w:sz w:val="20"/>
          <w:szCs w:val="20"/>
          <w:b w:val="1"/>
          <w:bCs w:val="1"/>
          <w:color w:val="auto"/>
        </w:rPr>
      </w:pPr>
    </w:p>
    <w:p>
      <w:pPr>
        <w:ind w:left="1160" w:hanging="504"/>
        <w:spacing w:after="0"/>
        <w:tabs>
          <w:tab w:leader="none" w:pos="116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Fair Market Value</w:t>
      </w:r>
      <w:r>
        <w:rPr>
          <w:rFonts w:ascii="Arial" w:cs="Arial" w:eastAsia="Arial" w:hAnsi="Arial"/>
          <w:sz w:val="20"/>
          <w:szCs w:val="20"/>
          <w:color w:val="auto"/>
        </w:rPr>
        <w:t>” means, as of any date, the value of the Ordinary Shares determined as follows:</w:t>
      </w:r>
    </w:p>
    <w:p>
      <w:pPr>
        <w:spacing w:after="0" w:line="175" w:lineRule="exact"/>
        <w:rPr>
          <w:rFonts w:ascii="Arial" w:cs="Arial" w:eastAsia="Arial" w:hAnsi="Arial"/>
          <w:sz w:val="20"/>
          <w:szCs w:val="20"/>
          <w:b w:val="1"/>
          <w:bCs w:val="1"/>
          <w:color w:val="auto"/>
        </w:rPr>
      </w:pPr>
    </w:p>
    <w:p>
      <w:pPr>
        <w:jc w:val="both"/>
        <w:ind w:firstLine="1305"/>
        <w:spacing w:after="0" w:line="243" w:lineRule="auto"/>
        <w:tabs>
          <w:tab w:leader="none" w:pos="1719" w:val="left"/>
        </w:tabs>
        <w:numPr>
          <w:ilvl w:val="1"/>
          <w:numId w:val="206"/>
        </w:numPr>
        <w:rPr>
          <w:rFonts w:ascii="Arial" w:cs="Arial" w:eastAsia="Arial" w:hAnsi="Arial"/>
          <w:sz w:val="20"/>
          <w:szCs w:val="20"/>
          <w:b w:val="1"/>
          <w:bCs w:val="1"/>
          <w:color w:val="auto"/>
        </w:rPr>
      </w:pPr>
      <w:r>
        <w:rPr>
          <w:rFonts w:ascii="Arial" w:cs="Arial" w:eastAsia="Arial" w:hAnsi="Arial"/>
          <w:sz w:val="20"/>
          <w:szCs w:val="20"/>
          <w:color w:val="auto"/>
        </w:rPr>
        <w:t>If the Ordinary Shares are listed on any established stock exchange or traded on any established market, the Fair Market Value of an Ordinary Share shall be the closing sales price for such Ordinary Share as quoted on such exchange or market (or the exchange or market with the greatest volume of trading in the Ordinary Shares) on the date of determination, as reported in such source as the Board deems reliable. Unless otherwise provided by the Board, if there is no closing sales price for the Ordinary Shares on the date of determination, then the Fair Market Value shall be the closing selling price (or closing bid if no sales were reported) on the last preceding date for which such quotation exists.</w:t>
      </w:r>
    </w:p>
    <w:p>
      <w:pPr>
        <w:spacing w:after="0" w:line="155" w:lineRule="exact"/>
        <w:rPr>
          <w:rFonts w:ascii="Arial" w:cs="Arial" w:eastAsia="Arial" w:hAnsi="Arial"/>
          <w:sz w:val="20"/>
          <w:szCs w:val="20"/>
          <w:b w:val="1"/>
          <w:bCs w:val="1"/>
          <w:color w:val="auto"/>
        </w:rPr>
      </w:pPr>
    </w:p>
    <w:p>
      <w:pPr>
        <w:ind w:left="1780" w:hanging="475"/>
        <w:spacing w:after="0"/>
        <w:tabs>
          <w:tab w:leader="none" w:pos="1780" w:val="left"/>
        </w:tabs>
        <w:numPr>
          <w:ilvl w:val="1"/>
          <w:numId w:val="206"/>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Ordinary Shares, the Fair Market Value shall be determined by the Board in good</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faith.</w:t>
      </w:r>
    </w:p>
    <w:p>
      <w:pPr>
        <w:spacing w:after="0" w:line="159" w:lineRule="exact"/>
        <w:rPr>
          <w:rFonts w:ascii="Arial" w:cs="Arial" w:eastAsia="Arial" w:hAnsi="Arial"/>
          <w:sz w:val="18"/>
          <w:szCs w:val="18"/>
          <w:b w:val="1"/>
          <w:bCs w:val="1"/>
          <w:color w:val="auto"/>
        </w:rPr>
      </w:pPr>
    </w:p>
    <w:p>
      <w:pPr>
        <w:ind w:left="1100" w:hanging="444"/>
        <w:spacing w:after="0"/>
        <w:tabs>
          <w:tab w:leader="none" w:pos="110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w:t>
      </w:r>
      <w:r>
        <w:rPr>
          <w:rFonts w:ascii="Arial" w:cs="Arial" w:eastAsia="Arial" w:hAnsi="Arial"/>
          <w:sz w:val="20"/>
          <w:szCs w:val="20"/>
          <w:color w:val="auto"/>
        </w:rPr>
        <w:t>” means the grant of Purchase Rights to purchase Ordinary Shares under the Plan to Eligible Employees.</w:t>
      </w:r>
    </w:p>
    <w:p>
      <w:pPr>
        <w:spacing w:after="0" w:line="175" w:lineRule="exact"/>
        <w:rPr>
          <w:rFonts w:ascii="Arial" w:cs="Arial" w:eastAsia="Arial" w:hAnsi="Arial"/>
          <w:sz w:val="20"/>
          <w:szCs w:val="20"/>
          <w:b w:val="1"/>
          <w:bCs w:val="1"/>
          <w:color w:val="auto"/>
        </w:rPr>
      </w:pPr>
    </w:p>
    <w:p>
      <w:pPr>
        <w:ind w:left="1080" w:hanging="424"/>
        <w:spacing w:after="0"/>
        <w:tabs>
          <w:tab w:leader="none" w:pos="108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Date</w:t>
      </w:r>
      <w:r>
        <w:rPr>
          <w:rFonts w:ascii="Arial" w:cs="Arial" w:eastAsia="Arial" w:hAnsi="Arial"/>
          <w:sz w:val="20"/>
          <w:szCs w:val="20"/>
          <w:color w:val="auto"/>
        </w:rPr>
        <w:t>” means a date selected by the Board for an Offering to commence.</w:t>
      </w:r>
    </w:p>
    <w:p>
      <w:pPr>
        <w:spacing w:after="0" w:line="175" w:lineRule="exact"/>
        <w:rPr>
          <w:rFonts w:ascii="Arial" w:cs="Arial" w:eastAsia="Arial" w:hAnsi="Arial"/>
          <w:sz w:val="20"/>
          <w:szCs w:val="20"/>
          <w:b w:val="1"/>
          <w:bCs w:val="1"/>
          <w:color w:val="auto"/>
        </w:rPr>
      </w:pPr>
    </w:p>
    <w:p>
      <w:pPr>
        <w:ind w:firstLine="656"/>
        <w:spacing w:after="0" w:line="260" w:lineRule="auto"/>
        <w:tabs>
          <w:tab w:leader="none" w:pos="1102"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Officer</w:t>
      </w:r>
      <w:r>
        <w:rPr>
          <w:rFonts w:ascii="Arial" w:cs="Arial" w:eastAsia="Arial" w:hAnsi="Arial"/>
          <w:sz w:val="20"/>
          <w:szCs w:val="20"/>
          <w:color w:val="auto"/>
        </w:rPr>
        <w:t>” means a person who is an officer of the Company within the meaning of Section 16 of the Exchange Act and the rules and regulations promulgated thereunder.</w:t>
      </w:r>
    </w:p>
    <w:p>
      <w:pPr>
        <w:spacing w:after="0" w:line="136" w:lineRule="exact"/>
        <w:rPr>
          <w:rFonts w:ascii="Arial" w:cs="Arial" w:eastAsia="Arial" w:hAnsi="Arial"/>
          <w:sz w:val="20"/>
          <w:szCs w:val="20"/>
          <w:b w:val="1"/>
          <w:bCs w:val="1"/>
          <w:color w:val="auto"/>
        </w:rPr>
      </w:pPr>
    </w:p>
    <w:p>
      <w:pPr>
        <w:ind w:left="1100" w:hanging="444"/>
        <w:spacing w:after="0"/>
        <w:tabs>
          <w:tab w:leader="none" w:pos="1100"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w:t>
      </w:r>
      <w:r>
        <w:rPr>
          <w:rFonts w:ascii="Arial" w:cs="Arial" w:eastAsia="Arial" w:hAnsi="Arial"/>
          <w:sz w:val="18"/>
          <w:szCs w:val="18"/>
          <w:color w:val="auto"/>
        </w:rPr>
        <w:t>” or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the ordinary shares of the Company of nominal value US$0.0001 per share.</w:t>
      </w:r>
    </w:p>
    <w:p>
      <w:pPr>
        <w:spacing w:after="0" w:line="198" w:lineRule="exact"/>
        <w:rPr>
          <w:rFonts w:ascii="Arial" w:cs="Arial" w:eastAsia="Arial" w:hAnsi="Arial"/>
          <w:sz w:val="18"/>
          <w:szCs w:val="18"/>
          <w:b w:val="1"/>
          <w:bCs w:val="1"/>
          <w:color w:val="auto"/>
        </w:rPr>
      </w:pPr>
    </w:p>
    <w:p>
      <w:pPr>
        <w:ind w:left="1080" w:hanging="424"/>
        <w:spacing w:after="0"/>
        <w:tabs>
          <w:tab w:leader="none" w:pos="108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means an Eligible Employee who holds an outstanding Purchase Right granted pursuant to the Plan.</w:t>
      </w:r>
    </w:p>
    <w:p>
      <w:pPr>
        <w:spacing w:after="0" w:line="175" w:lineRule="exact"/>
        <w:rPr>
          <w:rFonts w:ascii="Arial" w:cs="Arial" w:eastAsia="Arial" w:hAnsi="Arial"/>
          <w:sz w:val="20"/>
          <w:szCs w:val="20"/>
          <w:b w:val="1"/>
          <w:bCs w:val="1"/>
          <w:color w:val="auto"/>
        </w:rPr>
      </w:pPr>
    </w:p>
    <w:p>
      <w:pPr>
        <w:ind w:left="1060" w:hanging="404"/>
        <w:spacing w:after="0"/>
        <w:tabs>
          <w:tab w:leader="none" w:pos="106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means this Jazz Pharmaceuticals plc 2007 Employee Stock Purchase Plan.</w:t>
      </w:r>
    </w:p>
    <w:p>
      <w:pPr>
        <w:spacing w:after="0" w:line="175" w:lineRule="exact"/>
        <w:rPr>
          <w:rFonts w:ascii="Arial" w:cs="Arial" w:eastAsia="Arial" w:hAnsi="Arial"/>
          <w:sz w:val="20"/>
          <w:szCs w:val="20"/>
          <w:b w:val="1"/>
          <w:bCs w:val="1"/>
          <w:color w:val="auto"/>
        </w:rPr>
      </w:pPr>
    </w:p>
    <w:p>
      <w:pPr>
        <w:ind w:firstLine="656"/>
        <w:spacing w:after="0" w:line="260" w:lineRule="auto"/>
        <w:tabs>
          <w:tab w:leader="none" w:pos="1152"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Date</w:t>
      </w:r>
      <w:r>
        <w:rPr>
          <w:rFonts w:ascii="Arial" w:cs="Arial" w:eastAsia="Arial" w:hAnsi="Arial"/>
          <w:sz w:val="20"/>
          <w:szCs w:val="20"/>
          <w:color w:val="auto"/>
        </w:rPr>
        <w:t>” means one or more dates during an Offering established by the Board on which Purchase Rights shall be exercised and as of which purchases of Ordinary Shares shall be carried out in accordance with such Offering.</w:t>
      </w:r>
    </w:p>
    <w:p>
      <w:pPr>
        <w:spacing w:after="0" w:line="136" w:lineRule="exact"/>
        <w:rPr>
          <w:rFonts w:ascii="Arial" w:cs="Arial" w:eastAsia="Arial" w:hAnsi="Arial"/>
          <w:sz w:val="20"/>
          <w:szCs w:val="20"/>
          <w:b w:val="1"/>
          <w:bCs w:val="1"/>
          <w:color w:val="auto"/>
        </w:rPr>
      </w:pPr>
    </w:p>
    <w:p>
      <w:pPr>
        <w:ind w:firstLine="656"/>
        <w:spacing w:after="0" w:line="316" w:lineRule="auto"/>
        <w:tabs>
          <w:tab w:leader="none" w:pos="1183" w:val="left"/>
        </w:tabs>
        <w:numPr>
          <w:ilvl w:val="0"/>
          <w:numId w:val="2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beginning on the Offering Date or on the next day following a Purchase Date within an Offering and ending on a Purchase Date. An Offering may consist of one or more Purchase Periods.</w:t>
      </w:r>
    </w:p>
    <w:p>
      <w:pPr>
        <w:spacing w:after="0" w:line="89" w:lineRule="exact"/>
        <w:rPr>
          <w:rFonts w:ascii="Arial" w:cs="Arial" w:eastAsia="Arial" w:hAnsi="Arial"/>
          <w:sz w:val="18"/>
          <w:szCs w:val="18"/>
          <w:b w:val="1"/>
          <w:bCs w:val="1"/>
          <w:color w:val="auto"/>
        </w:rPr>
      </w:pPr>
    </w:p>
    <w:p>
      <w:pPr>
        <w:ind w:left="1080" w:hanging="424"/>
        <w:spacing w:after="0"/>
        <w:tabs>
          <w:tab w:leader="none" w:pos="108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Right</w:t>
      </w:r>
      <w:r>
        <w:rPr>
          <w:rFonts w:ascii="Arial" w:cs="Arial" w:eastAsia="Arial" w:hAnsi="Arial"/>
          <w:sz w:val="20"/>
          <w:szCs w:val="20"/>
          <w:color w:val="auto"/>
        </w:rPr>
        <w:t>” means an option to purchase Ordinary Shares granted pursuant to the Plan.</w:t>
      </w:r>
    </w:p>
    <w:p>
      <w:pPr>
        <w:spacing w:after="0" w:line="175" w:lineRule="exact"/>
        <w:rPr>
          <w:rFonts w:ascii="Arial" w:cs="Arial" w:eastAsia="Arial" w:hAnsi="Arial"/>
          <w:sz w:val="20"/>
          <w:szCs w:val="20"/>
          <w:b w:val="1"/>
          <w:bCs w:val="1"/>
          <w:color w:val="auto"/>
        </w:rPr>
      </w:pPr>
    </w:p>
    <w:p>
      <w:pPr>
        <w:ind w:firstLine="656"/>
        <w:spacing w:after="0" w:line="260" w:lineRule="auto"/>
        <w:tabs>
          <w:tab w:leader="none" w:pos="1351"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Corporation</w:t>
      </w:r>
      <w:r>
        <w:rPr>
          <w:rFonts w:ascii="Arial" w:cs="Arial" w:eastAsia="Arial" w:hAnsi="Arial"/>
          <w:sz w:val="20"/>
          <w:szCs w:val="20"/>
          <w:color w:val="auto"/>
        </w:rPr>
        <w:t>” means any “parent corporation” or “subsidiary corporation” of the Company whether now or subsequently established, as those terms are defined in Sections 424(e) and 424(f), respectively, of the Code.</w:t>
      </w:r>
    </w:p>
    <w:p>
      <w:pPr>
        <w:spacing w:after="0" w:line="136" w:lineRule="exact"/>
        <w:rPr>
          <w:rFonts w:ascii="Arial" w:cs="Arial" w:eastAsia="Arial" w:hAnsi="Arial"/>
          <w:sz w:val="20"/>
          <w:szCs w:val="20"/>
          <w:b w:val="1"/>
          <w:bCs w:val="1"/>
          <w:color w:val="auto"/>
        </w:rPr>
      </w:pPr>
    </w:p>
    <w:p>
      <w:pPr>
        <w:ind w:left="1080" w:hanging="424"/>
        <w:spacing w:after="0"/>
        <w:tabs>
          <w:tab w:leader="none" w:pos="1080" w:val="left"/>
        </w:tabs>
        <w:numPr>
          <w:ilvl w:val="0"/>
          <w:numId w:val="20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means the Securities Act of 1933, as amended.</w:t>
      </w:r>
    </w:p>
    <w:p>
      <w:pPr>
        <w:sectPr>
          <w:pgSz w:w="11900" w:h="16838" w:orient="portrait"/>
          <w:cols w:equalWidth="0" w:num="1">
            <w:col w:w="11420"/>
          </w:cols>
          <w:pgMar w:left="240" w:top="622" w:right="239" w:bottom="1440" w:gutter="0" w:footer="0" w:header="0"/>
        </w:sectPr>
      </w:pPr>
    </w:p>
    <w:bookmarkStart w:id="267" w:name="page268"/>
    <w:bookmarkEnd w:id="267"/>
    <w:p>
      <w:pPr>
        <w:ind w:firstLine="656"/>
        <w:spacing w:after="0" w:line="260" w:lineRule="auto"/>
        <w:tabs>
          <w:tab w:leader="none" w:pos="1158" w:val="left"/>
        </w:tabs>
        <w:numPr>
          <w:ilvl w:val="0"/>
          <w:numId w:val="20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means any day on which the exchange(s) or market(s) on which the Ordinary Shares are listed, including the Nasdaq Global Select Market or the Nasdaq Global Market, is open for trading.</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color w:val="auto"/>
        </w:rPr>
        <w:t>Adopted by the Board of Directors of Jazz Pharmaceuticals, Inc. on May 1, 2007.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Approved by the stockholders of Jazz Pharmaceuticals, Inc. on May 9, 2007.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Amended and restated by the Board of Directors of Jazz Pharmaceuticals, Inc. on September 29, 2010.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Amended and restated by the Board of Directors of Jazz Pharmaceuticals, Inc. on October 24, 2011.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Approved by the stockholders of Jazz Pharmaceuticals, Inc. on December 12, 2011.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Adopted by the Board of Directors of Azur Pharma plc on December 21, 2011.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Approved by the shareholders of Azur Pharma plc on January 3, 2012.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 the Compensation Committee of the Board of Directors of Jazz Pharmaceuticals plc on October 26, 2012.</w:t>
      </w:r>
    </w:p>
    <w:p>
      <w:pPr>
        <w:sectPr>
          <w:pgSz w:w="11900" w:h="16838" w:orient="portrait"/>
          <w:cols w:equalWidth="0" w:num="1">
            <w:col w:w="11420"/>
          </w:cols>
          <w:pgMar w:left="240" w:top="623" w:right="239" w:bottom="1440" w:gutter="0" w:footer="0" w:header="0"/>
        </w:sectPr>
      </w:pPr>
    </w:p>
    <w:bookmarkStart w:id="268" w:name="page269"/>
    <w:bookmarkEnd w:id="268"/>
    <w:p>
      <w:pPr>
        <w:ind w:left="10060"/>
        <w:spacing w:after="0"/>
        <w:rPr>
          <w:sz w:val="20"/>
          <w:szCs w:val="20"/>
          <w:color w:val="auto"/>
        </w:rPr>
      </w:pPr>
      <w:r>
        <w:rPr>
          <w:rFonts w:ascii="Arial" w:cs="Arial" w:eastAsia="Arial" w:hAnsi="Arial"/>
          <w:sz w:val="19"/>
          <w:szCs w:val="19"/>
          <w:b w:val="1"/>
          <w:bCs w:val="1"/>
          <w:color w:val="auto"/>
        </w:rPr>
        <w:t>Exhibit 10.32B</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JAZZ PHARMACEUTICALS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BONUS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AFFILIATES)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Purpose of the Plan.</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Jazz Pharmaceuticals plc Cash Bonus Plan (U.S. Affiliates)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designed to provide meaningful incentive, on an annual basis, for employees of U.S. Affiliates of Jazz Pharmaceuticals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28"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Eligibility.</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to be eligible to participate in the Plan for a Plan Year, an employee (a) must be an active regular employee of a U.S. Affiliate of the Company whose Employment Start Date is October 31 of the Plan Year or earlier and (b) must not be eligible to participate in a commercial (including sales) or other similar incentive compensation plan. Employees who are not expressly classified by the U.S. Affiliate as “regular” employees, such as temporary or contract employees and interns, are not eligible to be Participants.</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to be eligible to receive a Bonus for a Plan Year, a Participant must (i) continue to be an active regular employee of a U.S. Affiliate of the Company in good standing from the date his/her participation in the Plan commences for the Plan Year until the date Bonuses are paid for the Plan Year, except as provided in Section 6, and (ii) act in accordance with the Company’s Code of Conduct, compliance policies and procedures, and those of the Participant’s employer, and applicable laws and regulations during the Plan Year.</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Target Bonus Ranges.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Participant’s Target Bonus Range generally will be based on the Participant’s position and/or responsibility level. The Target Bonus Range for Participants and the amount of Bonus actually paid to a Participant in a Plan Year under the Plan may vary from year to year and between positions, and among positions at the same level. However, as a general guideline, the Target Bonus Ranges which will typically be assigned to various categories of employees (and varying depending on responsibility levels within each category) are as follows: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82" w:right="2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4660" w:type="dxa"/>
            <w:vAlign w:val="bottom"/>
          </w:tcPr>
          <w:p>
            <w:pPr>
              <w:jc w:val="center"/>
              <w:ind w:left="1281"/>
              <w:spacing w:after="0"/>
              <w:rPr>
                <w:sz w:val="20"/>
                <w:szCs w:val="20"/>
                <w:color w:val="auto"/>
              </w:rPr>
            </w:pPr>
            <w:r>
              <w:rPr>
                <w:rFonts w:ascii="Arial" w:cs="Arial" w:eastAsia="Arial" w:hAnsi="Arial"/>
                <w:sz w:val="20"/>
                <w:szCs w:val="20"/>
                <w:b w:val="1"/>
                <w:bCs w:val="1"/>
                <w:color w:val="auto"/>
                <w:w w:val="87"/>
              </w:rPr>
              <w:t>Target Bonus Range</w:t>
            </w:r>
          </w:p>
        </w:tc>
      </w:tr>
      <w:tr>
        <w:trPr>
          <w:trHeight w:val="256"/>
        </w:trPr>
        <w:tc>
          <w:tcPr>
            <w:tcW w:w="6680" w:type="dxa"/>
            <w:vAlign w:val="bottom"/>
          </w:tcPr>
          <w:p>
            <w:pPr>
              <w:ind w:left="40"/>
              <w:spacing w:after="0"/>
              <w:rPr>
                <w:sz w:val="20"/>
                <w:szCs w:val="20"/>
                <w:color w:val="auto"/>
              </w:rPr>
            </w:pPr>
            <w:r>
              <w:rPr>
                <w:rFonts w:ascii="Arial" w:cs="Arial" w:eastAsia="Arial" w:hAnsi="Arial"/>
                <w:sz w:val="20"/>
                <w:szCs w:val="20"/>
                <w:b w:val="1"/>
                <w:bCs w:val="1"/>
                <w:color w:val="auto"/>
              </w:rPr>
              <w:t>Position</w:t>
            </w:r>
          </w:p>
        </w:tc>
        <w:tc>
          <w:tcPr>
            <w:tcW w:w="4660" w:type="dxa"/>
            <w:vAlign w:val="bottom"/>
          </w:tcPr>
          <w:p>
            <w:pPr>
              <w:jc w:val="center"/>
              <w:ind w:left="1281"/>
              <w:spacing w:after="0"/>
              <w:rPr>
                <w:sz w:val="20"/>
                <w:szCs w:val="20"/>
                <w:color w:val="auto"/>
              </w:rPr>
            </w:pPr>
            <w:r>
              <w:rPr>
                <w:rFonts w:ascii="Arial" w:cs="Arial" w:eastAsia="Arial" w:hAnsi="Arial"/>
                <w:sz w:val="20"/>
                <w:szCs w:val="20"/>
                <w:b w:val="1"/>
                <w:bCs w:val="1"/>
                <w:color w:val="auto"/>
                <w:w w:val="88"/>
              </w:rPr>
              <w:t>(Percent of Base Salary)</w:t>
            </w:r>
          </w:p>
        </w:tc>
      </w:tr>
      <w:tr>
        <w:trPr>
          <w:trHeight w:val="23"/>
        </w:trPr>
        <w:tc>
          <w:tcPr>
            <w:tcW w:w="668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54"/>
        </w:trPr>
        <w:tc>
          <w:tcPr>
            <w:tcW w:w="6680" w:type="dxa"/>
            <w:vAlign w:val="bottom"/>
          </w:tcPr>
          <w:p>
            <w:pPr>
              <w:ind w:left="40"/>
              <w:spacing w:after="0"/>
              <w:rPr>
                <w:sz w:val="20"/>
                <w:szCs w:val="20"/>
                <w:color w:val="auto"/>
              </w:rPr>
            </w:pPr>
            <w:r>
              <w:rPr>
                <w:rFonts w:ascii="Arial" w:cs="Arial" w:eastAsia="Arial" w:hAnsi="Arial"/>
                <w:sz w:val="20"/>
                <w:szCs w:val="20"/>
                <w:color w:val="auto"/>
              </w:rPr>
              <w:t>Chairman of the Board, Chief Executive Officer, President</w:t>
            </w:r>
          </w:p>
        </w:tc>
        <w:tc>
          <w:tcPr>
            <w:tcW w:w="4660" w:type="dxa"/>
            <w:vAlign w:val="bottom"/>
          </w:tcPr>
          <w:p>
            <w:pPr>
              <w:jc w:val="center"/>
              <w:ind w:left="1261"/>
              <w:spacing w:after="0"/>
              <w:rPr>
                <w:sz w:val="20"/>
                <w:szCs w:val="20"/>
                <w:color w:val="auto"/>
              </w:rPr>
            </w:pPr>
            <w:r>
              <w:rPr>
                <w:rFonts w:ascii="Arial" w:cs="Arial" w:eastAsia="Arial" w:hAnsi="Arial"/>
                <w:sz w:val="20"/>
                <w:szCs w:val="20"/>
                <w:color w:val="auto"/>
                <w:w w:val="89"/>
              </w:rPr>
              <w:t>100%</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Executive Vice President</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89"/>
              </w:rPr>
              <w:t>50%</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Senior Vice President</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89"/>
              </w:rPr>
              <w:t>40%</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Vice President</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92"/>
              </w:rPr>
              <w:t>25-35%</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Senior Director/Executive Director</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92"/>
              </w:rPr>
              <w:t>20-30%</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Associate Director/Director</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92"/>
              </w:rPr>
              <w:t>15-25%</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Managers (all levels)</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92"/>
              </w:rPr>
              <w:t>10-20%</w:t>
            </w:r>
          </w:p>
        </w:tc>
      </w:tr>
      <w:tr>
        <w:trPr>
          <w:trHeight w:val="473"/>
        </w:trPr>
        <w:tc>
          <w:tcPr>
            <w:tcW w:w="6680" w:type="dxa"/>
            <w:vAlign w:val="bottom"/>
          </w:tcPr>
          <w:p>
            <w:pPr>
              <w:ind w:left="40"/>
              <w:spacing w:after="0"/>
              <w:rPr>
                <w:sz w:val="20"/>
                <w:szCs w:val="20"/>
                <w:color w:val="auto"/>
              </w:rPr>
            </w:pPr>
            <w:r>
              <w:rPr>
                <w:rFonts w:ascii="Arial" w:cs="Arial" w:eastAsia="Arial" w:hAnsi="Arial"/>
                <w:sz w:val="20"/>
                <w:szCs w:val="20"/>
                <w:color w:val="auto"/>
              </w:rPr>
              <w:t>Other</w:t>
            </w:r>
          </w:p>
        </w:tc>
        <w:tc>
          <w:tcPr>
            <w:tcW w:w="4660" w:type="dxa"/>
            <w:vAlign w:val="bottom"/>
          </w:tcPr>
          <w:p>
            <w:pPr>
              <w:jc w:val="center"/>
              <w:ind w:left="1281"/>
              <w:spacing w:after="0"/>
              <w:rPr>
                <w:sz w:val="20"/>
                <w:szCs w:val="20"/>
                <w:color w:val="auto"/>
              </w:rPr>
            </w:pPr>
            <w:r>
              <w:rPr>
                <w:rFonts w:ascii="Arial" w:cs="Arial" w:eastAsia="Arial" w:hAnsi="Arial"/>
                <w:sz w:val="20"/>
                <w:szCs w:val="20"/>
                <w:color w:val="auto"/>
                <w:w w:val="89"/>
              </w:rPr>
              <w:t>5-15%</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 Participant moves to a position and/or responsibility level with a higher Target Bonus Range during a Plan Year, the Participant’s Target Bonus Range will be reset at such higher level for the entire Plan Year. If a Participant moves to a position and/or responsibility level with a lower Target Bonus Range during a Plan Year, the Participant’s Target Bonus Range will be reset at the lower level for the entire Plan Year.</w:t>
      </w:r>
    </w:p>
    <w:p>
      <w:pPr>
        <w:spacing w:after="0" w:line="14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8"/>
          <w:szCs w:val="18"/>
          <w:b w:val="1"/>
          <w:bCs w:val="1"/>
          <w:color w:val="auto"/>
        </w:rPr>
        <w:t>Bonus Pool and Bonuses.</w:t>
      </w:r>
    </w:p>
    <w:p>
      <w:pPr>
        <w:spacing w:after="0" w:line="23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105" w:lineRule="exact"/>
        <w:rPr>
          <w:sz w:val="20"/>
          <w:szCs w:val="20"/>
          <w:color w:val="auto"/>
        </w:rPr>
      </w:pPr>
    </w:p>
    <w:p>
      <w:pPr>
        <w:ind w:left="580" w:hanging="464"/>
        <w:spacing w:after="0"/>
        <w:tabs>
          <w:tab w:leader="none" w:pos="5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sum of the following amounts for each Participant:</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the Base Salary for such Participant, multiplied by</w:t>
      </w:r>
    </w:p>
    <w:p>
      <w:pPr>
        <w:spacing w:after="0" w:line="219" w:lineRule="exact"/>
        <w:rPr>
          <w:rFonts w:ascii="Arial" w:cs="Arial" w:eastAsia="Arial" w:hAnsi="Arial"/>
          <w:sz w:val="22"/>
          <w:szCs w:val="22"/>
          <w:color w:val="auto"/>
        </w:rPr>
      </w:pPr>
    </w:p>
    <w:p>
      <w:pPr>
        <w:jc w:val="both"/>
        <w:ind w:firstLine="656"/>
        <w:spacing w:after="0" w:line="250" w:lineRule="auto"/>
        <w:tabs>
          <w:tab w:leader="none" w:pos="974" w:val="left"/>
        </w:tabs>
        <w:numPr>
          <w:ilvl w:val="1"/>
          <w:numId w:val="208"/>
        </w:numPr>
        <w:rPr>
          <w:rFonts w:ascii="Arial" w:cs="Arial" w:eastAsia="Arial" w:hAnsi="Arial"/>
          <w:sz w:val="22"/>
          <w:szCs w:val="22"/>
          <w:color w:val="auto"/>
        </w:rPr>
      </w:pPr>
      <w:r>
        <w:rPr>
          <w:rFonts w:ascii="Arial" w:cs="Arial" w:eastAsia="Arial" w:hAnsi="Arial"/>
          <w:sz w:val="22"/>
          <w:szCs w:val="22"/>
          <w:color w:val="auto"/>
        </w:rPr>
        <w:t>a percentage within such Participant’s applicable Target Bonus Range (as determined by the Company on an individual or category level within the ranges set forth in the table above), provided that in the case of any Participant who is an executive officer of Jazz Pharmaceuticals plc, such Participant’s Target Bonus Range will be determined by the Board or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w:t>
      </w:r>
    </w:p>
    <w:p>
      <w:pPr>
        <w:spacing w:after="0" w:line="220" w:lineRule="exact"/>
        <w:rPr>
          <w:sz w:val="20"/>
          <w:szCs w:val="20"/>
          <w:color w:val="auto"/>
        </w:rPr>
      </w:pPr>
    </w:p>
    <w:p>
      <w:pPr>
        <w:jc w:val="both"/>
        <w:ind w:firstLine="116"/>
        <w:spacing w:after="0" w:line="253" w:lineRule="auto"/>
        <w:tabs>
          <w:tab w:leader="none" w:pos="61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2"/>
          <w:szCs w:val="22"/>
          <w:b w:val="1"/>
          <w:bCs w:val="1"/>
          <w:i w:val="1"/>
          <w:iCs w:val="1"/>
          <w:color w:val="auto"/>
        </w:rPr>
        <w:t>Bonus Pool Objectives</w:t>
      </w:r>
      <w:r>
        <w:rPr>
          <w:rFonts w:ascii="Arial" w:cs="Arial" w:eastAsia="Arial" w:hAnsi="Arial"/>
          <w:sz w:val="22"/>
          <w:szCs w:val="22"/>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22" w:right="239" w:bottom="1440" w:gutter="0" w:footer="0" w:header="0"/>
        </w:sectPr>
      </w:pPr>
    </w:p>
    <w:bookmarkStart w:id="270" w:name="page271"/>
    <w:bookmarkEnd w:id="270"/>
    <w:p>
      <w:pPr>
        <w:jc w:val="both"/>
        <w:spacing w:after="0" w:line="263" w:lineRule="auto"/>
        <w:rPr>
          <w:sz w:val="20"/>
          <w:szCs w:val="20"/>
          <w:color w:val="auto"/>
        </w:rPr>
      </w:pPr>
      <w:r>
        <w:rPr>
          <w:rFonts w:ascii="Arial" w:cs="Arial" w:eastAsia="Arial" w:hAnsi="Arial"/>
          <w:sz w:val="22"/>
          <w:szCs w:val="22"/>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2"/>
          <w:szCs w:val="22"/>
          <w:b w:val="1"/>
          <w:bCs w:val="1"/>
          <w:i w:val="1"/>
          <w:iCs w:val="1"/>
          <w:color w:val="auto"/>
        </w:rPr>
        <w:t>Corporate Objectives</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Bonus.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Except as provided in Section 6, a Participant’s Bonus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Except as provided in Section 6, the amount of Bonus actually paid to each Participant will be an amount equal to such Participant’s Base Salary multiplied by a percentage within the applicable Target Bonus Range (as may be adjusted up or down for each Participant by the Board, the Compensation Committee or the Company’s management, as appropriate, based on the criteria set forth above). Each Participant’s Bonus for a Plan Year will be approved by the Chief Executive Officer or his or her delegate, except that in the case of any Participant who is an executive officer of Jazz Pharmaceuticals plc, such Participant’s Bonus will be approved by the Board or the Compensation Committee.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Termination of Employment; Death; Retirement; Permanent Disability.</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 Bonus will be paid to any Participant whose employment with a U.S. Affiliate of the Company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the case of a Participant whose employment with a U.S. Affiliate of the Company terminates (including due to death, retirement or Permanent Disability) prior to the date Bonuses for a Plan Year are scheduled to be paid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 or any other factors as decided by the Board, the Compensation Committee or the Company’s management, as appropriate.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271" w:name="page272"/>
    <w:bookmarkEnd w:id="271"/>
    <w:p>
      <w:pPr>
        <w:jc w:val="both"/>
        <w:spacing w:after="0" w:line="302" w:lineRule="auto"/>
        <w:rPr>
          <w:sz w:val="20"/>
          <w:szCs w:val="20"/>
          <w:color w:val="auto"/>
        </w:rPr>
      </w:pPr>
      <w:r>
        <w:rPr>
          <w:rFonts w:ascii="Arial" w:cs="Arial" w:eastAsia="Arial" w:hAnsi="Arial"/>
          <w:sz w:val="19"/>
          <w:szCs w:val="19"/>
          <w:color w:val="auto"/>
        </w:rPr>
        <w:t>Any Participant whose employment with a U.S. Affiliate of the Company terminates (including due to death, retirement or Permanent Disability) prior to the date Bonuses for a Plan Year are scheduled to be paid and who becomes entitled to receive a Bonus pursuant to this Section 6 will be paid such Bonus at the time determined by the Company’s management, which will in no event be later than the time at which other Participants’ Bonuses for the Plan Year are scheduled to be paid pursuant to Section 7.</w:t>
      </w:r>
    </w:p>
    <w:p>
      <w:pPr>
        <w:spacing w:after="0" w:line="9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8"/>
          <w:szCs w:val="18"/>
          <w:b w:val="1"/>
          <w:bCs w:val="1"/>
          <w:color w:val="auto"/>
        </w:rPr>
        <w:t>Payment of Bonuses.</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Bonuses for a Plan Year will be paid in cash to a Participant (or his/her beneficiary, in the event of death) by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following year,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all cases, the payment date of any Bonus for any Participant who is subject to Section 409A of the Internal Revenue Code of 1986, as amended, or any state law of similar effect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will be designed to either comply with Section 409A or satisfy an exemption from application of Section 409A, and the Plan will be administered and interpreted to the greatest extent possible in compliance with Section 409A or in accordance with such exemption, as applicable. Benefits under this Plan are not transferable, and the Plan is unfunded.</w:t>
      </w:r>
    </w:p>
    <w:p>
      <w:pPr>
        <w:spacing w:after="0" w:line="121"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Withholding of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Bonuses will be subject to income and employment tax withholding as required by applicable law.</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Plan Amendments.</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No Employment Rights.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contained in this Plan is intended to confer any right upon any employee to continued employment with the Company or any U.S. Affiliate or other affiliate thereof.</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Plan Administration.</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 management, as specifically provided in the Plan, and in such event, the Chief Executive Officer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75" w:right="239" w:bottom="1440" w:gutter="0" w:footer="0" w:header="0"/>
        </w:sectPr>
      </w:pPr>
    </w:p>
    <w:bookmarkStart w:id="272" w:name="page273"/>
    <w:bookmarkEnd w:id="272"/>
    <w:p>
      <w:pPr>
        <w:jc w:val="both"/>
        <w:spacing w:after="0" w:line="343" w:lineRule="auto"/>
        <w:rPr>
          <w:sz w:val="20"/>
          <w:szCs w:val="20"/>
          <w:color w:val="auto"/>
        </w:rPr>
      </w:pPr>
      <w:r>
        <w:rPr>
          <w:rFonts w:ascii="Arial" w:cs="Arial" w:eastAsia="Arial" w:hAnsi="Arial"/>
          <w:sz w:val="19"/>
          <w:szCs w:val="19"/>
          <w:color w:val="auto"/>
        </w:rPr>
        <w:t>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Definitions.</w:t>
      </w:r>
    </w:p>
    <w:p>
      <w:pPr>
        <w:spacing w:after="0" w:line="23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expense reimbursements, relocation payments, incentive compensation or bonuses, amounts received as a result of equity awards, overtime or shift differential payments or similar one-time or unusual payments. Any salary or pay earned for periods during which a Participant is on disciplinary action are excluded from Base Salary.</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Jazz Pharmaceuticals plc.</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means a Participant’s actual bonus for a Plan Year as determined in accordance with Section 5 or Section 6, if applicable.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Pool</w:t>
      </w:r>
      <w:r>
        <w:rPr>
          <w:rFonts w:ascii="Arial" w:cs="Arial" w:eastAsia="Arial" w:hAnsi="Arial"/>
          <w:sz w:val="22"/>
          <w:szCs w:val="22"/>
          <w:color w:val="auto"/>
        </w:rPr>
        <w:t>” for a Plan Year means the aggregate dollar amount set by the Board or the Compensation Committee for the payment of Bonuses for such Plan Year to Participants as set forth in Section 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means the Chief Executive Officer of Jazz Pharmaceuticals plc.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Start Date</w:t>
      </w:r>
      <w:r>
        <w:rPr>
          <w:rFonts w:ascii="Arial" w:cs="Arial" w:eastAsia="Arial" w:hAnsi="Arial"/>
          <w:sz w:val="22"/>
          <w:szCs w:val="22"/>
          <w:color w:val="auto"/>
        </w:rPr>
        <w:t>” means the first business day on which a Participant is an active regular employee of a U.S. Affiliate of the Company, on the U.S. Affiliate’s payroll, as applicable.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active regular employee of a U.S. Affiliate of the Company who meets all of the eligibility requirements set forth in Section 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means that a Participant has become permanently disabled under any policy or program of disability income insurance then in force covering such Participant.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Jazz Pharmaceuticals plc Cash Bonus Plan (U.S.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Year</w:t>
      </w:r>
      <w:r>
        <w:rPr>
          <w:rFonts w:ascii="Arial" w:cs="Arial" w:eastAsia="Arial" w:hAnsi="Arial"/>
          <w:sz w:val="22"/>
          <w:szCs w:val="22"/>
          <w:color w:val="auto"/>
        </w:rPr>
        <w:t>” means the calendar year.</w:t>
      </w:r>
    </w:p>
    <w:p>
      <w:pPr>
        <w:spacing w:after="0" w:line="220"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Bonus Range</w:t>
      </w:r>
      <w:r>
        <w:rPr>
          <w:rFonts w:ascii="Arial" w:cs="Arial" w:eastAsia="Arial" w:hAnsi="Arial"/>
          <w:sz w:val="19"/>
          <w:szCs w:val="19"/>
          <w:color w:val="auto"/>
        </w:rPr>
        <w:t>” means, for a Participant for a Plan Year, the percentage or range of percentages of Base Salary, based on such Participant’s position and/or responsibility level in a Plan Year, that represents the amount of Bonus that such Participant may receive for such Plan Year, as may be adjusted with respect to such Participant for such Plan Year in the discretion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5" w:right="23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the Board, the Compensation Committee or the Chief Executive Officer or his or her delegate, as applicable.</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U.S. Affiliate</w:t>
      </w:r>
      <w:r>
        <w:rPr>
          <w:rFonts w:ascii="Arial" w:cs="Arial" w:eastAsia="Arial" w:hAnsi="Arial"/>
          <w:sz w:val="22"/>
          <w:szCs w:val="22"/>
          <w:color w:val="auto"/>
        </w:rPr>
        <w:t>” means any “parent” or “subsidiary” of the Company, as such terms are defined in Rule 405 of the Securities Act of 1933, as amended, that is organized under the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As approved by the Compensation Committee of the Board of Directors of Jazz Pharmaceuticals plc on February 13,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40"/>
          </w:cols>
          <w:pgMar w:left="240" w:top="375" w:right="319" w:bottom="1440" w:gutter="0" w:footer="0" w:header="0"/>
        </w:sectPr>
      </w:pPr>
    </w:p>
    <w:bookmarkStart w:id="274" w:name="page275"/>
    <w:bookmarkEnd w:id="274"/>
    <w:p>
      <w:pPr>
        <w:jc w:val="right"/>
        <w:spacing w:after="0"/>
        <w:rPr>
          <w:sz w:val="20"/>
          <w:szCs w:val="20"/>
          <w:color w:val="auto"/>
        </w:rPr>
      </w:pPr>
      <w:r>
        <w:rPr>
          <w:rFonts w:ascii="Arial" w:cs="Arial" w:eastAsia="Arial" w:hAnsi="Arial"/>
          <w:sz w:val="22"/>
          <w:szCs w:val="22"/>
          <w:b w:val="1"/>
          <w:bCs w:val="1"/>
          <w:color w:val="auto"/>
        </w:rPr>
        <w:t>Exhibit 10.32C</w:t>
      </w:r>
    </w:p>
    <w:p>
      <w:pPr>
        <w:spacing w:after="0" w:line="220"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JAZZ PHARMACEUTICALS</w:t>
      </w:r>
    </w:p>
    <w:p>
      <w:pPr>
        <w:spacing w:after="0" w:line="220"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CASH BONUS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AFFILIATES)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(Calendar Year 2013)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Purpose of the Plan.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Jazz Pharmaceuticals Cash Bonus Plan (International Affiliates) (Calendar Year 2013)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 designed to provide meaningful incentive, on an annual basis, for employees of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employees of the Company’s International Affiliates for the Plan Year beginning January 1, 2013 and ending December 31, 2013.</w:t>
      </w:r>
    </w:p>
    <w:p>
      <w:pPr>
        <w:spacing w:after="0" w:line="87"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Eligibility.</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order to be eligible to participate in the Plan for a Plan Year, an employee (a) must be an employee of the Company or an International Affiliate whose Employment Start Date is October 31 of the Plan Year or earlier and (b) must not be eligible to participate in a commercial (including sales) or other similar incentive compensation plan. Employees who are interns are not eligible to be Participants, to the extent permissible under local law.</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order to be eligible to receive a Bonus for a Plan Year, a Participant must (i) continue to be an employee of the Company or an International Affiliate in good standing from the date his/her participation in the Plan commences for the Plan Year until the date Bonuses are paid for the Plan Year, except as provided in Section 6, (ii) act in accordance with the Company’s Code of Conduct, compliance policies and procedures, and those of the Participant’s employer, and applicable laws and regulations during the Plan Year, and (iii) not be serving a notice period.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 Plan will automatically expire at the end of the indicated Plan Year, to the extent permissible under local law.</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Target Bonus Ranges.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Participant’s Target Bonus Range generally will be based on the Participant’s position and/or responsibility level. The Target Bonus Range for Participants and the amount of Bonus actually paid to a Participant in a Plan Year under the Plan may vary from year to year and between positions, and among positions at the same level. However, as a general guideline, the Target Bonus Ranges which will typically be assigned to various categories of employees (and varying depending on responsibility levels within each category) are as follows: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41" w:right="2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4680" w:type="dxa"/>
            <w:vAlign w:val="bottom"/>
          </w:tcPr>
          <w:p>
            <w:pPr>
              <w:jc w:val="center"/>
              <w:ind w:left="1381"/>
              <w:spacing w:after="0"/>
              <w:rPr>
                <w:sz w:val="20"/>
                <w:szCs w:val="20"/>
                <w:color w:val="auto"/>
              </w:rPr>
            </w:pPr>
            <w:r>
              <w:rPr>
                <w:rFonts w:ascii="Arial" w:cs="Arial" w:eastAsia="Arial" w:hAnsi="Arial"/>
                <w:sz w:val="20"/>
                <w:szCs w:val="20"/>
                <w:b w:val="1"/>
                <w:bCs w:val="1"/>
                <w:color w:val="auto"/>
                <w:w w:val="87"/>
              </w:rPr>
              <w:t>Target Bonus Range</w:t>
            </w:r>
          </w:p>
        </w:tc>
      </w:tr>
      <w:tr>
        <w:trPr>
          <w:trHeight w:val="256"/>
        </w:trPr>
        <w:tc>
          <w:tcPr>
            <w:tcW w:w="6740" w:type="dxa"/>
            <w:vAlign w:val="bottom"/>
          </w:tcPr>
          <w:p>
            <w:pPr>
              <w:ind w:left="40"/>
              <w:spacing w:after="0"/>
              <w:rPr>
                <w:sz w:val="20"/>
                <w:szCs w:val="20"/>
                <w:color w:val="auto"/>
              </w:rPr>
            </w:pPr>
            <w:r>
              <w:rPr>
                <w:rFonts w:ascii="Arial" w:cs="Arial" w:eastAsia="Arial" w:hAnsi="Arial"/>
                <w:sz w:val="20"/>
                <w:szCs w:val="20"/>
                <w:b w:val="1"/>
                <w:bCs w:val="1"/>
                <w:color w:val="auto"/>
              </w:rPr>
              <w:t>Position</w:t>
            </w:r>
          </w:p>
        </w:tc>
        <w:tc>
          <w:tcPr>
            <w:tcW w:w="4680" w:type="dxa"/>
            <w:vAlign w:val="bottom"/>
          </w:tcPr>
          <w:p>
            <w:pPr>
              <w:jc w:val="center"/>
              <w:ind w:left="1381"/>
              <w:spacing w:after="0"/>
              <w:rPr>
                <w:sz w:val="20"/>
                <w:szCs w:val="20"/>
                <w:color w:val="auto"/>
              </w:rPr>
            </w:pPr>
            <w:r>
              <w:rPr>
                <w:rFonts w:ascii="Arial" w:cs="Arial" w:eastAsia="Arial" w:hAnsi="Arial"/>
                <w:sz w:val="20"/>
                <w:szCs w:val="20"/>
                <w:b w:val="1"/>
                <w:bCs w:val="1"/>
                <w:color w:val="auto"/>
                <w:w w:val="88"/>
              </w:rPr>
              <w:t>(Percent of Base Salary)</w:t>
            </w:r>
          </w:p>
        </w:tc>
      </w:tr>
      <w:tr>
        <w:trPr>
          <w:trHeight w:val="23"/>
        </w:trPr>
        <w:tc>
          <w:tcPr>
            <w:tcW w:w="67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54"/>
        </w:trPr>
        <w:tc>
          <w:tcPr>
            <w:tcW w:w="6740" w:type="dxa"/>
            <w:vAlign w:val="bottom"/>
          </w:tcPr>
          <w:p>
            <w:pPr>
              <w:ind w:left="40"/>
              <w:spacing w:after="0"/>
              <w:rPr>
                <w:sz w:val="20"/>
                <w:szCs w:val="20"/>
                <w:color w:val="auto"/>
              </w:rPr>
            </w:pPr>
            <w:r>
              <w:rPr>
                <w:rFonts w:ascii="Arial" w:cs="Arial" w:eastAsia="Arial" w:hAnsi="Arial"/>
                <w:sz w:val="20"/>
                <w:szCs w:val="20"/>
                <w:color w:val="auto"/>
              </w:rPr>
              <w:t>Chairman of the Board, Chief Executive Officer, President</w:t>
            </w:r>
          </w:p>
        </w:tc>
        <w:tc>
          <w:tcPr>
            <w:tcW w:w="4680" w:type="dxa"/>
            <w:vAlign w:val="bottom"/>
          </w:tcPr>
          <w:p>
            <w:pPr>
              <w:jc w:val="center"/>
              <w:ind w:left="1401"/>
              <w:spacing w:after="0"/>
              <w:rPr>
                <w:sz w:val="20"/>
                <w:szCs w:val="20"/>
                <w:color w:val="auto"/>
              </w:rPr>
            </w:pPr>
            <w:r>
              <w:rPr>
                <w:rFonts w:ascii="Arial" w:cs="Arial" w:eastAsia="Arial" w:hAnsi="Arial"/>
                <w:sz w:val="20"/>
                <w:szCs w:val="20"/>
                <w:color w:val="auto"/>
                <w:w w:val="89"/>
              </w:rPr>
              <w:t>100%</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Executive Vice President</w:t>
            </w:r>
          </w:p>
        </w:tc>
        <w:tc>
          <w:tcPr>
            <w:tcW w:w="4680" w:type="dxa"/>
            <w:vAlign w:val="bottom"/>
          </w:tcPr>
          <w:p>
            <w:pPr>
              <w:jc w:val="center"/>
              <w:ind w:left="1381"/>
              <w:spacing w:after="0"/>
              <w:rPr>
                <w:sz w:val="20"/>
                <w:szCs w:val="20"/>
                <w:color w:val="auto"/>
              </w:rPr>
            </w:pPr>
            <w:r>
              <w:rPr>
                <w:rFonts w:ascii="Arial" w:cs="Arial" w:eastAsia="Arial" w:hAnsi="Arial"/>
                <w:sz w:val="20"/>
                <w:szCs w:val="20"/>
                <w:color w:val="auto"/>
                <w:w w:val="89"/>
              </w:rPr>
              <w:t>50%</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Senior Vice President</w:t>
            </w:r>
          </w:p>
        </w:tc>
        <w:tc>
          <w:tcPr>
            <w:tcW w:w="4680" w:type="dxa"/>
            <w:vAlign w:val="bottom"/>
          </w:tcPr>
          <w:p>
            <w:pPr>
              <w:jc w:val="center"/>
              <w:ind w:left="1381"/>
              <w:spacing w:after="0"/>
              <w:rPr>
                <w:sz w:val="20"/>
                <w:szCs w:val="20"/>
                <w:color w:val="auto"/>
              </w:rPr>
            </w:pPr>
            <w:r>
              <w:rPr>
                <w:rFonts w:ascii="Arial" w:cs="Arial" w:eastAsia="Arial" w:hAnsi="Arial"/>
                <w:sz w:val="20"/>
                <w:szCs w:val="20"/>
                <w:color w:val="auto"/>
                <w:w w:val="89"/>
              </w:rPr>
              <w:t>40%</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Vice President</w:t>
            </w:r>
          </w:p>
        </w:tc>
        <w:tc>
          <w:tcPr>
            <w:tcW w:w="4680" w:type="dxa"/>
            <w:vAlign w:val="bottom"/>
          </w:tcPr>
          <w:p>
            <w:pPr>
              <w:jc w:val="center"/>
              <w:ind w:left="1401"/>
              <w:spacing w:after="0"/>
              <w:rPr>
                <w:sz w:val="20"/>
                <w:szCs w:val="20"/>
                <w:color w:val="auto"/>
              </w:rPr>
            </w:pPr>
            <w:r>
              <w:rPr>
                <w:rFonts w:ascii="Arial" w:cs="Arial" w:eastAsia="Arial" w:hAnsi="Arial"/>
                <w:sz w:val="20"/>
                <w:szCs w:val="20"/>
                <w:color w:val="auto"/>
                <w:w w:val="89"/>
              </w:rPr>
              <w:t>25-35%</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Senior Director/Executive Director</w:t>
            </w:r>
          </w:p>
        </w:tc>
        <w:tc>
          <w:tcPr>
            <w:tcW w:w="4680" w:type="dxa"/>
            <w:vAlign w:val="bottom"/>
          </w:tcPr>
          <w:p>
            <w:pPr>
              <w:jc w:val="center"/>
              <w:ind w:left="1401"/>
              <w:spacing w:after="0"/>
              <w:rPr>
                <w:sz w:val="20"/>
                <w:szCs w:val="20"/>
                <w:color w:val="auto"/>
              </w:rPr>
            </w:pPr>
            <w:r>
              <w:rPr>
                <w:rFonts w:ascii="Arial" w:cs="Arial" w:eastAsia="Arial" w:hAnsi="Arial"/>
                <w:sz w:val="20"/>
                <w:szCs w:val="20"/>
                <w:color w:val="auto"/>
                <w:w w:val="89"/>
              </w:rPr>
              <w:t>20-30%</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Associate Director/Director</w:t>
            </w:r>
          </w:p>
        </w:tc>
        <w:tc>
          <w:tcPr>
            <w:tcW w:w="4680" w:type="dxa"/>
            <w:vAlign w:val="bottom"/>
          </w:tcPr>
          <w:p>
            <w:pPr>
              <w:jc w:val="center"/>
              <w:ind w:left="1401"/>
              <w:spacing w:after="0"/>
              <w:rPr>
                <w:sz w:val="20"/>
                <w:szCs w:val="20"/>
                <w:color w:val="auto"/>
              </w:rPr>
            </w:pPr>
            <w:r>
              <w:rPr>
                <w:rFonts w:ascii="Arial" w:cs="Arial" w:eastAsia="Arial" w:hAnsi="Arial"/>
                <w:sz w:val="20"/>
                <w:szCs w:val="20"/>
                <w:color w:val="auto"/>
                <w:w w:val="89"/>
              </w:rPr>
              <w:t>15-25%</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Managers (all levels)</w:t>
            </w:r>
          </w:p>
        </w:tc>
        <w:tc>
          <w:tcPr>
            <w:tcW w:w="4680" w:type="dxa"/>
            <w:vAlign w:val="bottom"/>
          </w:tcPr>
          <w:p>
            <w:pPr>
              <w:jc w:val="center"/>
              <w:ind w:left="1401"/>
              <w:spacing w:after="0"/>
              <w:rPr>
                <w:sz w:val="20"/>
                <w:szCs w:val="20"/>
                <w:color w:val="auto"/>
              </w:rPr>
            </w:pPr>
            <w:r>
              <w:rPr>
                <w:rFonts w:ascii="Arial" w:cs="Arial" w:eastAsia="Arial" w:hAnsi="Arial"/>
                <w:sz w:val="20"/>
                <w:szCs w:val="20"/>
                <w:color w:val="auto"/>
                <w:w w:val="89"/>
              </w:rPr>
              <w:t>10-20%</w:t>
            </w:r>
          </w:p>
        </w:tc>
      </w:tr>
      <w:tr>
        <w:trPr>
          <w:trHeight w:val="473"/>
        </w:trPr>
        <w:tc>
          <w:tcPr>
            <w:tcW w:w="6740" w:type="dxa"/>
            <w:vAlign w:val="bottom"/>
          </w:tcPr>
          <w:p>
            <w:pPr>
              <w:ind w:left="40"/>
              <w:spacing w:after="0"/>
              <w:rPr>
                <w:sz w:val="20"/>
                <w:szCs w:val="20"/>
                <w:color w:val="auto"/>
              </w:rPr>
            </w:pPr>
            <w:r>
              <w:rPr>
                <w:rFonts w:ascii="Arial" w:cs="Arial" w:eastAsia="Arial" w:hAnsi="Arial"/>
                <w:sz w:val="20"/>
                <w:szCs w:val="20"/>
                <w:color w:val="auto"/>
              </w:rPr>
              <w:t>Other</w:t>
            </w:r>
          </w:p>
        </w:tc>
        <w:tc>
          <w:tcPr>
            <w:tcW w:w="4680" w:type="dxa"/>
            <w:vAlign w:val="bottom"/>
          </w:tcPr>
          <w:p>
            <w:pPr>
              <w:jc w:val="center"/>
              <w:ind w:left="1401"/>
              <w:spacing w:after="0"/>
              <w:rPr>
                <w:sz w:val="20"/>
                <w:szCs w:val="20"/>
                <w:color w:val="auto"/>
              </w:rPr>
            </w:pPr>
            <w:r>
              <w:rPr>
                <w:rFonts w:ascii="Arial" w:cs="Arial" w:eastAsia="Arial" w:hAnsi="Arial"/>
                <w:sz w:val="20"/>
                <w:szCs w:val="20"/>
                <w:color w:val="auto"/>
                <w:w w:val="93"/>
              </w:rPr>
              <w:t>5-15%</w:t>
            </w:r>
          </w:p>
        </w:tc>
      </w:tr>
    </w:tbl>
    <w:p>
      <w:pPr>
        <w:spacing w:after="0" w:line="200" w:lineRule="exact"/>
        <w:rPr>
          <w:sz w:val="20"/>
          <w:szCs w:val="20"/>
          <w:color w:val="auto"/>
        </w:rPr>
      </w:pPr>
    </w:p>
    <w:p>
      <w:pPr>
        <w:spacing w:after="0" w:line="2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 Participant moves to a position and/or responsibility level with a higher Target Bonus Range during a Plan Year, the Participant’s Target Bonus Range will be reset at such higher level for the entire Plan Year. If a Participant moves to a position and/or responsibility level with a lower Target Bonus Range during a Plan Year, the Participant’s Target Bonus Range will be reset at the lower level for the entire Plan Year.</w:t>
      </w:r>
    </w:p>
    <w:p>
      <w:pPr>
        <w:spacing w:after="0" w:line="14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8"/>
          <w:szCs w:val="18"/>
          <w:b w:val="1"/>
          <w:bCs w:val="1"/>
          <w:color w:val="auto"/>
        </w:rPr>
        <w:t>Bonus Pool and Bonuses.</w:t>
      </w:r>
    </w:p>
    <w:p>
      <w:pPr>
        <w:spacing w:after="0" w:line="23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Following the end of a Plan Year, the Board or the Compensation Committee will determine, in its sole discretion, the Bonus Pool for the Plan Year to be allocated for the payment of Bonuses to Participants. The Bonus Pool will be calculated by multiplying</w:t>
      </w:r>
    </w:p>
    <w:p>
      <w:pPr>
        <w:spacing w:after="0" w:line="64" w:lineRule="exact"/>
        <w:rPr>
          <w:sz w:val="20"/>
          <w:szCs w:val="20"/>
          <w:color w:val="auto"/>
        </w:rPr>
      </w:pPr>
    </w:p>
    <w:p>
      <w:pPr>
        <w:ind w:left="580" w:hanging="464"/>
        <w:spacing w:after="0"/>
        <w:tabs>
          <w:tab w:leader="none" w:pos="5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sum of the following amounts for each Participant:</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Base Salary for such Participant, multiplied by</w:t>
      </w:r>
    </w:p>
    <w:p>
      <w:pPr>
        <w:spacing w:after="0" w:line="219" w:lineRule="exact"/>
        <w:rPr>
          <w:rFonts w:ascii="Arial" w:cs="Arial" w:eastAsia="Arial" w:hAnsi="Arial"/>
          <w:sz w:val="22"/>
          <w:szCs w:val="22"/>
          <w:color w:val="auto"/>
        </w:rPr>
      </w:pPr>
    </w:p>
    <w:p>
      <w:pPr>
        <w:jc w:val="both"/>
        <w:ind w:firstLine="656"/>
        <w:spacing w:after="0" w:line="250" w:lineRule="auto"/>
        <w:tabs>
          <w:tab w:leader="none" w:pos="97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a percentage within such Participant’s applicable Target Bonus Range (as determined by the Company on an individual or category level within the ranges set forth in the table above), provided that in the case of any Participant who is an executive officer of Jazz Pharmaceuticals plc, such Participant’s Target Bonus Range will be determined by the Board or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w:t>
      </w:r>
    </w:p>
    <w:p>
      <w:pPr>
        <w:spacing w:after="0" w:line="220" w:lineRule="exact"/>
        <w:rPr>
          <w:sz w:val="20"/>
          <w:szCs w:val="20"/>
          <w:color w:val="auto"/>
        </w:rPr>
      </w:pPr>
    </w:p>
    <w:p>
      <w:pPr>
        <w:jc w:val="both"/>
        <w:ind w:firstLine="116"/>
        <w:spacing w:after="0" w:line="253" w:lineRule="auto"/>
        <w:tabs>
          <w:tab w:leader="none" w:pos="611"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percentage set by the Board or the Compensation Committee based upon its determination of the Company’s success in achieving the objectives established by the Board or the Compensation Committee for funding the Bonus Pool for the Plan Year (the “</w:t>
      </w:r>
      <w:r>
        <w:rPr>
          <w:rFonts w:ascii="Arial" w:cs="Arial" w:eastAsia="Arial" w:hAnsi="Arial"/>
          <w:sz w:val="22"/>
          <w:szCs w:val="22"/>
          <w:b w:val="1"/>
          <w:bCs w:val="1"/>
          <w:i w:val="1"/>
          <w:iCs w:val="1"/>
          <w:color w:val="auto"/>
        </w:rPr>
        <w:t>Bonus Pool Objectives</w:t>
      </w:r>
      <w:r>
        <w:rPr>
          <w:rFonts w:ascii="Arial" w:cs="Arial" w:eastAsia="Arial" w:hAnsi="Arial"/>
          <w:sz w:val="22"/>
          <w:szCs w:val="22"/>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994" w:right="239" w:bottom="1440" w:gutter="0" w:footer="0" w:header="0"/>
        </w:sectPr>
      </w:pPr>
    </w:p>
    <w:bookmarkStart w:id="276" w:name="page277"/>
    <w:bookmarkEnd w:id="276"/>
    <w:p>
      <w:pPr>
        <w:jc w:val="both"/>
        <w:spacing w:after="0" w:line="263" w:lineRule="auto"/>
        <w:rPr>
          <w:sz w:val="20"/>
          <w:szCs w:val="20"/>
          <w:color w:val="auto"/>
        </w:rPr>
      </w:pPr>
      <w:r>
        <w:rPr>
          <w:rFonts w:ascii="Arial" w:cs="Arial" w:eastAsia="Arial" w:hAnsi="Arial"/>
          <w:sz w:val="22"/>
          <w:szCs w:val="22"/>
          <w:color w:val="auto"/>
        </w:rPr>
        <w:t>The Bonus Pool Objectives are related to the achievement of the overall corporate objectives established for the applicable Plan Year by the Board or the Compensation Committee (the “</w:t>
      </w:r>
      <w:r>
        <w:rPr>
          <w:rFonts w:ascii="Arial" w:cs="Arial" w:eastAsia="Arial" w:hAnsi="Arial"/>
          <w:sz w:val="22"/>
          <w:szCs w:val="22"/>
          <w:b w:val="1"/>
          <w:bCs w:val="1"/>
          <w:i w:val="1"/>
          <w:iCs w:val="1"/>
          <w:color w:val="auto"/>
        </w:rPr>
        <w:t>Corporate Objectives</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Bonus.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Except as provided in Section 6, a Participant’s Bonus for a Plan Year will be based upon the following criteria: (a) the Company’s success in achieving the Corporate Objectives established for the Plan Year, (b) the Participant’s success in achieving his/her individual objectives established for the Plan Year (if applicable) and the Participant’s contribution to the Company’s success in achieving the Corporate Objectives, in each case while demonstrating Company values, and (c) the Participant’s compliance with Company policies and those of Participant’s employer. Applying these criteria, a participant may not be entitled to any Bonus. In the event that a Participant is to receive a Bonus, except as provided in Section 6, the amount of Bonus actually paid to each Participant will be an amount equal to such Participant’s Base Salary multiplied by a percentage within the applicable Target Bonus Range (as may be adjusted up or down for each Participant by the Board, the Compensation Committee or the Company’s management, as appropriate, based on the criteria set forth above). Each Participant’s Bonus for a Plan Year will be approved by the Chief Executive Officer or his or her delegate, except that in the case of any Participant who is an executive officer of Jazz Pharmaceuticals plc, such Participant’s Bonus will be approved by the Board or the Compensation Committee.</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total of all Bonuses paid under this Plan in any Plan Year may not exceed the Bonus Pool for such Plan Year unless such excess amount is specifically approved by the Board or the Compensation Committee. Except as provided in Section 6, no amounts will be payable to any Participant hereunder until the Bonus Pool and such Participant’s Bonus have been determined as described above. Except as provided in Section 6, no Participant is entitled to any particular bonus, or any bonus, unless approved as described above.</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Termination of Employment; Death; Retirement; Permanent Disability.</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No Bonus will be paid to any Participant whose employment with the Company or an International Affiliate terminates prior to the date Bonuses for a Plan Year are scheduled to be paid pursuant to Section 7, unless (a) such termination is due to the Participant’s death, retirement or Permanent Disability, (b) the Board, the Compensation Committee, or the Company’s management in appropriate circumstances in management’s discretion determines that the Participant will be eligible to receive a Bonus, or (c) such condition is prohibited by regulations, laws, employment agreements or employment contracts applicable to a particular Participant.</w:t>
      </w:r>
    </w:p>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the case of a Participant whose employment with the Company or an International Affiliate terminates (including due to death, retirement or Permanent Disability) prior to the date Bonuses for a Plan Year are scheduled to be paid and who becomes entitled to receive a Bonus pursuant to the foregoing paragraph, the amount of such Participant’s Bonus for the Plan Year will be determined by the Board, the Compensation Committee, or the Company’s management and may be prorated or otherwise determined based on the number of months employed during the Plan Year, performance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47" w:right="239" w:bottom="1440" w:gutter="0" w:footer="0" w:header="0"/>
        </w:sectPr>
      </w:pPr>
    </w:p>
    <w:bookmarkStart w:id="277" w:name="page278"/>
    <w:bookmarkEnd w:id="277"/>
    <w:p>
      <w:pPr>
        <w:jc w:val="both"/>
        <w:spacing w:after="0" w:line="263" w:lineRule="auto"/>
        <w:rPr>
          <w:sz w:val="20"/>
          <w:szCs w:val="20"/>
          <w:color w:val="auto"/>
        </w:rPr>
      </w:pPr>
      <w:r>
        <w:rPr>
          <w:rFonts w:ascii="Arial" w:cs="Arial" w:eastAsia="Arial" w:hAnsi="Arial"/>
          <w:sz w:val="22"/>
          <w:szCs w:val="22"/>
          <w:color w:val="auto"/>
        </w:rPr>
        <w:t>or any other factors as decided by the Board, the Compensation Committee or the Company’s management, as appropriate, to the extent permissible under local law.</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Any Participant whose employment with the Company or an International Affiliate terminates (including due to death, retirement or Permanent Disability) prior to the date Bonuses for a Plan Year are scheduled to be paid and who becomes entitled to receive a Bonus pursuant to this Section 6 will be paid such Bonus at the time determined by the Company’s management, which will in no event be later than the time at which other Participants’ Bonuses for the Plan Year are scheduled to be paid pursuant to Section 7.</w:t>
      </w:r>
    </w:p>
    <w:p>
      <w:pPr>
        <w:spacing w:after="0" w:line="1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Unless otherwise required under local law, payments under this Plan shall not be included in calculation of any payment in lieu of notice, severance pay, termination, indemnity or similar pay.</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8"/>
          <w:szCs w:val="18"/>
          <w:b w:val="1"/>
          <w:bCs w:val="1"/>
          <w:color w:val="auto"/>
        </w:rPr>
        <w:t>Payment of Bonuses.</w:t>
      </w:r>
    </w:p>
    <w:p>
      <w:pPr>
        <w:spacing w:after="0" w:line="22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Bonuses for a Plan Year will be paid in cash to a Participant (or his/her beneficiary, in the event of death) by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following year, except (i) as is otherwise determined in the sole discretion of the Board, the Compensation Committee or the Company’s management, as appropriate, or (ii) as may be necessary or advisable to comply with regulations, laws, employment agreements or employment contracts applicable to a particular Participant. Benefits under this Plan are not transferable, to the extent permissible under local law.</w:t>
      </w:r>
    </w:p>
    <w:p>
      <w:pPr>
        <w:spacing w:after="0" w:line="152"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Withholding of Taxes.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Bonuses will be subject to income and employment tax withholding as required by applicable local laws.</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Plan Amendments.</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Plan may be revised, modified, or terminated at any time in the sole discretion of the Board or the Compensation Committee. Without limiting the foregoing, the Plan may be revised, modified, or terminated with respect to a Participant or specific group of Participants as may be necessary or advisable to comply with the laws and regulations of the jurisdiction where such Participant or specific group of Participants are employed or where such Participant or specific group of Participants are tax residents.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No Employment Rights.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Nothing contained in this Plan is intended to confer any right upon any employee to continued employment with the Company or any International Affiliate or other affiliate thereof.</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Plan Administration.</w:t>
      </w:r>
    </w:p>
    <w:p>
      <w:pPr>
        <w:spacing w:after="0" w:line="23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Plan will be administered by the Board or the Compensation Committee. The Board and the Compensation Committee shall have the sole discretion and authority to administer and interpret the Plan, and the decisions of the Board and the Compensation Committee shall in every case be final and binding on all persons having an interest in the Plan. Notwithstanding the foregoing, certain aspects of the Plan may be administered by the Chief Executive Officer or the Company’s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48" w:right="239" w:bottom="1440" w:gutter="0" w:footer="0" w:header="0"/>
        </w:sectPr>
      </w:pPr>
    </w:p>
    <w:bookmarkStart w:id="278" w:name="page279"/>
    <w:bookmarkEnd w:id="278"/>
    <w:p>
      <w:pPr>
        <w:jc w:val="both"/>
        <w:spacing w:after="0" w:line="253" w:lineRule="auto"/>
        <w:rPr>
          <w:sz w:val="20"/>
          <w:szCs w:val="20"/>
          <w:color w:val="auto"/>
        </w:rPr>
      </w:pPr>
      <w:r>
        <w:rPr>
          <w:rFonts w:ascii="Arial" w:cs="Arial" w:eastAsia="Arial" w:hAnsi="Arial"/>
          <w:sz w:val="22"/>
          <w:szCs w:val="22"/>
          <w:color w:val="auto"/>
        </w:rPr>
        <w:t>management, as specifically provided in the Plan, and in such event, the Chief Executive Officer or the Company’s management shall have the sole discretion and authority to administer and interpret such aspects of the Plan, and the decisions of the Chief Executive Officer or the Company’s management shall in such cases be final and binding.</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Definitions.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for a Participant means the total amount of base salary or base pay actually paid to the Participant during the period of his/her participation in the Plan for the Plan Year, rather than the Participant’s base salary level or base pay level at any particular point during the Plan Year (</w:t>
      </w:r>
      <w:r>
        <w:rPr>
          <w:rFonts w:ascii="Arial" w:cs="Arial" w:eastAsia="Arial" w:hAnsi="Arial"/>
          <w:sz w:val="19"/>
          <w:szCs w:val="19"/>
          <w:i w:val="1"/>
          <w:iCs w:val="1"/>
          <w:color w:val="auto"/>
        </w:rPr>
        <w:t>e.g</w:t>
      </w:r>
      <w:r>
        <w:rPr>
          <w:rFonts w:ascii="Arial" w:cs="Arial" w:eastAsia="Arial" w:hAnsi="Arial"/>
          <w:sz w:val="19"/>
          <w:szCs w:val="19"/>
          <w:color w:val="auto"/>
        </w:rPr>
        <w:t>., the Base Salary for a Participant whose base salary or base pay is adjusted during the Plan Year, for a Participant who is hired during the Plan Year, or for a Participant whose employment terminates during the Plan Year will be the total amount of base salary or base pay actually paid to the Participant during the period of his/her participation in the Plan for the Plan Year). Base Salary does not include any expense reimbursements, relocation payments, incentive compensation or bonuses, amounts received as a result of equity awards, overtime or shift differential payments or similar one-time or unusual payments. Any salary or pay earned for periods during which a Participant is on disciplinary action or serving a notice period are excluded from Base Salary to the extent permissible under local law.</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Jazz Pharmaceuticals plc.</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Bonus</w:t>
      </w:r>
      <w:r>
        <w:rPr>
          <w:rFonts w:ascii="Arial" w:cs="Arial" w:eastAsia="Arial" w:hAnsi="Arial"/>
          <w:sz w:val="19"/>
          <w:szCs w:val="19"/>
          <w:color w:val="auto"/>
        </w:rPr>
        <w:t>” means a Participant’s actual bonus for a Plan Year as determined in accordance with Section 5 or Section 6, if applicable.</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Pool</w:t>
      </w:r>
      <w:r>
        <w:rPr>
          <w:rFonts w:ascii="Arial" w:cs="Arial" w:eastAsia="Arial" w:hAnsi="Arial"/>
          <w:sz w:val="22"/>
          <w:szCs w:val="22"/>
          <w:color w:val="auto"/>
        </w:rPr>
        <w:t>” for a Plan Year means the aggregate dollar amount set by the Board or the Compensation Committee for the payment of Bonuses for such Plan Year to Participants as set forth in Section 4.</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means the Chief Executive Officer of Jazz Pharmaceuticals plc.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17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Employment Start Date</w:t>
      </w:r>
      <w:r>
        <w:rPr>
          <w:rFonts w:ascii="Arial" w:cs="Arial" w:eastAsia="Arial" w:hAnsi="Arial"/>
          <w:sz w:val="22"/>
          <w:szCs w:val="22"/>
          <w:color w:val="auto"/>
        </w:rPr>
        <w:t>” means the first business day on which a Participant is an employee of the Company or an International Affiliate, on the Company’s or International Affiliate’s payroll, as applicable.</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International Affiliate</w:t>
      </w:r>
      <w:r>
        <w:rPr>
          <w:rFonts w:ascii="Arial" w:cs="Arial" w:eastAsia="Arial" w:hAnsi="Arial"/>
          <w:sz w:val="22"/>
          <w:szCs w:val="22"/>
          <w:color w:val="auto"/>
        </w:rPr>
        <w:t>” means any “parent” or “subsidiary” of the Company that is organized under the laws of any country other than the United States.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of the Company or an International Affiliate who meets all of the eligibility requirements set forth in Section 2.</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Permanent Disability</w:t>
      </w:r>
      <w:r>
        <w:rPr>
          <w:rFonts w:ascii="Arial" w:cs="Arial" w:eastAsia="Arial" w:hAnsi="Arial"/>
          <w:sz w:val="22"/>
          <w:szCs w:val="22"/>
          <w:color w:val="auto"/>
        </w:rPr>
        <w:t>” means that a Participant has become permanently disabled under any policy or program of disability income insurance then in force covering such Participant.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Jazz Pharmaceuticals Cash Bonus Plan (International Affiliates) (Calendar Year 2013).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47" w:right="23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Year</w:t>
      </w:r>
      <w:r>
        <w:rPr>
          <w:rFonts w:ascii="Arial" w:cs="Arial" w:eastAsia="Arial" w:hAnsi="Arial"/>
          <w:sz w:val="22"/>
          <w:szCs w:val="22"/>
          <w:color w:val="auto"/>
        </w:rPr>
        <w:t>” means the calendar year beginning January 1, 2013 and ending December 31, 2013.</w:t>
      </w:r>
    </w:p>
    <w:p>
      <w:pPr>
        <w:spacing w:after="0" w:line="220"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Bonus Range</w:t>
      </w:r>
      <w:r>
        <w:rPr>
          <w:rFonts w:ascii="Arial" w:cs="Arial" w:eastAsia="Arial" w:hAnsi="Arial"/>
          <w:sz w:val="19"/>
          <w:szCs w:val="19"/>
          <w:color w:val="auto"/>
        </w:rPr>
        <w:t>” means, for a Participant for a Plan Year, the percentage or range of percentages of Base Salary, based on such Participant’s position and/or responsibility level in a Plan Year, that represents the amount of Bonus that such Participant may receive for such Plan Year, as may be adjusted with respect to such Participant for such Plan Year in the discretion of the Board, the Compensation Committee or the Chief Executive Officer or his or her delegate, as applicable.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As approved by the Compensation Committee of the Board of Directors of Jazz Pharmaceuticals plc on February 13, 2013.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AND ACCEPTANCE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acknowledge that this Cash Bonus Plan for the Plan Year beginning January 1, 2013 and ending December 31, 2013 supersedes and replaces all prior agreements, representations or understandings, whether written, oral or implied, between the Company, my employer and me. Further, I acknowledge that I have read, understand, and agree to comply with all of the terms and conditions of this Cash Bonus Plan.</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Employee Signature: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48"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380"/>
          </w:cols>
          <w:pgMar w:left="280" w:top="37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 or Jurisdiction of Incorporation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49"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Ireland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Ireland</w:t>
      </w:r>
    </w:p>
    <w:p>
      <w:pPr>
        <w:spacing w:after="0" w:line="86"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Jazz Pharmaceuticals, Inc.</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Arial" w:cs="Arial" w:eastAsia="Arial" w:hAnsi="Arial"/>
          <w:sz w:val="16"/>
          <w:szCs w:val="16"/>
          <w:color w:val="auto"/>
        </w:rPr>
        <w:t>Delaware</w:t>
      </w:r>
    </w:p>
    <w:p>
      <w:pPr>
        <w:spacing w:after="0" w:line="86"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International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6"/>
          <w:szCs w:val="16"/>
          <w:color w:val="auto"/>
        </w:rPr>
        <w:t>Jazz Pharmaceuticals International II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EUSA Pharma SAS</w:t>
      </w:r>
    </w:p>
    <w:p>
      <w:pPr>
        <w:spacing w:after="0" w:line="20" w:lineRule="exact"/>
        <w:rPr>
          <w:sz w:val="20"/>
          <w:szCs w:val="20"/>
          <w:color w:val="auto"/>
        </w:rPr>
      </w:pPr>
      <w:r>
        <w:rPr>
          <w:sz w:val="20"/>
          <w:szCs w:val="20"/>
          <w:color w:val="auto"/>
        </w:rPr>
        <w:br w:type="column"/>
      </w:r>
    </w:p>
    <w:p>
      <w:pPr>
        <w:jc w:val="center"/>
        <w:ind w:right="4660"/>
        <w:spacing w:after="0"/>
        <w:rPr>
          <w:sz w:val="20"/>
          <w:szCs w:val="20"/>
          <w:color w:val="auto"/>
        </w:rPr>
      </w:pPr>
      <w:r>
        <w:rPr>
          <w:rFonts w:ascii="Arial" w:cs="Arial" w:eastAsia="Arial" w:hAnsi="Arial"/>
          <w:sz w:val="15"/>
          <w:szCs w:val="15"/>
          <w:color w:val="auto"/>
        </w:rPr>
        <w:t>France</w:t>
      </w:r>
    </w:p>
    <w:p>
      <w:pPr>
        <w:spacing w:after="0" w:line="97"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EUSA Pharma Holdings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France</w:t>
      </w:r>
    </w:p>
    <w:p>
      <w:pPr>
        <w:spacing w:after="0" w:line="97" w:lineRule="exact"/>
        <w:rPr>
          <w:sz w:val="20"/>
          <w:szCs w:val="20"/>
          <w:color w:val="auto"/>
        </w:rPr>
      </w:pPr>
    </w:p>
    <w:p>
      <w:pPr>
        <w:sectPr>
          <w:pgSz w:w="11900" w:h="16838" w:orient="portrait"/>
          <w:cols w:equalWidth="0" w:num="2">
            <w:col w:w="5520" w:space="720"/>
            <w:col w:w="5140"/>
          </w:cols>
          <w:pgMar w:left="280" w:top="37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EUSA Pharma International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Gibraltar</w:t>
      </w:r>
    </w:p>
    <w:p>
      <w:pPr>
        <w:sectPr>
          <w:pgSz w:w="11900" w:h="16838" w:orient="portrait"/>
          <w:cols w:equalWidth="0" w:num="2">
            <w:col w:w="5520" w:space="720"/>
            <w:col w:w="5140"/>
          </w:cols>
          <w:pgMar w:left="280" w:top="378" w:right="239" w:bottom="1440" w:gutter="0" w:footer="0" w:header="0"/>
          <w:type w:val="continuous"/>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KPMG,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plc</w:t>
      </w:r>
    </w:p>
    <w:p>
      <w:pPr>
        <w:spacing w:after="0" w:line="319"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consent to the incorporation by reference in the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179075) on Form S-8, and the registration statement (No. 333</w:t>
      </w:r>
      <w:r>
        <w:rPr>
          <w:rFonts w:ascii="MS PGothic" w:cs="MS PGothic" w:eastAsia="MS PGothic" w:hAnsi="MS PGothic"/>
          <w:sz w:val="16"/>
          <w:szCs w:val="16"/>
          <w:color w:val="auto"/>
        </w:rPr>
        <w:t>‑</w:t>
      </w:r>
      <w:r>
        <w:rPr>
          <w:rFonts w:ascii="Arial" w:cs="Arial" w:eastAsia="Arial" w:hAnsi="Arial"/>
          <w:sz w:val="16"/>
          <w:szCs w:val="16"/>
          <w:color w:val="auto"/>
        </w:rPr>
        <w:t>179080) on Form S-3, of Jazz Pharmaceuticals plc of our reports dated February 26, 2013, with respect to the consolidated balance sheet of Jazz Pharmaceuticals plc as of December 31, 2012, and the related consolidated statements of income, comprehensive income, shareholders' equity and cash flows for the year then ended, and the related financial statement schedule for the year ended December 31, 2012, and the effectiveness of internal control over financial reporting as of December 31, 2012, which reports appear in the December 31, 2012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Jazz Pharmaceuticals plc.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ectPr>
          <w:pgSz w:w="11900" w:h="16838" w:orient="portrait"/>
          <w:cols w:equalWidth="0" w:num="1">
            <w:col w:w="11420"/>
          </w:cols>
          <w:pgMar w:left="240" w:top="364"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4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consent to the incorporation by reference in the Registration Statement (Form S-8 No. 333-179075) pertaining to the 2011 Equity Incentive Plan, the 2007 Equity Incentive Plan, the 2003 Equity Incentive Plan, the 2007 Employee Stock Purchase Plan, the Amended and Restated 2007 Non-Employee Directors Stock Option Plan and the Amended and Restated Directors Deferred Compensation Plan of Jazz Pharmaceuticals plc (the Successor), and the Registration Statement (Form S-3 No. 333-179080) of Jazz Pharmaceuticals plc and in the related prospectuses, of our report dated February 28, 2012, with respect to the consolidated balance sheet of Jazz Pharmaceuticals, Inc. (the Predecessor) and its subsidiaries as of December 31, 2011, the related consolidated statements of income, comprehensive income, stockholders' equity (deficit), and cash flows for each of the two years in the period ended December 31, 2011, and the related financial statement schedule for 2011 and 2010, included in this Annual Report (Form 10-K) for the year ended December 31, 2012.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ectPr>
          <w:pgSz w:w="11900" w:h="16838" w:orient="portrait"/>
          <w:cols w:equalWidth="0" w:num="1">
            <w:col w:w="11420"/>
          </w:cols>
          <w:pgMar w:left="240" w:top="365"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333" w:lineRule="exact"/>
        <w:rPr>
          <w:sz w:val="20"/>
          <w:szCs w:val="20"/>
          <w:color w:val="auto"/>
        </w:rPr>
      </w:pPr>
    </w:p>
    <w:p>
      <w:pPr>
        <w:ind w:left="340" w:hanging="332"/>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225" w:lineRule="exact"/>
        <w:rPr>
          <w:rFonts w:ascii="Arial" w:cs="Arial" w:eastAsia="Arial" w:hAnsi="Arial"/>
          <w:sz w:val="18"/>
          <w:szCs w:val="18"/>
          <w:color w:val="auto"/>
        </w:rPr>
      </w:pPr>
    </w:p>
    <w:p>
      <w:pPr>
        <w:ind w:left="340" w:right="120" w:hanging="332"/>
        <w:spacing w:after="0" w:line="377" w:lineRule="auto"/>
        <w:tabs>
          <w:tab w:leader="none" w:pos="36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740" w:right="20" w:hanging="327"/>
        <w:spacing w:after="0" w:line="308" w:lineRule="auto"/>
        <w:tabs>
          <w:tab w:leader="none" w:pos="7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740" w:right="60" w:hanging="327"/>
        <w:spacing w:after="0" w:line="264"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260" w:val="left"/>
          <w:tab w:leader="none" w:pos="7540" w:val="left"/>
          <w:tab w:leader="none" w:pos="790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31750</wp:posOffset>
            </wp:positionV>
            <wp:extent cx="32499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48"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Bruce C. Cozadd</w:t>
      </w:r>
    </w:p>
    <w:p>
      <w:pPr>
        <w:spacing w:after="0" w:line="4"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364"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Kathryn E. Falberg, certify that:</w:t>
      </w:r>
    </w:p>
    <w:p>
      <w:pPr>
        <w:spacing w:after="0" w:line="293" w:lineRule="exact"/>
        <w:rPr>
          <w:sz w:val="20"/>
          <w:szCs w:val="20"/>
          <w:color w:val="auto"/>
        </w:rPr>
      </w:pPr>
    </w:p>
    <w:p>
      <w:pPr>
        <w:ind w:left="340" w:hanging="332"/>
        <w:spacing w:after="0"/>
        <w:tabs>
          <w:tab w:leader="none" w:pos="3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Jazz Pharmaceuticals Public Limited Company;</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740" w:right="20" w:hanging="327"/>
        <w:spacing w:after="0" w:line="308" w:lineRule="auto"/>
        <w:tabs>
          <w:tab w:leader="none" w:pos="7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740" w:right="60" w:hanging="327"/>
        <w:spacing w:after="0" w:line="264" w:lineRule="auto"/>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5500" w:val="left"/>
          <w:tab w:leader="none" w:pos="7960" w:val="left"/>
          <w:tab w:leader="none" w:pos="8320" w:val="left"/>
        </w:tabs>
        <w:rPr>
          <w:sz w:val="20"/>
          <w:szCs w:val="20"/>
          <w:color w:val="auto"/>
        </w:rPr>
      </w:pPr>
      <w:r>
        <w:rPr>
          <w:rFonts w:ascii="Arial" w:cs="Arial" w:eastAsia="Arial" w:hAnsi="Arial"/>
          <w:sz w:val="18"/>
          <w:szCs w:val="18"/>
          <w:color w:val="auto"/>
        </w:rPr>
        <w:t>Date: February 26,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Kathryn E. Falberg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8"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Kathryn E. Falberg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364"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(1)</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Kathryn E. Falberg, Executive Vice President and Chief Financial Officer of the Company, each hereby certifies that, to the best of his or her knowledge:</w:t>
      </w:r>
    </w:p>
    <w:p>
      <w:pPr>
        <w:spacing w:after="0" w:line="254" w:lineRule="exact"/>
        <w:rPr>
          <w:sz w:val="20"/>
          <w:szCs w:val="20"/>
          <w:color w:val="auto"/>
        </w:rPr>
      </w:pPr>
    </w:p>
    <w:p>
      <w:pPr>
        <w:ind w:left="740" w:right="220" w:hanging="327"/>
        <w:spacing w:after="0" w:line="342" w:lineRule="auto"/>
        <w:tabs>
          <w:tab w:leader="none" w:pos="7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2012, to which this Certification is attached as Exhibit 32.1 (the "Periodic Report"), fully complies with the requirements of Section 13(a) or Section 15(d) of the Securities Exchange Act of 1934, and</w:t>
      </w:r>
    </w:p>
    <w:p>
      <w:pPr>
        <w:spacing w:after="0" w:line="83" w:lineRule="exact"/>
        <w:rPr>
          <w:rFonts w:ascii="Arial" w:cs="Arial" w:eastAsia="Arial" w:hAnsi="Arial"/>
          <w:sz w:val="16"/>
          <w:szCs w:val="16"/>
          <w:color w:val="auto"/>
        </w:rPr>
      </w:pPr>
    </w:p>
    <w:p>
      <w:pPr>
        <w:ind w:left="740" w:right="380" w:hanging="327"/>
        <w:spacing w:after="0" w:line="277" w:lineRule="auto"/>
        <w:tabs>
          <w:tab w:leader="none" w:pos="7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2013</w:t>
      </w:r>
    </w:p>
    <w:p>
      <w:pPr>
        <w:spacing w:after="0" w:line="360" w:lineRule="exact"/>
        <w:rPr>
          <w:sz w:val="20"/>
          <w:szCs w:val="20"/>
          <w:color w:val="auto"/>
        </w:rPr>
      </w:pPr>
    </w:p>
    <w:p>
      <w:pPr>
        <w:jc w:val="center"/>
        <w:ind w:right="68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9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5"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72" w:lineRule="exact"/>
        <w:rPr>
          <w:sz w:val="20"/>
          <w:szCs w:val="20"/>
          <w:color w:val="auto"/>
        </w:rPr>
      </w:pPr>
    </w:p>
    <w:p>
      <w:pPr>
        <w:jc w:val="center"/>
        <w:ind w:righ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Kathryn E. Falberg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5"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Kathryn E. Falberg</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160" w:hanging="331"/>
        <w:spacing w:after="0" w:line="252" w:lineRule="auto"/>
        <w:tabs>
          <w:tab w:leader="none" w:pos="4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
      <w:numFmt w:val="bullet"/>
      <w:start w:val="1"/>
    </w:lvl>
  </w:abstractNum>
  <w:abstractNum w:abstractNumId="12">
    <w:nsid w:val="E7FFA2B"/>
    <w:multiLevelType w:val="hybridMultilevel"/>
    <w:lvl w:ilvl="0">
      <w:lvlJc w:val="left"/>
      <w:lvlText w:val="•"/>
      <w:numFmt w:val="bullet"/>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1)"/>
      <w:numFmt w:val="decimal"/>
      <w:start w:val="1"/>
    </w:lvl>
  </w:abstractNum>
  <w:abstractNum w:abstractNumId="22">
    <w:nsid w:val="4C9B0904"/>
    <w:multiLevelType w:val="hybridMultilevel"/>
    <w:lvl w:ilvl="0">
      <w:lvlJc w:val="left"/>
      <w:lvlText w:val="(%1)"/>
      <w:numFmt w:val="decimal"/>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1)"/>
      <w:numFmt w:val="decimal"/>
      <w:start w:val="1"/>
    </w:lvl>
  </w:abstractNum>
  <w:abstractNum w:abstractNumId="26">
    <w:nsid w:val="3DD15094"/>
    <w:multiLevelType w:val="hybridMultilevel"/>
    <w:lvl w:ilvl="0">
      <w:lvlJc w:val="left"/>
      <w:lvlText w:val="(%1)"/>
      <w:numFmt w:val="decimal"/>
      <w:start w:val="1"/>
    </w:lvl>
  </w:abstractNum>
  <w:abstractNum w:abstractNumId="27">
    <w:nsid w:val="3DB012B3"/>
    <w:multiLevelType w:val="hybridMultilevel"/>
    <w:lvl w:ilvl="0">
      <w:lvlJc w:val="left"/>
      <w:lvlText w:val="(%1)"/>
      <w:numFmt w:val="decimal"/>
      <w:start w:val="1"/>
    </w:lvl>
  </w:abstractNum>
  <w:abstractNum w:abstractNumId="28">
    <w:nsid w:val="2708C9AF"/>
    <w:multiLevelType w:val="hybridMultilevel"/>
    <w:lvl w:ilvl="0">
      <w:lvlJc w:val="left"/>
      <w:lvlText w:val="•"/>
      <w:numFmt w:val="bullet"/>
      <w:start w:val="1"/>
    </w:lvl>
  </w:abstractNum>
  <w:abstractNum w:abstractNumId="29">
    <w:nsid w:val="5B25ACE2"/>
    <w:multiLevelType w:val="hybridMultilevel"/>
    <w:lvl w:ilvl="0">
      <w:lvlJc w:val="left"/>
      <w:lvlText w:val="%1."/>
      <w:numFmt w:val="decimal"/>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1"/>
      <w:numFmt w:val="decimal"/>
      <w:start w:val="1"/>
    </w:lvl>
    <w:lvl w:ilvl="1">
      <w:lvlJc w:val="left"/>
      <w:lvlText w:val="(%2)"/>
      <w:numFmt w:val="lowerLetter"/>
      <w:start w:val="1"/>
    </w:lvl>
  </w:abstractNum>
  <w:abstractNum w:abstractNumId="32">
    <w:nsid w:val="53B0A9E"/>
    <w:multiLevelType w:val="hybridMultilevel"/>
    <w:lvl w:ilvl="0">
      <w:lvlJc w:val="left"/>
      <w:lvlText w:val="%1."/>
      <w:numFmt w:val="decimal"/>
      <w:start w:val="1"/>
    </w:lvl>
    <w:lvl w:ilvl="1">
      <w:lvlJc w:val="left"/>
      <w:lvlText w:val="%2"/>
      <w:numFmt w:val="lowerLetter"/>
      <w:start w:val="1"/>
    </w:lvl>
  </w:abstractNum>
  <w:abstractNum w:abstractNumId="33">
    <w:nsid w:val="34FD6B4F"/>
    <w:multiLevelType w:val="hybridMultilevel"/>
    <w:lvl w:ilvl="0">
      <w:lvlJc w:val="left"/>
      <w:lvlText w:val="%1."/>
      <w:numFmt w:val="decimal"/>
      <w:start w:val="2"/>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1."/>
      <w:numFmt w:val="decimal"/>
      <w:start w:val="2"/>
    </w:lvl>
  </w:abstractNum>
  <w:abstractNum w:abstractNumId="40">
    <w:nsid w:val="5046B5A9"/>
    <w:multiLevelType w:val="hybridMultilevel"/>
    <w:lvl w:ilvl="0">
      <w:lvlJc w:val="left"/>
      <w:lvlText w:val="(%1)"/>
      <w:numFmt w:val="decimal"/>
      <w:start w:val="1"/>
    </w:lvl>
  </w:abstractNum>
  <w:abstractNum w:abstractNumId="41">
    <w:nsid w:val="5D888A08"/>
    <w:multiLevelType w:val="hybridMultilevel"/>
    <w:lvl w:ilvl="0">
      <w:lvlJc w:val="left"/>
      <w:lvlText w:val="(%1)"/>
      <w:numFmt w:val="decimal"/>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1)"/>
      <w:numFmt w:val="decimal"/>
      <w:start w:val="1"/>
    </w:lvl>
  </w:abstractNum>
  <w:abstractNum w:abstractNumId="44">
    <w:nsid w:val="19E21BB2"/>
    <w:multiLevelType w:val="hybridMultilevel"/>
    <w:lvl w:ilvl="0">
      <w:lvlJc w:val="left"/>
      <w:lvlText w:val="%1."/>
      <w:numFmt w:val="decimal"/>
      <w:start w:val="10"/>
    </w:lvl>
  </w:abstractNum>
  <w:abstractNum w:abstractNumId="45">
    <w:nsid w:val="75E0858A"/>
    <w:multiLevelType w:val="hybridMultilevel"/>
    <w:lvl w:ilvl="0">
      <w:lvlJc w:val="left"/>
      <w:lvlText w:val="(%1)"/>
      <w:numFmt w:val="decimal"/>
      <w:start w:val="1"/>
    </w:lvl>
  </w:abstractNum>
  <w:abstractNum w:abstractNumId="46">
    <w:nsid w:val="57A61A29"/>
    <w:multiLevelType w:val="hybridMultilevel"/>
    <w:lvl w:ilvl="0">
      <w:lvlJc w:val="left"/>
      <w:lvlText w:val="(%1)"/>
      <w:numFmt w:val="decimal"/>
      <w:start w:val="1"/>
    </w:lvl>
  </w:abstractNum>
  <w:abstractNum w:abstractNumId="47">
    <w:nsid w:val="5399C654"/>
    <w:multiLevelType w:val="hybridMultilevel"/>
    <w:lvl w:ilvl="0">
      <w:lvlJc w:val="left"/>
      <w:lvlText w:val="(%1)"/>
      <w:numFmt w:val="decimal"/>
      <w:start w:val="1"/>
    </w:lvl>
  </w:abstractNum>
  <w:abstractNum w:abstractNumId="48">
    <w:nsid w:val="20EE1348"/>
    <w:multiLevelType w:val="hybridMultilevel"/>
    <w:lvl w:ilvl="0">
      <w:lvlJc w:val="left"/>
      <w:lvlText w:val="(%1)"/>
      <w:numFmt w:val="decimal"/>
      <w:start w:val="2"/>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1)"/>
      <w:numFmt w:val="decimal"/>
      <w:start w:val="1"/>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1)"/>
      <w:numFmt w:val="decimal"/>
      <w:start w:val="1"/>
    </w:lvl>
  </w:abstractNum>
  <w:abstractNum w:abstractNumId="56">
    <w:nsid w:val="2E48F044"/>
    <w:multiLevelType w:val="hybridMultilevel"/>
    <w:lvl w:ilvl="0">
      <w:lvlJc w:val="left"/>
      <w:lvlText w:val="%1."/>
      <w:numFmt w:val="upperLetter"/>
      <w:start w:val="1"/>
    </w:lvl>
  </w:abstractNum>
  <w:abstractNum w:abstractNumId="57">
    <w:nsid w:val="49D0FEAC"/>
    <w:multiLevelType w:val="hybridMultilevel"/>
    <w:lvl w:ilvl="0">
      <w:lvlJc w:val="left"/>
      <w:lvlText w:val="%1."/>
      <w:numFmt w:val="decimal"/>
      <w:start w:val="1"/>
    </w:lvl>
  </w:abstractNum>
  <w:abstractNum w:abstractNumId="58">
    <w:nsid w:val="4BEE5A5B"/>
    <w:multiLevelType w:val="hybridMultilevel"/>
    <w:lvl w:ilvl="0">
      <w:lvlJc w:val="left"/>
      <w:lvlText w:val="%1."/>
      <w:numFmt w:val="decimal"/>
      <w:start w:val="2"/>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1."/>
      <w:numFmt w:val="decimal"/>
      <w:start w:val="1"/>
    </w:lvl>
    <w:lvl w:ilvl="1">
      <w:lvlJc w:val="left"/>
      <w:lvlText w:val="(%2)"/>
      <w:numFmt w:val="lowerLetter"/>
      <w:start w:val="1"/>
    </w:lvl>
  </w:abstractNum>
  <w:abstractNum w:abstractNumId="61">
    <w:nsid w:val="634C574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62">
    <w:nsid w:val="24E99DD7"/>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63">
    <w:nsid w:val="2A31B62D"/>
    <w:multiLevelType w:val="hybridMultilevel"/>
    <w:lvl w:ilvl="0">
      <w:lvlJc w:val="left"/>
      <w:lvlText w:val="%1"/>
      <w:numFmt w:val="lowerLetter"/>
      <w:start w:val="1"/>
    </w:lvl>
    <w:lvl w:ilvl="1">
      <w:lvlJc w:val="left"/>
      <w:lvlText w:val="(%2)"/>
      <w:numFmt w:val="lowerRoman"/>
      <w:start w:val="2"/>
    </w:lvl>
  </w:abstractNum>
  <w:abstractNum w:abstractNumId="64">
    <w:nsid w:val="1849C29B"/>
    <w:multiLevelType w:val="hybridMultilevel"/>
    <w:lvl w:ilvl="0">
      <w:lvlJc w:val="left"/>
      <w:lvlText w:val="(%1)"/>
      <w:numFmt w:val="lowerLetter"/>
      <w:start w:val="3"/>
    </w:lvl>
    <w:lvl w:ilvl="1">
      <w:lvlJc w:val="left"/>
      <w:lvlText w:val="(%2)"/>
      <w:numFmt w:val="lowerRoman"/>
      <w:start w:val="1"/>
    </w:lvl>
  </w:abstractNum>
  <w:abstractNum w:abstractNumId="65">
    <w:nsid w:val="7DFF9D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6">
    <w:nsid w:val="75434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7">
    <w:nsid w:val="69E7F3E5"/>
    <w:multiLevelType w:val="hybridMultilevel"/>
    <w:lvl w:ilvl="0">
      <w:lvlJc w:val="left"/>
      <w:lvlText w:val="%1"/>
      <w:numFmt w:val="decimal"/>
      <w:start w:val="1"/>
    </w:lvl>
    <w:lvl w:ilvl="1">
      <w:lvlJc w:val="left"/>
      <w:lvlText w:val="(%2)"/>
      <w:numFmt w:val="lowerLetter"/>
      <w:start w:val="2"/>
    </w:lvl>
  </w:abstractNum>
  <w:abstractNum w:abstractNumId="68">
    <w:nsid w:val="2A6DE806"/>
    <w:multiLevelType w:val="hybridMultilevel"/>
    <w:lvl w:ilvl="0">
      <w:lvlJc w:val="left"/>
      <w:lvlText w:val="%1."/>
      <w:numFmt w:val="decimal"/>
      <w:start w:val="10"/>
    </w:lvl>
    <w:lvl w:ilvl="1">
      <w:lvlJc w:val="left"/>
      <w:lvlText w:val="(%2)"/>
      <w:numFmt w:val="lowerLetter"/>
      <w:start w:val="1"/>
    </w:lvl>
  </w:abstractNum>
  <w:abstractNum w:abstractNumId="69">
    <w:nsid w:val="1816F8C4"/>
    <w:multiLevelType w:val="hybridMultilevel"/>
    <w:lvl w:ilvl="0">
      <w:lvlJc w:val="left"/>
      <w:lvlText w:val="%1"/>
      <w:numFmt w:val="decimal"/>
      <w:start w:val="1"/>
    </w:lvl>
    <w:lvl w:ilvl="1">
      <w:lvlJc w:val="left"/>
      <w:lvlText w:val="(%2)"/>
      <w:numFmt w:val="lowerLetter"/>
      <w:start w:val="2"/>
    </w:lvl>
  </w:abstractNum>
  <w:abstractNum w:abstractNumId="70">
    <w:nsid w:val="37DF2233"/>
    <w:multiLevelType w:val="hybridMultilevel"/>
    <w:lvl w:ilvl="0">
      <w:lvlJc w:val="left"/>
      <w:lvlText w:val="%1."/>
      <w:numFmt w:val="decimal"/>
      <w:start w:val="12"/>
    </w:lvl>
    <w:lvl w:ilvl="1">
      <w:lvlJc w:val="left"/>
      <w:lvlText w:val="(%2)"/>
      <w:numFmt w:val="lowerLetter"/>
      <w:start w:val="1"/>
    </w:lvl>
  </w:abstractNum>
  <w:abstractNum w:abstractNumId="71">
    <w:nsid w:val="7AB49DAF"/>
    <w:multiLevelType w:val="hybridMultilevel"/>
    <w:lvl w:ilvl="0">
      <w:lvlJc w:val="left"/>
      <w:lvlText w:val="%1"/>
      <w:numFmt w:val="decimal"/>
      <w:start w:val="1"/>
    </w:lvl>
    <w:lvl w:ilvl="1">
      <w:lvlJc w:val="left"/>
      <w:lvlText w:val="(%2)"/>
      <w:numFmt w:val="lowerLetter"/>
      <w:start w:val="2"/>
    </w:lvl>
  </w:abstractNum>
  <w:abstractNum w:abstractNumId="72">
    <w:nsid w:val="759F82CD"/>
    <w:multiLevelType w:val="hybridMultilevel"/>
    <w:lvl w:ilvl="0">
      <w:lvlJc w:val="left"/>
      <w:lvlText w:val="%1."/>
      <w:numFmt w:val="decimal"/>
      <w:start w:val="14"/>
    </w:lvl>
    <w:lvl w:ilvl="1">
      <w:lvlJc w:val="left"/>
      <w:lvlText w:val="%2"/>
      <w:numFmt w:val="lowerLetter"/>
      <w:start w:val="1"/>
    </w:lvl>
  </w:abstractNum>
  <w:abstractNum w:abstractNumId="73">
    <w:nsid w:val="61E74EA3"/>
    <w:multiLevelType w:val="hybridMultilevel"/>
    <w:lvl w:ilvl="0">
      <w:lvlJc w:val="left"/>
      <w:lvlText w:val="%1."/>
      <w:numFmt w:val="decimal"/>
      <w:start w:val="17"/>
    </w:lvl>
    <w:lvl w:ilvl="1">
      <w:lvlJc w:val="left"/>
      <w:lvlText w:val="(%2)"/>
      <w:numFmt w:val="lowerLetter"/>
      <w:start w:val="1"/>
    </w:lvl>
  </w:abstractNum>
  <w:abstractNum w:abstractNumId="74">
    <w:nsid w:val="597B4D84"/>
    <w:multiLevelType w:val="hybridMultilevel"/>
    <w:lvl w:ilvl="0">
      <w:lvlJc w:val="left"/>
      <w:lvlText w:val="%1."/>
      <w:numFmt w:val="decimal"/>
      <w:start w:val="20"/>
    </w:lvl>
  </w:abstractNum>
  <w:abstractNum w:abstractNumId="75">
    <w:nsid w:val="F819E7F"/>
    <w:multiLevelType w:val="hybridMultilevel"/>
    <w:lvl w:ilvl="0">
      <w:lvlJc w:val="left"/>
      <w:lvlText w:val="☒"/>
      <w:numFmt w:val="bullet"/>
      <w:start w:val="1"/>
    </w:lvl>
    <w:lvl w:ilvl="1">
      <w:lvlJc w:val="left"/>
      <w:lvlText w:val="☒"/>
      <w:numFmt w:val="bullet"/>
      <w:start w:val="1"/>
    </w:lvl>
  </w:abstractNum>
  <w:abstractNum w:abstractNumId="76">
    <w:nsid w:val="57C7D42D"/>
    <w:multiLevelType w:val="hybridMultilevel"/>
    <w:lvl w:ilvl="0">
      <w:lvlJc w:val="left"/>
      <w:lvlText w:val="(%1)"/>
      <w:numFmt w:val="lowerRoman"/>
      <w:start w:val="3"/>
    </w:lvl>
  </w:abstractNum>
  <w:abstractNum w:abstractNumId="77">
    <w:nsid w:val="312167AD"/>
    <w:multiLevelType w:val="hybridMultilevel"/>
    <w:lvl w:ilvl="0">
      <w:lvlJc w:val="left"/>
      <w:lvlText w:val="%1."/>
      <w:numFmt w:val="decimal"/>
      <w:start w:val="1"/>
    </w:lvl>
    <w:lvl w:ilvl="1">
      <w:lvlJc w:val="left"/>
      <w:lvlText w:val="(%2)"/>
      <w:numFmt w:val="lowerLetter"/>
      <w:start w:val="1"/>
    </w:lvl>
  </w:abstractNum>
  <w:abstractNum w:abstractNumId="78">
    <w:nsid w:val="631B64D4"/>
    <w:multiLevelType w:val="hybridMultilevel"/>
    <w:lvl w:ilvl="0">
      <w:lvlJc w:val="left"/>
      <w:lvlText w:val="%1"/>
      <w:numFmt w:val="decimal"/>
      <w:start w:val="1"/>
    </w:lvl>
    <w:lvl w:ilvl="1">
      <w:lvlJc w:val="left"/>
      <w:lvlText w:val="(%2)"/>
      <w:numFmt w:val="lowerLetter"/>
      <w:start w:val="3"/>
    </w:lvl>
  </w:abstractNum>
  <w:abstractNum w:abstractNumId="79">
    <w:nsid w:val="78B5E776"/>
    <w:multiLevelType w:val="hybridMultilevel"/>
    <w:lvl w:ilvl="0">
      <w:lvlJc w:val="left"/>
      <w:lvlText w:val="%1."/>
      <w:numFmt w:val="decimal"/>
      <w:start w:val="4"/>
    </w:lvl>
    <w:lvl w:ilvl="1">
      <w:lvlJc w:val="left"/>
      <w:lvlText w:val="(%2)"/>
      <w:numFmt w:val="lowerLetter"/>
      <w:start w:val="1"/>
    </w:lvl>
  </w:abstractNum>
  <w:abstractNum w:abstractNumId="80">
    <w:nsid w:val="75486E47"/>
    <w:multiLevelType w:val="hybridMultilevel"/>
    <w:lvl w:ilvl="0">
      <w:lvlJc w:val="left"/>
      <w:lvlText w:val="%1."/>
      <w:numFmt w:val="decimal"/>
      <w:start w:val="8"/>
    </w:lvl>
    <w:lvl w:ilvl="1">
      <w:lvlJc w:val="left"/>
      <w:lvlText w:val="(%2)"/>
      <w:numFmt w:val="lowerLetter"/>
      <w:start w:val="1"/>
    </w:lvl>
  </w:abstractNum>
  <w:abstractNum w:abstractNumId="81">
    <w:nsid w:val="6E534CDE"/>
    <w:multiLevelType w:val="hybridMultilevel"/>
    <w:lvl w:ilvl="0">
      <w:lvlJc w:val="left"/>
      <w:lvlText w:val="%1"/>
      <w:numFmt w:val="decimal"/>
      <w:start w:val="1"/>
    </w:lvl>
    <w:lvl w:ilvl="1">
      <w:lvlJc w:val="left"/>
      <w:lvlText w:val="(%2)"/>
      <w:numFmt w:val="lowerLetter"/>
      <w:start w:val="2"/>
    </w:lvl>
  </w:abstractNum>
  <w:abstractNum w:abstractNumId="82">
    <w:nsid w:val="1A0DDE32"/>
    <w:multiLevelType w:val="hybridMultilevel"/>
    <w:lvl w:ilvl="0">
      <w:lvlJc w:val="left"/>
      <w:lvlText w:val="%1."/>
      <w:numFmt w:val="decimal"/>
      <w:start w:val="11"/>
    </w:lvl>
    <w:lvl w:ilvl="1">
      <w:lvlJc w:val="left"/>
      <w:lvlText w:val="%2"/>
      <w:numFmt w:val="lowerLetter"/>
      <w:start w:val="1"/>
    </w:lvl>
  </w:abstractNum>
  <w:abstractNum w:abstractNumId="83">
    <w:nsid w:val="65968C1C"/>
    <w:multiLevelType w:val="hybridMultilevel"/>
    <w:lvl w:ilvl="0">
      <w:lvlJc w:val="left"/>
      <w:lvlText w:val="%1."/>
      <w:numFmt w:val="decimal"/>
      <w:start w:val="14"/>
    </w:lvl>
    <w:lvl w:ilvl="1">
      <w:lvlJc w:val="left"/>
      <w:lvlText w:val="(%2)"/>
      <w:numFmt w:val="lowerLetter"/>
      <w:start w:val="1"/>
    </w:lvl>
  </w:abstractNum>
  <w:abstractNum w:abstractNumId="84">
    <w:nsid w:val="46263DEC"/>
    <w:multiLevelType w:val="hybridMultilevel"/>
    <w:lvl w:ilvl="0">
      <w:lvlJc w:val="left"/>
      <w:lvlText w:val="%1"/>
      <w:numFmt w:val="decimal"/>
      <w:start w:val="1"/>
    </w:lvl>
    <w:lvl w:ilvl="1">
      <w:lvlJc w:val="left"/>
      <w:lvlText w:val="(%2)"/>
      <w:numFmt w:val="lowerLetter"/>
      <w:start w:val="8"/>
    </w:lvl>
  </w:abstractNum>
  <w:abstractNum w:abstractNumId="85">
    <w:nsid w:val="260D8C4A"/>
    <w:multiLevelType w:val="hybridMultilevel"/>
    <w:lvl w:ilvl="0">
      <w:lvlJc w:val="left"/>
      <w:lvlText w:val="%1."/>
      <w:numFmt w:val="decimal"/>
      <w:start w:val="15"/>
    </w:lvl>
    <w:lvl w:ilvl="1">
      <w:lvlJc w:val="left"/>
      <w:lvlText w:val="%2"/>
      <w:numFmt w:val="lowerLetter"/>
      <w:start w:val="1"/>
    </w:lvl>
  </w:abstractNum>
  <w:abstractNum w:abstractNumId="86">
    <w:nsid w:val="73D4D3C4"/>
    <w:multiLevelType w:val="hybridMultilevel"/>
    <w:lvl w:ilvl="0">
      <w:lvlJc w:val="left"/>
      <w:lvlText w:val="%1."/>
      <w:numFmt w:val="decimal"/>
      <w:start w:val="16"/>
    </w:lvl>
  </w:abstractNum>
  <w:abstractNum w:abstractNumId="87">
    <w:nsid w:val="746F2E30"/>
    <w:multiLevelType w:val="hybridMultilevel"/>
    <w:lvl w:ilvl="0">
      <w:lvlJc w:val="left"/>
      <w:lvlText w:val="%1."/>
      <w:numFmt w:val="decimal"/>
      <w:start w:val="17"/>
    </w:lvl>
  </w:abstractNum>
  <w:abstractNum w:abstractNumId="88">
    <w:nsid w:val="6FDE8AF6"/>
    <w:multiLevelType w:val="hybridMultilevel"/>
    <w:lvl w:ilvl="0">
      <w:lvlJc w:val="left"/>
      <w:lvlText w:val="%1."/>
      <w:numFmt w:val="decimal"/>
      <w:start w:val="18"/>
    </w:lvl>
    <w:lvl w:ilvl="1">
      <w:lvlJc w:val="left"/>
      <w:lvlText w:val="*"/>
      <w:numFmt w:val="bullet"/>
      <w:start w:val="1"/>
    </w:lvl>
  </w:abstractNum>
  <w:abstractNum w:abstractNumId="89">
    <w:nsid w:val="3FC32E20"/>
    <w:multiLevelType w:val="hybridMultilevel"/>
    <w:lvl w:ilvl="0">
      <w:lvlJc w:val="left"/>
      <w:lvlText w:val="%1"/>
      <w:numFmt w:val="lowerRoman"/>
      <w:start w:val="1"/>
    </w:lvl>
    <w:lvl w:ilvl="1">
      <w:lvlJc w:val="left"/>
      <w:lvlText w:val="(%2)"/>
      <w:numFmt w:val="lowerRoman"/>
      <w:start w:val="1"/>
    </w:lvl>
  </w:abstractNum>
  <w:abstractNum w:abstractNumId="90">
    <w:nsid w:val="49C0E823"/>
    <w:multiLevelType w:val="hybridMultilevel"/>
    <w:lvl w:ilvl="0">
      <w:lvlJc w:val="left"/>
      <w:lvlText w:val="(%1)"/>
      <w:numFmt w:val="lowerRoman"/>
      <w:start w:val="2"/>
    </w:lvl>
    <w:lvl w:ilvl="1">
      <w:lvlJc w:val="left"/>
      <w:lvlText w:val="%2"/>
      <w:numFmt w:val="lowerRoman"/>
      <w:start w:val="1"/>
    </w:lvl>
  </w:abstractNum>
  <w:abstractNum w:abstractNumId="91">
    <w:nsid w:val="14D53685"/>
    <w:multiLevelType w:val="hybridMultilevel"/>
    <w:lvl w:ilvl="0">
      <w:lvlJc w:val="left"/>
      <w:lvlText w:val="%1."/>
      <w:numFmt w:val="upperLetter"/>
      <w:start w:val="1"/>
    </w:lvl>
  </w:abstractNum>
  <w:abstractNum w:abstractNumId="92">
    <w:nsid w:val="230F856C"/>
    <w:multiLevelType w:val="hybridMultilevel"/>
    <w:lvl w:ilvl="0">
      <w:lvlJc w:val="left"/>
      <w:lvlText w:val="%1."/>
      <w:numFmt w:val="decimal"/>
      <w:start w:val="1"/>
    </w:lvl>
  </w:abstractNum>
  <w:abstractNum w:abstractNumId="93">
    <w:nsid w:val="6EAA85FB"/>
    <w:multiLevelType w:val="hybridMultilevel"/>
    <w:lvl w:ilvl="0">
      <w:lvlJc w:val="left"/>
      <w:lvlText w:val="(%1)"/>
      <w:numFmt w:val="lowerLetter"/>
      <w:start w:val="1"/>
    </w:lvl>
    <w:lvl w:ilvl="1">
      <w:lvlJc w:val="left"/>
      <w:lvlText w:val="(%2)"/>
      <w:numFmt w:val="lowerRoman"/>
      <w:start w:val="1"/>
    </w:lvl>
  </w:abstractNum>
  <w:abstractNum w:abstractNumId="94">
    <w:nsid w:val="3F06ECB2"/>
    <w:multiLevelType w:val="hybridMultilevel"/>
    <w:lvl w:ilvl="0">
      <w:lvlJc w:val="left"/>
      <w:lvlText w:val="(%1)"/>
      <w:numFmt w:val="lowerLetter"/>
      <w:start w:val="2"/>
    </w:lvl>
  </w:abstractNum>
  <w:abstractNum w:abstractNumId="95">
    <w:nsid w:val="3B594807"/>
    <w:multiLevelType w:val="hybridMultilevel"/>
    <w:lvl w:ilvl="0">
      <w:lvlJc w:val="left"/>
      <w:lvlText w:val="%1."/>
      <w:numFmt w:val="decimal"/>
      <w:start w:val="2"/>
    </w:lvl>
  </w:abstractNum>
  <w:abstractNum w:abstractNumId="96">
    <w:nsid w:val="6CAA2304"/>
    <w:multiLevelType w:val="hybridMultilevel"/>
    <w:lvl w:ilvl="0">
      <w:lvlJc w:val="left"/>
      <w:lvlText w:val="(%1)"/>
      <w:numFmt w:val="lowerRoman"/>
      <w:start w:val="1"/>
    </w:lvl>
  </w:abstractNum>
  <w:abstractNum w:abstractNumId="97">
    <w:nsid w:val="3F7C2FF4"/>
    <w:multiLevelType w:val="hybridMultilevel"/>
    <w:lvl w:ilvl="0">
      <w:lvlJc w:val="left"/>
      <w:lvlText w:val="(%1)"/>
      <w:numFmt w:val="lowerRoman"/>
      <w:start w:val="4"/>
    </w:lvl>
  </w:abstractNum>
  <w:abstractNum w:abstractNumId="98">
    <w:nsid w:val="25413BEC"/>
    <w:multiLevelType w:val="hybridMultilevel"/>
    <w:lvl w:ilvl="0">
      <w:lvlJc w:val="left"/>
      <w:lvlText w:val="%1."/>
      <w:numFmt w:val="decimal"/>
      <w:start w:val="4"/>
    </w:lvl>
  </w:abstractNum>
  <w:abstractNum w:abstractNumId="99">
    <w:nsid w:val="17180B0B"/>
    <w:multiLevelType w:val="hybridMultilevel"/>
    <w:lvl w:ilvl="0">
      <w:lvlJc w:val="left"/>
      <w:lvlText w:val="(%1)"/>
      <w:numFmt w:val="lowerRoman"/>
      <w:start w:val="1"/>
    </w:lvl>
  </w:abstractNum>
  <w:abstractNum w:abstractNumId="100">
    <w:nsid w:val="579328B9"/>
    <w:multiLevelType w:val="hybridMultilevel"/>
    <w:lvl w:ilvl="0">
      <w:lvlJc w:val="left"/>
      <w:lvlText w:val="%1."/>
      <w:numFmt w:val="decimal"/>
      <w:start w:val="1"/>
    </w:lvl>
    <w:lvl w:ilvl="1">
      <w:lvlJc w:val="left"/>
      <w:lvlText w:val="(%2)"/>
      <w:numFmt w:val="lowerLetter"/>
      <w:start w:val="1"/>
    </w:lvl>
  </w:abstractNum>
  <w:abstractNum w:abstractNumId="101">
    <w:nsid w:val="5D205E20"/>
    <w:multiLevelType w:val="hybridMultilevel"/>
    <w:lvl w:ilvl="0">
      <w:lvlJc w:val="left"/>
      <w:lvlText w:val="%1"/>
      <w:numFmt w:val="decimal"/>
      <w:start w:val="1"/>
    </w:lvl>
    <w:lvl w:ilvl="1">
      <w:lvlJc w:val="left"/>
      <w:lvlText w:val="(%2)"/>
      <w:numFmt w:val="lowerLetter"/>
      <w:start w:val="2"/>
    </w:lvl>
  </w:abstractNum>
  <w:abstractNum w:abstractNumId="102">
    <w:nsid w:val="11CCA8BA"/>
    <w:multiLevelType w:val="hybridMultilevel"/>
    <w:lvl w:ilvl="0">
      <w:lvlJc w:val="left"/>
      <w:lvlText w:val="%1."/>
      <w:numFmt w:val="decimal"/>
      <w:start w:val="5"/>
    </w:lvl>
    <w:lvl w:ilvl="1">
      <w:lvlJc w:val="left"/>
      <w:lvlText w:val="(%2)"/>
      <w:numFmt w:val="lowerLetter"/>
      <w:start w:val="1"/>
    </w:lvl>
  </w:abstractNum>
  <w:abstractNum w:abstractNumId="103">
    <w:nsid w:val="4D32AB86"/>
    <w:multiLevelType w:val="hybridMultilevel"/>
    <w:lvl w:ilvl="0">
      <w:lvlJc w:val="left"/>
      <w:lvlText w:val="(%1)"/>
      <w:numFmt w:val="lowerLetter"/>
      <w:start w:val="2"/>
    </w:lvl>
  </w:abstractNum>
  <w:abstractNum w:abstractNumId="104">
    <w:nsid w:val="3F07ACC3"/>
    <w:multiLevelType w:val="hybridMultilevel"/>
    <w:lvl w:ilvl="0">
      <w:lvlJc w:val="left"/>
      <w:lvlText w:val="%1."/>
      <w:numFmt w:val="decimal"/>
      <w:start w:val="9"/>
    </w:lvl>
    <w:lvl w:ilvl="1">
      <w:lvlJc w:val="left"/>
      <w:lvlText w:val="(%2)"/>
      <w:numFmt w:val="lowerLetter"/>
      <w:start w:val="1"/>
    </w:lvl>
  </w:abstractNum>
  <w:abstractNum w:abstractNumId="105">
    <w:nsid w:val="6B47F63E"/>
    <w:multiLevelType w:val="hybridMultilevel"/>
    <w:lvl w:ilvl="0">
      <w:lvlJc w:val="left"/>
      <w:lvlText w:val="%1"/>
      <w:numFmt w:val="decimal"/>
      <w:start w:val="1"/>
    </w:lvl>
    <w:lvl w:ilvl="1">
      <w:lvlJc w:val="left"/>
      <w:lvlText w:val="(%2)"/>
      <w:numFmt w:val="lowerLetter"/>
      <w:start w:val="1"/>
    </w:lvl>
  </w:abstractNum>
  <w:abstractNum w:abstractNumId="106">
    <w:nsid w:val="5CB44A05"/>
    <w:multiLevelType w:val="hybridMultilevel"/>
    <w:lvl w:ilvl="0">
      <w:lvlJc w:val="left"/>
      <w:lvlText w:val="%1."/>
      <w:numFmt w:val="decimal"/>
      <w:start w:val="11"/>
    </w:lvl>
    <w:lvl w:ilvl="1">
      <w:lvlJc w:val="left"/>
      <w:lvlText w:val="(%2)"/>
      <w:numFmt w:val="lowerLetter"/>
      <w:start w:val="1"/>
    </w:lvl>
  </w:abstractNum>
  <w:abstractNum w:abstractNumId="107">
    <w:nsid w:val="16CF80F1"/>
    <w:multiLevelType w:val="hybridMultilevel"/>
    <w:lvl w:ilvl="0">
      <w:lvlJc w:val="left"/>
      <w:lvlText w:val="%1."/>
      <w:numFmt w:val="decimal"/>
      <w:start w:val="12"/>
    </w:lvl>
    <w:lvl w:ilvl="1">
      <w:lvlJc w:val="left"/>
      <w:lvlText w:val="(%2)"/>
      <w:numFmt w:val="lowerLetter"/>
      <w:start w:val="1"/>
    </w:lvl>
  </w:abstractNum>
  <w:abstractNum w:abstractNumId="108">
    <w:nsid w:val="1C695DEC"/>
    <w:multiLevelType w:val="hybridMultilevel"/>
    <w:lvl w:ilvl="0">
      <w:lvlJc w:val="left"/>
      <w:lvlText w:val="%1."/>
      <w:numFmt w:val="decimal"/>
      <w:start w:val="16"/>
    </w:lvl>
  </w:abstractNum>
  <w:abstractNum w:abstractNumId="109">
    <w:nsid w:val="3FCFAED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10">
    <w:nsid w:val="F856867"/>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111">
    <w:nsid w:val="11B1CC33"/>
    <w:multiLevelType w:val="hybridMultilevel"/>
    <w:lvl w:ilvl="0">
      <w:lvlJc w:val="left"/>
      <w:lvlText w:val="%1"/>
      <w:numFmt w:val="decimal"/>
      <w:start w:val="1"/>
    </w:lvl>
    <w:lvl w:ilvl="1">
      <w:lvlJc w:val="left"/>
      <w:lvlText w:val="(%2)"/>
      <w:numFmt w:val="lowerLetter"/>
      <w:start w:val="2"/>
    </w:lvl>
  </w:abstractNum>
  <w:abstractNum w:abstractNumId="112">
    <w:nsid w:val="2E22FBB7"/>
    <w:multiLevelType w:val="hybridMultilevel"/>
    <w:lvl w:ilvl="0">
      <w:lvlJc w:val="left"/>
      <w:lvlText w:val="%1."/>
      <w:numFmt w:val="decimal"/>
      <w:start w:val="5"/>
    </w:lvl>
    <w:lvl w:ilvl="1">
      <w:lvlJc w:val="left"/>
      <w:lvlText w:val="(%2)"/>
      <w:numFmt w:val="lowerLetter"/>
      <w:start w:val="1"/>
    </w:lvl>
  </w:abstractNum>
  <w:abstractNum w:abstractNumId="113">
    <w:nsid w:val="29934699"/>
    <w:multiLevelType w:val="hybridMultilevel"/>
    <w:lvl w:ilvl="0">
      <w:lvlJc w:val="left"/>
      <w:lvlText w:val="%1"/>
      <w:numFmt w:val="decimal"/>
      <w:start w:val="1"/>
    </w:lvl>
    <w:lvl w:ilvl="1">
      <w:lvlJc w:val="left"/>
      <w:lvlText w:val="(%2)"/>
      <w:numFmt w:val="lowerLetter"/>
      <w:start w:val="2"/>
    </w:lvl>
  </w:abstractNum>
  <w:abstractNum w:abstractNumId="114">
    <w:nsid w:val="77485850"/>
    <w:multiLevelType w:val="hybridMultilevel"/>
    <w:lvl w:ilvl="0">
      <w:lvlJc w:val="left"/>
      <w:lvlText w:val="%1."/>
      <w:numFmt w:val="decimal"/>
      <w:start w:val="9"/>
    </w:lvl>
    <w:lvl w:ilvl="1">
      <w:lvlJc w:val="left"/>
      <w:lvlText w:val="(%2)"/>
      <w:numFmt w:val="lowerLetter"/>
      <w:start w:val="1"/>
    </w:lvl>
  </w:abstractNum>
  <w:abstractNum w:abstractNumId="115">
    <w:nsid w:val="744939A3"/>
    <w:multiLevelType w:val="hybridMultilevel"/>
    <w:lvl w:ilvl="0">
      <w:lvlJc w:val="left"/>
      <w:lvlText w:val="%1."/>
      <w:numFmt w:val="decimal"/>
      <w:start w:val="11"/>
    </w:lvl>
    <w:lvl w:ilvl="1">
      <w:lvlJc w:val="left"/>
      <w:lvlText w:val="(%2)"/>
      <w:numFmt w:val="lowerLetter"/>
      <w:start w:val="1"/>
    </w:lvl>
  </w:abstractNum>
  <w:abstractNum w:abstractNumId="116">
    <w:nsid w:val="4FA0D2E3"/>
    <w:multiLevelType w:val="hybridMultilevel"/>
    <w:lvl w:ilvl="0">
      <w:lvlJc w:val="left"/>
      <w:lvlText w:val="%1."/>
      <w:numFmt w:val="decimal"/>
      <w:start w:val="16"/>
    </w:lvl>
  </w:abstractNum>
  <w:abstractNum w:abstractNumId="117">
    <w:nsid w:val="6B1D2C14"/>
    <w:multiLevelType w:val="hybridMultilevel"/>
    <w:lvl w:ilvl="0">
      <w:lvlJc w:val="left"/>
      <w:lvlText w:val="%1."/>
      <w:numFmt w:val="upperLetter"/>
      <w:start w:val="9"/>
    </w:lvl>
  </w:abstractNum>
  <w:abstractNum w:abstractNumId="118">
    <w:nsid w:val="68B867D3"/>
    <w:multiLevelType w:val="hybridMultilevel"/>
    <w:lvl w:ilvl="0">
      <w:lvlJc w:val="left"/>
      <w:lvlText w:val="%1."/>
      <w:numFmt w:val="upperLetter"/>
      <w:start w:val="35"/>
    </w:lvl>
    <w:lvl w:ilvl="1">
      <w:lvlJc w:val="left"/>
      <w:lvlText w:val="%2."/>
      <w:numFmt w:val="upperLetter"/>
      <w:start w:val="1"/>
    </w:lvl>
  </w:abstractNum>
  <w:abstractNum w:abstractNumId="119">
    <w:nsid w:val="3F7F5DD9"/>
    <w:multiLevelType w:val="hybridMultilevel"/>
    <w:lvl w:ilvl="0">
      <w:lvlJc w:val="left"/>
      <w:lvlText w:val="%1."/>
      <w:numFmt w:val="upperLetter"/>
      <w:start w:val="61"/>
    </w:lvl>
  </w:abstractNum>
  <w:abstractNum w:abstractNumId="120">
    <w:nsid w:val="2AE05A34"/>
    <w:multiLevelType w:val="hybridMultilevel"/>
    <w:lvl w:ilvl="0">
      <w:lvlJc w:val="left"/>
      <w:lvlText w:val="%1"/>
      <w:numFmt w:val="upperLetter"/>
      <w:start w:val="1"/>
    </w:lvl>
    <w:lvl w:ilvl="1">
      <w:lvlJc w:val="left"/>
      <w:lvlText w:val="%2."/>
      <w:numFmt w:val="upperLetter"/>
      <w:start w:val="1"/>
    </w:lvl>
  </w:abstractNum>
  <w:abstractNum w:abstractNumId="121">
    <w:nsid w:val="32794FF7"/>
    <w:multiLevelType w:val="hybridMultilevel"/>
    <w:lvl w:ilvl="0">
      <w:lvlJc w:val="left"/>
      <w:lvlText w:val="%1."/>
      <w:numFmt w:val="upperLetter"/>
      <w:start w:val="22"/>
    </w:lvl>
    <w:lvl w:ilvl="1">
      <w:lvlJc w:val="left"/>
      <w:lvlText w:val="%2"/>
      <w:numFmt w:val="upperLetter"/>
      <w:start w:val="1"/>
    </w:lvl>
  </w:abstractNum>
  <w:abstractNum w:abstractNumId="122">
    <w:nsid w:val="5454945E"/>
    <w:multiLevelType w:val="hybridMultilevel"/>
    <w:lvl w:ilvl="0">
      <w:lvlJc w:val="left"/>
      <w:lvlText w:val="(%1)"/>
      <w:numFmt w:val="lowerRoman"/>
      <w:start w:val="1"/>
    </w:lvl>
  </w:abstractNum>
  <w:abstractNum w:abstractNumId="123">
    <w:nsid w:val="4DEFDFA0"/>
    <w:multiLevelType w:val="hybridMultilevel"/>
    <w:lvl w:ilvl="0">
      <w:lvlJc w:val="left"/>
      <w:lvlText w:val="%1"/>
      <w:numFmt w:val="upperLetter"/>
      <w:start w:val="1"/>
    </w:lvl>
    <w:lvl w:ilvl="1">
      <w:lvlJc w:val="left"/>
      <w:lvlText w:val="%2."/>
      <w:numFmt w:val="upperLetter"/>
      <w:start w:val="1"/>
    </w:lvl>
  </w:abstractNum>
  <w:abstractNum w:abstractNumId="124">
    <w:nsid w:val="2123D5F2"/>
    <w:multiLevelType w:val="hybridMultilevel"/>
    <w:lvl w:ilvl="0">
      <w:lvlJc w:val="left"/>
      <w:lvlText w:val="%1."/>
      <w:numFmt w:val="upperLetter"/>
      <w:start w:val="24"/>
    </w:lvl>
    <w:lvl w:ilvl="1">
      <w:lvlJc w:val="left"/>
      <w:lvlText w:val="%2"/>
      <w:numFmt w:val="upperLetter"/>
      <w:start w:val="1"/>
    </w:lvl>
  </w:abstractNum>
  <w:abstractNum w:abstractNumId="125">
    <w:nsid w:val="135B8110"/>
    <w:multiLevelType w:val="hybridMultilevel"/>
    <w:lvl w:ilvl="0">
      <w:lvlJc w:val="left"/>
      <w:lvlText w:val="%1."/>
      <w:numFmt w:val="upperLetter"/>
      <w:start w:val="1"/>
    </w:lvl>
  </w:abstractNum>
  <w:abstractNum w:abstractNumId="126">
    <w:nsid w:val="94927A8"/>
    <w:multiLevelType w:val="hybridMultilevel"/>
    <w:lvl w:ilvl="0">
      <w:lvlJc w:val="left"/>
      <w:lvlText w:val="%1."/>
      <w:numFmt w:val="upperLetter"/>
      <w:start w:val="1"/>
    </w:lvl>
  </w:abstractNum>
  <w:abstractNum w:abstractNumId="127">
    <w:nsid w:val="DCDF8F6"/>
    <w:multiLevelType w:val="hybridMultilevel"/>
    <w:lvl w:ilvl="0">
      <w:lvlJc w:val="left"/>
      <w:lvlText w:val="%1."/>
      <w:numFmt w:val="upperLetter"/>
      <w:start w:val="1"/>
    </w:lvl>
  </w:abstractNum>
  <w:abstractNum w:abstractNumId="128">
    <w:nsid w:val="52D7B105"/>
    <w:multiLevelType w:val="hybridMultilevel"/>
    <w:lvl w:ilvl="0">
      <w:lvlJc w:val="left"/>
      <w:lvlText w:val="%1."/>
      <w:numFmt w:val="upperLetter"/>
      <w:start w:val="2"/>
    </w:lvl>
  </w:abstractNum>
  <w:abstractNum w:abstractNumId="129">
    <w:nsid w:val="2E8A6394"/>
    <w:multiLevelType w:val="hybridMultilevel"/>
    <w:lvl w:ilvl="0">
      <w:lvlJc w:val="left"/>
      <w:lvlText w:val="%1."/>
      <w:numFmt w:val="upperLetter"/>
      <w:start w:val="50"/>
    </w:lvl>
  </w:abstractNum>
  <w:abstractNum w:abstractNumId="130">
    <w:nsid w:val="24E60401"/>
    <w:multiLevelType w:val="hybridMultilevel"/>
    <w:lvl w:ilvl="0">
      <w:lvlJc w:val="left"/>
      <w:lvlText w:val="%1"/>
      <w:numFmt w:val="decimal"/>
      <w:start w:val="1"/>
    </w:lvl>
    <w:lvl w:ilvl="1">
      <w:lvlJc w:val="left"/>
      <w:lvlText w:val="%2."/>
      <w:numFmt w:val="decimal"/>
      <w:start w:val="4"/>
    </w:lvl>
    <w:lvl w:ilvl="2">
      <w:lvlJc w:val="left"/>
      <w:lvlText w:val="%3."/>
      <w:numFmt w:val="upperLetter"/>
      <w:start w:val="1"/>
    </w:lvl>
  </w:abstractNum>
  <w:abstractNum w:abstractNumId="131">
    <w:nsid w:val="2A6AD9BE"/>
    <w:multiLevelType w:val="hybridMultilevel"/>
    <w:lvl w:ilvl="0">
      <w:lvlJc w:val="left"/>
      <w:lvlText w:val="(%1)"/>
      <w:numFmt w:val="decimal"/>
      <w:start w:val="9"/>
    </w:lvl>
    <w:lvl w:ilvl="1">
      <w:lvlJc w:val="left"/>
      <w:lvlText w:val="%2"/>
      <w:numFmt w:val="decimal"/>
      <w:start w:val="1"/>
    </w:lvl>
    <w:lvl w:ilvl="2">
      <w:lvlJc w:val="left"/>
      <w:lvlText w:val="%3"/>
      <w:numFmt w:val="upperLetter"/>
      <w:start w:val="1"/>
    </w:lvl>
  </w:abstractNum>
  <w:abstractNum w:abstractNumId="132">
    <w:nsid w:val="BAAC1B4"/>
    <w:multiLevelType w:val="hybridMultilevel"/>
    <w:lvl w:ilvl="0">
      <w:lvlJc w:val="left"/>
      <w:lvlText w:val="%1"/>
      <w:numFmt w:val="upperLetter"/>
      <w:start w:val="1"/>
    </w:lvl>
    <w:lvl w:ilvl="1">
      <w:lvlJc w:val="left"/>
      <w:lvlText w:val="%2."/>
      <w:numFmt w:val="decimal"/>
      <w:start w:val="1"/>
    </w:lvl>
  </w:abstractNum>
  <w:abstractNum w:abstractNumId="133">
    <w:nsid w:val="36B2ACBC"/>
    <w:multiLevelType w:val="hybridMultilevel"/>
    <w:lvl w:ilvl="0">
      <w:lvlJc w:val="left"/>
      <w:lvlText w:val="%1."/>
      <w:numFmt w:val="upperLetter"/>
      <w:start w:val="3"/>
    </w:lvl>
    <w:lvl w:ilvl="1">
      <w:lvlJc w:val="left"/>
      <w:lvlText w:val="%2."/>
      <w:numFmt w:val="decimal"/>
      <w:start w:val="1"/>
    </w:lvl>
  </w:abstractNum>
  <w:abstractNum w:abstractNumId="134">
    <w:nsid w:val="779D8544"/>
    <w:multiLevelType w:val="hybridMultilevel"/>
    <w:lvl w:ilvl="0">
      <w:lvlJc w:val="left"/>
      <w:lvlText w:val="%1."/>
      <w:numFmt w:val="decimal"/>
      <w:start w:val="3"/>
    </w:lvl>
  </w:abstractNum>
  <w:abstractNum w:abstractNumId="135">
    <w:nsid w:val="4AB26E78"/>
    <w:multiLevelType w:val="hybridMultilevel"/>
    <w:lvl w:ilvl="0">
      <w:lvlJc w:val="left"/>
      <w:lvlText w:val="%1."/>
      <w:numFmt w:val="decimal"/>
      <w:start w:val="1"/>
    </w:lvl>
    <w:lvl w:ilvl="1">
      <w:lvlJc w:val="left"/>
      <w:lvlText w:val="(%2)"/>
      <w:numFmt w:val="lowerLetter"/>
      <w:start w:val="1"/>
    </w:lvl>
  </w:abstractNum>
  <w:abstractNum w:abstractNumId="136">
    <w:nsid w:val="21FAA2F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37">
    <w:nsid w:val="5451CF49"/>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138">
    <w:nsid w:val="6181EF69"/>
    <w:multiLevelType w:val="hybridMultilevel"/>
    <w:lvl w:ilvl="0">
      <w:lvlJc w:val="left"/>
      <w:lvlText w:val="%1"/>
      <w:numFmt w:val="lowerLetter"/>
      <w:start w:val="1"/>
    </w:lvl>
    <w:lvl w:ilvl="1">
      <w:lvlJc w:val="left"/>
      <w:lvlText w:val="(%2)"/>
      <w:numFmt w:val="lowerRoman"/>
      <w:start w:val="1"/>
    </w:lvl>
  </w:abstractNum>
  <w:abstractNum w:abstractNumId="139">
    <w:nsid w:val="3E6400E6"/>
    <w:multiLevelType w:val="hybridMultilevel"/>
    <w:lvl w:ilvl="0">
      <w:lvlJc w:val="left"/>
      <w:lvlText w:val="(%1)"/>
      <w:numFmt w:val="lowerLetter"/>
      <w:start w:val="3"/>
    </w:lvl>
    <w:lvl w:ilvl="1">
      <w:lvlJc w:val="left"/>
      <w:lvlText w:val="(%2)"/>
      <w:numFmt w:val="lowerRoman"/>
      <w:start w:val="1"/>
    </w:lvl>
  </w:abstractNum>
  <w:abstractNum w:abstractNumId="140">
    <w:nsid w:val="14217E2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141">
    <w:nsid w:val="710757D0"/>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42">
    <w:nsid w:val="5015CD1A"/>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43">
    <w:nsid w:val="424479DA"/>
    <w:multiLevelType w:val="hybridMultilevel"/>
    <w:lvl w:ilvl="0">
      <w:lvlJc w:val="left"/>
      <w:lvlText w:val="%1."/>
      <w:numFmt w:val="decimal"/>
      <w:start w:val="10"/>
    </w:lvl>
    <w:lvl w:ilvl="1">
      <w:lvlJc w:val="left"/>
      <w:lvlText w:val="(%2)"/>
      <w:numFmt w:val="lowerLetter"/>
      <w:start w:val="1"/>
    </w:lvl>
  </w:abstractNum>
  <w:abstractNum w:abstractNumId="144">
    <w:nsid w:val="1A9A9E69"/>
    <w:multiLevelType w:val="hybridMultilevel"/>
    <w:lvl w:ilvl="0">
      <w:lvlJc w:val="left"/>
      <w:lvlText w:val="%1."/>
      <w:numFmt w:val="decimal"/>
      <w:start w:val="11"/>
    </w:lvl>
    <w:lvl w:ilvl="1">
      <w:lvlJc w:val="left"/>
      <w:lvlText w:val="(%2)"/>
      <w:numFmt w:val="lowerLetter"/>
      <w:start w:val="1"/>
    </w:lvl>
  </w:abstractNum>
  <w:abstractNum w:abstractNumId="145">
    <w:nsid w:val="475E256A"/>
    <w:multiLevelType w:val="hybridMultilevel"/>
    <w:lvl w:ilvl="0">
      <w:lvlJc w:val="left"/>
      <w:lvlText w:val="%1"/>
      <w:numFmt w:val="decimal"/>
      <w:start w:val="1"/>
    </w:lvl>
    <w:lvl w:ilvl="1">
      <w:lvlJc w:val="left"/>
      <w:lvlText w:val="(%2)"/>
      <w:numFmt w:val="lowerLetter"/>
      <w:start w:val="3"/>
    </w:lvl>
  </w:abstractNum>
  <w:abstractNum w:abstractNumId="146">
    <w:nsid w:val="368DB37E"/>
    <w:multiLevelType w:val="hybridMultilevel"/>
    <w:lvl w:ilvl="0">
      <w:lvlJc w:val="left"/>
      <w:lvlText w:val="%1."/>
      <w:numFmt w:val="decimal"/>
      <w:start w:val="13"/>
    </w:lvl>
    <w:lvl w:ilvl="1">
      <w:lvlJc w:val="left"/>
      <w:lvlText w:val="(%2)"/>
      <w:numFmt w:val="lowerLetter"/>
      <w:start w:val="1"/>
    </w:lvl>
  </w:abstractNum>
  <w:abstractNum w:abstractNumId="147">
    <w:nsid w:val="6A3B714C"/>
    <w:multiLevelType w:val="hybridMultilevel"/>
    <w:lvl w:ilvl="0">
      <w:lvlJc w:val="left"/>
      <w:lvlText w:val="%1"/>
      <w:numFmt w:val="decimal"/>
      <w:start w:val="1"/>
    </w:lvl>
    <w:lvl w:ilvl="1">
      <w:lvlJc w:val="left"/>
      <w:lvlText w:val="(%2)"/>
      <w:numFmt w:val="lowerLetter"/>
      <w:start w:val="7"/>
    </w:lvl>
  </w:abstractNum>
  <w:abstractNum w:abstractNumId="148">
    <w:nsid w:val="327B517E"/>
    <w:multiLevelType w:val="hybridMultilevel"/>
    <w:lvl w:ilvl="0">
      <w:lvlJc w:val="left"/>
      <w:lvlText w:val="%1."/>
      <w:numFmt w:val="decimal"/>
      <w:start w:val="16"/>
    </w:lvl>
    <w:lvl w:ilvl="1">
      <w:lvlJc w:val="left"/>
      <w:lvlText w:val="%2"/>
      <w:numFmt w:val="lowerLetter"/>
      <w:start w:val="1"/>
    </w:lvl>
  </w:abstractNum>
  <w:abstractNum w:abstractNumId="149">
    <w:nsid w:val="1F461B51"/>
    <w:multiLevelType w:val="hybridMultilevel"/>
    <w:lvl w:ilvl="0">
      <w:lvlJc w:val="left"/>
      <w:lvlText w:val="%1."/>
      <w:numFmt w:val="decimal"/>
      <w:start w:val="18"/>
    </w:lvl>
  </w:abstractNum>
  <w:abstractNum w:abstractNumId="150">
    <w:nsid w:val="29BACF25"/>
    <w:multiLevelType w:val="hybridMultilevel"/>
    <w:lvl w:ilvl="0">
      <w:lvlJc w:val="left"/>
      <w:lvlText w:val="%1."/>
      <w:numFmt w:val="decimal"/>
      <w:start w:val="19"/>
    </w:lvl>
  </w:abstractNum>
  <w:abstractNum w:abstractNumId="151">
    <w:nsid w:val="5D5BABB3"/>
    <w:multiLevelType w:val="hybridMultilevel"/>
    <w:lvl w:ilvl="0">
      <w:lvlJc w:val="left"/>
      <w:lvlText w:val="%1."/>
      <w:numFmt w:val="decimal"/>
      <w:start w:val="22"/>
    </w:lvl>
    <w:lvl w:ilvl="1">
      <w:lvlJc w:val="left"/>
      <w:lvlText w:val="(%2)"/>
      <w:numFmt w:val="lowerLetter"/>
      <w:start w:val="1"/>
    </w:lvl>
  </w:abstractNum>
  <w:abstractNum w:abstractNumId="152">
    <w:nsid w:val="51BF6B48"/>
    <w:multiLevelType w:val="hybridMultilevel"/>
    <w:lvl w:ilvl="0">
      <w:lvlJc w:val="left"/>
      <w:lvlText w:val="%1."/>
      <w:numFmt w:val="decimal"/>
      <w:start w:val="27"/>
    </w:lvl>
  </w:abstractNum>
  <w:abstractNum w:abstractNumId="153">
    <w:nsid w:val="7E0F6384"/>
    <w:multiLevelType w:val="hybridMultilevel"/>
    <w:lvl w:ilvl="0">
      <w:lvlJc w:val="left"/>
      <w:lvlText w:val="(%1)"/>
      <w:numFmt w:val="lowerRoman"/>
      <w:start w:val="1"/>
    </w:lvl>
  </w:abstractNum>
  <w:abstractNum w:abstractNumId="154">
    <w:nsid w:val="2B4B8B53"/>
    <w:multiLevelType w:val="hybridMultilevel"/>
    <w:lvl w:ilvl="0">
      <w:lvlJc w:val="left"/>
      <w:lvlText w:val="%1."/>
      <w:numFmt w:val="upperLetter"/>
      <w:start w:val="1"/>
    </w:lvl>
  </w:abstractNum>
  <w:abstractNum w:abstractNumId="155">
    <w:nsid w:val="72E3413A"/>
    <w:multiLevelType w:val="hybridMultilevel"/>
    <w:lvl w:ilvl="0">
      <w:lvlJc w:val="left"/>
      <w:lvlText w:val="%1."/>
      <w:numFmt w:val="decimal"/>
      <w:start w:val="1"/>
    </w:lvl>
  </w:abstractNum>
  <w:abstractNum w:abstractNumId="156">
    <w:nsid w:val="116AE494"/>
    <w:multiLevelType w:val="hybridMultilevel"/>
    <w:lvl w:ilvl="0">
      <w:lvlJc w:val="left"/>
      <w:lvlText w:val="(%1)"/>
      <w:numFmt w:val="lowerLetter"/>
      <w:start w:val="1"/>
    </w:lvl>
    <w:lvl w:ilvl="1">
      <w:lvlJc w:val="left"/>
      <w:lvlText w:val="(%2)"/>
      <w:numFmt w:val="lowerRoman"/>
      <w:start w:val="1"/>
    </w:lvl>
  </w:abstractNum>
  <w:abstractNum w:abstractNumId="157">
    <w:nsid w:val="3494B2FB"/>
    <w:multiLevelType w:val="hybridMultilevel"/>
    <w:lvl w:ilvl="0">
      <w:lvlJc w:val="left"/>
      <w:lvlText w:val="(%1)"/>
      <w:numFmt w:val="lowerLetter"/>
      <w:start w:val="2"/>
    </w:lvl>
  </w:abstractNum>
  <w:abstractNum w:abstractNumId="158">
    <w:nsid w:val="B13A31"/>
    <w:multiLevelType w:val="hybridMultilevel"/>
    <w:lvl w:ilvl="0">
      <w:lvlJc w:val="left"/>
      <w:lvlText w:val="%1."/>
      <w:numFmt w:val="decimal"/>
      <w:start w:val="2"/>
    </w:lvl>
  </w:abstractNum>
  <w:abstractNum w:abstractNumId="159">
    <w:nsid w:val="64429599"/>
    <w:multiLevelType w:val="hybridMultilevel"/>
    <w:lvl w:ilvl="0">
      <w:lvlJc w:val="left"/>
      <w:lvlText w:val="(%1)"/>
      <w:numFmt w:val="lowerRoman"/>
      <w:start w:val="1"/>
    </w:lvl>
  </w:abstractNum>
  <w:abstractNum w:abstractNumId="160">
    <w:nsid w:val="631F1690"/>
    <w:multiLevelType w:val="hybridMultilevel"/>
    <w:lvl w:ilvl="0">
      <w:lvlJc w:val="left"/>
      <w:lvlText w:val="(%1)"/>
      <w:numFmt w:val="lowerRoman"/>
      <w:start w:val="4"/>
    </w:lvl>
  </w:abstractNum>
  <w:abstractNum w:abstractNumId="161">
    <w:nsid w:val="25973E32"/>
    <w:multiLevelType w:val="hybridMultilevel"/>
    <w:lvl w:ilvl="0">
      <w:lvlJc w:val="left"/>
      <w:lvlText w:val="%1."/>
      <w:numFmt w:val="decimal"/>
      <w:start w:val="4"/>
    </w:lvl>
  </w:abstractNum>
  <w:abstractNum w:abstractNumId="162">
    <w:nsid w:val="EAD6F57"/>
    <w:multiLevelType w:val="hybridMultilevel"/>
    <w:lvl w:ilvl="0">
      <w:lvlJc w:val="left"/>
      <w:lvlText w:val="(%1)"/>
      <w:numFmt w:val="lowerRoman"/>
      <w:start w:val="1"/>
    </w:lvl>
  </w:abstractNum>
  <w:abstractNum w:abstractNumId="163">
    <w:nsid w:val="6EC9D844"/>
    <w:multiLevelType w:val="hybridMultilevel"/>
    <w:lvl w:ilvl="0">
      <w:lvlJc w:val="left"/>
      <w:lvlText w:val="☒"/>
      <w:numFmt w:val="bullet"/>
      <w:start w:val="1"/>
    </w:lvl>
  </w:abstractNum>
  <w:abstractNum w:abstractNumId="164">
    <w:nsid w:val="5C49EAEE"/>
    <w:multiLevelType w:val="hybridMultilevel"/>
    <w:lvl w:ilvl="0">
      <w:lvlJc w:val="left"/>
      <w:lvlText w:val="%1."/>
      <w:numFmt w:val="decimal"/>
      <w:start w:val="1"/>
    </w:lvl>
    <w:lvl w:ilvl="1">
      <w:lvlJc w:val="left"/>
      <w:lvlText w:val="(%2)"/>
      <w:numFmt w:val="lowerLetter"/>
      <w:start w:val="1"/>
    </w:lvl>
  </w:abstractNum>
  <w:abstractNum w:abstractNumId="165">
    <w:nsid w:val="64AF49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66">
    <w:nsid w:val="397C46BC"/>
    <w:multiLevelType w:val="hybridMultilevel"/>
    <w:lvl w:ilvl="0">
      <w:lvlJc w:val="left"/>
      <w:lvlText w:val="(%1)"/>
      <w:numFmt w:val="decimal"/>
      <w:start w:val="3"/>
    </w:lvl>
    <w:lvl w:ilvl="1">
      <w:lvlJc w:val="left"/>
      <w:lvlText w:val="%2."/>
      <w:numFmt w:val="decimal"/>
      <w:start w:val="7"/>
    </w:lvl>
    <w:lvl w:ilvl="2">
      <w:lvlJc w:val="left"/>
      <w:lvlText w:val="(%3)"/>
      <w:numFmt w:val="lowerLetter"/>
      <w:start w:val="2"/>
    </w:lvl>
  </w:abstractNum>
  <w:abstractNum w:abstractNumId="167">
    <w:nsid w:val="7E448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8">
    <w:nsid w:val="5A9CC3E5"/>
    <w:multiLevelType w:val="hybridMultilevel"/>
    <w:lvl w:ilvl="0">
      <w:lvlJc w:val="left"/>
      <w:lvlText w:val="%1"/>
      <w:numFmt w:val="decimal"/>
      <w:start w:val="1"/>
    </w:lvl>
    <w:lvl w:ilvl="1">
      <w:lvlJc w:val="left"/>
      <w:lvlText w:val="(%2)"/>
      <w:numFmt w:val="lowerLetter"/>
      <w:start w:val="2"/>
    </w:lvl>
  </w:abstractNum>
  <w:abstractNum w:abstractNumId="169">
    <w:nsid w:val="1AFE3625"/>
    <w:multiLevelType w:val="hybridMultilevel"/>
    <w:lvl w:ilvl="0">
      <w:lvlJc w:val="left"/>
      <w:lvlText w:val="%1."/>
      <w:numFmt w:val="decimal"/>
      <w:start w:val="9"/>
    </w:lvl>
    <w:lvl w:ilvl="1">
      <w:lvlJc w:val="left"/>
      <w:lvlText w:val="%2"/>
      <w:numFmt w:val="lowerLetter"/>
      <w:start w:val="1"/>
    </w:lvl>
  </w:abstractNum>
  <w:abstractNum w:abstractNumId="170">
    <w:nsid w:val="3CA88ECF"/>
    <w:multiLevelType w:val="hybridMultilevel"/>
    <w:lvl w:ilvl="0">
      <w:lvlJc w:val="left"/>
      <w:lvlText w:val="%1."/>
      <w:numFmt w:val="decimal"/>
      <w:start w:val="13"/>
    </w:lvl>
    <w:lvl w:ilvl="1">
      <w:lvlJc w:val="left"/>
      <w:lvlText w:val="(%2)"/>
      <w:numFmt w:val="lowerLetter"/>
      <w:start w:val="1"/>
    </w:lvl>
  </w:abstractNum>
  <w:abstractNum w:abstractNumId="171">
    <w:nsid w:val="6EBE4208"/>
    <w:multiLevelType w:val="hybridMultilevel"/>
    <w:lvl w:ilvl="0">
      <w:lvlJc w:val="left"/>
      <w:lvlText w:val="%1"/>
      <w:numFmt w:val="decimal"/>
      <w:start w:val="1"/>
    </w:lvl>
    <w:lvl w:ilvl="1">
      <w:lvlJc w:val="left"/>
      <w:lvlText w:val="(%2)"/>
      <w:numFmt w:val="lowerLetter"/>
      <w:start w:val="11"/>
    </w:lvl>
  </w:abstractNum>
  <w:abstractNum w:abstractNumId="172">
    <w:nsid w:val="C058DF5"/>
    <w:multiLevelType w:val="hybridMultilevel"/>
    <w:lvl w:ilvl="0">
      <w:lvlJc w:val="left"/>
      <w:lvlText w:val="%1."/>
      <w:numFmt w:val="decimal"/>
      <w:start w:val="14"/>
    </w:lvl>
    <w:lvl w:ilvl="1">
      <w:lvlJc w:val="left"/>
      <w:lvlText w:val="%2"/>
      <w:numFmt w:val="lowerLetter"/>
      <w:start w:val="1"/>
    </w:lvl>
  </w:abstractNum>
  <w:abstractNum w:abstractNumId="173">
    <w:nsid w:val="CBE5BE9"/>
    <w:multiLevelType w:val="hybridMultilevel"/>
    <w:lvl w:ilvl="0">
      <w:lvlJc w:val="left"/>
      <w:lvlText w:val="%1."/>
      <w:numFmt w:val="decimal"/>
      <w:start w:val="16"/>
    </w:lvl>
  </w:abstractNum>
  <w:abstractNum w:abstractNumId="174">
    <w:nsid w:val="3102BBE2"/>
    <w:multiLevelType w:val="hybridMultilevel"/>
    <w:lvl w:ilvl="0">
      <w:lvlJc w:val="left"/>
      <w:lvlText w:val="%1."/>
      <w:numFmt w:val="decimal"/>
      <w:start w:val="17"/>
    </w:lvl>
  </w:abstractNum>
  <w:abstractNum w:abstractNumId="175">
    <w:nsid w:val="26A02C5E"/>
    <w:multiLevelType w:val="hybridMultilevel"/>
    <w:lvl w:ilvl="0">
      <w:lvlJc w:val="left"/>
      <w:lvlText w:val="%1."/>
      <w:numFmt w:val="decimal"/>
      <w:start w:val="21"/>
    </w:lvl>
    <w:lvl w:ilvl="1">
      <w:lvlJc w:val="left"/>
      <w:lvlText w:val="*"/>
      <w:numFmt w:val="bullet"/>
      <w:start w:val="1"/>
    </w:lvl>
  </w:abstractNum>
  <w:abstractNum w:abstractNumId="176">
    <w:nsid w:val="541C8153"/>
    <w:multiLevelType w:val="hybridMultilevel"/>
    <w:lvl w:ilvl="0">
      <w:lvlJc w:val="left"/>
      <w:lvlText w:val="%1"/>
      <w:numFmt w:val="lowerRoman"/>
      <w:start w:val="1"/>
    </w:lvl>
    <w:lvl w:ilvl="1">
      <w:lvlJc w:val="left"/>
      <w:lvlText w:val="(%2)"/>
      <w:numFmt w:val="lowerRoman"/>
      <w:start w:val="1"/>
    </w:lvl>
  </w:abstractNum>
  <w:abstractNum w:abstractNumId="177">
    <w:nsid w:val="67906F60"/>
    <w:multiLevelType w:val="hybridMultilevel"/>
    <w:lvl w:ilvl="0">
      <w:lvlJc w:val="left"/>
      <w:lvlText w:val="(%1)"/>
      <w:numFmt w:val="lowerRoman"/>
      <w:start w:val="2"/>
    </w:lvl>
    <w:lvl w:ilvl="1">
      <w:lvlJc w:val="left"/>
      <w:lvlText w:val="%2"/>
      <w:numFmt w:val="lowerRoman"/>
      <w:start w:val="1"/>
    </w:lvl>
  </w:abstractNum>
  <w:abstractNum w:abstractNumId="178">
    <w:nsid w:val="10DB9DAA"/>
    <w:multiLevelType w:val="hybridMultilevel"/>
    <w:lvl w:ilvl="0">
      <w:lvlJc w:val="left"/>
      <w:lvlText w:val="%1."/>
      <w:numFmt w:val="upperLetter"/>
      <w:start w:val="1"/>
    </w:lvl>
  </w:abstractNum>
  <w:abstractNum w:abstractNumId="179">
    <w:nsid w:val="697D2D2"/>
    <w:multiLevelType w:val="hybridMultilevel"/>
    <w:lvl w:ilvl="0">
      <w:lvlJc w:val="left"/>
      <w:lvlText w:val="%1."/>
      <w:numFmt w:val="decimal"/>
      <w:start w:val="1"/>
    </w:lvl>
  </w:abstractNum>
  <w:abstractNum w:abstractNumId="180">
    <w:nsid w:val="6D68AB2"/>
    <w:multiLevelType w:val="hybridMultilevel"/>
    <w:lvl w:ilvl="0">
      <w:lvlJc w:val="left"/>
      <w:lvlText w:val="(%1)"/>
      <w:numFmt w:val="lowerLetter"/>
      <w:start w:val="1"/>
    </w:lvl>
    <w:lvl w:ilvl="1">
      <w:lvlJc w:val="left"/>
      <w:lvlText w:val="(%2)"/>
      <w:numFmt w:val="lowerRoman"/>
      <w:start w:val="1"/>
    </w:lvl>
  </w:abstractNum>
  <w:abstractNum w:abstractNumId="181">
    <w:nsid w:val="3A966CD0"/>
    <w:multiLevelType w:val="hybridMultilevel"/>
    <w:lvl w:ilvl="0">
      <w:lvlJc w:val="left"/>
      <w:lvlText w:val="(%1)"/>
      <w:numFmt w:val="lowerLetter"/>
      <w:start w:val="2"/>
    </w:lvl>
  </w:abstractNum>
  <w:abstractNum w:abstractNumId="182">
    <w:nsid w:val="63F37E85"/>
    <w:multiLevelType w:val="hybridMultilevel"/>
    <w:lvl w:ilvl="0">
      <w:lvlJc w:val="left"/>
      <w:lvlText w:val="%1."/>
      <w:numFmt w:val="decimal"/>
      <w:start w:val="2"/>
    </w:lvl>
  </w:abstractNum>
  <w:abstractNum w:abstractNumId="183">
    <w:nsid w:val="5895F5FA"/>
    <w:multiLevelType w:val="hybridMultilevel"/>
    <w:lvl w:ilvl="0">
      <w:lvlJc w:val="left"/>
      <w:lvlText w:val="(%1)"/>
      <w:numFmt w:val="lowerRoman"/>
      <w:start w:val="1"/>
    </w:lvl>
  </w:abstractNum>
  <w:abstractNum w:abstractNumId="184">
    <w:nsid w:val="38A5D054"/>
    <w:multiLevelType w:val="hybridMultilevel"/>
    <w:lvl w:ilvl="0">
      <w:lvlJc w:val="left"/>
      <w:lvlText w:val="(%1)"/>
      <w:numFmt w:val="lowerRoman"/>
      <w:start w:val="4"/>
    </w:lvl>
  </w:abstractNum>
  <w:abstractNum w:abstractNumId="185">
    <w:nsid w:val="F3F09D8"/>
    <w:multiLevelType w:val="hybridMultilevel"/>
    <w:lvl w:ilvl="0">
      <w:lvlJc w:val="left"/>
      <w:lvlText w:val="%1."/>
      <w:numFmt w:val="decimal"/>
      <w:start w:val="4"/>
    </w:lvl>
  </w:abstractNum>
  <w:abstractNum w:abstractNumId="186">
    <w:nsid w:val="4B793735"/>
    <w:multiLevelType w:val="hybridMultilevel"/>
    <w:lvl w:ilvl="0">
      <w:lvlJc w:val="left"/>
      <w:lvlText w:val="(%1)"/>
      <w:numFmt w:val="lowerRoman"/>
      <w:start w:val="1"/>
    </w:lvl>
  </w:abstractNum>
  <w:abstractNum w:abstractNumId="187">
    <w:nsid w:val="4A10B4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8">
    <w:nsid w:val="43D3BCD4"/>
    <w:multiLevelType w:val="hybridMultilevel"/>
    <w:lvl w:ilvl="0">
      <w:lvlJc w:val="left"/>
      <w:lvlText w:val="%1"/>
      <w:numFmt w:val="decimal"/>
      <w:start w:val="1"/>
    </w:lvl>
    <w:lvl w:ilvl="1">
      <w:lvlJc w:val="left"/>
      <w:lvlText w:val="(%2)"/>
      <w:numFmt w:val="lowerLetter"/>
      <w:start w:val="4"/>
    </w:lvl>
  </w:abstractNum>
  <w:abstractNum w:abstractNumId="189">
    <w:nsid w:val="4C2A7166"/>
    <w:multiLevelType w:val="hybridMultilevel"/>
    <w:lvl w:ilvl="0">
      <w:lvlJc w:val="left"/>
      <w:lvlText w:val="%1."/>
      <w:numFmt w:val="decimal"/>
      <w:start w:val="3"/>
    </w:lvl>
    <w:lvl w:ilvl="1">
      <w:lvlJc w:val="left"/>
      <w:lvlText w:val="(%2)"/>
      <w:numFmt w:val="lowerLetter"/>
      <w:start w:val="1"/>
    </w:lvl>
  </w:abstractNum>
  <w:abstractNum w:abstractNumId="190">
    <w:nsid w:val="2E534A8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1">
    <w:nsid w:val="26F2D3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2">
    <w:nsid w:val="71C1AF9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3">
    <w:nsid w:val="3D00B9D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4">
    <w:nsid w:val="15BCABA8"/>
    <w:multiLevelType w:val="hybridMultilevel"/>
    <w:lvl w:ilvl="0">
      <w:lvlJc w:val="left"/>
      <w:lvlText w:val="%1."/>
      <w:numFmt w:val="decimal"/>
      <w:start w:val="7"/>
    </w:lvl>
    <w:lvl w:ilvl="1">
      <w:lvlJc w:val="left"/>
      <w:lvlText w:val="(%2)"/>
      <w:numFmt w:val="lowerLetter"/>
      <w:start w:val="1"/>
    </w:lvl>
  </w:abstractNum>
  <w:abstractNum w:abstractNumId="195">
    <w:nsid w:val="4E0B9A87"/>
    <w:multiLevelType w:val="hybridMultilevel"/>
    <w:lvl w:ilvl="0">
      <w:lvlJc w:val="left"/>
      <w:lvlText w:val="%1"/>
      <w:numFmt w:val="decimal"/>
      <w:start w:val="1"/>
    </w:lvl>
    <w:lvl w:ilvl="1">
      <w:lvlJc w:val="left"/>
      <w:lvlText w:val="(%2)"/>
      <w:numFmt w:val="lowerLetter"/>
      <w:start w:val="2"/>
    </w:lvl>
  </w:abstractNum>
  <w:abstractNum w:abstractNumId="196">
    <w:nsid w:val="434BAE75"/>
    <w:multiLevelType w:val="hybridMultilevel"/>
    <w:lvl w:ilvl="0">
      <w:lvlJc w:val="left"/>
      <w:lvlText w:val="(%1)"/>
      <w:numFmt w:val="decimal"/>
      <w:start w:val="1"/>
    </w:lvl>
    <w:lvl w:ilvl="1">
      <w:lvlJc w:val="left"/>
      <w:lvlText w:val="(%2)"/>
      <w:numFmt w:val="lowerLetter"/>
      <w:start w:val="3"/>
    </w:lvl>
  </w:abstractNum>
  <w:abstractNum w:abstractNumId="197">
    <w:nsid w:val="4F38F265"/>
    <w:multiLevelType w:val="hybridMultilevel"/>
    <w:lvl w:ilvl="0">
      <w:lvlJc w:val="left"/>
      <w:lvlText w:val="%1."/>
      <w:numFmt w:val="decimal"/>
      <w:start w:val="9"/>
    </w:lvl>
  </w:abstractNum>
  <w:abstractNum w:abstractNumId="198">
    <w:nsid w:val="4C502870"/>
    <w:multiLevelType w:val="hybridMultilevel"/>
    <w:lvl w:ilvl="0">
      <w:lvlJc w:val="left"/>
      <w:lvlText w:val="%1."/>
      <w:numFmt w:val="decimal"/>
      <w:start w:val="10"/>
    </w:lvl>
    <w:lvl w:ilvl="1">
      <w:lvlJc w:val="left"/>
      <w:lvlText w:val="(%2)"/>
      <w:numFmt w:val="lowerLetter"/>
      <w:start w:val="1"/>
    </w:lvl>
  </w:abstractNum>
  <w:abstractNum w:abstractNumId="199">
    <w:nsid w:val="1DE8725A"/>
    <w:multiLevelType w:val="hybridMultilevel"/>
    <w:lvl w:ilvl="0">
      <w:lvlJc w:val="left"/>
      <w:lvlText w:val="%1."/>
      <w:numFmt w:val="decimal"/>
      <w:start w:val="11"/>
    </w:lvl>
    <w:lvl w:ilvl="1">
      <w:lvlJc w:val="left"/>
      <w:lvlText w:val="(%2)"/>
      <w:numFmt w:val="lowerLetter"/>
      <w:start w:val="1"/>
    </w:lvl>
  </w:abstractNum>
  <w:abstractNum w:abstractNumId="200">
    <w:nsid w:val="6A37288A"/>
    <w:multiLevelType w:val="hybridMultilevel"/>
    <w:lvl w:ilvl="0">
      <w:lvlJc w:val="left"/>
      <w:lvlText w:val="%1"/>
      <w:numFmt w:val="decimal"/>
      <w:start w:val="1"/>
    </w:lvl>
    <w:lvl w:ilvl="1">
      <w:lvlJc w:val="left"/>
      <w:lvlText w:val="(%2)"/>
      <w:numFmt w:val="lowerLetter"/>
      <w:start w:val="2"/>
    </w:lvl>
  </w:abstractNum>
  <w:abstractNum w:abstractNumId="201">
    <w:nsid w:val="8F8B73F"/>
    <w:multiLevelType w:val="hybridMultilevel"/>
    <w:lvl w:ilvl="0">
      <w:lvlJc w:val="left"/>
      <w:lvlText w:val="%1."/>
      <w:numFmt w:val="decimal"/>
      <w:start w:val="14"/>
    </w:lvl>
    <w:lvl w:ilvl="1">
      <w:lvlJc w:val="left"/>
      <w:lvlText w:val="(%2)"/>
      <w:numFmt w:val="lowerLetter"/>
      <w:start w:val="1"/>
    </w:lvl>
  </w:abstractNum>
  <w:abstractNum w:abstractNumId="202">
    <w:nsid w:val="CA6B462"/>
    <w:multiLevelType w:val="hybridMultilevel"/>
    <w:lvl w:ilvl="0">
      <w:lvlJc w:val="left"/>
      <w:lvlText w:val="%1"/>
      <w:numFmt w:val="decimal"/>
      <w:start w:val="718"/>
    </w:lvl>
    <w:lvl w:ilvl="1">
      <w:lvlJc w:val="left"/>
      <w:lvlText w:val="(%2)"/>
      <w:numFmt w:val="lowerLetter"/>
      <w:start w:val="3"/>
    </w:lvl>
  </w:abstractNum>
  <w:abstractNum w:abstractNumId="203">
    <w:nsid w:val="763CB680"/>
    <w:multiLevelType w:val="hybridMultilevel"/>
    <w:lvl w:ilvl="0">
      <w:lvlJc w:val="left"/>
      <w:lvlText w:val="(%1)"/>
      <w:numFmt w:val="lowerLetter"/>
      <w:start w:val="6"/>
    </w:lvl>
    <w:lvl w:ilvl="1">
      <w:lvlJc w:val="left"/>
      <w:lvlText w:val="(%2)"/>
      <w:numFmt w:val="lowerRoman"/>
      <w:start w:val="1"/>
    </w:lvl>
  </w:abstractNum>
  <w:abstractNum w:abstractNumId="204">
    <w:nsid w:val="15B71329"/>
    <w:multiLevelType w:val="hybridMultilevel"/>
    <w:lvl w:ilvl="0">
      <w:lvlJc w:val="left"/>
      <w:lvlText w:val="(%1)"/>
      <w:numFmt w:val="lowerLetter"/>
      <w:start w:val="8"/>
    </w:lvl>
  </w:abstractNum>
  <w:abstractNum w:abstractNumId="205">
    <w:nsid w:val="3DA97044"/>
    <w:multiLevelType w:val="hybridMultilevel"/>
    <w:lvl w:ilvl="0">
      <w:lvlJc w:val="left"/>
      <w:lvlText w:val="(%1)"/>
      <w:numFmt w:val="lowerLetter"/>
      <w:start w:val="11"/>
    </w:lvl>
    <w:lvl w:ilvl="1">
      <w:lvlJc w:val="left"/>
      <w:lvlText w:val="(%2)"/>
      <w:numFmt w:val="lowerRoman"/>
      <w:start w:val="1"/>
    </w:lvl>
  </w:abstractNum>
  <w:abstractNum w:abstractNumId="206">
    <w:nsid w:val="1CDCE2DE"/>
    <w:multiLevelType w:val="hybridMultilevel"/>
    <w:lvl w:ilvl="0">
      <w:lvlJc w:val="left"/>
      <w:lvlText w:val="(%1)"/>
      <w:numFmt w:val="lowerLetter"/>
      <w:start w:val="25"/>
    </w:lvl>
  </w:abstractNum>
  <w:abstractNum w:abstractNumId="207">
    <w:nsid w:val="69D3947C"/>
    <w:multiLevelType w:val="hybridMultilevel"/>
    <w:lvl w:ilvl="0">
      <w:lvlJc w:val="left"/>
      <w:lvlText w:val="(%1)"/>
      <w:numFmt w:val="lowerLetter"/>
      <w:start w:val="1"/>
    </w:lvl>
    <w:lvl w:ilvl="1">
      <w:lvlJc w:val="left"/>
      <w:lvlText w:val="(%2)"/>
      <w:numFmt w:val="lowerRoman"/>
      <w:start w:val="1"/>
    </w:lvl>
  </w:abstractNum>
  <w:abstractNum w:abstractNumId="208">
    <w:nsid w:val="2539DFA5"/>
    <w:multiLevelType w:val="hybridMultilevel"/>
    <w:lvl w:ilvl="0">
      <w:lvlJc w:val="left"/>
      <w:lvlText w:val="(%1)"/>
      <w:numFmt w:val="lowerLetter"/>
      <w:start w:val="2"/>
    </w:lvl>
  </w:abstractNum>
  <w:abstractNum w:abstractNumId="209">
    <w:nsid w:val="2DB88089"/>
    <w:multiLevelType w:val="hybridMultilevel"/>
    <w:lvl w:ilvl="0">
      <w:lvlJc w:val="left"/>
      <w:lvlText w:val="(%1)"/>
      <w:numFmt w:val="lowerLetter"/>
      <w:start w:val="1"/>
    </w:lvl>
    <w:lvl w:ilvl="1">
      <w:lvlJc w:val="left"/>
      <w:lvlText w:val="(%2)"/>
      <w:numFmt w:val="lowerRoman"/>
      <w:start w:val="1"/>
    </w:lvl>
  </w:abstractNum>
  <w:abstractNum w:abstractNumId="210">
    <w:nsid w:val="706B674E"/>
    <w:multiLevelType w:val="hybridMultilevel"/>
    <w:lvl w:ilvl="0">
      <w:lvlJc w:val="left"/>
      <w:lvlText w:val="(%1)"/>
      <w:numFmt w:val="lowerLetter"/>
      <w:start w:val="2"/>
    </w:lvl>
  </w:abstractNum>
  <w:abstractNum w:abstractNumId="211">
    <w:nsid w:val="2C106A57"/>
    <w:multiLevelType w:val="hybridMultilevel"/>
    <w:lvl w:ilvl="0">
      <w:lvlJc w:val="left"/>
      <w:lvlText w:val="%1."/>
      <w:numFmt w:val="decimal"/>
      <w:start w:val="1"/>
    </w:lvl>
    <w:lvl w:ilvl="1">
      <w:lvlJc w:val="left"/>
      <w:lvlText w:val="%2)"/>
      <w:numFmt w:val="lowerLetter"/>
      <w:start w:val="1"/>
    </w:lvl>
  </w:abstractNum>
  <w:abstractNum w:abstractNumId="212">
    <w:nsid w:val="684EED59"/>
    <w:multiLevelType w:val="hybridMultilevel"/>
    <w:lvl w:ilvl="0">
      <w:lvlJc w:val="left"/>
      <w:lvlText w:val="%1."/>
      <w:numFmt w:val="decimal"/>
      <w:start w:val="1"/>
    </w:lvl>
    <w:lvl w:ilvl="1">
      <w:lvlJc w:val="left"/>
      <w:lvlText w:val="%2)"/>
      <w:numFmt w:val="lowerLetter"/>
      <w:start w:val="1"/>
    </w:lvl>
  </w:abstractNum>
  <w:abstractNum w:abstractNumId="213">
    <w:nsid w:val="545EE5D3"/>
    <w:multiLevelType w:val="hybridMultilevel"/>
    <w:lvl w:ilvl="0">
      <w:lvlJc w:val="left"/>
      <w:lvlText w:val="%1."/>
      <w:numFmt w:val="decimal"/>
      <w:start w:val="1"/>
    </w:lvl>
  </w:abstractNum>
  <w:abstractNum w:abstractNumId="214">
    <w:nsid w:val="4A6605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2019-12-07T05:22:50Z</dcterms:created>
  <dcterms:modified xsi:type="dcterms:W3CDTF">2019-12-07T05:22:50Z</dcterms:modified>
</cp:coreProperties>
</file>